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160020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940" w:right="160" w:hanging="835"/>
        <w:spacing w:after="0" w:line="227" w:lineRule="auto"/>
        <w:tabs>
          <w:tab w:leader="none" w:pos="9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940" w:right="140" w:hanging="835"/>
        <w:spacing w:after="0" w:line="235" w:lineRule="auto"/>
        <w:tabs>
          <w:tab w:leader="none" w:pos="9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40" w:lineRule="exact"/>
        <w:rPr>
          <w:sz w:val="24"/>
          <w:szCs w:val="24"/>
          <w:color w:val="auto"/>
        </w:rPr>
      </w:pPr>
    </w:p>
    <w:p>
      <w:pPr>
        <w:ind w:left="34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Sixth Street Specialty Lending,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8"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4600" w:type="dxa"/>
            <w:vAlign w:val="bottom"/>
          </w:tcPr>
          <w:p>
            <w:pPr>
              <w:jc w:val="center"/>
              <w:ind w:right="1759"/>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c>
          <w:tcPr>
            <w:tcW w:w="0" w:type="dxa"/>
            <w:vAlign w:val="bottom"/>
          </w:tcPr>
          <w:p>
            <w:pPr>
              <w:spacing w:after="0"/>
              <w:rPr>
                <w:sz w:val="1"/>
                <w:szCs w:val="1"/>
                <w:color w:val="auto"/>
              </w:rPr>
            </w:pPr>
          </w:p>
        </w:tc>
      </w:tr>
      <w:tr>
        <w:trPr>
          <w:trHeight w:val="149"/>
        </w:trPr>
        <w:tc>
          <w:tcPr>
            <w:tcW w:w="4600" w:type="dxa"/>
            <w:vAlign w:val="bottom"/>
          </w:tcPr>
          <w:p>
            <w:pPr>
              <w:jc w:val="center"/>
              <w:ind w:right="17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60" w:type="dxa"/>
            <w:vAlign w:val="bottom"/>
          </w:tcPr>
          <w:p>
            <w:pPr>
              <w:jc w:val="center"/>
              <w:ind w:left="1761"/>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600" w:type="dxa"/>
            <w:vAlign w:val="bottom"/>
          </w:tcPr>
          <w:p>
            <w:pPr>
              <w:jc w:val="center"/>
              <w:ind w:right="1759"/>
              <w:spacing w:after="0"/>
              <w:rPr>
                <w:sz w:val="20"/>
                <w:szCs w:val="20"/>
                <w:color w:val="auto"/>
              </w:rPr>
            </w:pPr>
            <w:r>
              <w:rPr>
                <w:rFonts w:ascii="Arial" w:cs="Arial" w:eastAsia="Arial" w:hAnsi="Arial"/>
                <w:sz w:val="14"/>
                <w:szCs w:val="14"/>
                <w:b w:val="1"/>
                <w:bCs w:val="1"/>
                <w:color w:val="auto"/>
                <w:w w:val="94"/>
              </w:rPr>
              <w:t>incorporation or organization)</w:t>
            </w:r>
          </w:p>
        </w:tc>
        <w:tc>
          <w:tcPr>
            <w:tcW w:w="2960" w:type="dxa"/>
            <w:vAlign w:val="bottom"/>
          </w:tcPr>
          <w:p>
            <w:pPr>
              <w:jc w:val="center"/>
              <w:ind w:left="174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5"/>
        </w:trPr>
        <w:tc>
          <w:tcPr>
            <w:tcW w:w="4600" w:type="dxa"/>
            <w:vAlign w:val="bottom"/>
          </w:tcPr>
          <w:p>
            <w:pPr>
              <w:jc w:val="center"/>
              <w:ind w:right="1759"/>
              <w:spacing w:after="0"/>
              <w:rPr>
                <w:sz w:val="20"/>
                <w:szCs w:val="20"/>
                <w:color w:val="auto"/>
              </w:rPr>
            </w:pPr>
            <w:r>
              <w:rPr>
                <w:rFonts w:ascii="Arial" w:cs="Arial" w:eastAsia="Arial" w:hAnsi="Arial"/>
                <w:sz w:val="18"/>
                <w:szCs w:val="18"/>
                <w:b w:val="1"/>
                <w:bCs w:val="1"/>
                <w:color w:val="auto"/>
                <w:w w:val="90"/>
              </w:rPr>
              <w:t>2100 McKinney Avenue, Suite 1500,</w:t>
            </w:r>
          </w:p>
        </w:tc>
        <w:tc>
          <w:tcPr>
            <w:tcW w:w="2960" w:type="dxa"/>
            <w:vAlign w:val="bottom"/>
            <w:vMerge w:val="restart"/>
          </w:tcPr>
          <w:p>
            <w:pPr>
              <w:jc w:val="right"/>
              <w:ind w:right="261"/>
              <w:spacing w:after="0"/>
              <w:rPr>
                <w:sz w:val="20"/>
                <w:szCs w:val="20"/>
                <w:color w:val="auto"/>
              </w:rPr>
            </w:pPr>
            <w:r>
              <w:rPr>
                <w:rFonts w:ascii="Arial" w:cs="Arial" w:eastAsia="Arial" w:hAnsi="Arial"/>
                <w:sz w:val="18"/>
                <w:szCs w:val="18"/>
                <w:b w:val="1"/>
                <w:bCs w:val="1"/>
                <w:color w:val="auto"/>
              </w:rPr>
              <w:t>75201</w:t>
            </w:r>
          </w:p>
        </w:tc>
        <w:tc>
          <w:tcPr>
            <w:tcW w:w="0" w:type="dxa"/>
            <w:vAlign w:val="bottom"/>
          </w:tcPr>
          <w:p>
            <w:pPr>
              <w:spacing w:after="0"/>
              <w:rPr>
                <w:sz w:val="1"/>
                <w:szCs w:val="1"/>
                <w:color w:val="auto"/>
              </w:rPr>
            </w:pPr>
          </w:p>
        </w:tc>
      </w:tr>
      <w:tr>
        <w:trPr>
          <w:trHeight w:val="207"/>
        </w:trPr>
        <w:tc>
          <w:tcPr>
            <w:tcW w:w="4600" w:type="dxa"/>
            <w:vAlign w:val="bottom"/>
          </w:tcPr>
          <w:p>
            <w:pPr>
              <w:jc w:val="center"/>
              <w:ind w:right="1779"/>
              <w:spacing w:after="0"/>
              <w:rPr>
                <w:sz w:val="20"/>
                <w:szCs w:val="20"/>
                <w:color w:val="auto"/>
              </w:rPr>
            </w:pPr>
            <w:r>
              <w:rPr>
                <w:rFonts w:ascii="Arial" w:cs="Arial" w:eastAsia="Arial" w:hAnsi="Arial"/>
                <w:sz w:val="18"/>
                <w:szCs w:val="18"/>
                <w:b w:val="1"/>
                <w:bCs w:val="1"/>
                <w:color w:val="auto"/>
                <w:w w:val="95"/>
              </w:rPr>
              <w:t>Dallas, TX</w:t>
            </w:r>
          </w:p>
        </w:tc>
        <w:tc>
          <w:tcPr>
            <w:tcW w:w="2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600" w:type="dxa"/>
            <w:vAlign w:val="bottom"/>
          </w:tcPr>
          <w:p>
            <w:pPr>
              <w:jc w:val="center"/>
              <w:ind w:right="17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jc w:val="center"/>
              <w:ind w:left="174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270510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780" w:type="dxa"/>
            <w:vAlign w:val="bottom"/>
          </w:tcPr>
          <w:p>
            <w:pPr>
              <w:spacing w:after="0"/>
              <w:rPr>
                <w:sz w:val="20"/>
                <w:szCs w:val="20"/>
                <w:color w:val="auto"/>
              </w:rPr>
            </w:pPr>
            <w:r>
              <w:rPr>
                <w:rFonts w:ascii="Arial" w:cs="Arial" w:eastAsia="Arial" w:hAnsi="Arial"/>
                <w:sz w:val="14"/>
                <w:szCs w:val="14"/>
                <w:b w:val="1"/>
                <w:bCs w:val="1"/>
                <w:color w:val="auto"/>
                <w:w w:val="97"/>
              </w:rPr>
              <w:t>Securities registered pursuant to Section 12(b) of the Act:</w:t>
            </w:r>
          </w:p>
        </w:tc>
        <w:tc>
          <w:tcPr>
            <w:tcW w:w="372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204"/>
        </w:trPr>
        <w:tc>
          <w:tcPr>
            <w:tcW w:w="378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17"/>
                <w:szCs w:val="17"/>
                <w:color w:val="auto"/>
              </w:rPr>
            </w:pPr>
          </w:p>
        </w:tc>
      </w:tr>
      <w:tr>
        <w:trPr>
          <w:trHeight w:val="135"/>
        </w:trPr>
        <w:tc>
          <w:tcPr>
            <w:tcW w:w="3780" w:type="dxa"/>
            <w:vAlign w:val="bottom"/>
            <w:tcBorders>
              <w:left w:val="single" w:sz="8" w:color="auto"/>
              <w:bottom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Title of each class</w:t>
            </w:r>
          </w:p>
        </w:tc>
        <w:tc>
          <w:tcPr>
            <w:tcW w:w="372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Trading Symbol(s)</w:t>
            </w:r>
          </w:p>
        </w:tc>
        <w:tc>
          <w:tcPr>
            <w:tcW w:w="374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6"/>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TSLX</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62" w:lineRule="exact"/>
        <w:rPr>
          <w:sz w:val="24"/>
          <w:szCs w:val="24"/>
          <w:color w:val="auto"/>
        </w:rPr>
      </w:pPr>
    </w:p>
    <w:p>
      <w:pPr>
        <w:ind w:right="220"/>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100"/>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9" w:lineRule="exact"/>
        <w:rPr>
          <w:sz w:val="24"/>
          <w:szCs w:val="24"/>
          <w:color w:val="auto"/>
        </w:rPr>
      </w:pPr>
    </w:p>
    <w:tbl>
      <w:tblPr>
        <w:tblLayout w:type="fixed"/>
        <w:tblInd w:w="20" w:type="dxa"/>
        <w:tblCellMar>
          <w:top w:w="0" w:type="dxa"/>
          <w:left w:w="0" w:type="dxa"/>
          <w:bottom w:w="0" w:type="dxa"/>
          <w:right w:w="0" w:type="dxa"/>
        </w:tblCellMar>
      </w:tblPr>
      <w:tr>
        <w:trPr>
          <w:trHeight w:val="168"/>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6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4680" w:type="dxa"/>
            <w:vAlign w:val="bottom"/>
          </w:tcPr>
          <w:p>
            <w:pPr>
              <w:ind w:left="2460"/>
              <w:spacing w:after="0"/>
              <w:rPr>
                <w:sz w:val="20"/>
                <w:szCs w:val="20"/>
                <w:color w:val="auto"/>
              </w:rPr>
            </w:pPr>
            <w:r>
              <w:rPr>
                <w:rFonts w:ascii="Arial" w:cs="Arial" w:eastAsia="Arial" w:hAnsi="Arial"/>
                <w:sz w:val="14"/>
                <w:szCs w:val="14"/>
                <w:color w:val="auto"/>
              </w:rPr>
              <w:t>Accelerated filer</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2"/>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336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4680" w:type="dxa"/>
            <w:vAlign w:val="bottom"/>
          </w:tcPr>
          <w:p>
            <w:pPr>
              <w:ind w:left="2460"/>
              <w:spacing w:after="0"/>
              <w:rPr>
                <w:sz w:val="20"/>
                <w:szCs w:val="20"/>
                <w:color w:val="auto"/>
              </w:rPr>
            </w:pPr>
            <w:r>
              <w:rPr>
                <w:rFonts w:ascii="Arial" w:cs="Arial" w:eastAsia="Arial" w:hAnsi="Arial"/>
                <w:sz w:val="14"/>
                <w:szCs w:val="14"/>
                <w:color w:val="auto"/>
              </w:rPr>
              <w:t>Smaller reporting company</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680" w:type="dxa"/>
            <w:vAlign w:val="bottom"/>
          </w:tcPr>
          <w:p>
            <w:pPr>
              <w:ind w:left="2460"/>
              <w:spacing w:after="0"/>
              <w:rPr>
                <w:sz w:val="20"/>
                <w:szCs w:val="20"/>
                <w:color w:val="auto"/>
              </w:rPr>
            </w:pPr>
            <w:r>
              <w:rPr>
                <w:rFonts w:ascii="Arial" w:cs="Arial" w:eastAsia="Arial" w:hAnsi="Arial"/>
                <w:sz w:val="14"/>
                <w:szCs w:val="14"/>
                <w:color w:val="auto"/>
              </w:rPr>
              <w:t>Emerging growth company</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9" w:lineRule="exact"/>
        <w:rPr>
          <w:sz w:val="24"/>
          <w:szCs w:val="24"/>
          <w:color w:val="auto"/>
        </w:rPr>
      </w:pPr>
    </w:p>
    <w:p>
      <w:pPr>
        <w:ind w:right="56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3620"/>
        <w:spacing w:after="0" w:line="208"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$.01 par value per share, outstanding at August 2, 2022 was 80,993,977.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 w:name="page2"/>
    <w:bookmarkEnd w:id="1"/>
    <w:p>
      <w:pPr>
        <w:jc w:val="center"/>
        <w:ind w:right="60"/>
        <w:spacing w:after="0"/>
        <w:rPr>
          <w:sz w:val="20"/>
          <w:szCs w:val="20"/>
          <w:color w:val="auto"/>
        </w:rPr>
      </w:pPr>
      <w:r>
        <w:rPr>
          <w:rFonts w:ascii="Arial" w:cs="Arial" w:eastAsia="Arial" w:hAnsi="Arial"/>
          <w:sz w:val="18"/>
          <w:szCs w:val="18"/>
          <w:b w:val="1"/>
          <w:bCs w:val="1"/>
          <w:color w:val="auto"/>
        </w:rPr>
        <w:t>SIXTH STREET SPECIALTY LENDING, INC.</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INDEX</w:t>
            </w:r>
          </w:p>
        </w:tc>
        <w:tc>
          <w:tcPr>
            <w:tcW w:w="1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5"/>
        </w:trPr>
        <w:tc>
          <w:tcPr>
            <w:tcW w:w="10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gridSpan w:val="7"/>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77"/>
        </w:trPr>
        <w:tc>
          <w:tcPr>
            <w:tcW w:w="1020" w:type="dxa"/>
            <w:vAlign w:val="bottom"/>
          </w:tcPr>
          <w:p>
            <w:pPr>
              <w:spacing w:after="0"/>
              <w:rPr>
                <w:sz w:val="20"/>
                <w:szCs w:val="20"/>
                <w:color w:val="auto"/>
              </w:rPr>
            </w:pPr>
            <w:r>
              <w:rPr>
                <w:rFonts w:ascii="Arial" w:cs="Arial" w:eastAsia="Arial" w:hAnsi="Arial"/>
                <w:sz w:val="18"/>
                <w:szCs w:val="18"/>
                <w:color w:val="auto"/>
              </w:rPr>
              <w:t>PART I.</w:t>
            </w:r>
          </w:p>
        </w:tc>
        <w:tc>
          <w:tcPr>
            <w:tcW w:w="80" w:type="dxa"/>
            <w:vAlign w:val="bottom"/>
          </w:tcPr>
          <w:p>
            <w:pPr>
              <w:spacing w:after="0"/>
              <w:rPr>
                <w:sz w:val="24"/>
                <w:szCs w:val="24"/>
                <w:color w:val="auto"/>
              </w:rPr>
            </w:pPr>
          </w:p>
        </w:tc>
        <w:tc>
          <w:tcPr>
            <w:tcW w:w="912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INFORMATION</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80" w:type="dxa"/>
            <w:vAlign w:val="bottom"/>
          </w:tcPr>
          <w:p>
            <w:pPr>
              <w:spacing w:after="0"/>
              <w:rPr>
                <w:sz w:val="24"/>
                <w:szCs w:val="24"/>
                <w:color w:val="auto"/>
              </w:rPr>
            </w:pPr>
          </w:p>
        </w:tc>
        <w:tc>
          <w:tcPr>
            <w:tcW w:w="144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4"/>
              </w:rPr>
            </w:pPr>
            <w:hyperlink w:anchor="page4">
              <w:r>
                <w:rPr>
                  <w:rFonts w:ascii="Arial" w:cs="Arial" w:eastAsia="Arial" w:hAnsi="Arial"/>
                  <w:sz w:val="18"/>
                  <w:szCs w:val="18"/>
                  <w:color w:val="0000FF"/>
                  <w:w w:val="84"/>
                </w:rPr>
                <w:t>Financial Statements</w:t>
              </w:r>
            </w:hyperlink>
          </w:p>
        </w:tc>
        <w:tc>
          <w:tcPr>
            <w:tcW w:w="740" w:type="dxa"/>
            <w:vAlign w:val="bottom"/>
            <w:tcBorders>
              <w:top w:val="single" w:sz="8" w:color="0000FF"/>
            </w:tcBorders>
            <w:gridSpan w:val="3"/>
          </w:tcPr>
          <w:p>
            <w:pPr>
              <w:spacing w:after="0"/>
              <w:rPr>
                <w:sz w:val="24"/>
                <w:szCs w:val="24"/>
                <w:color w:val="auto"/>
              </w:rPr>
            </w:pPr>
          </w:p>
        </w:tc>
        <w:tc>
          <w:tcPr>
            <w:tcW w:w="6940" w:type="dxa"/>
            <w:vAlign w:val="bottom"/>
            <w:gridSpan w:val="11"/>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40" w:type="dxa"/>
            <w:vAlign w:val="bottom"/>
            <w:tcBorders>
              <w:bottom w:val="single" w:sz="8" w:color="0000FF"/>
            </w:tcBorders>
            <w:gridSpan w:val="13"/>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Consolidated Balance Sheets as of June 30, 2022 (Unaudited) and December 31, 2021</w:t>
              </w:r>
            </w:hyperlink>
          </w:p>
        </w:tc>
        <w:tc>
          <w:tcPr>
            <w:tcW w:w="2980" w:type="dxa"/>
            <w:vAlign w:val="bottom"/>
            <w:gridSpan w:val="6"/>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0"/>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Operations for the three and six months ended June 30, 2022 and 2021 (Unaudited)</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8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Consolidated Schedules of Investments as of June 30, 2022 (Unaudited) and December 31, 2021</w:t>
              </w:r>
            </w:hyperlink>
          </w:p>
        </w:tc>
        <w:tc>
          <w:tcPr>
            <w:tcW w:w="1060" w:type="dxa"/>
            <w:vAlign w:val="bottom"/>
            <w:tcBorders>
              <w:top w:val="single" w:sz="8" w:color="0000FF"/>
            </w:tcBorders>
            <w:gridSpan w:val="2"/>
          </w:tcPr>
          <w:p>
            <w:pPr>
              <w:spacing w:after="0"/>
              <w:rPr>
                <w:sz w:val="24"/>
                <w:szCs w:val="24"/>
                <w:color w:val="auto"/>
              </w:rPr>
            </w:pPr>
          </w:p>
        </w:tc>
        <w:tc>
          <w:tcPr>
            <w:tcW w:w="1180" w:type="dxa"/>
            <w:vAlign w:val="bottom"/>
            <w:gridSpan w:val="2"/>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gridSpan w:val="19"/>
          </w:tcPr>
          <w:p>
            <w:pPr>
              <w:spacing w:after="0"/>
              <w:rPr>
                <w:rFonts w:ascii="Arial" w:cs="Arial" w:eastAsia="Arial" w:hAnsi="Arial"/>
                <w:sz w:val="18"/>
                <w:szCs w:val="18"/>
                <w:color w:val="0000FF"/>
                <w:w w:val="91"/>
              </w:rPr>
            </w:pPr>
            <w:hyperlink w:anchor="page18">
              <w:r>
                <w:rPr>
                  <w:rFonts w:ascii="Arial" w:cs="Arial" w:eastAsia="Arial" w:hAnsi="Arial"/>
                  <w:sz w:val="18"/>
                  <w:szCs w:val="18"/>
                  <w:color w:val="0000FF"/>
                  <w:w w:val="91"/>
                </w:rPr>
                <w:t>Consolidated Statements of Changes in Net Assets for the three and six months ended June 30, 2022 and 2021 (Unaudited)</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00" w:type="dxa"/>
            <w:vAlign w:val="bottom"/>
            <w:tcBorders>
              <w:top w:val="single" w:sz="8" w:color="0000FF"/>
              <w:bottom w:val="single" w:sz="8" w:color="0000FF"/>
            </w:tcBorders>
            <w:gridSpan w:val="16"/>
          </w:tcPr>
          <w:p>
            <w:pPr>
              <w:spacing w:after="0"/>
              <w:rPr>
                <w:rFonts w:ascii="Arial" w:cs="Arial" w:eastAsia="Arial" w:hAnsi="Arial"/>
                <w:sz w:val="18"/>
                <w:szCs w:val="18"/>
                <w:color w:val="0000FF"/>
                <w:w w:val="88"/>
              </w:rPr>
            </w:pPr>
            <w:hyperlink w:anchor="page20">
              <w:r>
                <w:rPr>
                  <w:rFonts w:ascii="Arial" w:cs="Arial" w:eastAsia="Arial" w:hAnsi="Arial"/>
                  <w:sz w:val="18"/>
                  <w:szCs w:val="18"/>
                  <w:color w:val="0000FF"/>
                  <w:w w:val="88"/>
                </w:rPr>
                <w:t>Consolidated Statements of Cash Flows for the six months ended June 30, 2022 and 2021 (Unaudited)</w:t>
              </w:r>
            </w:hyperlink>
          </w:p>
        </w:tc>
        <w:tc>
          <w:tcPr>
            <w:tcW w:w="1480" w:type="dxa"/>
            <w:vAlign w:val="bottom"/>
            <w:tcBorders>
              <w:top w:val="single" w:sz="8" w:color="0000FF"/>
            </w:tcBorders>
            <w:gridSpan w:val="2"/>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90"/>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0" w:type="dxa"/>
            <w:vAlign w:val="bottom"/>
            <w:tcBorders>
              <w:bottom w:val="single" w:sz="8" w:color="0000FF"/>
            </w:tcBorders>
            <w:gridSpan w:val="10"/>
          </w:tcPr>
          <w:p>
            <w:pPr>
              <w:spacing w:after="0"/>
              <w:rPr>
                <w:rFonts w:ascii="Arial" w:cs="Arial" w:eastAsia="Arial" w:hAnsi="Arial"/>
                <w:sz w:val="18"/>
                <w:szCs w:val="18"/>
                <w:color w:val="0000FF"/>
                <w:w w:val="88"/>
              </w:rPr>
            </w:pPr>
            <w:hyperlink w:anchor="page21">
              <w:r>
                <w:rPr>
                  <w:rFonts w:ascii="Arial" w:cs="Arial" w:eastAsia="Arial" w:hAnsi="Arial"/>
                  <w:sz w:val="18"/>
                  <w:szCs w:val="18"/>
                  <w:color w:val="0000FF"/>
                  <w:w w:val="88"/>
                </w:rPr>
                <w:t>Notes to Consolidated Financial Statements (Unaudited)</w:t>
              </w:r>
            </w:hyperlink>
          </w:p>
        </w:tc>
        <w:tc>
          <w:tcPr>
            <w:tcW w:w="5120" w:type="dxa"/>
            <w:vAlign w:val="bottom"/>
            <w:gridSpan w:val="9"/>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9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80" w:type="dxa"/>
            <w:vAlign w:val="bottom"/>
          </w:tcPr>
          <w:p>
            <w:pPr>
              <w:spacing w:after="0"/>
              <w:rPr>
                <w:sz w:val="24"/>
                <w:szCs w:val="24"/>
                <w:color w:val="auto"/>
              </w:rPr>
            </w:pPr>
          </w:p>
        </w:tc>
        <w:tc>
          <w:tcPr>
            <w:tcW w:w="9120" w:type="dxa"/>
            <w:vAlign w:val="bottom"/>
            <w:gridSpan w:val="19"/>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Management’s Discussion and Analysis of Financial Condition and Results of Operations</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80" w:type="dxa"/>
            <w:vAlign w:val="bottom"/>
          </w:tcPr>
          <w:p>
            <w:pPr>
              <w:spacing w:after="0"/>
              <w:rPr>
                <w:sz w:val="24"/>
                <w:szCs w:val="24"/>
                <w:color w:val="auto"/>
              </w:rPr>
            </w:pPr>
          </w:p>
        </w:tc>
        <w:tc>
          <w:tcPr>
            <w:tcW w:w="430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0"/>
              </w:rPr>
            </w:pPr>
            <w:hyperlink w:anchor="page69">
              <w:r>
                <w:rPr>
                  <w:rFonts w:ascii="Arial" w:cs="Arial" w:eastAsia="Arial" w:hAnsi="Arial"/>
                  <w:sz w:val="18"/>
                  <w:szCs w:val="18"/>
                  <w:color w:val="0000FF"/>
                  <w:w w:val="90"/>
                </w:rPr>
                <w:t>Quantitative and Qualitative Disclosures About Market Risk</w:t>
              </w:r>
            </w:hyperlink>
          </w:p>
        </w:tc>
        <w:tc>
          <w:tcPr>
            <w:tcW w:w="2080" w:type="dxa"/>
            <w:vAlign w:val="bottom"/>
            <w:tcBorders>
              <w:top w:val="single" w:sz="8" w:color="0000FF"/>
            </w:tcBorders>
            <w:gridSpan w:val="2"/>
          </w:tcPr>
          <w:p>
            <w:pPr>
              <w:spacing w:after="0"/>
              <w:rPr>
                <w:sz w:val="24"/>
                <w:szCs w:val="24"/>
                <w:color w:val="auto"/>
              </w:rPr>
            </w:pPr>
          </w:p>
        </w:tc>
        <w:tc>
          <w:tcPr>
            <w:tcW w:w="2740" w:type="dxa"/>
            <w:vAlign w:val="bottom"/>
            <w:gridSpan w:val="5"/>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80" w:type="dxa"/>
            <w:vAlign w:val="bottom"/>
          </w:tcPr>
          <w:p>
            <w:pPr>
              <w:spacing w:after="0"/>
              <w:rPr>
                <w:sz w:val="24"/>
                <w:szCs w:val="24"/>
                <w:color w:val="auto"/>
              </w:rPr>
            </w:pPr>
          </w:p>
        </w:tc>
        <w:tc>
          <w:tcPr>
            <w:tcW w:w="1700" w:type="dxa"/>
            <w:vAlign w:val="bottom"/>
            <w:tcBorders>
              <w:bottom w:val="single" w:sz="8" w:color="0000FF"/>
            </w:tcBorders>
            <w:gridSpan w:val="6"/>
          </w:tcPr>
          <w:p>
            <w:pPr>
              <w:spacing w:after="0"/>
              <w:rPr>
                <w:rFonts w:ascii="Arial" w:cs="Arial" w:eastAsia="Arial" w:hAnsi="Arial"/>
                <w:sz w:val="18"/>
                <w:szCs w:val="18"/>
                <w:color w:val="0000FF"/>
                <w:w w:val="84"/>
              </w:rPr>
            </w:pPr>
            <w:hyperlink w:anchor="page71">
              <w:r>
                <w:rPr>
                  <w:rFonts w:ascii="Arial" w:cs="Arial" w:eastAsia="Arial" w:hAnsi="Arial"/>
                  <w:sz w:val="18"/>
                  <w:szCs w:val="18"/>
                  <w:color w:val="0000FF"/>
                  <w:w w:val="84"/>
                </w:rPr>
                <w:t>Controls and Procedures</w:t>
              </w:r>
            </w:hyperlink>
          </w:p>
        </w:tc>
        <w:tc>
          <w:tcPr>
            <w:tcW w:w="7420" w:type="dxa"/>
            <w:vAlign w:val="bottom"/>
            <w:gridSpan w:val="13"/>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0"/>
                <w:szCs w:val="20"/>
                <w:color w:val="auto"/>
              </w:rPr>
            </w:pPr>
            <w:r>
              <w:rPr>
                <w:rFonts w:ascii="Arial" w:cs="Arial" w:eastAsia="Arial" w:hAnsi="Arial"/>
                <w:sz w:val="18"/>
                <w:szCs w:val="18"/>
                <w:color w:val="auto"/>
              </w:rPr>
              <w:t>PART II.</w:t>
            </w:r>
          </w:p>
        </w:tc>
        <w:tc>
          <w:tcPr>
            <w:tcW w:w="80" w:type="dxa"/>
            <w:vAlign w:val="bottom"/>
          </w:tcPr>
          <w:p>
            <w:pPr>
              <w:spacing w:after="0"/>
              <w:rPr>
                <w:sz w:val="24"/>
                <w:szCs w:val="24"/>
                <w:color w:val="auto"/>
              </w:rPr>
            </w:pPr>
          </w:p>
        </w:tc>
        <w:tc>
          <w:tcPr>
            <w:tcW w:w="182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72">
              <w:r>
                <w:rPr>
                  <w:rFonts w:ascii="Arial" w:cs="Arial" w:eastAsia="Arial" w:hAnsi="Arial"/>
                  <w:sz w:val="18"/>
                  <w:szCs w:val="18"/>
                  <w:color w:val="0000FF"/>
                  <w:w w:val="92"/>
                </w:rPr>
                <w:t>OTHER INFORMATION</w:t>
              </w:r>
            </w:hyperlink>
          </w:p>
        </w:tc>
        <w:tc>
          <w:tcPr>
            <w:tcW w:w="7300" w:type="dxa"/>
            <w:vAlign w:val="bottom"/>
            <w:gridSpan w:val="12"/>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9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80" w:type="dxa"/>
            <w:vAlign w:val="bottom"/>
          </w:tcPr>
          <w:p>
            <w:pPr>
              <w:spacing w:after="0"/>
              <w:rPr>
                <w:sz w:val="24"/>
                <w:szCs w:val="24"/>
                <w:color w:val="auto"/>
              </w:rPr>
            </w:pPr>
          </w:p>
        </w:tc>
        <w:tc>
          <w:tcPr>
            <w:tcW w:w="9120" w:type="dxa"/>
            <w:vAlign w:val="bottom"/>
            <w:gridSpan w:val="19"/>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Legal Proceedings</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80" w:type="dxa"/>
            <w:vAlign w:val="bottom"/>
          </w:tcPr>
          <w:p>
            <w:pPr>
              <w:spacing w:after="0"/>
              <w:rPr>
                <w:sz w:val="24"/>
                <w:szCs w:val="24"/>
                <w:color w:val="auto"/>
              </w:rPr>
            </w:pPr>
          </w:p>
        </w:tc>
        <w:tc>
          <w:tcPr>
            <w:tcW w:w="8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1"/>
              </w:rPr>
            </w:pPr>
            <w:hyperlink w:anchor="page72">
              <w:r>
                <w:rPr>
                  <w:rFonts w:ascii="Arial" w:cs="Arial" w:eastAsia="Arial" w:hAnsi="Arial"/>
                  <w:sz w:val="18"/>
                  <w:szCs w:val="18"/>
                  <w:color w:val="0000FF"/>
                  <w:w w:val="81"/>
                </w:rPr>
                <w:t>Risk Factors</w:t>
              </w:r>
            </w:hyperlink>
          </w:p>
        </w:tc>
        <w:tc>
          <w:tcPr>
            <w:tcW w:w="420" w:type="dxa"/>
            <w:vAlign w:val="bottom"/>
            <w:tcBorders>
              <w:top w:val="single" w:sz="8" w:color="0000FF"/>
            </w:tcBorders>
            <w:gridSpan w:val="2"/>
          </w:tcPr>
          <w:p>
            <w:pPr>
              <w:spacing w:after="0"/>
              <w:rPr>
                <w:sz w:val="24"/>
                <w:szCs w:val="24"/>
                <w:color w:val="auto"/>
              </w:rPr>
            </w:pPr>
          </w:p>
        </w:tc>
        <w:tc>
          <w:tcPr>
            <w:tcW w:w="7860" w:type="dxa"/>
            <w:vAlign w:val="bottom"/>
            <w:gridSpan w:val="15"/>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9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80" w:type="dxa"/>
            <w:vAlign w:val="bottom"/>
          </w:tcPr>
          <w:p>
            <w:pPr>
              <w:spacing w:after="0"/>
              <w:rPr>
                <w:sz w:val="24"/>
                <w:szCs w:val="24"/>
                <w:color w:val="auto"/>
              </w:rPr>
            </w:pPr>
          </w:p>
        </w:tc>
        <w:tc>
          <w:tcPr>
            <w:tcW w:w="4280" w:type="dxa"/>
            <w:vAlign w:val="bottom"/>
            <w:tcBorders>
              <w:bottom w:val="single" w:sz="8" w:color="0000FF"/>
            </w:tcBorders>
            <w:gridSpan w:val="11"/>
          </w:tcPr>
          <w:p>
            <w:pPr>
              <w:spacing w:after="0"/>
              <w:rPr>
                <w:rFonts w:ascii="Arial" w:cs="Arial" w:eastAsia="Arial" w:hAnsi="Arial"/>
                <w:sz w:val="18"/>
                <w:szCs w:val="18"/>
                <w:color w:val="0000FF"/>
                <w:w w:val="87"/>
              </w:rPr>
            </w:pPr>
            <w:hyperlink w:anchor="page78">
              <w:r>
                <w:rPr>
                  <w:rFonts w:ascii="Arial" w:cs="Arial" w:eastAsia="Arial" w:hAnsi="Arial"/>
                  <w:sz w:val="18"/>
                  <w:szCs w:val="18"/>
                  <w:color w:val="0000FF"/>
                  <w:w w:val="87"/>
                </w:rPr>
                <w:t>Unregistered Sales of Equity Securities and Use of Proceeds</w:t>
              </w:r>
            </w:hyperlink>
          </w:p>
        </w:tc>
        <w:tc>
          <w:tcPr>
            <w:tcW w:w="4840" w:type="dxa"/>
            <w:vAlign w:val="bottom"/>
            <w:gridSpan w:val="8"/>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80" w:type="dxa"/>
            <w:vAlign w:val="bottom"/>
          </w:tcPr>
          <w:p>
            <w:pPr>
              <w:spacing w:after="0"/>
              <w:rPr>
                <w:sz w:val="24"/>
                <w:szCs w:val="24"/>
                <w:color w:val="auto"/>
              </w:rPr>
            </w:pPr>
          </w:p>
        </w:tc>
        <w:tc>
          <w:tcPr>
            <w:tcW w:w="2260" w:type="dxa"/>
            <w:vAlign w:val="bottom"/>
            <w:tcBorders>
              <w:bottom w:val="single" w:sz="8" w:color="0000FF"/>
            </w:tcBorders>
            <w:gridSpan w:val="9"/>
          </w:tcPr>
          <w:p>
            <w:pPr>
              <w:spacing w:after="0"/>
              <w:rPr>
                <w:rFonts w:ascii="Arial" w:cs="Arial" w:eastAsia="Arial" w:hAnsi="Arial"/>
                <w:sz w:val="18"/>
                <w:szCs w:val="18"/>
                <w:color w:val="0000FF"/>
                <w:w w:val="87"/>
              </w:rPr>
            </w:pPr>
            <w:hyperlink w:anchor="page78">
              <w:r>
                <w:rPr>
                  <w:rFonts w:ascii="Arial" w:cs="Arial" w:eastAsia="Arial" w:hAnsi="Arial"/>
                  <w:sz w:val="18"/>
                  <w:szCs w:val="18"/>
                  <w:color w:val="0000FF"/>
                  <w:w w:val="87"/>
                </w:rPr>
                <w:t>Defaults Upon Senior Securities</w:t>
              </w:r>
            </w:hyperlink>
          </w:p>
        </w:tc>
        <w:tc>
          <w:tcPr>
            <w:tcW w:w="6860" w:type="dxa"/>
            <w:vAlign w:val="bottom"/>
            <w:gridSpan w:val="10"/>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80" w:type="dxa"/>
            <w:vAlign w:val="bottom"/>
          </w:tcPr>
          <w:p>
            <w:pPr>
              <w:spacing w:after="0"/>
              <w:rPr>
                <w:sz w:val="24"/>
                <w:szCs w:val="24"/>
                <w:color w:val="auto"/>
              </w:rPr>
            </w:pPr>
          </w:p>
        </w:tc>
        <w:tc>
          <w:tcPr>
            <w:tcW w:w="1700" w:type="dxa"/>
            <w:vAlign w:val="bottom"/>
            <w:tcBorders>
              <w:bottom w:val="single" w:sz="8" w:color="0000FF"/>
            </w:tcBorders>
            <w:gridSpan w:val="6"/>
          </w:tcPr>
          <w:p>
            <w:pPr>
              <w:spacing w:after="0"/>
              <w:rPr>
                <w:rFonts w:ascii="Arial" w:cs="Arial" w:eastAsia="Arial" w:hAnsi="Arial"/>
                <w:sz w:val="18"/>
                <w:szCs w:val="18"/>
                <w:color w:val="0000FF"/>
                <w:w w:val="86"/>
              </w:rPr>
            </w:pPr>
            <w:hyperlink w:anchor="page78">
              <w:r>
                <w:rPr>
                  <w:rFonts w:ascii="Arial" w:cs="Arial" w:eastAsia="Arial" w:hAnsi="Arial"/>
                  <w:sz w:val="18"/>
                  <w:szCs w:val="18"/>
                  <w:color w:val="0000FF"/>
                  <w:w w:val="86"/>
                </w:rPr>
                <w:t>Mine Safety Disclosures</w:t>
              </w:r>
            </w:hyperlink>
          </w:p>
        </w:tc>
        <w:tc>
          <w:tcPr>
            <w:tcW w:w="7420" w:type="dxa"/>
            <w:vAlign w:val="bottom"/>
            <w:gridSpan w:val="13"/>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90"/>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80" w:type="dxa"/>
            <w:vAlign w:val="bottom"/>
          </w:tcPr>
          <w:p>
            <w:pPr>
              <w:spacing w:after="0"/>
              <w:rPr>
                <w:sz w:val="24"/>
                <w:szCs w:val="24"/>
                <w:color w:val="auto"/>
              </w:rPr>
            </w:pPr>
          </w:p>
        </w:tc>
        <w:tc>
          <w:tcPr>
            <w:tcW w:w="9120" w:type="dxa"/>
            <w:vAlign w:val="bottom"/>
            <w:gridSpan w:val="19"/>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Other Information</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80" w:type="dxa"/>
            <w:vAlign w:val="bottom"/>
          </w:tcPr>
          <w:p>
            <w:pPr>
              <w:spacing w:after="0"/>
              <w:rPr>
                <w:sz w:val="24"/>
                <w:szCs w:val="24"/>
                <w:color w:val="auto"/>
              </w:rPr>
            </w:pPr>
          </w:p>
        </w:tc>
        <w:tc>
          <w:tcPr>
            <w:tcW w:w="1240" w:type="dxa"/>
            <w:vAlign w:val="bottom"/>
            <w:tcBorders>
              <w:top w:val="single" w:sz="8" w:color="0000FF"/>
            </w:tcBorders>
            <w:gridSpan w:val="3"/>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Exhibits</w:t>
              </w:r>
            </w:hyperlink>
          </w:p>
        </w:tc>
        <w:tc>
          <w:tcPr>
            <w:tcW w:w="7880" w:type="dxa"/>
            <w:vAlign w:val="bottom"/>
            <w:gridSpan w:val="16"/>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FF"/>
            </w:tcBorders>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600" w:type="dxa"/>
            <w:vAlign w:val="bottom"/>
            <w:gridSpan w:val="18"/>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20" w:type="dxa"/>
            <w:vAlign w:val="bottom"/>
            <w:gridSpan w:val="21"/>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SIGNATURES</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02" w:lineRule="exact"/>
        <w:rPr>
          <w:sz w:val="20"/>
          <w:szCs w:val="20"/>
          <w:color w:val="auto"/>
        </w:rPr>
      </w:pPr>
    </w:p>
    <w:p>
      <w:pPr>
        <w:ind w:right="100" w:firstLine="255"/>
        <w:spacing w:after="0" w:line="258"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3" w:lineRule="exact"/>
        <w:rPr>
          <w:sz w:val="20"/>
          <w:szCs w:val="20"/>
          <w:color w:val="auto"/>
        </w:rPr>
      </w:pPr>
    </w:p>
    <w:p>
      <w:pPr>
        <w:ind w:right="260" w:firstLine="255"/>
        <w:spacing w:after="0" w:line="235" w:lineRule="auto"/>
        <w:rPr>
          <w:sz w:val="20"/>
          <w:szCs w:val="20"/>
          <w:color w:val="auto"/>
        </w:rPr>
      </w:pPr>
      <w:r>
        <w:rPr>
          <w:rFonts w:ascii="Arial" w:cs="Arial" w:eastAsia="Arial" w:hAnsi="Arial"/>
          <w:sz w:val="18"/>
          <w:szCs w:val="18"/>
          <w:color w:val="auto"/>
        </w:rPr>
        <w:t>In addition to factors previously identified elsewhere in the reports and other documents Sixth Street Specialty Lending, Inc. has filed with the Securities and Exchange Commission, or SEC, the following factors, among others, could cause actual results to differ materially from forward-looking statements or historical performance:</w:t>
      </w:r>
    </w:p>
    <w:p>
      <w:pPr>
        <w:spacing w:after="0" w:line="67" w:lineRule="exact"/>
        <w:rPr>
          <w:sz w:val="20"/>
          <w:szCs w:val="20"/>
          <w:color w:val="auto"/>
        </w:rPr>
      </w:pPr>
    </w:p>
    <w:p>
      <w:pPr>
        <w:ind w:left="520" w:right="500" w:hanging="257"/>
        <w:spacing w:after="0" w:line="274" w:lineRule="auto"/>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economic downturn, including the current and future economic effects of the COVID-19 pandemic, could impair our portfolio companies’ abilities to continue to operate, which could lead to the loss of some or all of our investments in those portfolio companies;</w:t>
      </w:r>
    </w:p>
    <w:p>
      <w:pPr>
        <w:spacing w:after="0" w:line="39" w:lineRule="exact"/>
        <w:rPr>
          <w:rFonts w:ascii="Arial" w:cs="Arial" w:eastAsia="Arial" w:hAnsi="Arial"/>
          <w:sz w:val="17"/>
          <w:szCs w:val="17"/>
          <w:color w:val="auto"/>
        </w:rPr>
      </w:pPr>
    </w:p>
    <w:p>
      <w:pPr>
        <w:ind w:left="520" w:right="200" w:hanging="257"/>
        <w:spacing w:after="0" w:line="307"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20" w:hanging="257"/>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520" w:hanging="257"/>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w:t>
      </w:r>
    </w:p>
    <w:p>
      <w:pPr>
        <w:spacing w:after="0" w:line="90" w:lineRule="exact"/>
        <w:rPr>
          <w:rFonts w:ascii="Arial" w:cs="Arial" w:eastAsia="Arial" w:hAnsi="Arial"/>
          <w:sz w:val="18"/>
          <w:szCs w:val="18"/>
          <w:color w:val="auto"/>
        </w:rPr>
      </w:pPr>
    </w:p>
    <w:p>
      <w:pPr>
        <w:ind w:left="520" w:right="180" w:hanging="257"/>
        <w:spacing w:after="0" w:line="246"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inflation could negatively impact our business, including our ability to access the debt markets on favorable terms, or could negatively impact our portfolio companies; and</w:t>
      </w:r>
    </w:p>
    <w:p>
      <w:pPr>
        <w:spacing w:after="0" w:line="61" w:lineRule="exact"/>
        <w:rPr>
          <w:rFonts w:ascii="Arial" w:cs="Arial" w:eastAsia="Arial" w:hAnsi="Arial"/>
          <w:sz w:val="18"/>
          <w:szCs w:val="18"/>
          <w:color w:val="auto"/>
        </w:rPr>
      </w:pPr>
    </w:p>
    <w:p>
      <w:pPr>
        <w:ind w:left="520" w:right="80" w:hanging="257"/>
        <w:spacing w:after="0" w:line="235"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report, in our Annual Report on Form 10-K for the year ended December 31, 2021, filed with the SEC on February 17, 2022, in our Quarterly Report on Form 10-Q for the quarter ending March 31, 2022, filed with the SEC on May 3, 2022 and elsewhere in our filings with the SEC.</w:t>
      </w:r>
    </w:p>
    <w:p>
      <w:pPr>
        <w:spacing w:after="0" w:line="175" w:lineRule="exact"/>
        <w:rPr>
          <w:sz w:val="20"/>
          <w:szCs w:val="20"/>
          <w:color w:val="auto"/>
        </w:rPr>
      </w:pPr>
    </w:p>
    <w:p>
      <w:pPr>
        <w:ind w:firstLine="255"/>
        <w:spacing w:after="0"/>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“TSLX” and “TAO” marks are marks of Sixth Street.</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Sixth Street Specialty Lending,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share and per share amounts)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Investments at fair value</w:t>
            </w: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Non-controlled, non-affiliated investments (amortized cost of $2,446,041 and $2,354,984,</w:t>
            </w: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2,463,506</w:t>
            </w:r>
          </w:p>
        </w:tc>
        <w:tc>
          <w:tcPr>
            <w:tcW w:w="280" w:type="dxa"/>
            <w:vAlign w:val="bottom"/>
            <w:shd w:val="clear" w:color="auto" w:fill="CFF0FC"/>
          </w:tcPr>
          <w:p>
            <w:pPr>
              <w:spacing w:after="0"/>
              <w:rPr>
                <w:sz w:val="14"/>
                <w:szCs w:val="14"/>
                <w:color w:val="auto"/>
              </w:rPr>
            </w:pPr>
          </w:p>
        </w:tc>
        <w:tc>
          <w:tcPr>
            <w:tcW w:w="2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2,434,797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respectively)</w:t>
            </w:r>
          </w:p>
        </w:tc>
        <w:tc>
          <w:tcPr>
            <w:tcW w:w="360" w:type="dxa"/>
            <w:vAlign w:val="bottom"/>
            <w:vMerge w:val="continue"/>
            <w:shd w:val="clear" w:color="auto" w:fill="CFF0FC"/>
          </w:tcPr>
          <w:p>
            <w:pPr>
              <w:spacing w:after="0"/>
              <w:rPr>
                <w:sz w:val="18"/>
                <w:szCs w:val="18"/>
                <w:color w:val="auto"/>
              </w:rPr>
            </w:pPr>
          </w:p>
        </w:tc>
        <w:tc>
          <w:tcPr>
            <w:tcW w:w="142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14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0"/>
              <w:spacing w:after="0" w:line="202" w:lineRule="exact"/>
              <w:rPr>
                <w:sz w:val="20"/>
                <w:szCs w:val="20"/>
                <w:color w:val="auto"/>
              </w:rPr>
            </w:pPr>
            <w:r>
              <w:rPr>
                <w:rFonts w:ascii="Arial" w:cs="Arial" w:eastAsia="Arial" w:hAnsi="Arial"/>
                <w:sz w:val="18"/>
                <w:szCs w:val="18"/>
                <w:color w:val="auto"/>
              </w:rPr>
              <w:t>Non-controlled, affiliated investments (amortized cost of $0 and $12,666, respectively)</w:t>
            </w:r>
          </w:p>
        </w:tc>
        <w:tc>
          <w:tcPr>
            <w:tcW w:w="360" w:type="dxa"/>
            <w:vAlign w:val="bottom"/>
          </w:tcPr>
          <w:p>
            <w:pPr>
              <w:spacing w:after="0"/>
              <w:rPr>
                <w:sz w:val="17"/>
                <w:szCs w:val="17"/>
                <w:color w:val="auto"/>
              </w:rPr>
            </w:pPr>
          </w:p>
        </w:tc>
        <w:tc>
          <w:tcPr>
            <w:tcW w:w="17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27,017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Controlled, affiliated investments (amortized cost of $65,292 and $64,362, respectively)</w:t>
            </w:r>
          </w:p>
        </w:tc>
        <w:tc>
          <w:tcPr>
            <w:tcW w:w="3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72,884</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59,779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line="196" w:lineRule="exact"/>
              <w:rPr>
                <w:sz w:val="20"/>
                <w:szCs w:val="20"/>
                <w:color w:val="auto"/>
              </w:rPr>
            </w:pPr>
            <w:r>
              <w:rPr>
                <w:rFonts w:ascii="Arial" w:cs="Arial" w:eastAsia="Arial" w:hAnsi="Arial"/>
                <w:sz w:val="18"/>
                <w:szCs w:val="18"/>
                <w:color w:val="auto"/>
              </w:rPr>
              <w:t>Total investments at fair value (amortized cost of $2,511,333 and $2,432,012, respectively)</w:t>
            </w:r>
          </w:p>
        </w:tc>
        <w:tc>
          <w:tcPr>
            <w:tcW w:w="36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2,536,390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2,521,593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 (restricted cash of $21,447 and $14,399, respectively)</w:t>
            </w:r>
          </w:p>
        </w:tc>
        <w:tc>
          <w:tcPr>
            <w:tcW w:w="3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27,177</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Interest receivable</w:t>
            </w:r>
          </w:p>
        </w:tc>
        <w:tc>
          <w:tcPr>
            <w:tcW w:w="3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11,863</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10,775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4,935</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3,522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2,580,365</w:t>
            </w:r>
          </w:p>
        </w:tc>
        <w:tc>
          <w:tcPr>
            <w:tcW w:w="28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2,551,857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Debt (net of deferred financing costs of $20,561 and $19,147, respectively)</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1,254,969</w:t>
            </w:r>
          </w:p>
        </w:tc>
        <w:tc>
          <w:tcPr>
            <w:tcW w:w="28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1,185,964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Management fees payable to affiliate</w:t>
            </w:r>
          </w:p>
        </w:tc>
        <w:tc>
          <w:tcPr>
            <w:tcW w:w="3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9,476</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Incentive fees on net investment income payable to affiliate</w:t>
            </w:r>
          </w:p>
        </w:tc>
        <w:tc>
          <w:tcPr>
            <w:tcW w:w="3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6,724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9,789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Incentive fees on net capital gains accrued to affiliate</w:t>
            </w:r>
          </w:p>
        </w:tc>
        <w:tc>
          <w:tcPr>
            <w:tcW w:w="3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7,229</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Dividends payable</w:t>
            </w:r>
          </w:p>
        </w:tc>
        <w:tc>
          <w:tcPr>
            <w:tcW w:w="3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31,287</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30,926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payables to affiliate</w:t>
            </w:r>
          </w:p>
        </w:tc>
        <w:tc>
          <w:tcPr>
            <w:tcW w:w="3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4,009</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24,712</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1,338,406</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1,276,009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Pr>
          <w:p>
            <w:pPr>
              <w:ind w:left="20"/>
              <w:spacing w:after="0" w:line="196" w:lineRule="exact"/>
              <w:rPr>
                <w:sz w:val="20"/>
                <w:szCs w:val="20"/>
                <w:color w:val="auto"/>
              </w:rPr>
            </w:pPr>
            <w:r>
              <w:rPr>
                <w:rFonts w:ascii="Arial" w:cs="Arial" w:eastAsia="Arial" w:hAnsi="Arial"/>
                <w:sz w:val="18"/>
                <w:szCs w:val="18"/>
                <w:color w:val="auto"/>
              </w:rPr>
              <w:t>Commitments and contingencies (Note 8)</w:t>
            </w: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Net Assets</w:t>
            </w:r>
          </w:p>
        </w:tc>
        <w:tc>
          <w:tcPr>
            <w:tcW w:w="3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20"/>
              <w:spacing w:after="0" w:line="162" w:lineRule="exact"/>
              <w:rPr>
                <w:sz w:val="20"/>
                <w:szCs w:val="20"/>
                <w:color w:val="auto"/>
              </w:rPr>
            </w:pPr>
            <w:r>
              <w:rPr>
                <w:rFonts w:ascii="Arial" w:cs="Arial" w:eastAsia="Arial" w:hAnsi="Arial"/>
                <w:sz w:val="18"/>
                <w:szCs w:val="18"/>
                <w:color w:val="auto"/>
              </w:rPr>
              <w:t>Preferred stock, $0.01 par value; 100,000,000 shares authorized; no shares</w:t>
            </w:r>
          </w:p>
        </w:tc>
        <w:tc>
          <w:tcPr>
            <w:tcW w:w="360" w:type="dxa"/>
            <w:vAlign w:val="bottom"/>
          </w:tcPr>
          <w:p>
            <w:pPr>
              <w:spacing w:after="0"/>
              <w:rPr>
                <w:sz w:val="14"/>
                <w:szCs w:val="14"/>
                <w:color w:val="auto"/>
              </w:rPr>
            </w:pPr>
          </w:p>
        </w:tc>
        <w:tc>
          <w:tcPr>
            <w:tcW w:w="17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4"/>
                <w:szCs w:val="14"/>
                <w:color w:val="auto"/>
              </w:rPr>
            </w:pPr>
          </w:p>
        </w:tc>
        <w:tc>
          <w:tcPr>
            <w:tcW w:w="15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issued and outstanding</w:t>
            </w:r>
          </w:p>
        </w:tc>
        <w:tc>
          <w:tcPr>
            <w:tcW w:w="36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Common stock, $0.01 par value; 400,000,000 shares authorized, 76,635,559</w:t>
            </w:r>
          </w:p>
        </w:tc>
        <w:tc>
          <w:tcPr>
            <w:tcW w:w="3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320" w:type="dxa"/>
            <w:vAlign w:val="bottom"/>
            <w:shd w:val="clear" w:color="auto" w:fill="CFF0FC"/>
          </w:tcPr>
          <w:p>
            <w:pPr>
              <w:ind w:left="160"/>
              <w:spacing w:after="0" w:line="176" w:lineRule="exact"/>
              <w:rPr>
                <w:sz w:val="20"/>
                <w:szCs w:val="20"/>
                <w:color w:val="auto"/>
              </w:rPr>
            </w:pPr>
            <w:r>
              <w:rPr>
                <w:rFonts w:ascii="Arial" w:cs="Arial" w:eastAsia="Arial" w:hAnsi="Arial"/>
                <w:sz w:val="18"/>
                <w:szCs w:val="18"/>
                <w:color w:val="auto"/>
              </w:rPr>
              <w:t>and 76,067,586 shares issued, respectively; and 76,339,515 and 75,771,542</w:t>
            </w:r>
          </w:p>
        </w:tc>
        <w:tc>
          <w:tcPr>
            <w:tcW w:w="360" w:type="dxa"/>
            <w:vAlign w:val="bottom"/>
            <w:shd w:val="clear" w:color="auto" w:fill="CFF0FC"/>
          </w:tcPr>
          <w:p>
            <w:pPr>
              <w:spacing w:after="0"/>
              <w:rPr>
                <w:sz w:val="15"/>
                <w:szCs w:val="15"/>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shares outstanding, respectively</w:t>
            </w:r>
          </w:p>
        </w:tc>
        <w:tc>
          <w:tcPr>
            <w:tcW w:w="360" w:type="dxa"/>
            <w:vAlign w:val="bottom"/>
            <w:shd w:val="clear" w:color="auto" w:fill="CFF0FC"/>
          </w:tcPr>
          <w:p>
            <w:pPr>
              <w:spacing w:after="0"/>
              <w:rPr>
                <w:sz w:val="18"/>
                <w:szCs w:val="18"/>
                <w:color w:val="auto"/>
              </w:rPr>
            </w:pPr>
          </w:p>
        </w:tc>
        <w:tc>
          <w:tcPr>
            <w:tcW w:w="142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1,201,531</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1,189,275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Treasury stock at cost; 296,044 and 296,044 shares held, respectively</w:t>
            </w:r>
          </w:p>
        </w:tc>
        <w:tc>
          <w:tcPr>
            <w:tcW w:w="36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(4,291 )</w:t>
            </w:r>
          </w:p>
        </w:tc>
        <w:tc>
          <w:tcPr>
            <w:tcW w:w="2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(4,291 )</w:t>
            </w: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Distributable earnings</w:t>
            </w: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43,953</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90,103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Total Net Assets</w:t>
            </w:r>
          </w:p>
        </w:tc>
        <w:tc>
          <w:tcPr>
            <w:tcW w:w="3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1,241,959</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1,275,848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Total Liabilities and Net Assets</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2,580,365</w:t>
            </w:r>
          </w:p>
        </w:tc>
        <w:tc>
          <w:tcPr>
            <w:tcW w:w="28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2,551,857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8"/>
                <w:szCs w:val="18"/>
                <w:b w:val="1"/>
                <w:bCs w:val="1"/>
                <w:color w:val="auto"/>
              </w:rPr>
              <w:t>Net Asset Value Per Share</w:t>
            </w:r>
          </w:p>
        </w:tc>
        <w:tc>
          <w:tcPr>
            <w:tcW w:w="360" w:type="dxa"/>
            <w:vAlign w:val="bottom"/>
            <w:tcBorders>
              <w:bottom w:val="single" w:sz="8" w:color="auto"/>
            </w:tcBorders>
            <w:shd w:val="clear" w:color="auto" w:fill="CFF0FC"/>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16.27</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16.84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-3545205</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-3545205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-3022600</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-3022600</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-1693545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-1693545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-313690</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Sixth Street Specialty Lending,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share and per share amounts)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27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w w:val="96"/>
              </w:rPr>
              <w:t>June 30, 2022</w:t>
            </w:r>
          </w:p>
        </w:tc>
        <w:tc>
          <w:tcPr>
            <w:tcW w:w="160" w:type="dxa"/>
            <w:vAlign w:val="bottom"/>
          </w:tcPr>
          <w:p>
            <w:pPr>
              <w:spacing w:after="0"/>
              <w:rPr>
                <w:sz w:val="16"/>
                <w:szCs w:val="16"/>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June 30, 2021</w:t>
            </w:r>
          </w:p>
        </w:tc>
        <w:tc>
          <w:tcPr>
            <w:tcW w:w="140" w:type="dxa"/>
            <w:vAlign w:val="bottom"/>
          </w:tcPr>
          <w:p>
            <w:pPr>
              <w:spacing w:after="0"/>
              <w:rPr>
                <w:sz w:val="16"/>
                <w:szCs w:val="16"/>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June 30, 2022</w:t>
            </w:r>
          </w:p>
        </w:tc>
        <w:tc>
          <w:tcPr>
            <w:tcW w:w="160" w:type="dxa"/>
            <w:vAlign w:val="bottom"/>
          </w:tcPr>
          <w:p>
            <w:pPr>
              <w:spacing w:after="0"/>
              <w:rPr>
                <w:sz w:val="16"/>
                <w:szCs w:val="16"/>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June 30, 2021</w:t>
            </w:r>
          </w:p>
        </w:tc>
      </w:tr>
      <w:tr>
        <w:trPr>
          <w:trHeight w:val="16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Income</w:t>
            </w:r>
          </w:p>
        </w:tc>
        <w:tc>
          <w:tcPr>
            <w:tcW w:w="16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5180" w:type="dxa"/>
            <w:vAlign w:val="bottom"/>
          </w:tcPr>
          <w:p>
            <w:pPr>
              <w:ind w:left="20"/>
              <w:spacing w:after="0"/>
              <w:rPr>
                <w:sz w:val="20"/>
                <w:szCs w:val="20"/>
                <w:color w:val="auto"/>
              </w:rPr>
            </w:pPr>
            <w:r>
              <w:rPr>
                <w:rFonts w:ascii="Arial" w:cs="Arial" w:eastAsia="Arial" w:hAnsi="Arial"/>
                <w:sz w:val="14"/>
                <w:szCs w:val="14"/>
                <w:color w:val="auto"/>
              </w:rPr>
              <w:t>Investment income from non-controlled, non-affiliated investments: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1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from investments</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56,747</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57,653</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117,907</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117,258</w:t>
            </w:r>
          </w:p>
        </w:tc>
        <w:tc>
          <w:tcPr>
            <w:tcW w:w="100" w:type="dxa"/>
            <w:vAlign w:val="bottom"/>
            <w:shd w:val="clear" w:color="auto" w:fill="CFF0FC"/>
          </w:tcPr>
          <w:p>
            <w:pPr>
              <w:spacing w:after="0"/>
              <w:rPr>
                <w:sz w:val="15"/>
                <w:szCs w:val="15"/>
                <w:color w:val="auto"/>
              </w:rPr>
            </w:pPr>
          </w:p>
        </w:tc>
      </w:tr>
      <w:tr>
        <w:trPr>
          <w:trHeight w:val="175"/>
        </w:trPr>
        <w:tc>
          <w:tcPr>
            <w:tcW w:w="5180" w:type="dxa"/>
            <w:vAlign w:val="bottom"/>
          </w:tcPr>
          <w:p>
            <w:pPr>
              <w:ind w:left="200"/>
              <w:spacing w:after="0"/>
              <w:rPr>
                <w:sz w:val="20"/>
                <w:szCs w:val="20"/>
                <w:color w:val="auto"/>
              </w:rPr>
            </w:pPr>
            <w:r>
              <w:rPr>
                <w:rFonts w:ascii="Arial" w:cs="Arial" w:eastAsia="Arial" w:hAnsi="Arial"/>
                <w:sz w:val="14"/>
                <w:szCs w:val="14"/>
                <w:color w:val="auto"/>
              </w:rPr>
              <w:t>Paid-in-kind interest income</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3,298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2,067</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6,371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4,226</w:t>
            </w:r>
          </w:p>
        </w:tc>
        <w:tc>
          <w:tcPr>
            <w:tcW w:w="100" w:type="dxa"/>
            <w:vAlign w:val="bottom"/>
          </w:tcPr>
          <w:p>
            <w:pPr>
              <w:spacing w:after="0"/>
              <w:rPr>
                <w:sz w:val="15"/>
                <w:szCs w:val="15"/>
                <w:color w:val="auto"/>
              </w:rPr>
            </w:pPr>
          </w:p>
        </w:tc>
      </w:tr>
      <w:tr>
        <w:trPr>
          <w:trHeight w:val="176"/>
        </w:trPr>
        <w:tc>
          <w:tcPr>
            <w:tcW w:w="51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 income</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1,358</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1,277</w:t>
            </w:r>
          </w:p>
        </w:tc>
        <w:tc>
          <w:tcPr>
            <w:tcW w:w="100" w:type="dxa"/>
            <w:vAlign w:val="bottom"/>
            <w:shd w:val="clear" w:color="auto" w:fill="CFF0FC"/>
          </w:tcPr>
          <w:p>
            <w:pPr>
              <w:spacing w:after="0"/>
              <w:rPr>
                <w:sz w:val="15"/>
                <w:szCs w:val="15"/>
                <w:color w:val="auto"/>
              </w:rPr>
            </w:pPr>
          </w:p>
        </w:tc>
      </w:tr>
      <w:tr>
        <w:trPr>
          <w:trHeight w:val="175"/>
        </w:trPr>
        <w:tc>
          <w:tcPr>
            <w:tcW w:w="5180" w:type="dxa"/>
            <w:vAlign w:val="bottom"/>
          </w:tcPr>
          <w:p>
            <w:pPr>
              <w:ind w:left="20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1,589</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3,350</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3,414</w:t>
            </w:r>
          </w:p>
        </w:tc>
        <w:tc>
          <w:tcPr>
            <w:tcW w:w="100" w:type="dxa"/>
            <w:vAlign w:val="bottom"/>
          </w:tcPr>
          <w:p>
            <w:pPr>
              <w:spacing w:after="0"/>
              <w:rPr>
                <w:sz w:val="15"/>
                <w:szCs w:val="15"/>
                <w:color w:val="auto"/>
              </w:rPr>
            </w:pPr>
          </w:p>
        </w:tc>
      </w:tr>
      <w:tr>
        <w:trPr>
          <w:trHeight w:val="169"/>
        </w:trPr>
        <w:tc>
          <w:tcPr>
            <w:tcW w:w="51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investment income from non-controlled, non-affiliated investments</w:t>
            </w: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62,757</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61,626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128,986</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126,175</w:t>
            </w:r>
          </w:p>
        </w:tc>
        <w:tc>
          <w:tcPr>
            <w:tcW w:w="100" w:type="dxa"/>
            <w:vAlign w:val="bottom"/>
            <w:shd w:val="clear" w:color="auto" w:fill="CFF0FC"/>
          </w:tcPr>
          <w:p>
            <w:pPr>
              <w:spacing w:after="0"/>
              <w:rPr>
                <w:sz w:val="14"/>
                <w:szCs w:val="14"/>
                <w:color w:val="auto"/>
              </w:rPr>
            </w:pPr>
          </w:p>
        </w:tc>
      </w:tr>
      <w:tr>
        <w:trPr>
          <w:trHeight w:val="176"/>
        </w:trPr>
        <w:tc>
          <w:tcPr>
            <w:tcW w:w="5180" w:type="dxa"/>
            <w:vAlign w:val="bottom"/>
          </w:tcPr>
          <w:p>
            <w:pPr>
              <w:ind w:left="20"/>
              <w:spacing w:after="0"/>
              <w:rPr>
                <w:sz w:val="20"/>
                <w:szCs w:val="20"/>
                <w:color w:val="auto"/>
              </w:rPr>
            </w:pPr>
            <w:r>
              <w:rPr>
                <w:rFonts w:ascii="Arial" w:cs="Arial" w:eastAsia="Arial" w:hAnsi="Arial"/>
                <w:sz w:val="14"/>
                <w:szCs w:val="14"/>
                <w:color w:val="auto"/>
              </w:rPr>
              <w:t>Investment income from non-controlled, affiliated investments: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1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from investments</w:t>
            </w: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FF0FC"/>
          </w:tcPr>
          <w:p>
            <w:pPr>
              <w:spacing w:after="0"/>
              <w:rPr>
                <w:sz w:val="15"/>
                <w:szCs w:val="15"/>
                <w:color w:val="auto"/>
              </w:rPr>
            </w:pPr>
          </w:p>
        </w:tc>
      </w:tr>
      <w:tr>
        <w:trPr>
          <w:trHeight w:val="176"/>
        </w:trPr>
        <w:tc>
          <w:tcPr>
            <w:tcW w:w="5180" w:type="dxa"/>
            <w:vAlign w:val="bottom"/>
          </w:tcPr>
          <w:p>
            <w:pPr>
              <w:ind w:left="200"/>
              <w:spacing w:after="0"/>
              <w:rPr>
                <w:sz w:val="20"/>
                <w:szCs w:val="20"/>
                <w:color w:val="auto"/>
              </w:rPr>
            </w:pPr>
            <w:r>
              <w:rPr>
                <w:rFonts w:ascii="Arial" w:cs="Arial" w:eastAsia="Arial" w:hAnsi="Arial"/>
                <w:sz w:val="14"/>
                <w:szCs w:val="14"/>
                <w:color w:val="auto"/>
              </w:rPr>
              <w:t>Dividend income</w:t>
            </w:r>
          </w:p>
        </w:tc>
        <w:tc>
          <w:tcPr>
            <w:tcW w:w="160" w:type="dxa"/>
            <w:vAlign w:val="bottom"/>
          </w:tcPr>
          <w:p>
            <w:pPr>
              <w:spacing w:after="0"/>
              <w:rPr>
                <w:sz w:val="15"/>
                <w:szCs w:val="15"/>
                <w:color w:val="auto"/>
              </w:rPr>
            </w:pPr>
          </w:p>
        </w:tc>
        <w:tc>
          <w:tcPr>
            <w:tcW w:w="14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5"/>
                <w:szCs w:val="15"/>
                <w:color w:val="auto"/>
              </w:rPr>
            </w:pPr>
          </w:p>
        </w:tc>
      </w:tr>
      <w:tr>
        <w:trPr>
          <w:trHeight w:val="169"/>
        </w:trPr>
        <w:tc>
          <w:tcPr>
            <w:tcW w:w="51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investment income from non-controlled, affiliated investments</w:t>
            </w:r>
          </w:p>
        </w:tc>
        <w:tc>
          <w:tcPr>
            <w:tcW w:w="16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209</w:t>
            </w:r>
          </w:p>
        </w:tc>
        <w:tc>
          <w:tcPr>
            <w:tcW w:w="2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FF0FC"/>
          </w:tcPr>
          <w:p>
            <w:pPr>
              <w:spacing w:after="0"/>
              <w:rPr>
                <w:sz w:val="14"/>
                <w:szCs w:val="14"/>
                <w:color w:val="auto"/>
              </w:rPr>
            </w:pPr>
          </w:p>
        </w:tc>
      </w:tr>
      <w:tr>
        <w:trPr>
          <w:trHeight w:val="175"/>
        </w:trPr>
        <w:tc>
          <w:tcPr>
            <w:tcW w:w="5180" w:type="dxa"/>
            <w:vAlign w:val="bottom"/>
          </w:tcPr>
          <w:p>
            <w:pPr>
              <w:ind w:left="20"/>
              <w:spacing w:after="0"/>
              <w:rPr>
                <w:sz w:val="20"/>
                <w:szCs w:val="20"/>
                <w:color w:val="auto"/>
              </w:rPr>
            </w:pPr>
            <w:r>
              <w:rPr>
                <w:rFonts w:ascii="Arial" w:cs="Arial" w:eastAsia="Arial" w:hAnsi="Arial"/>
                <w:sz w:val="14"/>
                <w:szCs w:val="14"/>
                <w:color w:val="auto"/>
              </w:rPr>
              <w:t>Investment income from controlled, affiliated investments: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1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from investments</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989</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2,195</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1,925</w:t>
            </w:r>
          </w:p>
        </w:tc>
        <w:tc>
          <w:tcPr>
            <w:tcW w:w="100" w:type="dxa"/>
            <w:vAlign w:val="bottom"/>
            <w:shd w:val="clear" w:color="auto" w:fill="CFF0FC"/>
          </w:tcPr>
          <w:p>
            <w:pPr>
              <w:spacing w:after="0"/>
              <w:rPr>
                <w:sz w:val="15"/>
                <w:szCs w:val="15"/>
                <w:color w:val="auto"/>
              </w:rPr>
            </w:pPr>
          </w:p>
        </w:tc>
      </w:tr>
      <w:tr>
        <w:trPr>
          <w:trHeight w:val="175"/>
        </w:trPr>
        <w:tc>
          <w:tcPr>
            <w:tcW w:w="5180" w:type="dxa"/>
            <w:vAlign w:val="bottom"/>
          </w:tcPr>
          <w:p>
            <w:pPr>
              <w:ind w:left="20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r>
      <w:tr>
        <w:trPr>
          <w:trHeight w:val="169"/>
        </w:trPr>
        <w:tc>
          <w:tcPr>
            <w:tcW w:w="51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investment income from controlled, affiliated investments</w:t>
            </w:r>
          </w:p>
        </w:tc>
        <w:tc>
          <w:tcPr>
            <w:tcW w:w="16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1,131</w:t>
            </w: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993</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2,197</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1,929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180" w:type="dxa"/>
            <w:vAlign w:val="bottom"/>
          </w:tcPr>
          <w:p>
            <w:pPr>
              <w:ind w:left="560"/>
              <w:spacing w:after="0"/>
              <w:rPr>
                <w:sz w:val="20"/>
                <w:szCs w:val="20"/>
                <w:color w:val="auto"/>
              </w:rPr>
            </w:pPr>
            <w:r>
              <w:rPr>
                <w:rFonts w:ascii="Arial" w:cs="Arial" w:eastAsia="Arial" w:hAnsi="Arial"/>
                <w:sz w:val="14"/>
                <w:szCs w:val="14"/>
                <w:b w:val="1"/>
                <w:bCs w:val="1"/>
                <w:color w:val="auto"/>
              </w:rPr>
              <w:t>Total Investment Income</w:t>
            </w: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63,888</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62,828</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131,316</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129,069</w:t>
            </w:r>
          </w:p>
        </w:tc>
        <w:tc>
          <w:tcPr>
            <w:tcW w:w="100" w:type="dxa"/>
            <w:vAlign w:val="bottom"/>
          </w:tcPr>
          <w:p>
            <w:pPr>
              <w:spacing w:after="0"/>
              <w:rPr>
                <w:sz w:val="14"/>
                <w:szCs w:val="14"/>
                <w:color w:val="auto"/>
              </w:rPr>
            </w:pPr>
          </w:p>
        </w:tc>
      </w:tr>
      <w:tr>
        <w:trPr>
          <w:trHeight w:val="16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5180" w:type="dxa"/>
            <w:vAlign w:val="bottom"/>
          </w:tcPr>
          <w:p>
            <w:pPr>
              <w:ind w:left="20"/>
              <w:spacing w:after="0"/>
              <w:rPr>
                <w:sz w:val="20"/>
                <w:szCs w:val="20"/>
                <w:color w:val="auto"/>
              </w:rPr>
            </w:pPr>
            <w:r>
              <w:rPr>
                <w:rFonts w:ascii="Arial" w:cs="Arial" w:eastAsia="Arial" w:hAnsi="Arial"/>
                <w:sz w:val="14"/>
                <w:szCs w:val="14"/>
                <w:color w:val="auto"/>
              </w:rPr>
              <w:t>Interest</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11,963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10,190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21,565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19,143</w:t>
            </w:r>
          </w:p>
        </w:tc>
        <w:tc>
          <w:tcPr>
            <w:tcW w:w="100" w:type="dxa"/>
            <w:vAlign w:val="bottom"/>
          </w:tcPr>
          <w:p>
            <w:pPr>
              <w:spacing w:after="0"/>
              <w:rPr>
                <w:sz w:val="15"/>
                <w:szCs w:val="15"/>
                <w:color w:val="auto"/>
              </w:rPr>
            </w:pPr>
          </w:p>
        </w:tc>
      </w:tr>
      <w:tr>
        <w:trPr>
          <w:trHeight w:val="176"/>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Management fees</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9,488</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9,417</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18,818</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18,156</w:t>
            </w:r>
          </w:p>
        </w:tc>
        <w:tc>
          <w:tcPr>
            <w:tcW w:w="100" w:type="dxa"/>
            <w:vAlign w:val="bottom"/>
            <w:shd w:val="clear" w:color="auto" w:fill="CFF0FC"/>
          </w:tcPr>
          <w:p>
            <w:pPr>
              <w:spacing w:after="0"/>
              <w:rPr>
                <w:sz w:val="15"/>
                <w:szCs w:val="15"/>
                <w:color w:val="auto"/>
              </w:rPr>
            </w:pPr>
          </w:p>
        </w:tc>
      </w:tr>
      <w:tr>
        <w:trPr>
          <w:trHeight w:val="176"/>
        </w:trPr>
        <w:tc>
          <w:tcPr>
            <w:tcW w:w="5180" w:type="dxa"/>
            <w:vAlign w:val="bottom"/>
          </w:tcPr>
          <w:p>
            <w:pPr>
              <w:ind w:left="20"/>
              <w:spacing w:after="0"/>
              <w:rPr>
                <w:sz w:val="20"/>
                <w:szCs w:val="20"/>
                <w:color w:val="auto"/>
              </w:rPr>
            </w:pPr>
            <w:r>
              <w:rPr>
                <w:rFonts w:ascii="Arial" w:cs="Arial" w:eastAsia="Arial" w:hAnsi="Arial"/>
                <w:sz w:val="14"/>
                <w:szCs w:val="14"/>
                <w:color w:val="auto"/>
              </w:rPr>
              <w:t>Incentive fees on net investment income</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6,724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6,996</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14,601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14,807</w:t>
            </w:r>
          </w:p>
        </w:tc>
        <w:tc>
          <w:tcPr>
            <w:tcW w:w="100" w:type="dxa"/>
            <w:vAlign w:val="bottom"/>
          </w:tcPr>
          <w:p>
            <w:pPr>
              <w:spacing w:after="0"/>
              <w:rPr>
                <w:sz w:val="15"/>
                <w:szCs w:val="15"/>
                <w:color w:val="auto"/>
              </w:rPr>
            </w:pPr>
          </w:p>
        </w:tc>
      </w:tr>
      <w:tr>
        <w:trPr>
          <w:trHeight w:val="175"/>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Incentive fees on net capital gains</w:t>
            </w: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(9,122 )</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5,589</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(7,699 )</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10,104</w:t>
            </w:r>
          </w:p>
        </w:tc>
        <w:tc>
          <w:tcPr>
            <w:tcW w:w="100" w:type="dxa"/>
            <w:vAlign w:val="bottom"/>
            <w:shd w:val="clear" w:color="auto" w:fill="CFF0FC"/>
          </w:tcPr>
          <w:p>
            <w:pPr>
              <w:spacing w:after="0"/>
              <w:rPr>
                <w:sz w:val="15"/>
                <w:szCs w:val="15"/>
                <w:color w:val="auto"/>
              </w:rPr>
            </w:pPr>
          </w:p>
        </w:tc>
      </w:tr>
      <w:tr>
        <w:trPr>
          <w:trHeight w:val="176"/>
        </w:trPr>
        <w:tc>
          <w:tcPr>
            <w:tcW w:w="518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1,815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1,785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3,298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3,180</w:t>
            </w:r>
          </w:p>
        </w:tc>
        <w:tc>
          <w:tcPr>
            <w:tcW w:w="100" w:type="dxa"/>
            <w:vAlign w:val="bottom"/>
          </w:tcPr>
          <w:p>
            <w:pPr>
              <w:spacing w:after="0"/>
              <w:rPr>
                <w:sz w:val="15"/>
                <w:szCs w:val="15"/>
                <w:color w:val="auto"/>
              </w:rPr>
            </w:pPr>
          </w:p>
        </w:tc>
      </w:tr>
      <w:tr>
        <w:trPr>
          <w:trHeight w:val="175"/>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Directors’ fees</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366</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FF0FC"/>
          </w:tcPr>
          <w:p>
            <w:pPr>
              <w:spacing w:after="0"/>
              <w:rPr>
                <w:sz w:val="15"/>
                <w:szCs w:val="15"/>
                <w:color w:val="auto"/>
              </w:rPr>
            </w:pPr>
          </w:p>
        </w:tc>
      </w:tr>
      <w:tr>
        <w:trPr>
          <w:trHeight w:val="176"/>
        </w:trPr>
        <w:tc>
          <w:tcPr>
            <w:tcW w:w="5180" w:type="dxa"/>
            <w:vAlign w:val="bottom"/>
          </w:tcPr>
          <w:p>
            <w:pPr>
              <w:ind w:left="20"/>
              <w:spacing w:after="0"/>
              <w:rPr>
                <w:sz w:val="20"/>
                <w:szCs w:val="20"/>
                <w:color w:val="auto"/>
              </w:rPr>
            </w:pPr>
            <w:r>
              <w:rPr>
                <w:rFonts w:ascii="Arial" w:cs="Arial" w:eastAsia="Arial" w:hAnsi="Arial"/>
                <w:sz w:val="14"/>
                <w:szCs w:val="14"/>
                <w:color w:val="auto"/>
              </w:rPr>
              <w:t>Other general and administrative</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1,286</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1,254</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3,119</w:t>
            </w:r>
          </w:p>
        </w:tc>
        <w:tc>
          <w:tcPr>
            <w:tcW w:w="100" w:type="dxa"/>
            <w:vAlign w:val="bottom"/>
          </w:tcPr>
          <w:p>
            <w:pPr>
              <w:spacing w:after="0"/>
              <w:rPr>
                <w:sz w:val="15"/>
                <w:szCs w:val="15"/>
                <w:color w:val="auto"/>
              </w:rPr>
            </w:pPr>
          </w:p>
        </w:tc>
      </w:tr>
      <w:tr>
        <w:trPr>
          <w:trHeight w:val="169"/>
        </w:trPr>
        <w:tc>
          <w:tcPr>
            <w:tcW w:w="51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expenses</w:t>
            </w:r>
          </w:p>
        </w:tc>
        <w:tc>
          <w:tcPr>
            <w:tcW w:w="16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22,328</w:t>
            </w: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35,405</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53,694</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68,877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180" w:type="dxa"/>
            <w:vAlign w:val="bottom"/>
          </w:tcPr>
          <w:p>
            <w:pPr>
              <w:ind w:left="20"/>
              <w:spacing w:after="0"/>
              <w:rPr>
                <w:sz w:val="20"/>
                <w:szCs w:val="20"/>
                <w:color w:val="auto"/>
              </w:rPr>
            </w:pPr>
            <w:r>
              <w:rPr>
                <w:rFonts w:ascii="Arial" w:cs="Arial" w:eastAsia="Arial" w:hAnsi="Arial"/>
                <w:sz w:val="14"/>
                <w:szCs w:val="14"/>
                <w:color w:val="auto"/>
              </w:rPr>
              <w:t>Management fees waived (Note 3)</w:t>
            </w:r>
          </w:p>
        </w:tc>
        <w:tc>
          <w:tcPr>
            <w:tcW w:w="160" w:type="dxa"/>
            <w:vAlign w:val="bottom"/>
          </w:tcPr>
          <w:p>
            <w:pPr>
              <w:spacing w:after="0"/>
              <w:rPr>
                <w:sz w:val="14"/>
                <w:szCs w:val="14"/>
                <w:color w:val="auto"/>
              </w:rPr>
            </w:pPr>
          </w:p>
        </w:tc>
        <w:tc>
          <w:tcPr>
            <w:tcW w:w="1400" w:type="dxa"/>
            <w:vAlign w:val="bottom"/>
            <w:gridSpan w:val="2"/>
          </w:tcPr>
          <w:p>
            <w:pPr>
              <w:jc w:val="right"/>
              <w:ind w:right="128"/>
              <w:spacing w:after="0"/>
              <w:rPr>
                <w:sz w:val="20"/>
                <w:szCs w:val="20"/>
                <w:color w:val="auto"/>
              </w:rPr>
            </w:pPr>
            <w:r>
              <w:rPr>
                <w:rFonts w:ascii="Arial" w:cs="Arial" w:eastAsia="Arial" w:hAnsi="Arial"/>
                <w:sz w:val="14"/>
                <w:szCs w:val="14"/>
                <w:color w:val="auto"/>
              </w:rPr>
              <w:t>(12 )</w:t>
            </w:r>
          </w:p>
        </w:tc>
        <w:tc>
          <w:tcPr>
            <w:tcW w:w="16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(130 )</w:t>
            </w:r>
          </w:p>
        </w:tc>
        <w:tc>
          <w:tcPr>
            <w:tcW w:w="14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(12 )</w:t>
            </w:r>
          </w:p>
        </w:tc>
        <w:tc>
          <w:tcPr>
            <w:tcW w:w="160" w:type="dxa"/>
            <w:vAlign w:val="bottom"/>
          </w:tcPr>
          <w:p>
            <w:pPr>
              <w:spacing w:after="0"/>
              <w:rPr>
                <w:sz w:val="14"/>
                <w:szCs w:val="1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(130 )</w:t>
            </w:r>
          </w:p>
        </w:tc>
      </w:tr>
      <w:tr>
        <w:trPr>
          <w:trHeight w:val="169"/>
        </w:trPr>
        <w:tc>
          <w:tcPr>
            <w:tcW w:w="51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b w:val="1"/>
                <w:bCs w:val="1"/>
                <w:color w:val="auto"/>
              </w:rPr>
              <w:t>Net Expenses</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22,316</w:t>
            </w: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35,275</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53,682</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68,747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Net Investment Income Before Income Taxes</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41,572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27,553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77,634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60,322</w:t>
            </w:r>
          </w:p>
        </w:tc>
        <w:tc>
          <w:tcPr>
            <w:tcW w:w="100" w:type="dxa"/>
            <w:vAlign w:val="bottom"/>
          </w:tcPr>
          <w:p>
            <w:pPr>
              <w:spacing w:after="0"/>
              <w:rPr>
                <w:sz w:val="14"/>
                <w:szCs w:val="14"/>
                <w:color w:val="auto"/>
              </w:rPr>
            </w:pPr>
          </w:p>
        </w:tc>
      </w:tr>
      <w:tr>
        <w:trPr>
          <w:trHeight w:val="175"/>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Income taxes, including excise taxes</w:t>
            </w:r>
          </w:p>
        </w:tc>
        <w:tc>
          <w:tcPr>
            <w:tcW w:w="16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750</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165</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1,100</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Net Investment Income</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40,822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27,388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76,534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59,697</w:t>
            </w:r>
          </w:p>
        </w:tc>
        <w:tc>
          <w:tcPr>
            <w:tcW w:w="100" w:type="dxa"/>
            <w:vAlign w:val="bottom"/>
          </w:tcPr>
          <w:p>
            <w:pPr>
              <w:spacing w:after="0"/>
              <w:rPr>
                <w:sz w:val="14"/>
                <w:szCs w:val="14"/>
                <w:color w:val="auto"/>
              </w:rPr>
            </w:pPr>
          </w:p>
        </w:tc>
      </w:tr>
      <w:tr>
        <w:trPr>
          <w:trHeight w:val="175"/>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Unrealized and Realized Gains (Losses)</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5180" w:type="dxa"/>
            <w:vAlign w:val="bottom"/>
          </w:tcPr>
          <w:p>
            <w:pPr>
              <w:ind w:left="20"/>
              <w:spacing w:after="0"/>
              <w:rPr>
                <w:sz w:val="20"/>
                <w:szCs w:val="20"/>
                <w:color w:val="auto"/>
              </w:rPr>
            </w:pPr>
            <w:r>
              <w:rPr>
                <w:rFonts w:ascii="Arial" w:cs="Arial" w:eastAsia="Arial" w:hAnsi="Arial"/>
                <w:sz w:val="14"/>
                <w:szCs w:val="14"/>
                <w:color w:val="auto"/>
              </w:rPr>
              <w:t>Net change in unrealized gains (losses):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1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Non-controlled, non-affiliated investments</w:t>
            </w: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(56,727 )</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26,075</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(62,348 )</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35,438</w:t>
            </w:r>
          </w:p>
        </w:tc>
        <w:tc>
          <w:tcPr>
            <w:tcW w:w="100" w:type="dxa"/>
            <w:vAlign w:val="bottom"/>
            <w:shd w:val="clear" w:color="auto" w:fill="CFF0FC"/>
          </w:tcPr>
          <w:p>
            <w:pPr>
              <w:spacing w:after="0"/>
              <w:rPr>
                <w:sz w:val="15"/>
                <w:szCs w:val="15"/>
                <w:color w:val="auto"/>
              </w:rPr>
            </w:pPr>
          </w:p>
        </w:tc>
      </w:tr>
      <w:tr>
        <w:trPr>
          <w:trHeight w:val="175"/>
        </w:trPr>
        <w:tc>
          <w:tcPr>
            <w:tcW w:w="5180" w:type="dxa"/>
            <w:vAlign w:val="bottom"/>
          </w:tcPr>
          <w:p>
            <w:pPr>
              <w:ind w:left="200"/>
              <w:spacing w:after="0"/>
              <w:rPr>
                <w:sz w:val="20"/>
                <w:szCs w:val="20"/>
                <w:color w:val="auto"/>
              </w:rPr>
            </w:pPr>
            <w:r>
              <w:rPr>
                <w:rFonts w:ascii="Arial" w:cs="Arial" w:eastAsia="Arial" w:hAnsi="Arial"/>
                <w:sz w:val="14"/>
                <w:szCs w:val="14"/>
                <w:color w:val="auto"/>
              </w:rPr>
              <w:t>Non-controlled, affiliated investments</w:t>
            </w:r>
          </w:p>
        </w:tc>
        <w:tc>
          <w:tcPr>
            <w:tcW w:w="160" w:type="dxa"/>
            <w:vAlign w:val="bottom"/>
          </w:tcPr>
          <w:p>
            <w:pPr>
              <w:spacing w:after="0"/>
              <w:rPr>
                <w:sz w:val="15"/>
                <w:szCs w:val="15"/>
                <w:color w:val="auto"/>
              </w:rPr>
            </w:pPr>
          </w:p>
        </w:tc>
        <w:tc>
          <w:tcPr>
            <w:tcW w:w="14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4,008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(14,350 )</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6,090</w:t>
            </w:r>
          </w:p>
        </w:tc>
        <w:tc>
          <w:tcPr>
            <w:tcW w:w="100" w:type="dxa"/>
            <w:vAlign w:val="bottom"/>
          </w:tcPr>
          <w:p>
            <w:pPr>
              <w:spacing w:after="0"/>
              <w:rPr>
                <w:sz w:val="15"/>
                <w:szCs w:val="15"/>
                <w:color w:val="auto"/>
              </w:rPr>
            </w:pPr>
          </w:p>
        </w:tc>
      </w:tr>
      <w:tr>
        <w:trPr>
          <w:trHeight w:val="176"/>
        </w:trPr>
        <w:tc>
          <w:tcPr>
            <w:tcW w:w="51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Controlled, affiliated investments</w:t>
            </w: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(4,045 )</w:t>
            </w:r>
          </w:p>
        </w:tc>
        <w:tc>
          <w:tcPr>
            <w:tcW w:w="1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(132 )</w:t>
            </w: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12,174</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(132 )</w:t>
            </w:r>
          </w:p>
        </w:tc>
      </w:tr>
      <w:tr>
        <w:trPr>
          <w:trHeight w:val="175"/>
        </w:trPr>
        <w:tc>
          <w:tcPr>
            <w:tcW w:w="5180" w:type="dxa"/>
            <w:vAlign w:val="bottom"/>
          </w:tcPr>
          <w:p>
            <w:pPr>
              <w:ind w:left="20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7,671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5,872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15"/>
                <w:szCs w:val="15"/>
                <w:color w:val="auto"/>
              </w:rPr>
            </w:pPr>
          </w:p>
        </w:tc>
      </w:tr>
      <w:tr>
        <w:trPr>
          <w:trHeight w:val="175"/>
        </w:trPr>
        <w:tc>
          <w:tcPr>
            <w:tcW w:w="51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rate swaps</w:t>
            </w: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(1,650 )</w:t>
            </w:r>
          </w:p>
        </w:tc>
        <w:tc>
          <w:tcPr>
            <w:tcW w:w="1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(1,451 )</w:t>
            </w:r>
          </w:p>
        </w:tc>
        <w:tc>
          <w:tcPr>
            <w:tcW w:w="1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(4,594 )</w:t>
            </w: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(3,273 )</w:t>
            </w:r>
          </w:p>
        </w:tc>
      </w:tr>
      <w:tr>
        <w:trPr>
          <w:trHeight w:val="20"/>
        </w:trPr>
        <w:tc>
          <w:tcPr>
            <w:tcW w:w="5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5180" w:type="dxa"/>
            <w:vAlign w:val="bottom"/>
          </w:tcPr>
          <w:p>
            <w:pPr>
              <w:ind w:left="560"/>
              <w:spacing w:after="0"/>
              <w:rPr>
                <w:sz w:val="20"/>
                <w:szCs w:val="20"/>
                <w:color w:val="auto"/>
              </w:rPr>
            </w:pPr>
            <w:r>
              <w:rPr>
                <w:rFonts w:ascii="Arial" w:cs="Arial" w:eastAsia="Arial" w:hAnsi="Arial"/>
                <w:sz w:val="14"/>
                <w:szCs w:val="14"/>
                <w:color w:val="auto"/>
              </w:rPr>
              <w:t>Total net change in unrealized gains (losses)</w:t>
            </w:r>
          </w:p>
        </w:tc>
        <w:tc>
          <w:tcPr>
            <w:tcW w:w="160" w:type="dxa"/>
            <w:vAlign w:val="bottom"/>
          </w:tcPr>
          <w:p>
            <w:pPr>
              <w:spacing w:after="0"/>
              <w:rPr>
                <w:sz w:val="14"/>
                <w:szCs w:val="14"/>
                <w:color w:val="auto"/>
              </w:rPr>
            </w:pPr>
          </w:p>
        </w:tc>
        <w:tc>
          <w:tcPr>
            <w:tcW w:w="1400" w:type="dxa"/>
            <w:vAlign w:val="bottom"/>
            <w:gridSpan w:val="2"/>
          </w:tcPr>
          <w:p>
            <w:pPr>
              <w:jc w:val="right"/>
              <w:ind w:right="128"/>
              <w:spacing w:after="0"/>
              <w:rPr>
                <w:sz w:val="20"/>
                <w:szCs w:val="20"/>
                <w:color w:val="auto"/>
              </w:rPr>
            </w:pPr>
            <w:r>
              <w:rPr>
                <w:rFonts w:ascii="Arial" w:cs="Arial" w:eastAsia="Arial" w:hAnsi="Arial"/>
                <w:sz w:val="14"/>
                <w:szCs w:val="14"/>
                <w:color w:val="auto"/>
              </w:rPr>
              <w:t>(54,751 )</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28,945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(63,246 )</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38,701</w:t>
            </w:r>
          </w:p>
        </w:tc>
        <w:tc>
          <w:tcPr>
            <w:tcW w:w="100" w:type="dxa"/>
            <w:vAlign w:val="bottom"/>
          </w:tcPr>
          <w:p>
            <w:pPr>
              <w:spacing w:after="0"/>
              <w:rPr>
                <w:sz w:val="14"/>
                <w:szCs w:val="14"/>
                <w:color w:val="auto"/>
              </w:rPr>
            </w:pPr>
          </w:p>
        </w:tc>
      </w:tr>
      <w:tr>
        <w:trPr>
          <w:trHeight w:val="16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Realized gains (losses):</w:t>
            </w:r>
          </w:p>
        </w:tc>
        <w:tc>
          <w:tcPr>
            <w:tcW w:w="16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5180" w:type="dxa"/>
            <w:vAlign w:val="bottom"/>
          </w:tcPr>
          <w:p>
            <w:pPr>
              <w:ind w:left="200"/>
              <w:spacing w:after="0"/>
              <w:rPr>
                <w:sz w:val="20"/>
                <w:szCs w:val="20"/>
                <w:color w:val="auto"/>
              </w:rPr>
            </w:pPr>
            <w:r>
              <w:rPr>
                <w:rFonts w:ascii="Arial" w:cs="Arial" w:eastAsia="Arial" w:hAnsi="Arial"/>
                <w:sz w:val="14"/>
                <w:szCs w:val="14"/>
                <w:color w:val="auto"/>
              </w:rPr>
              <w:t>Non-controlled, non-affiliated investments</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2,022</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16,641</w:t>
            </w:r>
          </w:p>
        </w:tc>
        <w:tc>
          <w:tcPr>
            <w:tcW w:w="100" w:type="dxa"/>
            <w:vAlign w:val="bottom"/>
          </w:tcPr>
          <w:p>
            <w:pPr>
              <w:spacing w:after="0"/>
              <w:rPr>
                <w:sz w:val="15"/>
                <w:szCs w:val="15"/>
                <w:color w:val="auto"/>
              </w:rPr>
            </w:pPr>
          </w:p>
        </w:tc>
      </w:tr>
      <w:tr>
        <w:trPr>
          <w:trHeight w:val="175"/>
        </w:trPr>
        <w:tc>
          <w:tcPr>
            <w:tcW w:w="51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Non-controlled, affiliated investments</w:t>
            </w:r>
          </w:p>
        </w:tc>
        <w:tc>
          <w:tcPr>
            <w:tcW w:w="16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13,673</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(33 )</w:t>
            </w:r>
          </w:p>
        </w:tc>
      </w:tr>
      <w:tr>
        <w:trPr>
          <w:trHeight w:val="175"/>
        </w:trPr>
        <w:tc>
          <w:tcPr>
            <w:tcW w:w="5180" w:type="dxa"/>
            <w:vAlign w:val="bottom"/>
          </w:tcPr>
          <w:p>
            <w:pPr>
              <w:ind w:left="200"/>
              <w:spacing w:after="0"/>
              <w:rPr>
                <w:sz w:val="20"/>
                <w:szCs w:val="20"/>
                <w:color w:val="auto"/>
              </w:rPr>
            </w:pPr>
            <w:r>
              <w:rPr>
                <w:rFonts w:ascii="Arial" w:cs="Arial" w:eastAsia="Arial" w:hAnsi="Arial"/>
                <w:sz w:val="14"/>
                <w:szCs w:val="14"/>
                <w:color w:val="auto"/>
              </w:rPr>
              <w:t>Foreign currency transactions</w:t>
            </w:r>
          </w:p>
        </w:tc>
        <w:tc>
          <w:tcPr>
            <w:tcW w:w="160" w:type="dxa"/>
            <w:vAlign w:val="bottom"/>
          </w:tcPr>
          <w:p>
            <w:pPr>
              <w:spacing w:after="0"/>
              <w:rPr>
                <w:sz w:val="15"/>
                <w:szCs w:val="15"/>
                <w:color w:val="auto"/>
              </w:rPr>
            </w:pPr>
          </w:p>
        </w:tc>
        <w:tc>
          <w:tcPr>
            <w:tcW w:w="1400" w:type="dxa"/>
            <w:vAlign w:val="bottom"/>
            <w:gridSpan w:val="2"/>
          </w:tcPr>
          <w:p>
            <w:pPr>
              <w:jc w:val="right"/>
              <w:ind w:right="128"/>
              <w:spacing w:after="0"/>
              <w:rPr>
                <w:sz w:val="20"/>
                <w:szCs w:val="20"/>
                <w:color w:val="auto"/>
              </w:rPr>
            </w:pPr>
            <w:r>
              <w:rPr>
                <w:rFonts w:ascii="Arial" w:cs="Arial" w:eastAsia="Arial" w:hAnsi="Arial"/>
                <w:sz w:val="14"/>
                <w:szCs w:val="14"/>
                <w:color w:val="auto"/>
              </w:rPr>
              <w:t>(19 )</w:t>
            </w:r>
          </w:p>
        </w:tc>
        <w:tc>
          <w:tcPr>
            <w:tcW w:w="16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(1 )</w:t>
            </w:r>
          </w:p>
        </w:tc>
        <w:tc>
          <w:tcPr>
            <w:tcW w:w="14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(32 )</w:t>
            </w:r>
          </w:p>
        </w:tc>
        <w:tc>
          <w:tcPr>
            <w:tcW w:w="16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9"/>
        </w:trPr>
        <w:tc>
          <w:tcPr>
            <w:tcW w:w="51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Total net realized gains (losses)</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404</w:t>
            </w: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2,021</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14,072</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16,608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180" w:type="dxa"/>
            <w:vAlign w:val="bottom"/>
          </w:tcPr>
          <w:p>
            <w:pPr>
              <w:ind w:left="740"/>
              <w:spacing w:after="0"/>
              <w:rPr>
                <w:sz w:val="20"/>
                <w:szCs w:val="20"/>
                <w:color w:val="auto"/>
              </w:rPr>
            </w:pPr>
            <w:r>
              <w:rPr>
                <w:rFonts w:ascii="Arial" w:cs="Arial" w:eastAsia="Arial" w:hAnsi="Arial"/>
                <w:sz w:val="14"/>
                <w:szCs w:val="14"/>
                <w:b w:val="1"/>
                <w:bCs w:val="1"/>
                <w:color w:val="auto"/>
              </w:rPr>
              <w:t>Total Net Unrealized and Realized Gains (Losses)</w:t>
            </w:r>
          </w:p>
        </w:tc>
        <w:tc>
          <w:tcPr>
            <w:tcW w:w="160" w:type="dxa"/>
            <w:vAlign w:val="bottom"/>
          </w:tcPr>
          <w:p>
            <w:pPr>
              <w:spacing w:after="0"/>
              <w:rPr>
                <w:sz w:val="14"/>
                <w:szCs w:val="14"/>
                <w:color w:val="auto"/>
              </w:rPr>
            </w:pPr>
          </w:p>
        </w:tc>
        <w:tc>
          <w:tcPr>
            <w:tcW w:w="1400" w:type="dxa"/>
            <w:vAlign w:val="bottom"/>
            <w:gridSpan w:val="2"/>
          </w:tcPr>
          <w:p>
            <w:pPr>
              <w:jc w:val="right"/>
              <w:ind w:right="128"/>
              <w:spacing w:after="0"/>
              <w:rPr>
                <w:sz w:val="20"/>
                <w:szCs w:val="20"/>
                <w:color w:val="auto"/>
              </w:rPr>
            </w:pPr>
            <w:r>
              <w:rPr>
                <w:rFonts w:ascii="Arial" w:cs="Arial" w:eastAsia="Arial" w:hAnsi="Arial"/>
                <w:sz w:val="14"/>
                <w:szCs w:val="14"/>
                <w:color w:val="auto"/>
              </w:rPr>
              <w:t>(54,347 )</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30,966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(49,174 )</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55,309</w:t>
            </w:r>
          </w:p>
        </w:tc>
        <w:tc>
          <w:tcPr>
            <w:tcW w:w="100" w:type="dxa"/>
            <w:vAlign w:val="bottom"/>
          </w:tcPr>
          <w:p>
            <w:pPr>
              <w:spacing w:after="0"/>
              <w:rPr>
                <w:sz w:val="14"/>
                <w:szCs w:val="14"/>
                <w:color w:val="auto"/>
              </w:rPr>
            </w:pPr>
          </w:p>
        </w:tc>
      </w:tr>
      <w:tr>
        <w:trPr>
          <w:trHeight w:val="209"/>
        </w:trPr>
        <w:tc>
          <w:tcPr>
            <w:tcW w:w="51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4"/>
                <w:szCs w:val="14"/>
                <w:b w:val="1"/>
                <w:bCs w:val="1"/>
                <w:color w:val="auto"/>
              </w:rPr>
              <w:t>Increase (Decrease) in Net Assets Resulting from Operations</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(13,525</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58,354</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27,360</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115,006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5180" w:type="dxa"/>
            <w:vAlign w:val="bottom"/>
          </w:tcPr>
          <w:p>
            <w:pPr>
              <w:ind w:left="20"/>
              <w:spacing w:after="0" w:line="156" w:lineRule="exact"/>
              <w:rPr>
                <w:sz w:val="20"/>
                <w:szCs w:val="20"/>
                <w:color w:val="auto"/>
              </w:rPr>
            </w:pPr>
            <w:r>
              <w:rPr>
                <w:rFonts w:ascii="Arial" w:cs="Arial" w:eastAsia="Arial" w:hAnsi="Arial"/>
                <w:sz w:val="14"/>
                <w:szCs w:val="14"/>
                <w:color w:val="auto"/>
              </w:rPr>
              <w:t>Earnings (Loss) per common share—basic</w:t>
            </w:r>
          </w:p>
        </w:tc>
        <w:tc>
          <w:tcPr>
            <w:tcW w:w="160" w:type="dxa"/>
            <w:vAlign w:val="bottom"/>
          </w:tcPr>
          <w:p>
            <w:pPr>
              <w:jc w:val="right"/>
              <w:ind w:right="8"/>
              <w:spacing w:after="0" w:line="156" w:lineRule="exact"/>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28"/>
              <w:spacing w:after="0" w:line="156" w:lineRule="exact"/>
              <w:rPr>
                <w:sz w:val="20"/>
                <w:szCs w:val="20"/>
                <w:color w:val="auto"/>
              </w:rPr>
            </w:pPr>
            <w:r>
              <w:rPr>
                <w:rFonts w:ascii="Arial" w:cs="Arial" w:eastAsia="Arial" w:hAnsi="Arial"/>
                <w:sz w:val="14"/>
                <w:szCs w:val="14"/>
                <w:color w:val="auto"/>
              </w:rPr>
              <w:t>(0.18 )</w:t>
            </w:r>
          </w:p>
        </w:tc>
        <w:tc>
          <w:tcPr>
            <w:tcW w:w="160" w:type="dxa"/>
            <w:vAlign w:val="bottom"/>
          </w:tcPr>
          <w:p>
            <w:pPr>
              <w:jc w:val="right"/>
              <w:ind w:right="8"/>
              <w:spacing w:after="0" w:line="156"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line="156" w:lineRule="exact"/>
              <w:rPr>
                <w:sz w:val="20"/>
                <w:szCs w:val="20"/>
                <w:color w:val="auto"/>
              </w:rPr>
            </w:pPr>
            <w:r>
              <w:rPr>
                <w:rFonts w:ascii="Arial" w:cs="Arial" w:eastAsia="Arial" w:hAnsi="Arial"/>
                <w:sz w:val="14"/>
                <w:szCs w:val="14"/>
                <w:color w:val="auto"/>
              </w:rPr>
              <w:t>0.80</w:t>
            </w:r>
          </w:p>
        </w:tc>
        <w:tc>
          <w:tcPr>
            <w:tcW w:w="260" w:type="dxa"/>
            <w:vAlign w:val="bottom"/>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56" w:lineRule="exact"/>
              <w:rPr>
                <w:sz w:val="20"/>
                <w:szCs w:val="20"/>
                <w:color w:val="auto"/>
              </w:rPr>
            </w:pPr>
            <w:r>
              <w:rPr>
                <w:rFonts w:ascii="Arial" w:cs="Arial" w:eastAsia="Arial" w:hAnsi="Arial"/>
                <w:sz w:val="14"/>
                <w:szCs w:val="14"/>
                <w:color w:val="auto"/>
              </w:rPr>
              <w:t>0.36</w:t>
            </w:r>
          </w:p>
        </w:tc>
        <w:tc>
          <w:tcPr>
            <w:tcW w:w="240" w:type="dxa"/>
            <w:vAlign w:val="bottom"/>
          </w:tcPr>
          <w:p>
            <w:pPr>
              <w:spacing w:after="0"/>
              <w:rPr>
                <w:sz w:val="13"/>
                <w:szCs w:val="13"/>
                <w:color w:val="auto"/>
              </w:rPr>
            </w:pPr>
          </w:p>
        </w:tc>
        <w:tc>
          <w:tcPr>
            <w:tcW w:w="160" w:type="dxa"/>
            <w:vAlign w:val="bottom"/>
          </w:tcPr>
          <w:p>
            <w:pPr>
              <w:jc w:val="right"/>
              <w:ind w:right="8"/>
              <w:spacing w:after="0" w:line="156"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line="156" w:lineRule="exact"/>
              <w:rPr>
                <w:sz w:val="20"/>
                <w:szCs w:val="20"/>
                <w:color w:val="auto"/>
              </w:rPr>
            </w:pPr>
            <w:r>
              <w:rPr>
                <w:rFonts w:ascii="Arial" w:cs="Arial" w:eastAsia="Arial" w:hAnsi="Arial"/>
                <w:sz w:val="14"/>
                <w:szCs w:val="14"/>
                <w:color w:val="auto"/>
              </w:rPr>
              <w:t>1.62</w:t>
            </w:r>
          </w:p>
        </w:tc>
        <w:tc>
          <w:tcPr>
            <w:tcW w:w="100" w:type="dxa"/>
            <w:vAlign w:val="bottom"/>
          </w:tcPr>
          <w:p>
            <w:pPr>
              <w:spacing w:after="0"/>
              <w:rPr>
                <w:sz w:val="13"/>
                <w:szCs w:val="13"/>
                <w:color w:val="auto"/>
              </w:rPr>
            </w:pPr>
          </w:p>
        </w:tc>
      </w:tr>
      <w:tr>
        <w:trPr>
          <w:trHeight w:val="169"/>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Weighted average shares of common stock outstanding—basic</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76,265,661</w:t>
            </w: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72,556,471</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76,119,681</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71,131,732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180" w:type="dxa"/>
            <w:vAlign w:val="bottom"/>
          </w:tcPr>
          <w:p>
            <w:pPr>
              <w:ind w:left="20"/>
              <w:spacing w:after="0"/>
              <w:rPr>
                <w:sz w:val="20"/>
                <w:szCs w:val="20"/>
                <w:color w:val="auto"/>
              </w:rPr>
            </w:pPr>
            <w:r>
              <w:rPr>
                <w:rFonts w:ascii="Arial" w:cs="Arial" w:eastAsia="Arial" w:hAnsi="Arial"/>
                <w:sz w:val="14"/>
                <w:szCs w:val="14"/>
                <w:color w:val="auto"/>
              </w:rPr>
              <w:t>Earnings (Loss) per common share—diluted</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28"/>
              <w:spacing w:after="0"/>
              <w:rPr>
                <w:sz w:val="20"/>
                <w:szCs w:val="20"/>
                <w:color w:val="auto"/>
              </w:rPr>
            </w:pPr>
            <w:r>
              <w:rPr>
                <w:rFonts w:ascii="Arial" w:cs="Arial" w:eastAsia="Arial" w:hAnsi="Arial"/>
                <w:sz w:val="14"/>
                <w:szCs w:val="14"/>
                <w:color w:val="auto"/>
              </w:rPr>
              <w:t>(0.15 )</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0.74</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0.36</w:t>
            </w:r>
          </w:p>
        </w:tc>
        <w:tc>
          <w:tcPr>
            <w:tcW w:w="24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4"/>
                <w:szCs w:val="14"/>
                <w:color w:val="auto"/>
              </w:rPr>
            </w:pPr>
          </w:p>
        </w:tc>
      </w:tr>
      <w:tr>
        <w:trPr>
          <w:trHeight w:val="169"/>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Weighted average shares of common stock outstanding—diluted</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81,846,634</w:t>
            </w: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80,249,527</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81,700,654</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78,824,788</w:t>
            </w:r>
          </w:p>
        </w:tc>
        <w:tc>
          <w:tcPr>
            <w:tcW w:w="10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-3948430</wp:posOffset>
            </wp:positionV>
            <wp:extent cx="7683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-3948430</wp:posOffset>
            </wp:positionV>
            <wp:extent cx="685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-3948430</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-3948430</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-2807970</wp:posOffset>
            </wp:positionV>
            <wp:extent cx="7683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-2807970</wp:posOffset>
            </wp:positionV>
            <wp:extent cx="685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-2807970</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-2807970</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-2567940</wp:posOffset>
            </wp:positionV>
            <wp:extent cx="7683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-2567940</wp:posOffset>
            </wp:positionV>
            <wp:extent cx="685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-2567940</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-2567940</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-2336800</wp:posOffset>
            </wp:positionV>
            <wp:extent cx="7683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-2336800</wp:posOffset>
            </wp:positionV>
            <wp:extent cx="685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-2336800</wp:posOffset>
            </wp:positionV>
            <wp:extent cx="685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-2336800</wp:posOffset>
            </wp:positionV>
            <wp:extent cx="685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-1436370</wp:posOffset>
            </wp:positionV>
            <wp:extent cx="7683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-1436370</wp:posOffset>
            </wp:positionV>
            <wp:extent cx="685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-1436370</wp:posOffset>
            </wp:positionV>
            <wp:extent cx="685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-1436370</wp:posOffset>
            </wp:positionV>
            <wp:extent cx="685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-742315</wp:posOffset>
            </wp:positionV>
            <wp:extent cx="7683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-742315</wp:posOffset>
            </wp:positionV>
            <wp:extent cx="6858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-742315</wp:posOffset>
            </wp:positionV>
            <wp:extent cx="685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-742315</wp:posOffset>
            </wp:positionV>
            <wp:extent cx="685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-505460</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-488315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-505460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-488315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-505460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-488315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-245110</wp:posOffset>
            </wp:positionV>
            <wp:extent cx="7683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-245110</wp:posOffset>
            </wp:positionV>
            <wp:extent cx="685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-245110</wp:posOffset>
            </wp:positionV>
            <wp:extent cx="685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wp:posOffset>
            </wp:positionV>
            <wp:extent cx="685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-5080</wp:posOffset>
            </wp:positionV>
            <wp:extent cx="7683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-5080</wp:posOffset>
            </wp:positionV>
            <wp:extent cx="6858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-5080</wp:posOffset>
            </wp:positionV>
            <wp:extent cx="6858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-5080</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12"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Consolidated Schedule of Investments as of June 30, 2022</w:t>
      </w:r>
    </w:p>
    <w:p>
      <w:pPr>
        <w:spacing w:after="0" w:line="1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(Amounts in thousands, except share amounts)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7"/>
              </w:rPr>
              <w:t>Initial</w:t>
            </w:r>
          </w:p>
        </w:tc>
        <w:tc>
          <w:tcPr>
            <w:tcW w:w="100" w:type="dxa"/>
            <w:vAlign w:val="bottom"/>
          </w:tcPr>
          <w:p>
            <w:pPr>
              <w:spacing w:after="0"/>
              <w:rPr>
                <w:sz w:val="10"/>
                <w:szCs w:val="1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Reference</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ind w:right="147"/>
              <w:spacing w:after="0"/>
              <w:rPr>
                <w:sz w:val="20"/>
                <w:szCs w:val="20"/>
                <w:color w:val="auto"/>
              </w:rPr>
            </w:pPr>
            <w:r>
              <w:rPr>
                <w:rFonts w:ascii="Arial" w:cs="Arial" w:eastAsia="Arial" w:hAnsi="Arial"/>
                <w:sz w:val="11"/>
                <w:szCs w:val="11"/>
                <w:b w:val="1"/>
                <w:bCs w:val="1"/>
                <w:color w:val="auto"/>
              </w:rPr>
              <w:t>Amortized</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restart"/>
          </w:tcPr>
          <w:p>
            <w:pPr>
              <w:jc w:val="right"/>
              <w:ind w:right="206"/>
              <w:spacing w:after="0"/>
              <w:rPr>
                <w:sz w:val="20"/>
                <w:szCs w:val="20"/>
                <w:color w:val="auto"/>
              </w:rPr>
            </w:pPr>
            <w:r>
              <w:rPr>
                <w:rFonts w:ascii="Arial" w:cs="Arial" w:eastAsia="Arial" w:hAnsi="Arial"/>
                <w:sz w:val="11"/>
                <w:szCs w:val="11"/>
                <w:b w:val="1"/>
                <w:bCs w:val="1"/>
                <w:color w:val="auto"/>
              </w:rPr>
              <w:t>Percentage</w:t>
            </w:r>
          </w:p>
        </w:tc>
        <w:tc>
          <w:tcPr>
            <w:tcW w:w="0" w:type="dxa"/>
            <w:vAlign w:val="bottom"/>
          </w:tcPr>
          <w:p>
            <w:pPr>
              <w:spacing w:after="0"/>
              <w:rPr>
                <w:sz w:val="1"/>
                <w:szCs w:val="1"/>
                <w:color w:val="auto"/>
              </w:rPr>
            </w:pPr>
          </w:p>
        </w:tc>
      </w:tr>
      <w:tr>
        <w:trPr>
          <w:trHeight w:val="108"/>
        </w:trPr>
        <w:tc>
          <w:tcPr>
            <w:tcW w:w="2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 xml:space="preserve">Company </w:t>
            </w:r>
            <w:r>
              <w:rPr>
                <w:rFonts w:ascii="Arial" w:cs="Arial" w:eastAsia="Arial" w:hAnsi="Arial"/>
                <w:sz w:val="14"/>
                <w:szCs w:val="14"/>
                <w:b w:val="1"/>
                <w:bCs w:val="1"/>
                <w:color w:val="auto"/>
                <w:vertAlign w:val="superscript"/>
              </w:rPr>
              <w:t>(1)(6)</w:t>
            </w:r>
          </w:p>
        </w:tc>
        <w:tc>
          <w:tcPr>
            <w:tcW w:w="100" w:type="dxa"/>
            <w:vAlign w:val="bottom"/>
          </w:tcPr>
          <w:p>
            <w:pPr>
              <w:spacing w:after="0"/>
              <w:rPr>
                <w:sz w:val="9"/>
                <w:szCs w:val="9"/>
                <w:color w:val="auto"/>
              </w:rPr>
            </w:pPr>
          </w:p>
        </w:tc>
        <w:tc>
          <w:tcPr>
            <w:tcW w:w="2440" w:type="dxa"/>
            <w:vAlign w:val="bottom"/>
            <w:vMerge w:val="restart"/>
          </w:tcPr>
          <w:p>
            <w:pPr>
              <w:ind w:left="98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6"/>
              </w:rPr>
              <w:t>Acquisition</w:t>
            </w:r>
          </w:p>
        </w:tc>
        <w:tc>
          <w:tcPr>
            <w:tcW w:w="100" w:type="dxa"/>
            <w:vAlign w:val="bottom"/>
          </w:tcPr>
          <w:p>
            <w:pPr>
              <w:spacing w:after="0"/>
              <w:rPr>
                <w:sz w:val="9"/>
                <w:szCs w:val="9"/>
                <w:color w:val="auto"/>
              </w:rPr>
            </w:pPr>
          </w:p>
        </w:tc>
        <w:tc>
          <w:tcPr>
            <w:tcW w:w="104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0"/>
              </w:rPr>
              <w:t>Rate and</w:t>
            </w:r>
          </w:p>
        </w:tc>
        <w:tc>
          <w:tcPr>
            <w:tcW w:w="1180" w:type="dxa"/>
            <w:vAlign w:val="bottom"/>
            <w:gridSpan w:val="3"/>
            <w:vMerge w:val="restart"/>
          </w:tcPr>
          <w:p>
            <w:pPr>
              <w:jc w:val="right"/>
              <w:ind w:right="460"/>
              <w:spacing w:after="0"/>
              <w:rPr>
                <w:sz w:val="20"/>
                <w:szCs w:val="20"/>
                <w:color w:val="auto"/>
              </w:rPr>
            </w:pPr>
            <w:r>
              <w:rPr>
                <w:rFonts w:ascii="Arial" w:cs="Arial" w:eastAsia="Arial" w:hAnsi="Arial"/>
                <w:sz w:val="11"/>
                <w:szCs w:val="11"/>
                <w:b w:val="1"/>
                <w:bCs w:val="1"/>
                <w:color w:val="auto"/>
              </w:rPr>
              <w:t>Interest Rate</w:t>
            </w:r>
          </w:p>
        </w:tc>
        <w:tc>
          <w:tcPr>
            <w:tcW w:w="7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14"/>
                <w:szCs w:val="14"/>
                <w:b w:val="1"/>
                <w:bCs w:val="1"/>
                <w:color w:val="auto"/>
                <w:vertAlign w:val="superscript"/>
              </w:rPr>
              <w:t>(9)</w:t>
            </w:r>
          </w:p>
        </w:tc>
        <w:tc>
          <w:tcPr>
            <w:tcW w:w="2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2"/>
              </w:rPr>
              <w:t>Date</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Spread</w:t>
            </w:r>
          </w:p>
        </w:tc>
        <w:tc>
          <w:tcPr>
            <w:tcW w:w="1180" w:type="dxa"/>
            <w:vAlign w:val="bottom"/>
            <w:gridSpan w:val="3"/>
            <w:vMerge w:val="continue"/>
          </w:tcPr>
          <w:p>
            <w:pPr>
              <w:spacing w:after="0"/>
              <w:rPr>
                <w:sz w:val="12"/>
                <w:szCs w:val="12"/>
                <w:color w:val="auto"/>
              </w:rPr>
            </w:pPr>
          </w:p>
        </w:tc>
        <w:tc>
          <w:tcPr>
            <w:tcW w:w="760" w:type="dxa"/>
            <w:vAlign w:val="bottom"/>
          </w:tcPr>
          <w:p>
            <w:pPr>
              <w:jc w:val="right"/>
              <w:ind w:right="187"/>
              <w:spacing w:after="0" w:line="149" w:lineRule="exact"/>
              <w:rPr>
                <w:sz w:val="20"/>
                <w:szCs w:val="20"/>
                <w:color w:val="auto"/>
              </w:rPr>
            </w:pPr>
            <w:r>
              <w:rPr>
                <w:rFonts w:ascii="Arial" w:cs="Arial" w:eastAsia="Arial" w:hAnsi="Arial"/>
                <w:sz w:val="17"/>
                <w:szCs w:val="17"/>
                <w:b w:val="1"/>
                <w:bCs w:val="1"/>
                <w:color w:val="auto"/>
                <w:vertAlign w:val="subscript"/>
              </w:rPr>
              <w:t>Cost</w:t>
            </w:r>
            <w:r>
              <w:rPr>
                <w:rFonts w:ascii="Arial" w:cs="Arial" w:eastAsia="Arial" w:hAnsi="Arial"/>
                <w:sz w:val="6"/>
                <w:szCs w:val="6"/>
                <w:b w:val="1"/>
                <w:bCs w:val="1"/>
                <w:color w:val="auto"/>
              </w:rPr>
              <w:t xml:space="preserve"> (2)(8)</w:t>
            </w: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66"/>
              <w:spacing w:after="0"/>
              <w:rPr>
                <w:sz w:val="20"/>
                <w:szCs w:val="20"/>
                <w:color w:val="auto"/>
              </w:rPr>
            </w:pPr>
            <w:r>
              <w:rPr>
                <w:rFonts w:ascii="Arial" w:cs="Arial" w:eastAsia="Arial" w:hAnsi="Arial"/>
                <w:sz w:val="11"/>
                <w:szCs w:val="11"/>
                <w:b w:val="1"/>
                <w:bCs w:val="1"/>
                <w:color w:val="auto"/>
                <w:w w:val="99"/>
              </w:rPr>
              <w:t>of Net Assets</w:t>
            </w:r>
          </w:p>
        </w:tc>
        <w:tc>
          <w:tcPr>
            <w:tcW w:w="0" w:type="dxa"/>
            <w:vAlign w:val="bottom"/>
          </w:tcPr>
          <w:p>
            <w:pPr>
              <w:spacing w:after="0"/>
              <w:rPr>
                <w:sz w:val="1"/>
                <w:szCs w:val="1"/>
                <w:color w:val="auto"/>
              </w:rPr>
            </w:pPr>
          </w:p>
        </w:tc>
      </w:tr>
      <w:tr>
        <w:trPr>
          <w:trHeight w:val="128"/>
        </w:trPr>
        <w:tc>
          <w:tcPr>
            <w:tcW w:w="24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Debt Investments</w:t>
            </w:r>
          </w:p>
        </w:tc>
        <w:tc>
          <w:tcPr>
            <w:tcW w:w="100" w:type="dxa"/>
            <w:vAlign w:val="bottom"/>
            <w:shd w:val="clear" w:color="auto" w:fill="CFF0FC"/>
          </w:tcPr>
          <w:p>
            <w:pPr>
              <w:spacing w:after="0"/>
              <w:rPr>
                <w:sz w:val="11"/>
                <w:szCs w:val="11"/>
                <w:color w:val="auto"/>
              </w:rPr>
            </w:pPr>
          </w:p>
        </w:tc>
        <w:tc>
          <w:tcPr>
            <w:tcW w:w="24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Business services</w:t>
            </w:r>
          </w:p>
        </w:tc>
        <w:tc>
          <w:tcPr>
            <w:tcW w:w="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480" w:type="dxa"/>
            <w:vAlign w:val="bottom"/>
          </w:tcPr>
          <w:p>
            <w:pPr>
              <w:ind w:left="20"/>
              <w:spacing w:after="0" w:line="104" w:lineRule="exact"/>
              <w:rPr>
                <w:sz w:val="20"/>
                <w:szCs w:val="20"/>
                <w:color w:val="auto"/>
              </w:rPr>
            </w:pPr>
            <w:r>
              <w:rPr>
                <w:rFonts w:ascii="Arial" w:cs="Arial" w:eastAsia="Arial" w:hAnsi="Arial"/>
                <w:sz w:val="11"/>
                <w:szCs w:val="11"/>
                <w:color w:val="auto"/>
              </w:rPr>
              <w:t>Acceo Solutions,</w:t>
            </w:r>
          </w:p>
        </w:tc>
        <w:tc>
          <w:tcPr>
            <w:tcW w:w="100" w:type="dxa"/>
            <w:vAlign w:val="bottom"/>
          </w:tcPr>
          <w:p>
            <w:pPr>
              <w:spacing w:after="0"/>
              <w:rPr>
                <w:sz w:val="9"/>
                <w:szCs w:val="9"/>
                <w:color w:val="auto"/>
              </w:rPr>
            </w:pPr>
          </w:p>
        </w:tc>
        <w:tc>
          <w:tcPr>
            <w:tcW w:w="2440" w:type="dxa"/>
            <w:vAlign w:val="bottom"/>
          </w:tcPr>
          <w:p>
            <w:pPr>
              <w:ind w:left="20"/>
              <w:spacing w:after="0" w:line="104" w:lineRule="exact"/>
              <w:rPr>
                <w:sz w:val="20"/>
                <w:szCs w:val="20"/>
                <w:color w:val="auto"/>
              </w:rPr>
            </w:pPr>
            <w:r>
              <w:rPr>
                <w:rFonts w:ascii="Arial" w:cs="Arial" w:eastAsia="Arial" w:hAnsi="Arial"/>
                <w:sz w:val="11"/>
                <w:szCs w:val="11"/>
                <w:color w:val="auto"/>
              </w:rPr>
              <w:t>First-lien loan (CAD 73,687 par, due 10/2025)</w:t>
            </w:r>
          </w:p>
        </w:tc>
        <w:tc>
          <w:tcPr>
            <w:tcW w:w="960" w:type="dxa"/>
            <w:vAlign w:val="bottom"/>
            <w:gridSpan w:val="2"/>
          </w:tcPr>
          <w:p>
            <w:pPr>
              <w:jc w:val="right"/>
              <w:spacing w:after="0" w:line="104" w:lineRule="exact"/>
              <w:rPr>
                <w:sz w:val="20"/>
                <w:szCs w:val="20"/>
                <w:color w:val="auto"/>
              </w:rPr>
            </w:pPr>
            <w:r>
              <w:rPr>
                <w:rFonts w:ascii="Arial" w:cs="Arial" w:eastAsia="Arial" w:hAnsi="Arial"/>
                <w:sz w:val="11"/>
                <w:szCs w:val="11"/>
                <w:color w:val="auto"/>
              </w:rPr>
              <w:t>7/6/2018</w:t>
            </w:r>
          </w:p>
        </w:tc>
        <w:tc>
          <w:tcPr>
            <w:tcW w:w="100" w:type="dxa"/>
            <w:vAlign w:val="bottom"/>
          </w:tcPr>
          <w:p>
            <w:pPr>
              <w:spacing w:after="0"/>
              <w:rPr>
                <w:sz w:val="9"/>
                <w:szCs w:val="9"/>
                <w:color w:val="auto"/>
              </w:rPr>
            </w:pPr>
          </w:p>
        </w:tc>
        <w:tc>
          <w:tcPr>
            <w:tcW w:w="1040" w:type="dxa"/>
            <w:vAlign w:val="bottom"/>
            <w:gridSpan w:val="2"/>
          </w:tcPr>
          <w:p>
            <w:pPr>
              <w:jc w:val="right"/>
              <w:ind w:right="240"/>
              <w:spacing w:after="0" w:line="104" w:lineRule="exact"/>
              <w:rPr>
                <w:sz w:val="20"/>
                <w:szCs w:val="20"/>
                <w:color w:val="auto"/>
              </w:rPr>
            </w:pPr>
            <w:r>
              <w:rPr>
                <w:rFonts w:ascii="Arial" w:cs="Arial" w:eastAsia="Arial" w:hAnsi="Arial"/>
                <w:sz w:val="11"/>
                <w:szCs w:val="11"/>
                <w:color w:val="auto"/>
              </w:rPr>
              <w:t>C + 4.75%</w:t>
            </w:r>
          </w:p>
        </w:tc>
        <w:tc>
          <w:tcPr>
            <w:tcW w:w="1180" w:type="dxa"/>
            <w:vAlign w:val="bottom"/>
            <w:gridSpan w:val="3"/>
          </w:tcPr>
          <w:p>
            <w:pPr>
              <w:jc w:val="right"/>
              <w:ind w:right="80"/>
              <w:spacing w:after="0" w:line="104" w:lineRule="exact"/>
              <w:rPr>
                <w:sz w:val="20"/>
                <w:szCs w:val="20"/>
                <w:color w:val="auto"/>
              </w:rPr>
            </w:pPr>
            <w:r>
              <w:rPr>
                <w:rFonts w:ascii="Arial" w:cs="Arial" w:eastAsia="Arial" w:hAnsi="Arial"/>
                <w:sz w:val="11"/>
                <w:szCs w:val="11"/>
                <w:color w:val="auto"/>
              </w:rPr>
              <w:t>6.98 %   $</w:t>
            </w:r>
          </w:p>
        </w:tc>
        <w:tc>
          <w:tcPr>
            <w:tcW w:w="760" w:type="dxa"/>
            <w:vAlign w:val="bottom"/>
          </w:tcPr>
          <w:p>
            <w:pPr>
              <w:jc w:val="right"/>
              <w:spacing w:after="0" w:line="104" w:lineRule="exact"/>
              <w:rPr>
                <w:sz w:val="20"/>
                <w:szCs w:val="20"/>
                <w:color w:val="auto"/>
              </w:rPr>
            </w:pPr>
            <w:r>
              <w:rPr>
                <w:rFonts w:ascii="Arial" w:cs="Arial" w:eastAsia="Arial" w:hAnsi="Arial"/>
                <w:sz w:val="11"/>
                <w:szCs w:val="11"/>
                <w:color w:val="auto"/>
              </w:rPr>
              <w:t>55,522</w:t>
            </w:r>
          </w:p>
        </w:tc>
        <w:tc>
          <w:tcPr>
            <w:tcW w:w="1040" w:type="dxa"/>
            <w:vAlign w:val="bottom"/>
            <w:gridSpan w:val="2"/>
          </w:tcPr>
          <w:p>
            <w:pPr>
              <w:jc w:val="right"/>
              <w:spacing w:after="0" w:line="104" w:lineRule="exact"/>
              <w:rPr>
                <w:sz w:val="20"/>
                <w:szCs w:val="20"/>
                <w:color w:val="auto"/>
              </w:rPr>
            </w:pPr>
            <w:r>
              <w:rPr>
                <w:rFonts w:ascii="Arial" w:cs="Arial" w:eastAsia="Arial" w:hAnsi="Arial"/>
                <w:sz w:val="11"/>
                <w:szCs w:val="11"/>
                <w:color w:val="auto"/>
              </w:rPr>
              <w:t>$57,838</w:t>
            </w:r>
          </w:p>
        </w:tc>
        <w:tc>
          <w:tcPr>
            <w:tcW w:w="1140" w:type="dxa"/>
            <w:vAlign w:val="bottom"/>
            <w:gridSpan w:val="3"/>
          </w:tcPr>
          <w:p>
            <w:pPr>
              <w:jc w:val="right"/>
              <w:spacing w:after="0" w:line="104" w:lineRule="exact"/>
              <w:rPr>
                <w:sz w:val="20"/>
                <w:szCs w:val="20"/>
                <w:color w:val="auto"/>
              </w:rPr>
            </w:pPr>
            <w:r>
              <w:rPr>
                <w:rFonts w:ascii="Arial" w:cs="Arial" w:eastAsia="Arial" w:hAnsi="Arial"/>
                <w:sz w:val="11"/>
                <w:szCs w:val="11"/>
                <w:color w:val="auto"/>
              </w:rPr>
              <w:t>4.7 %</w:t>
            </w:r>
          </w:p>
        </w:tc>
        <w:tc>
          <w:tcPr>
            <w:tcW w:w="0" w:type="dxa"/>
            <w:vAlign w:val="bottom"/>
          </w:tcPr>
          <w:p>
            <w:pPr>
              <w:spacing w:after="0"/>
              <w:rPr>
                <w:sz w:val="1"/>
                <w:szCs w:val="1"/>
                <w:color w:val="auto"/>
              </w:rPr>
            </w:pPr>
          </w:p>
        </w:tc>
      </w:tr>
      <w:tr>
        <w:trPr>
          <w:trHeight w:val="119"/>
        </w:trPr>
        <w:tc>
          <w:tcPr>
            <w:tcW w:w="2480" w:type="dxa"/>
            <w:vAlign w:val="bottom"/>
          </w:tcPr>
          <w:p>
            <w:pPr>
              <w:ind w:left="100"/>
              <w:spacing w:after="0" w:line="119" w:lineRule="exact"/>
              <w:rPr>
                <w:sz w:val="20"/>
                <w:szCs w:val="20"/>
                <w:color w:val="auto"/>
              </w:rPr>
            </w:pPr>
            <w:r>
              <w:rPr>
                <w:rFonts w:ascii="Arial" w:cs="Arial" w:eastAsia="Arial" w:hAnsi="Arial"/>
                <w:sz w:val="13"/>
                <w:szCs w:val="13"/>
                <w:color w:val="auto"/>
                <w:vertAlign w:val="subscript"/>
              </w:rPr>
              <w:t>Inc.</w:t>
            </w:r>
            <w:r>
              <w:rPr>
                <w:rFonts w:ascii="Arial" w:cs="Arial" w:eastAsia="Arial" w:hAnsi="Arial"/>
                <w:sz w:val="6"/>
                <w:szCs w:val="6"/>
                <w:color w:val="auto"/>
              </w:rPr>
              <w:t xml:space="preserve"> (3)(4)(5)</w:t>
            </w:r>
          </w:p>
        </w:tc>
        <w:tc>
          <w:tcPr>
            <w:tcW w:w="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Arial" w:cs="Arial" w:eastAsia="Arial" w:hAnsi="Arial"/>
                <w:sz w:val="11"/>
                <w:szCs w:val="11"/>
                <w:color w:val="auto"/>
              </w:rPr>
              <w:t>(CAD 74,609)</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Alpha Midco, Inc. </w:t>
            </w:r>
            <w:r>
              <w:rPr>
                <w:rFonts w:ascii="Arial" w:cs="Arial" w:eastAsia="Arial" w:hAnsi="Arial"/>
                <w:sz w:val="14"/>
                <w:szCs w:val="14"/>
                <w:color w:val="auto"/>
                <w:vertAlign w:val="superscript"/>
              </w:rPr>
              <w:t>(3)(5)</w:t>
            </w:r>
          </w:p>
        </w:tc>
        <w:tc>
          <w:tcPr>
            <w:tcW w:w="100" w:type="dxa"/>
            <w:vAlign w:val="bottom"/>
          </w:tcPr>
          <w:p>
            <w:pPr>
              <w:spacing w:after="0"/>
              <w:rPr>
                <w:sz w:val="11"/>
                <w:szCs w:val="11"/>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First-lien loan ($66,510 par, due 8/2025)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8/15/2019</w:t>
            </w:r>
          </w:p>
        </w:tc>
        <w:tc>
          <w:tcPr>
            <w:tcW w:w="10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L + 7.50%</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9.81 %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65,506</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67,369</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5.4 %</w:t>
            </w:r>
          </w:p>
        </w:tc>
        <w:tc>
          <w:tcPr>
            <w:tcW w:w="0" w:type="dxa"/>
            <w:vAlign w:val="bottom"/>
          </w:tcPr>
          <w:p>
            <w:pPr>
              <w:spacing w:after="0"/>
              <w:rPr>
                <w:sz w:val="1"/>
                <w:szCs w:val="1"/>
                <w:color w:val="auto"/>
              </w:rPr>
            </w:pPr>
          </w:p>
        </w:tc>
      </w:tr>
      <w:tr>
        <w:trPr>
          <w:trHeight w:val="128"/>
        </w:trPr>
        <w:tc>
          <w:tcPr>
            <w:tcW w:w="2480" w:type="dxa"/>
            <w:vAlign w:val="bottom"/>
          </w:tcPr>
          <w:p>
            <w:pPr>
              <w:ind w:left="20"/>
              <w:spacing w:after="0" w:line="129" w:lineRule="exact"/>
              <w:rPr>
                <w:sz w:val="20"/>
                <w:szCs w:val="20"/>
                <w:color w:val="auto"/>
              </w:rPr>
            </w:pPr>
            <w:r>
              <w:rPr>
                <w:rFonts w:ascii="Arial" w:cs="Arial" w:eastAsia="Arial" w:hAnsi="Arial"/>
                <w:sz w:val="11"/>
                <w:szCs w:val="11"/>
                <w:color w:val="auto"/>
              </w:rPr>
              <w:t xml:space="preserve">Dye &amp; Durham Corp. </w:t>
            </w:r>
            <w:r>
              <w:rPr>
                <w:rFonts w:ascii="Arial" w:cs="Arial" w:eastAsia="Arial" w:hAnsi="Arial"/>
                <w:sz w:val="14"/>
                <w:szCs w:val="14"/>
                <w:color w:val="auto"/>
                <w:vertAlign w:val="superscript"/>
              </w:rPr>
              <w:t>(3)(4)</w:t>
            </w:r>
          </w:p>
        </w:tc>
        <w:tc>
          <w:tcPr>
            <w:tcW w:w="100" w:type="dxa"/>
            <w:vAlign w:val="bottom"/>
          </w:tcPr>
          <w:p>
            <w:pPr>
              <w:spacing w:after="0"/>
              <w:rPr>
                <w:sz w:val="11"/>
                <w:szCs w:val="11"/>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First-lien loan (CAD 32,772 par, due 12/2027)</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12/3/2021</w:t>
            </w:r>
          </w:p>
        </w:tc>
        <w:tc>
          <w:tcPr>
            <w:tcW w:w="10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C + 5.75%</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7.06 %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24,982</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25,560</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2.1 %</w:t>
            </w:r>
          </w:p>
        </w:tc>
        <w:tc>
          <w:tcPr>
            <w:tcW w:w="0" w:type="dxa"/>
            <w:vAlign w:val="bottom"/>
          </w:tcPr>
          <w:p>
            <w:pPr>
              <w:spacing w:after="0"/>
              <w:rPr>
                <w:sz w:val="1"/>
                <w:szCs w:val="1"/>
                <w:color w:val="auto"/>
              </w:rPr>
            </w:pPr>
          </w:p>
        </w:tc>
      </w:tr>
      <w:tr>
        <w:trPr>
          <w:trHeight w:val="135"/>
        </w:trPr>
        <w:tc>
          <w:tcPr>
            <w:tcW w:w="2480" w:type="dxa"/>
            <w:vAlign w:val="bottom"/>
            <w:vMerge w:val="restart"/>
          </w:tcPr>
          <w:p>
            <w:pPr>
              <w:ind w:left="20"/>
              <w:spacing w:after="0"/>
              <w:rPr>
                <w:sz w:val="20"/>
                <w:szCs w:val="20"/>
                <w:color w:val="auto"/>
              </w:rPr>
            </w:pPr>
            <w:r>
              <w:rPr>
                <w:rFonts w:ascii="Arial" w:cs="Arial" w:eastAsia="Arial" w:hAnsi="Arial"/>
                <w:sz w:val="11"/>
                <w:szCs w:val="11"/>
                <w:color w:val="auto"/>
              </w:rPr>
              <w:t xml:space="preserve">ExtraHop Networks, Inc. </w:t>
            </w:r>
            <w:r>
              <w:rPr>
                <w:rFonts w:ascii="Arial" w:cs="Arial" w:eastAsia="Arial" w:hAnsi="Arial"/>
                <w:sz w:val="14"/>
                <w:szCs w:val="14"/>
                <w:color w:val="auto"/>
                <w:vertAlign w:val="superscript"/>
              </w:rPr>
              <w:t>(3)(5)</w:t>
            </w: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(CAD 32,972)</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tcPr>
          <w:p>
            <w:pPr>
              <w:ind w:left="20"/>
              <w:spacing w:after="0" w:line="115" w:lineRule="exact"/>
              <w:rPr>
                <w:sz w:val="20"/>
                <w:szCs w:val="20"/>
                <w:color w:val="auto"/>
              </w:rPr>
            </w:pPr>
            <w:r>
              <w:rPr>
                <w:rFonts w:ascii="Arial" w:cs="Arial" w:eastAsia="Arial" w:hAnsi="Arial"/>
                <w:sz w:val="11"/>
                <w:szCs w:val="11"/>
                <w:color w:val="auto"/>
              </w:rPr>
              <w:t>First-lien loan ($54,197 par, due 7/2027)</w:t>
            </w:r>
          </w:p>
        </w:tc>
        <w:tc>
          <w:tcPr>
            <w:tcW w:w="96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7/22/2021</w:t>
            </w:r>
          </w:p>
        </w:tc>
        <w:tc>
          <w:tcPr>
            <w:tcW w:w="100" w:type="dxa"/>
            <w:vAlign w:val="bottom"/>
          </w:tcPr>
          <w:p>
            <w:pPr>
              <w:spacing w:after="0"/>
              <w:rPr>
                <w:sz w:val="9"/>
                <w:szCs w:val="9"/>
                <w:color w:val="auto"/>
              </w:rPr>
            </w:pPr>
          </w:p>
        </w:tc>
        <w:tc>
          <w:tcPr>
            <w:tcW w:w="104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L + 7.50%</w:t>
            </w:r>
          </w:p>
        </w:tc>
        <w:tc>
          <w:tcPr>
            <w:tcW w:w="104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9.75 %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52,963</w:t>
            </w:r>
          </w:p>
        </w:tc>
        <w:tc>
          <w:tcPr>
            <w:tcW w:w="10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52,571</w:t>
            </w:r>
          </w:p>
        </w:tc>
        <w:tc>
          <w:tcPr>
            <w:tcW w:w="114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4.2 %</w:t>
            </w:r>
          </w:p>
        </w:tc>
        <w:tc>
          <w:tcPr>
            <w:tcW w:w="0" w:type="dxa"/>
            <w:vAlign w:val="bottom"/>
          </w:tcPr>
          <w:p>
            <w:pPr>
              <w:spacing w:after="0"/>
              <w:rPr>
                <w:sz w:val="1"/>
                <w:szCs w:val="1"/>
                <w:color w:val="auto"/>
              </w:rPr>
            </w:pPr>
          </w:p>
        </w:tc>
      </w:tr>
      <w:tr>
        <w:trPr>
          <w:trHeight w:val="128"/>
        </w:trPr>
        <w:tc>
          <w:tcPr>
            <w:tcW w:w="2480" w:type="dxa"/>
            <w:vAlign w:val="bottom"/>
          </w:tcPr>
          <w:p>
            <w:pPr>
              <w:ind w:left="20"/>
              <w:spacing w:after="0" w:line="129" w:lineRule="exact"/>
              <w:rPr>
                <w:sz w:val="20"/>
                <w:szCs w:val="20"/>
                <w:color w:val="auto"/>
              </w:rPr>
            </w:pPr>
            <w:r>
              <w:rPr>
                <w:rFonts w:ascii="Arial" w:cs="Arial" w:eastAsia="Arial" w:hAnsi="Arial"/>
                <w:sz w:val="11"/>
                <w:szCs w:val="11"/>
                <w:color w:val="auto"/>
              </w:rPr>
              <w:t xml:space="preserve">ForeScout Technologies, Inc. </w:t>
            </w:r>
            <w:r>
              <w:rPr>
                <w:rFonts w:ascii="Arial" w:cs="Arial" w:eastAsia="Arial" w:hAnsi="Arial"/>
                <w:sz w:val="14"/>
                <w:szCs w:val="14"/>
                <w:color w:val="auto"/>
                <w:vertAlign w:val="superscript"/>
              </w:rPr>
              <w:t>(3)</w:t>
            </w:r>
          </w:p>
        </w:tc>
        <w:tc>
          <w:tcPr>
            <w:tcW w:w="100" w:type="dxa"/>
            <w:vAlign w:val="bottom"/>
          </w:tcPr>
          <w:p>
            <w:pPr>
              <w:spacing w:after="0"/>
              <w:rPr>
                <w:sz w:val="11"/>
                <w:szCs w:val="11"/>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First-lien loan ($6,499 par, due 8/2026)</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8/17/2020</w:t>
            </w:r>
          </w:p>
        </w:tc>
        <w:tc>
          <w:tcPr>
            <w:tcW w:w="10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L + 9.50%</w:t>
            </w:r>
          </w:p>
        </w:tc>
        <w:tc>
          <w:tcPr>
            <w:tcW w:w="1180" w:type="dxa"/>
            <w:vAlign w:val="bottom"/>
            <w:gridSpan w:val="3"/>
          </w:tcPr>
          <w:p>
            <w:pPr>
              <w:jc w:val="right"/>
              <w:ind w:right="400"/>
              <w:spacing w:after="0"/>
              <w:rPr>
                <w:sz w:val="20"/>
                <w:szCs w:val="20"/>
                <w:color w:val="auto"/>
              </w:rPr>
            </w:pPr>
            <w:r>
              <w:rPr>
                <w:rFonts w:ascii="Arial" w:cs="Arial" w:eastAsia="Arial" w:hAnsi="Arial"/>
                <w:sz w:val="11"/>
                <w:szCs w:val="11"/>
                <w:color w:val="auto"/>
              </w:rPr>
              <w:t>11.75% (incl.</w:t>
            </w:r>
          </w:p>
        </w:tc>
        <w:tc>
          <w:tcPr>
            <w:tcW w:w="760" w:type="dxa"/>
            <w:vAlign w:val="bottom"/>
          </w:tcPr>
          <w:p>
            <w:pPr>
              <w:jc w:val="right"/>
              <w:spacing w:after="0"/>
              <w:rPr>
                <w:sz w:val="20"/>
                <w:szCs w:val="20"/>
                <w:color w:val="auto"/>
              </w:rPr>
            </w:pPr>
            <w:r>
              <w:rPr>
                <w:rFonts w:ascii="Arial" w:cs="Arial" w:eastAsia="Arial" w:hAnsi="Arial"/>
                <w:sz w:val="11"/>
                <w:szCs w:val="11"/>
                <w:color w:val="auto"/>
              </w:rPr>
              <w:t>6,391</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6,432</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0.5 %</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1"/>
                <w:szCs w:val="11"/>
                <w:color w:val="auto"/>
              </w:rPr>
              <w:t>9.50% PIK)</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80" w:type="dxa"/>
            <w:vAlign w:val="bottom"/>
          </w:tcPr>
          <w:p>
            <w:pPr>
              <w:ind w:left="20"/>
              <w:spacing w:after="0" w:line="108" w:lineRule="exact"/>
              <w:rPr>
                <w:sz w:val="20"/>
                <w:szCs w:val="20"/>
                <w:color w:val="auto"/>
              </w:rPr>
            </w:pPr>
            <w:r>
              <w:rPr>
                <w:rFonts w:ascii="Arial" w:cs="Arial" w:eastAsia="Arial" w:hAnsi="Arial"/>
                <w:sz w:val="11"/>
                <w:szCs w:val="11"/>
                <w:color w:val="auto"/>
              </w:rPr>
              <w:t>Information Clearinghouse, LLC</w:t>
            </w:r>
          </w:p>
        </w:tc>
        <w:tc>
          <w:tcPr>
            <w:tcW w:w="100" w:type="dxa"/>
            <w:vAlign w:val="bottom"/>
          </w:tcPr>
          <w:p>
            <w:pPr>
              <w:spacing w:after="0"/>
              <w:rPr>
                <w:sz w:val="9"/>
                <w:szCs w:val="9"/>
                <w:color w:val="auto"/>
              </w:rPr>
            </w:pPr>
          </w:p>
        </w:tc>
        <w:tc>
          <w:tcPr>
            <w:tcW w:w="2440" w:type="dxa"/>
            <w:vAlign w:val="bottom"/>
          </w:tcPr>
          <w:p>
            <w:pPr>
              <w:ind w:left="20"/>
              <w:spacing w:after="0" w:line="108" w:lineRule="exact"/>
              <w:rPr>
                <w:sz w:val="20"/>
                <w:szCs w:val="20"/>
                <w:color w:val="auto"/>
              </w:rPr>
            </w:pPr>
            <w:r>
              <w:rPr>
                <w:rFonts w:ascii="Arial" w:cs="Arial" w:eastAsia="Arial" w:hAnsi="Arial"/>
                <w:sz w:val="11"/>
                <w:szCs w:val="11"/>
                <w:color w:val="auto"/>
              </w:rPr>
              <w:t>First-lien loan ($17,910 par, due 12/2026)</w:t>
            </w:r>
          </w:p>
        </w:tc>
        <w:tc>
          <w:tcPr>
            <w:tcW w:w="96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12/20/2021</w:t>
            </w:r>
          </w:p>
        </w:tc>
        <w:tc>
          <w:tcPr>
            <w:tcW w:w="100" w:type="dxa"/>
            <w:vAlign w:val="bottom"/>
          </w:tcPr>
          <w:p>
            <w:pPr>
              <w:spacing w:after="0"/>
              <w:rPr>
                <w:sz w:val="9"/>
                <w:szCs w:val="9"/>
                <w:color w:val="auto"/>
              </w:rPr>
            </w:pPr>
          </w:p>
        </w:tc>
        <w:tc>
          <w:tcPr>
            <w:tcW w:w="1040" w:type="dxa"/>
            <w:vAlign w:val="bottom"/>
            <w:gridSpan w:val="2"/>
          </w:tcPr>
          <w:p>
            <w:pPr>
              <w:jc w:val="right"/>
              <w:ind w:right="240"/>
              <w:spacing w:after="0" w:line="108" w:lineRule="exact"/>
              <w:rPr>
                <w:sz w:val="20"/>
                <w:szCs w:val="20"/>
                <w:color w:val="auto"/>
              </w:rPr>
            </w:pPr>
            <w:r>
              <w:rPr>
                <w:rFonts w:ascii="Arial" w:cs="Arial" w:eastAsia="Arial" w:hAnsi="Arial"/>
                <w:sz w:val="11"/>
                <w:szCs w:val="11"/>
                <w:color w:val="auto"/>
              </w:rPr>
              <w:t>L + 6.50%</w:t>
            </w:r>
          </w:p>
        </w:tc>
        <w:tc>
          <w:tcPr>
            <w:tcW w:w="1040" w:type="dxa"/>
            <w:vAlign w:val="bottom"/>
            <w:gridSpan w:val="2"/>
          </w:tcPr>
          <w:p>
            <w:pPr>
              <w:jc w:val="right"/>
              <w:ind w:right="120"/>
              <w:spacing w:after="0" w:line="108" w:lineRule="exact"/>
              <w:rPr>
                <w:sz w:val="20"/>
                <w:szCs w:val="20"/>
                <w:color w:val="auto"/>
              </w:rPr>
            </w:pPr>
            <w:r>
              <w:rPr>
                <w:rFonts w:ascii="Arial" w:cs="Arial" w:eastAsia="Arial" w:hAnsi="Arial"/>
                <w:sz w:val="11"/>
                <w:szCs w:val="11"/>
                <w:color w:val="auto"/>
              </w:rPr>
              <w:t>8.56 %</w:t>
            </w:r>
          </w:p>
        </w:tc>
        <w:tc>
          <w:tcPr>
            <w:tcW w:w="14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1"/>
                <w:szCs w:val="11"/>
                <w:color w:val="auto"/>
              </w:rPr>
              <w:t>17,481</w:t>
            </w:r>
          </w:p>
        </w:tc>
        <w:tc>
          <w:tcPr>
            <w:tcW w:w="10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17,283</w:t>
            </w:r>
          </w:p>
        </w:tc>
        <w:tc>
          <w:tcPr>
            <w:tcW w:w="1140" w:type="dxa"/>
            <w:vAlign w:val="bottom"/>
            <w:gridSpan w:val="3"/>
          </w:tcPr>
          <w:p>
            <w:pPr>
              <w:jc w:val="right"/>
              <w:spacing w:after="0" w:line="108" w:lineRule="exact"/>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104"/>
        </w:trPr>
        <w:tc>
          <w:tcPr>
            <w:tcW w:w="2480" w:type="dxa"/>
            <w:vAlign w:val="bottom"/>
          </w:tcPr>
          <w:p>
            <w:pPr>
              <w:ind w:left="100"/>
              <w:spacing w:after="0" w:line="104" w:lineRule="exact"/>
              <w:rPr>
                <w:sz w:val="20"/>
                <w:szCs w:val="20"/>
                <w:color w:val="auto"/>
              </w:rPr>
            </w:pPr>
            <w:r>
              <w:rPr>
                <w:rFonts w:ascii="Arial" w:cs="Arial" w:eastAsia="Arial" w:hAnsi="Arial"/>
                <w:sz w:val="11"/>
                <w:szCs w:val="11"/>
                <w:color w:val="auto"/>
              </w:rPr>
              <w:t>and MS Market Service,</w:t>
            </w:r>
          </w:p>
        </w:tc>
        <w:tc>
          <w:tcPr>
            <w:tcW w:w="1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480" w:type="dxa"/>
            <w:vAlign w:val="bottom"/>
          </w:tcPr>
          <w:p>
            <w:pPr>
              <w:ind w:left="100"/>
              <w:spacing w:after="0" w:line="119" w:lineRule="exact"/>
              <w:rPr>
                <w:sz w:val="20"/>
                <w:szCs w:val="20"/>
                <w:color w:val="auto"/>
              </w:rPr>
            </w:pPr>
            <w:r>
              <w:rPr>
                <w:rFonts w:ascii="Arial" w:cs="Arial" w:eastAsia="Arial" w:hAnsi="Arial"/>
                <w:sz w:val="13"/>
                <w:szCs w:val="13"/>
                <w:color w:val="auto"/>
                <w:vertAlign w:val="subscript"/>
              </w:rPr>
              <w:t>LLC</w:t>
            </w:r>
            <w:r>
              <w:rPr>
                <w:rFonts w:ascii="Arial" w:cs="Arial" w:eastAsia="Arial" w:hAnsi="Arial"/>
                <w:sz w:val="6"/>
                <w:szCs w:val="6"/>
                <w:color w:val="auto"/>
              </w:rPr>
              <w:t xml:space="preserve"> (3)(5)</w:t>
            </w:r>
          </w:p>
        </w:tc>
        <w:tc>
          <w:tcPr>
            <w:tcW w:w="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480" w:type="dxa"/>
            <w:vAlign w:val="bottom"/>
          </w:tcPr>
          <w:p>
            <w:pPr>
              <w:ind w:left="20"/>
              <w:spacing w:after="0" w:line="129" w:lineRule="exact"/>
              <w:rPr>
                <w:sz w:val="20"/>
                <w:szCs w:val="20"/>
                <w:color w:val="auto"/>
              </w:rPr>
            </w:pPr>
            <w:r>
              <w:rPr>
                <w:rFonts w:ascii="Arial" w:cs="Arial" w:eastAsia="Arial" w:hAnsi="Arial"/>
                <w:sz w:val="11"/>
                <w:szCs w:val="11"/>
                <w:color w:val="auto"/>
              </w:rPr>
              <w:t xml:space="preserve">Mitnick Corporate Purchaser, Inc. </w:t>
            </w:r>
            <w:r>
              <w:rPr>
                <w:rFonts w:ascii="Arial" w:cs="Arial" w:eastAsia="Arial" w:hAnsi="Arial"/>
                <w:sz w:val="14"/>
                <w:szCs w:val="14"/>
                <w:color w:val="auto"/>
                <w:vertAlign w:val="superscript"/>
              </w:rPr>
              <w:t>(3)(10)</w:t>
            </w:r>
          </w:p>
        </w:tc>
        <w:tc>
          <w:tcPr>
            <w:tcW w:w="100" w:type="dxa"/>
            <w:vAlign w:val="bottom"/>
          </w:tcPr>
          <w:p>
            <w:pPr>
              <w:spacing w:after="0"/>
              <w:rPr>
                <w:sz w:val="11"/>
                <w:szCs w:val="11"/>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First-lien loan ($333 par, due 5/2029)</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5/2/2022</w:t>
            </w:r>
          </w:p>
        </w:tc>
        <w:tc>
          <w:tcPr>
            <w:tcW w:w="100" w:type="dxa"/>
            <w:vAlign w:val="bottom"/>
          </w:tcPr>
          <w:p>
            <w:pPr>
              <w:spacing w:after="0"/>
              <w:rPr>
                <w:sz w:val="11"/>
                <w:szCs w:val="1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1"/>
                <w:szCs w:val="11"/>
                <w:color w:val="auto"/>
              </w:rPr>
              <w:t>SOFR +</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5.92 %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333</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316</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0.0 %</w:t>
            </w:r>
          </w:p>
        </w:tc>
        <w:tc>
          <w:tcPr>
            <w:tcW w:w="0" w:type="dxa"/>
            <w:vAlign w:val="bottom"/>
          </w:tcPr>
          <w:p>
            <w:pPr>
              <w:spacing w:after="0"/>
              <w:rPr>
                <w:sz w:val="1"/>
                <w:szCs w:val="1"/>
                <w:color w:val="auto"/>
              </w:rPr>
            </w:pPr>
          </w:p>
        </w:tc>
      </w:tr>
      <w:tr>
        <w:trPr>
          <w:trHeight w:val="135"/>
        </w:trPr>
        <w:tc>
          <w:tcPr>
            <w:tcW w:w="2480" w:type="dxa"/>
            <w:vAlign w:val="bottom"/>
            <w:vMerge w:val="restart"/>
          </w:tcPr>
          <w:p>
            <w:pPr>
              <w:ind w:left="20"/>
              <w:spacing w:after="0"/>
              <w:rPr>
                <w:sz w:val="20"/>
                <w:szCs w:val="20"/>
                <w:color w:val="auto"/>
              </w:rPr>
            </w:pPr>
            <w:r>
              <w:rPr>
                <w:rFonts w:ascii="Arial" w:cs="Arial" w:eastAsia="Arial" w:hAnsi="Arial"/>
                <w:sz w:val="11"/>
                <w:szCs w:val="11"/>
                <w:color w:val="auto"/>
              </w:rPr>
              <w:t xml:space="preserve">Netwrix Corp. </w:t>
            </w:r>
            <w:r>
              <w:rPr>
                <w:rFonts w:ascii="Arial" w:cs="Arial" w:eastAsia="Arial" w:hAnsi="Arial"/>
                <w:sz w:val="14"/>
                <w:szCs w:val="14"/>
                <w:color w:val="auto"/>
                <w:vertAlign w:val="superscript"/>
              </w:rPr>
              <w:t>(3)</w:t>
            </w: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4.85%</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tcPr>
          <w:p>
            <w:pPr>
              <w:ind w:left="20"/>
              <w:spacing w:after="0" w:line="108" w:lineRule="exact"/>
              <w:rPr>
                <w:sz w:val="20"/>
                <w:szCs w:val="20"/>
                <w:color w:val="auto"/>
              </w:rPr>
            </w:pPr>
            <w:r>
              <w:rPr>
                <w:rFonts w:ascii="Arial" w:cs="Arial" w:eastAsia="Arial" w:hAnsi="Arial"/>
                <w:sz w:val="11"/>
                <w:szCs w:val="11"/>
                <w:color w:val="auto"/>
              </w:rPr>
              <w:t>First-lien loan ($27,439 par, due 6/2029)</w:t>
            </w:r>
          </w:p>
        </w:tc>
        <w:tc>
          <w:tcPr>
            <w:tcW w:w="96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6/9/2022</w:t>
            </w:r>
          </w:p>
        </w:tc>
        <w:tc>
          <w:tcPr>
            <w:tcW w:w="100" w:type="dxa"/>
            <w:vAlign w:val="bottom"/>
          </w:tcPr>
          <w:p>
            <w:pPr>
              <w:spacing w:after="0"/>
              <w:rPr>
                <w:sz w:val="9"/>
                <w:szCs w:val="9"/>
                <w:color w:val="auto"/>
              </w:rPr>
            </w:pPr>
          </w:p>
        </w:tc>
        <w:tc>
          <w:tcPr>
            <w:tcW w:w="1040" w:type="dxa"/>
            <w:vAlign w:val="bottom"/>
            <w:gridSpan w:val="2"/>
          </w:tcPr>
          <w:p>
            <w:pPr>
              <w:jc w:val="right"/>
              <w:ind w:right="260"/>
              <w:spacing w:after="0" w:line="108" w:lineRule="exact"/>
              <w:rPr>
                <w:sz w:val="20"/>
                <w:szCs w:val="20"/>
                <w:color w:val="auto"/>
              </w:rPr>
            </w:pPr>
            <w:r>
              <w:rPr>
                <w:rFonts w:ascii="Arial" w:cs="Arial" w:eastAsia="Arial" w:hAnsi="Arial"/>
                <w:sz w:val="11"/>
                <w:szCs w:val="11"/>
                <w:color w:val="auto"/>
              </w:rPr>
              <w:t>SOFR +</w:t>
            </w:r>
          </w:p>
        </w:tc>
        <w:tc>
          <w:tcPr>
            <w:tcW w:w="1040" w:type="dxa"/>
            <w:vAlign w:val="bottom"/>
            <w:gridSpan w:val="2"/>
          </w:tcPr>
          <w:p>
            <w:pPr>
              <w:jc w:val="right"/>
              <w:ind w:right="120"/>
              <w:spacing w:after="0" w:line="108" w:lineRule="exact"/>
              <w:rPr>
                <w:sz w:val="20"/>
                <w:szCs w:val="20"/>
                <w:color w:val="auto"/>
              </w:rPr>
            </w:pPr>
            <w:r>
              <w:rPr>
                <w:rFonts w:ascii="Arial" w:cs="Arial" w:eastAsia="Arial" w:hAnsi="Arial"/>
                <w:sz w:val="11"/>
                <w:szCs w:val="11"/>
                <w:color w:val="auto"/>
              </w:rPr>
              <w:t>6.50 %</w:t>
            </w:r>
          </w:p>
        </w:tc>
        <w:tc>
          <w:tcPr>
            <w:tcW w:w="14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1"/>
                <w:szCs w:val="11"/>
                <w:color w:val="auto"/>
              </w:rPr>
              <w:t>26,815</w:t>
            </w:r>
          </w:p>
        </w:tc>
        <w:tc>
          <w:tcPr>
            <w:tcW w:w="10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26,314</w:t>
            </w:r>
          </w:p>
        </w:tc>
        <w:tc>
          <w:tcPr>
            <w:tcW w:w="1140" w:type="dxa"/>
            <w:vAlign w:val="bottom"/>
            <w:gridSpan w:val="3"/>
          </w:tcPr>
          <w:p>
            <w:pPr>
              <w:jc w:val="right"/>
              <w:spacing w:after="0" w:line="108" w:lineRule="exact"/>
              <w:rPr>
                <w:sz w:val="20"/>
                <w:szCs w:val="20"/>
                <w:color w:val="auto"/>
              </w:rPr>
            </w:pPr>
            <w:r>
              <w:rPr>
                <w:rFonts w:ascii="Arial" w:cs="Arial" w:eastAsia="Arial" w:hAnsi="Arial"/>
                <w:sz w:val="11"/>
                <w:szCs w:val="11"/>
                <w:color w:val="auto"/>
              </w:rPr>
              <w:t>2.1 %</w:t>
            </w:r>
          </w:p>
        </w:tc>
        <w:tc>
          <w:tcPr>
            <w:tcW w:w="0" w:type="dxa"/>
            <w:vAlign w:val="bottom"/>
          </w:tcPr>
          <w:p>
            <w:pPr>
              <w:spacing w:after="0"/>
              <w:rPr>
                <w:sz w:val="1"/>
                <w:szCs w:val="1"/>
                <w:color w:val="auto"/>
              </w:rPr>
            </w:pPr>
          </w:p>
        </w:tc>
      </w:tr>
      <w:tr>
        <w:trPr>
          <w:trHeight w:val="135"/>
        </w:trPr>
        <w:tc>
          <w:tcPr>
            <w:tcW w:w="2480" w:type="dxa"/>
            <w:vAlign w:val="bottom"/>
            <w:vMerge w:val="restart"/>
          </w:tcPr>
          <w:p>
            <w:pPr>
              <w:ind w:left="20"/>
              <w:spacing w:after="0"/>
              <w:rPr>
                <w:sz w:val="20"/>
                <w:szCs w:val="20"/>
                <w:color w:val="auto"/>
              </w:rPr>
            </w:pPr>
            <w:r>
              <w:rPr>
                <w:rFonts w:ascii="Arial" w:cs="Arial" w:eastAsia="Arial" w:hAnsi="Arial"/>
                <w:sz w:val="11"/>
                <w:szCs w:val="11"/>
                <w:color w:val="auto"/>
              </w:rPr>
              <w:t xml:space="preserve">ReliaQuest Holdings, LLC </w:t>
            </w:r>
            <w:r>
              <w:rPr>
                <w:rFonts w:ascii="Arial" w:cs="Arial" w:eastAsia="Arial" w:hAnsi="Arial"/>
                <w:sz w:val="14"/>
                <w:szCs w:val="14"/>
                <w:color w:val="auto"/>
                <w:vertAlign w:val="superscript"/>
              </w:rPr>
              <w:t>(3)(5)</w:t>
            </w: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tcPr>
          <w:p>
            <w:pPr>
              <w:ind w:left="20"/>
              <w:spacing w:after="0" w:line="115" w:lineRule="exact"/>
              <w:rPr>
                <w:sz w:val="20"/>
                <w:szCs w:val="20"/>
                <w:color w:val="auto"/>
              </w:rPr>
            </w:pPr>
            <w:r>
              <w:rPr>
                <w:rFonts w:ascii="Arial" w:cs="Arial" w:eastAsia="Arial" w:hAnsi="Arial"/>
                <w:sz w:val="11"/>
                <w:szCs w:val="11"/>
                <w:color w:val="auto"/>
              </w:rPr>
              <w:t>First-lien loan ($51,092 par, due 10/2026)</w:t>
            </w:r>
          </w:p>
        </w:tc>
        <w:tc>
          <w:tcPr>
            <w:tcW w:w="96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10/8/2020</w:t>
            </w:r>
          </w:p>
        </w:tc>
        <w:tc>
          <w:tcPr>
            <w:tcW w:w="100" w:type="dxa"/>
            <w:vAlign w:val="bottom"/>
          </w:tcPr>
          <w:p>
            <w:pPr>
              <w:spacing w:after="0"/>
              <w:rPr>
                <w:sz w:val="9"/>
                <w:szCs w:val="9"/>
                <w:color w:val="auto"/>
              </w:rPr>
            </w:pPr>
          </w:p>
        </w:tc>
        <w:tc>
          <w:tcPr>
            <w:tcW w:w="104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L + 8.25%</w:t>
            </w:r>
          </w:p>
        </w:tc>
        <w:tc>
          <w:tcPr>
            <w:tcW w:w="104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10.50 %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50,190</w:t>
            </w:r>
          </w:p>
        </w:tc>
        <w:tc>
          <w:tcPr>
            <w:tcW w:w="10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51,475</w:t>
            </w:r>
          </w:p>
        </w:tc>
        <w:tc>
          <w:tcPr>
            <w:tcW w:w="114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4.1 %</w:t>
            </w:r>
          </w:p>
        </w:tc>
        <w:tc>
          <w:tcPr>
            <w:tcW w:w="0" w:type="dxa"/>
            <w:vAlign w:val="bottom"/>
          </w:tcPr>
          <w:p>
            <w:pPr>
              <w:spacing w:after="0"/>
              <w:rPr>
                <w:sz w:val="1"/>
                <w:szCs w:val="1"/>
                <w:color w:val="auto"/>
              </w:rPr>
            </w:pPr>
          </w:p>
        </w:tc>
      </w:tr>
      <w:tr>
        <w:trPr>
          <w:trHeight w:val="165"/>
        </w:trPr>
        <w:tc>
          <w:tcPr>
            <w:tcW w:w="2480" w:type="dxa"/>
            <w:vAlign w:val="bottom"/>
          </w:tcPr>
          <w:p>
            <w:pPr>
              <w:ind w:left="20"/>
              <w:spacing w:after="0"/>
              <w:rPr>
                <w:sz w:val="20"/>
                <w:szCs w:val="20"/>
                <w:color w:val="auto"/>
              </w:rPr>
            </w:pPr>
            <w:r>
              <w:rPr>
                <w:rFonts w:ascii="Arial" w:cs="Arial" w:eastAsia="Arial" w:hAnsi="Arial"/>
                <w:sz w:val="11"/>
                <w:szCs w:val="11"/>
                <w:color w:val="auto"/>
              </w:rPr>
              <w:t xml:space="preserve">WideOrbit, Inc. </w:t>
            </w:r>
            <w:r>
              <w:rPr>
                <w:rFonts w:ascii="Arial" w:cs="Arial" w:eastAsia="Arial" w:hAnsi="Arial"/>
                <w:sz w:val="14"/>
                <w:szCs w:val="14"/>
                <w:color w:val="auto"/>
                <w:vertAlign w:val="superscript"/>
              </w:rPr>
              <w:t>(3)</w:t>
            </w:r>
          </w:p>
        </w:tc>
        <w:tc>
          <w:tcPr>
            <w:tcW w:w="100" w:type="dxa"/>
            <w:vAlign w:val="bottom"/>
          </w:tcPr>
          <w:p>
            <w:pPr>
              <w:spacing w:after="0"/>
              <w:rPr>
                <w:sz w:val="14"/>
                <w:szCs w:val="14"/>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First-lien loan ($50,031 par, due 7/2025)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7/8/2020</w:t>
            </w: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L + 8.50%</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9.75 %</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49,491</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50,907</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4.1 %</w:t>
            </w:r>
          </w:p>
        </w:tc>
        <w:tc>
          <w:tcPr>
            <w:tcW w:w="0" w:type="dxa"/>
            <w:vAlign w:val="bottom"/>
          </w:tcPr>
          <w:p>
            <w:pPr>
              <w:spacing w:after="0"/>
              <w:rPr>
                <w:sz w:val="1"/>
                <w:szCs w:val="1"/>
                <w:color w:val="auto"/>
              </w:rPr>
            </w:pPr>
          </w:p>
        </w:tc>
      </w:tr>
      <w:tr>
        <w:trPr>
          <w:trHeight w:val="129"/>
        </w:trPr>
        <w:tc>
          <w:tcPr>
            <w:tcW w:w="24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4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349,674</w:t>
            </w:r>
          </w:p>
        </w:tc>
        <w:tc>
          <w:tcPr>
            <w:tcW w:w="2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356,065</w:t>
            </w:r>
          </w:p>
        </w:tc>
        <w:tc>
          <w:tcPr>
            <w:tcW w:w="2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28.6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1"/>
              </w:rPr>
              <w:t>%</w:t>
            </w:r>
          </w:p>
        </w:tc>
        <w:tc>
          <w:tcPr>
            <w:tcW w:w="0" w:type="dxa"/>
            <w:vAlign w:val="bottom"/>
          </w:tcPr>
          <w:p>
            <w:pPr>
              <w:spacing w:after="0"/>
              <w:rPr>
                <w:sz w:val="1"/>
                <w:szCs w:val="1"/>
                <w:color w:val="auto"/>
              </w:rPr>
            </w:pPr>
          </w:p>
        </w:tc>
      </w:tr>
      <w:tr>
        <w:trPr>
          <w:trHeight w:val="99"/>
        </w:trPr>
        <w:tc>
          <w:tcPr>
            <w:tcW w:w="248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Communications</w:t>
            </w:r>
          </w:p>
        </w:tc>
        <w:tc>
          <w:tcPr>
            <w:tcW w:w="1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Celtra Technologies, Inc. </w:t>
            </w:r>
            <w:r>
              <w:rPr>
                <w:rFonts w:ascii="Arial" w:cs="Arial" w:eastAsia="Arial" w:hAnsi="Arial"/>
                <w:sz w:val="14"/>
                <w:szCs w:val="14"/>
                <w:color w:val="auto"/>
                <w:vertAlign w:val="superscript"/>
              </w:rPr>
              <w:t>(3)(5)</w:t>
            </w:r>
          </w:p>
        </w:tc>
        <w:tc>
          <w:tcPr>
            <w:tcW w:w="100" w:type="dxa"/>
            <w:vAlign w:val="bottom"/>
          </w:tcPr>
          <w:p>
            <w:pPr>
              <w:spacing w:after="0"/>
              <w:rPr>
                <w:sz w:val="11"/>
                <w:szCs w:val="11"/>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First-lien loan ($34,825 par, due 11/2026)</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11/19/2021</w:t>
            </w:r>
          </w:p>
        </w:tc>
        <w:tc>
          <w:tcPr>
            <w:tcW w:w="10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L + 7.00%</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9.25 %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33,842</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33,432</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2.7 %</w:t>
            </w:r>
          </w:p>
        </w:tc>
        <w:tc>
          <w:tcPr>
            <w:tcW w:w="0" w:type="dxa"/>
            <w:vAlign w:val="bottom"/>
          </w:tcPr>
          <w:p>
            <w:pPr>
              <w:spacing w:after="0"/>
              <w:rPr>
                <w:sz w:val="1"/>
                <w:szCs w:val="1"/>
                <w:color w:val="auto"/>
              </w:rPr>
            </w:pPr>
          </w:p>
        </w:tc>
      </w:tr>
      <w:tr>
        <w:trPr>
          <w:trHeight w:val="165"/>
        </w:trPr>
        <w:tc>
          <w:tcPr>
            <w:tcW w:w="2480" w:type="dxa"/>
            <w:vAlign w:val="bottom"/>
          </w:tcPr>
          <w:p>
            <w:pPr>
              <w:ind w:left="20"/>
              <w:spacing w:after="0"/>
              <w:rPr>
                <w:sz w:val="20"/>
                <w:szCs w:val="20"/>
                <w:color w:val="auto"/>
              </w:rPr>
            </w:pPr>
            <w:r>
              <w:rPr>
                <w:rFonts w:ascii="Arial" w:cs="Arial" w:eastAsia="Arial" w:hAnsi="Arial"/>
                <w:sz w:val="11"/>
                <w:szCs w:val="11"/>
                <w:color w:val="auto"/>
              </w:rPr>
              <w:t>IntelePeer Holdings, Inc.</w:t>
            </w:r>
          </w:p>
        </w:tc>
        <w:tc>
          <w:tcPr>
            <w:tcW w:w="100" w:type="dxa"/>
            <w:vAlign w:val="bottom"/>
          </w:tcPr>
          <w:p>
            <w:pPr>
              <w:spacing w:after="0"/>
              <w:rPr>
                <w:sz w:val="14"/>
                <w:szCs w:val="14"/>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 xml:space="preserve">First-lien loan ($34,956 par, due 12/2024) </w:t>
            </w:r>
            <w:r>
              <w:rPr>
                <w:rFonts w:ascii="Arial" w:cs="Arial" w:eastAsia="Arial" w:hAnsi="Arial"/>
                <w:sz w:val="14"/>
                <w:szCs w:val="14"/>
                <w:color w:val="auto"/>
                <w:vertAlign w:val="superscript"/>
              </w:rPr>
              <w:t>(3)</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12/2/2019</w:t>
            </w: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L + 8.25%</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9.92 %</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34,902</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34,344</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2.8 %</w:t>
            </w:r>
          </w:p>
        </w:tc>
        <w:tc>
          <w:tcPr>
            <w:tcW w:w="0" w:type="dxa"/>
            <w:vAlign w:val="bottom"/>
          </w:tcPr>
          <w:p>
            <w:pPr>
              <w:spacing w:after="0"/>
              <w:rPr>
                <w:sz w:val="1"/>
                <w:szCs w:val="1"/>
                <w:color w:val="auto"/>
              </w:rPr>
            </w:pPr>
          </w:p>
        </w:tc>
      </w:tr>
      <w:tr>
        <w:trPr>
          <w:trHeight w:val="135"/>
        </w:trPr>
        <w:tc>
          <w:tcPr>
            <w:tcW w:w="2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4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Convertible note ($4,249 par, due 5/2028)</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5/12/2021</w:t>
            </w:r>
          </w:p>
        </w:tc>
        <w:tc>
          <w:tcPr>
            <w:tcW w:w="114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6.00 %</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6.00% PIK</w:t>
            </w: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4,214</w:t>
            </w: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4,185</w:t>
            </w:r>
          </w:p>
        </w:tc>
        <w:tc>
          <w:tcPr>
            <w:tcW w:w="2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0.3 %</w:t>
            </w:r>
          </w:p>
        </w:tc>
        <w:tc>
          <w:tcPr>
            <w:tcW w:w="0" w:type="dxa"/>
            <w:vAlign w:val="bottom"/>
          </w:tcPr>
          <w:p>
            <w:pPr>
              <w:spacing w:after="0"/>
              <w:rPr>
                <w:sz w:val="1"/>
                <w:szCs w:val="1"/>
                <w:color w:val="auto"/>
              </w:rPr>
            </w:pPr>
          </w:p>
        </w:tc>
      </w:tr>
      <w:tr>
        <w:trPr>
          <w:trHeight w:val="20"/>
        </w:trPr>
        <w:tc>
          <w:tcPr>
            <w:tcW w:w="24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72,958</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71,961</w:t>
            </w:r>
          </w:p>
        </w:tc>
        <w:tc>
          <w:tcPr>
            <w:tcW w:w="20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5.8 %</w:t>
            </w:r>
          </w:p>
        </w:tc>
        <w:tc>
          <w:tcPr>
            <w:tcW w:w="0" w:type="dxa"/>
            <w:vAlign w:val="bottom"/>
          </w:tcPr>
          <w:p>
            <w:pPr>
              <w:spacing w:after="0"/>
              <w:rPr>
                <w:sz w:val="1"/>
                <w:szCs w:val="1"/>
                <w:color w:val="auto"/>
              </w:rPr>
            </w:pPr>
          </w:p>
        </w:tc>
      </w:tr>
      <w:tr>
        <w:trPr>
          <w:trHeight w:val="99"/>
        </w:trPr>
        <w:tc>
          <w:tcPr>
            <w:tcW w:w="248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Education</w:t>
            </w:r>
          </w:p>
        </w:tc>
        <w:tc>
          <w:tcPr>
            <w:tcW w:w="1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Astra Acquisition Corp. </w:t>
            </w:r>
            <w:r>
              <w:rPr>
                <w:rFonts w:ascii="Arial" w:cs="Arial" w:eastAsia="Arial" w:hAnsi="Arial"/>
                <w:sz w:val="14"/>
                <w:szCs w:val="14"/>
                <w:color w:val="auto"/>
                <w:vertAlign w:val="superscript"/>
              </w:rPr>
              <w:t>(3)</w:t>
            </w:r>
          </w:p>
        </w:tc>
        <w:tc>
          <w:tcPr>
            <w:tcW w:w="100" w:type="dxa"/>
            <w:vAlign w:val="bottom"/>
          </w:tcPr>
          <w:p>
            <w:pPr>
              <w:spacing w:after="0"/>
              <w:rPr>
                <w:sz w:val="13"/>
                <w:szCs w:val="13"/>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Second-lien loan ($43,479 par, due 10/2029)</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10/25/2021</w:t>
            </w:r>
          </w:p>
        </w:tc>
        <w:tc>
          <w:tcPr>
            <w:tcW w:w="1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L + 8.88%</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10.54 %</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42,708</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41,523</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3.3 %</w:t>
            </w:r>
          </w:p>
        </w:tc>
        <w:tc>
          <w:tcPr>
            <w:tcW w:w="0" w:type="dxa"/>
            <w:vAlign w:val="bottom"/>
          </w:tcPr>
          <w:p>
            <w:pPr>
              <w:spacing w:after="0"/>
              <w:rPr>
                <w:sz w:val="1"/>
                <w:szCs w:val="1"/>
                <w:color w:val="auto"/>
              </w:rPr>
            </w:pPr>
          </w:p>
        </w:tc>
      </w:tr>
      <w:tr>
        <w:trPr>
          <w:trHeight w:val="104"/>
        </w:trPr>
        <w:tc>
          <w:tcPr>
            <w:tcW w:w="2480" w:type="dxa"/>
            <w:vAlign w:val="bottom"/>
          </w:tcPr>
          <w:p>
            <w:pPr>
              <w:ind w:left="20"/>
              <w:spacing w:after="0" w:line="104" w:lineRule="exact"/>
              <w:rPr>
                <w:sz w:val="20"/>
                <w:szCs w:val="20"/>
                <w:color w:val="auto"/>
              </w:rPr>
            </w:pPr>
            <w:r>
              <w:rPr>
                <w:rFonts w:ascii="Arial" w:cs="Arial" w:eastAsia="Arial" w:hAnsi="Arial"/>
                <w:sz w:val="11"/>
                <w:szCs w:val="11"/>
                <w:color w:val="auto"/>
              </w:rPr>
              <w:t>Destiny Solutions Parent</w:t>
            </w:r>
          </w:p>
        </w:tc>
        <w:tc>
          <w:tcPr>
            <w:tcW w:w="100" w:type="dxa"/>
            <w:vAlign w:val="bottom"/>
          </w:tcPr>
          <w:p>
            <w:pPr>
              <w:spacing w:after="0"/>
              <w:rPr>
                <w:sz w:val="9"/>
                <w:szCs w:val="9"/>
                <w:color w:val="auto"/>
              </w:rPr>
            </w:pPr>
          </w:p>
        </w:tc>
        <w:tc>
          <w:tcPr>
            <w:tcW w:w="2440" w:type="dxa"/>
            <w:vAlign w:val="bottom"/>
          </w:tcPr>
          <w:p>
            <w:pPr>
              <w:ind w:left="20"/>
              <w:spacing w:after="0" w:line="104" w:lineRule="exact"/>
              <w:rPr>
                <w:sz w:val="20"/>
                <w:szCs w:val="20"/>
                <w:color w:val="auto"/>
              </w:rPr>
            </w:pPr>
            <w:r>
              <w:rPr>
                <w:rFonts w:ascii="Arial" w:cs="Arial" w:eastAsia="Arial" w:hAnsi="Arial"/>
                <w:sz w:val="11"/>
                <w:szCs w:val="11"/>
                <w:color w:val="auto"/>
              </w:rPr>
              <w:t>First-lien loan ($60,000 par, due 6/2026)</w:t>
            </w:r>
          </w:p>
        </w:tc>
        <w:tc>
          <w:tcPr>
            <w:tcW w:w="960" w:type="dxa"/>
            <w:vAlign w:val="bottom"/>
            <w:gridSpan w:val="2"/>
          </w:tcPr>
          <w:p>
            <w:pPr>
              <w:jc w:val="right"/>
              <w:spacing w:after="0" w:line="104" w:lineRule="exact"/>
              <w:rPr>
                <w:sz w:val="20"/>
                <w:szCs w:val="20"/>
                <w:color w:val="auto"/>
              </w:rPr>
            </w:pPr>
            <w:r>
              <w:rPr>
                <w:rFonts w:ascii="Arial" w:cs="Arial" w:eastAsia="Arial" w:hAnsi="Arial"/>
                <w:sz w:val="11"/>
                <w:szCs w:val="11"/>
                <w:color w:val="auto"/>
              </w:rPr>
              <w:t>6/8/2021</w:t>
            </w:r>
          </w:p>
        </w:tc>
        <w:tc>
          <w:tcPr>
            <w:tcW w:w="100" w:type="dxa"/>
            <w:vAlign w:val="bottom"/>
          </w:tcPr>
          <w:p>
            <w:pPr>
              <w:spacing w:after="0"/>
              <w:rPr>
                <w:sz w:val="9"/>
                <w:szCs w:val="9"/>
                <w:color w:val="auto"/>
              </w:rPr>
            </w:pPr>
          </w:p>
        </w:tc>
        <w:tc>
          <w:tcPr>
            <w:tcW w:w="1040" w:type="dxa"/>
            <w:vAlign w:val="bottom"/>
            <w:gridSpan w:val="2"/>
          </w:tcPr>
          <w:p>
            <w:pPr>
              <w:jc w:val="right"/>
              <w:ind w:right="240"/>
              <w:spacing w:after="0" w:line="104" w:lineRule="exact"/>
              <w:rPr>
                <w:sz w:val="20"/>
                <w:szCs w:val="20"/>
                <w:color w:val="auto"/>
              </w:rPr>
            </w:pPr>
            <w:r>
              <w:rPr>
                <w:rFonts w:ascii="Arial" w:cs="Arial" w:eastAsia="Arial" w:hAnsi="Arial"/>
                <w:sz w:val="11"/>
                <w:szCs w:val="11"/>
                <w:color w:val="auto"/>
              </w:rPr>
              <w:t>L + 6.00%</w:t>
            </w:r>
          </w:p>
        </w:tc>
        <w:tc>
          <w:tcPr>
            <w:tcW w:w="1040" w:type="dxa"/>
            <w:vAlign w:val="bottom"/>
            <w:gridSpan w:val="2"/>
          </w:tcPr>
          <w:p>
            <w:pPr>
              <w:jc w:val="right"/>
              <w:ind w:right="120"/>
              <w:spacing w:after="0" w:line="104" w:lineRule="exact"/>
              <w:rPr>
                <w:sz w:val="20"/>
                <w:szCs w:val="20"/>
                <w:color w:val="auto"/>
              </w:rPr>
            </w:pPr>
            <w:r>
              <w:rPr>
                <w:rFonts w:ascii="Arial" w:cs="Arial" w:eastAsia="Arial" w:hAnsi="Arial"/>
                <w:sz w:val="11"/>
                <w:szCs w:val="11"/>
                <w:color w:val="auto"/>
              </w:rPr>
              <w:t>7.67 %</w:t>
            </w:r>
          </w:p>
        </w:tc>
        <w:tc>
          <w:tcPr>
            <w:tcW w:w="140" w:type="dxa"/>
            <w:vAlign w:val="bottom"/>
          </w:tcPr>
          <w:p>
            <w:pPr>
              <w:spacing w:after="0"/>
              <w:rPr>
                <w:sz w:val="9"/>
                <w:szCs w:val="9"/>
                <w:color w:val="auto"/>
              </w:rPr>
            </w:pPr>
          </w:p>
        </w:tc>
        <w:tc>
          <w:tcPr>
            <w:tcW w:w="760" w:type="dxa"/>
            <w:vAlign w:val="bottom"/>
          </w:tcPr>
          <w:p>
            <w:pPr>
              <w:jc w:val="right"/>
              <w:spacing w:after="0" w:line="104" w:lineRule="exact"/>
              <w:rPr>
                <w:sz w:val="20"/>
                <w:szCs w:val="20"/>
                <w:color w:val="auto"/>
              </w:rPr>
            </w:pPr>
            <w:r>
              <w:rPr>
                <w:rFonts w:ascii="Arial" w:cs="Arial" w:eastAsia="Arial" w:hAnsi="Arial"/>
                <w:sz w:val="11"/>
                <w:szCs w:val="11"/>
                <w:color w:val="auto"/>
              </w:rPr>
              <w:t>58,920</w:t>
            </w:r>
          </w:p>
        </w:tc>
        <w:tc>
          <w:tcPr>
            <w:tcW w:w="1040" w:type="dxa"/>
            <w:vAlign w:val="bottom"/>
            <w:gridSpan w:val="2"/>
          </w:tcPr>
          <w:p>
            <w:pPr>
              <w:jc w:val="right"/>
              <w:spacing w:after="0" w:line="104" w:lineRule="exact"/>
              <w:rPr>
                <w:sz w:val="20"/>
                <w:szCs w:val="20"/>
                <w:color w:val="auto"/>
              </w:rPr>
            </w:pPr>
            <w:r>
              <w:rPr>
                <w:rFonts w:ascii="Arial" w:cs="Arial" w:eastAsia="Arial" w:hAnsi="Arial"/>
                <w:sz w:val="11"/>
                <w:szCs w:val="11"/>
                <w:color w:val="auto"/>
              </w:rPr>
              <w:t>58,200</w:t>
            </w:r>
          </w:p>
        </w:tc>
        <w:tc>
          <w:tcPr>
            <w:tcW w:w="1140" w:type="dxa"/>
            <w:vAlign w:val="bottom"/>
            <w:gridSpan w:val="3"/>
          </w:tcPr>
          <w:p>
            <w:pPr>
              <w:jc w:val="right"/>
              <w:spacing w:after="0" w:line="104" w:lineRule="exact"/>
              <w:rPr>
                <w:sz w:val="20"/>
                <w:szCs w:val="20"/>
                <w:color w:val="auto"/>
              </w:rPr>
            </w:pPr>
            <w:r>
              <w:rPr>
                <w:rFonts w:ascii="Arial" w:cs="Arial" w:eastAsia="Arial" w:hAnsi="Arial"/>
                <w:sz w:val="11"/>
                <w:szCs w:val="11"/>
                <w:color w:val="auto"/>
              </w:rPr>
              <w:t>4.7 %</w:t>
            </w:r>
          </w:p>
        </w:tc>
        <w:tc>
          <w:tcPr>
            <w:tcW w:w="0" w:type="dxa"/>
            <w:vAlign w:val="bottom"/>
          </w:tcPr>
          <w:p>
            <w:pPr>
              <w:spacing w:after="0"/>
              <w:rPr>
                <w:sz w:val="1"/>
                <w:szCs w:val="1"/>
                <w:color w:val="auto"/>
              </w:rPr>
            </w:pPr>
          </w:p>
        </w:tc>
      </w:tr>
      <w:tr>
        <w:trPr>
          <w:trHeight w:val="119"/>
        </w:trPr>
        <w:tc>
          <w:tcPr>
            <w:tcW w:w="2480" w:type="dxa"/>
            <w:vAlign w:val="bottom"/>
          </w:tcPr>
          <w:p>
            <w:pPr>
              <w:ind w:left="100"/>
              <w:spacing w:after="0" w:line="119" w:lineRule="exact"/>
              <w:rPr>
                <w:sz w:val="20"/>
                <w:szCs w:val="20"/>
                <w:color w:val="auto"/>
              </w:rPr>
            </w:pPr>
            <w:r>
              <w:rPr>
                <w:rFonts w:ascii="Arial" w:cs="Arial" w:eastAsia="Arial" w:hAnsi="Arial"/>
                <w:sz w:val="10"/>
                <w:szCs w:val="10"/>
                <w:color w:val="auto"/>
              </w:rPr>
              <w:t xml:space="preserve">Holding Company </w:t>
            </w:r>
            <w:r>
              <w:rPr>
                <w:rFonts w:ascii="Arial" w:cs="Arial" w:eastAsia="Arial" w:hAnsi="Arial"/>
                <w:sz w:val="13"/>
                <w:szCs w:val="13"/>
                <w:color w:val="auto"/>
                <w:vertAlign w:val="superscript"/>
              </w:rPr>
              <w:t>(3)(5)</w:t>
            </w:r>
          </w:p>
        </w:tc>
        <w:tc>
          <w:tcPr>
            <w:tcW w:w="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480" w:type="dxa"/>
            <w:vAlign w:val="bottom"/>
          </w:tcPr>
          <w:p>
            <w:pPr>
              <w:ind w:left="20"/>
              <w:spacing w:after="0"/>
              <w:rPr>
                <w:sz w:val="20"/>
                <w:szCs w:val="20"/>
                <w:color w:val="auto"/>
              </w:rPr>
            </w:pPr>
            <w:r>
              <w:rPr>
                <w:rFonts w:ascii="Arial" w:cs="Arial" w:eastAsia="Arial" w:hAnsi="Arial"/>
                <w:sz w:val="11"/>
                <w:szCs w:val="11"/>
                <w:color w:val="auto"/>
              </w:rPr>
              <w:t xml:space="preserve">EMS Linq, Inc. </w:t>
            </w:r>
            <w:r>
              <w:rPr>
                <w:rFonts w:ascii="Arial" w:cs="Arial" w:eastAsia="Arial" w:hAnsi="Arial"/>
                <w:sz w:val="14"/>
                <w:szCs w:val="14"/>
                <w:color w:val="auto"/>
                <w:vertAlign w:val="superscript"/>
              </w:rPr>
              <w:t>(3)</w:t>
            </w:r>
          </w:p>
        </w:tc>
        <w:tc>
          <w:tcPr>
            <w:tcW w:w="100" w:type="dxa"/>
            <w:vAlign w:val="bottom"/>
          </w:tcPr>
          <w:p>
            <w:pPr>
              <w:spacing w:after="0"/>
              <w:rPr>
                <w:sz w:val="14"/>
                <w:szCs w:val="14"/>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First-lien loan ($56,216 par, due 12/2027)</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12/22/2021</w:t>
            </w: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L + 6.25%</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7.92 %</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55,011</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53,779</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4.3 %</w:t>
            </w:r>
          </w:p>
        </w:tc>
        <w:tc>
          <w:tcPr>
            <w:tcW w:w="0" w:type="dxa"/>
            <w:vAlign w:val="bottom"/>
          </w:tcPr>
          <w:p>
            <w:pPr>
              <w:spacing w:after="0"/>
              <w:rPr>
                <w:sz w:val="1"/>
                <w:szCs w:val="1"/>
                <w:color w:val="auto"/>
              </w:rPr>
            </w:pPr>
          </w:p>
        </w:tc>
      </w:tr>
      <w:tr>
        <w:trPr>
          <w:trHeight w:val="94"/>
        </w:trPr>
        <w:tc>
          <w:tcPr>
            <w:tcW w:w="2480" w:type="dxa"/>
            <w:vAlign w:val="bottom"/>
            <w:shd w:val="clear" w:color="auto" w:fill="CFF0FC"/>
          </w:tcPr>
          <w:p>
            <w:pPr>
              <w:ind w:left="20"/>
              <w:spacing w:after="0" w:line="95" w:lineRule="exact"/>
              <w:rPr>
                <w:sz w:val="20"/>
                <w:szCs w:val="20"/>
                <w:color w:val="auto"/>
              </w:rPr>
            </w:pPr>
            <w:r>
              <w:rPr>
                <w:rFonts w:ascii="Arial" w:cs="Arial" w:eastAsia="Arial" w:hAnsi="Arial"/>
                <w:sz w:val="10"/>
                <w:szCs w:val="10"/>
                <w:color w:val="auto"/>
              </w:rPr>
              <w:t>Frontline Technologies</w:t>
            </w:r>
          </w:p>
        </w:tc>
        <w:tc>
          <w:tcPr>
            <w:tcW w:w="100" w:type="dxa"/>
            <w:vAlign w:val="bottom"/>
            <w:shd w:val="clear" w:color="auto" w:fill="CFF0FC"/>
          </w:tcPr>
          <w:p>
            <w:pPr>
              <w:spacing w:after="0"/>
              <w:rPr>
                <w:sz w:val="8"/>
                <w:szCs w:val="8"/>
                <w:color w:val="auto"/>
              </w:rPr>
            </w:pPr>
          </w:p>
        </w:tc>
        <w:tc>
          <w:tcPr>
            <w:tcW w:w="2440" w:type="dxa"/>
            <w:vAlign w:val="bottom"/>
            <w:shd w:val="clear" w:color="auto" w:fill="CFF0FC"/>
          </w:tcPr>
          <w:p>
            <w:pPr>
              <w:ind w:left="20"/>
              <w:spacing w:after="0" w:line="95" w:lineRule="exact"/>
              <w:rPr>
                <w:sz w:val="20"/>
                <w:szCs w:val="20"/>
                <w:color w:val="auto"/>
              </w:rPr>
            </w:pPr>
            <w:r>
              <w:rPr>
                <w:rFonts w:ascii="Arial" w:cs="Arial" w:eastAsia="Arial" w:hAnsi="Arial"/>
                <w:sz w:val="10"/>
                <w:szCs w:val="10"/>
                <w:color w:val="auto"/>
              </w:rPr>
              <w:t>First-lien loan ($85,389 par, due 9/2023)</w:t>
            </w:r>
          </w:p>
        </w:tc>
        <w:tc>
          <w:tcPr>
            <w:tcW w:w="960" w:type="dxa"/>
            <w:vAlign w:val="bottom"/>
            <w:gridSpan w:val="2"/>
            <w:shd w:val="clear" w:color="auto" w:fill="CFF0FC"/>
          </w:tcPr>
          <w:p>
            <w:pPr>
              <w:jc w:val="right"/>
              <w:spacing w:after="0" w:line="95" w:lineRule="exact"/>
              <w:rPr>
                <w:sz w:val="20"/>
                <w:szCs w:val="20"/>
                <w:color w:val="auto"/>
              </w:rPr>
            </w:pPr>
            <w:r>
              <w:rPr>
                <w:rFonts w:ascii="Arial" w:cs="Arial" w:eastAsia="Arial" w:hAnsi="Arial"/>
                <w:sz w:val="10"/>
                <w:szCs w:val="10"/>
                <w:color w:val="auto"/>
              </w:rPr>
              <w:t>9/18/2017</w:t>
            </w:r>
          </w:p>
        </w:tc>
        <w:tc>
          <w:tcPr>
            <w:tcW w:w="100" w:type="dxa"/>
            <w:vAlign w:val="bottom"/>
            <w:shd w:val="clear" w:color="auto" w:fill="CFF0FC"/>
          </w:tcPr>
          <w:p>
            <w:pPr>
              <w:spacing w:after="0"/>
              <w:rPr>
                <w:sz w:val="8"/>
                <w:szCs w:val="8"/>
                <w:color w:val="auto"/>
              </w:rPr>
            </w:pPr>
          </w:p>
        </w:tc>
        <w:tc>
          <w:tcPr>
            <w:tcW w:w="1040" w:type="dxa"/>
            <w:vAlign w:val="bottom"/>
            <w:gridSpan w:val="2"/>
            <w:shd w:val="clear" w:color="auto" w:fill="CFF0FC"/>
          </w:tcPr>
          <w:p>
            <w:pPr>
              <w:jc w:val="right"/>
              <w:ind w:right="240"/>
              <w:spacing w:after="0" w:line="95" w:lineRule="exact"/>
              <w:rPr>
                <w:sz w:val="20"/>
                <w:szCs w:val="20"/>
                <w:color w:val="auto"/>
              </w:rPr>
            </w:pPr>
            <w:r>
              <w:rPr>
                <w:rFonts w:ascii="Arial" w:cs="Arial" w:eastAsia="Arial" w:hAnsi="Arial"/>
                <w:sz w:val="10"/>
                <w:szCs w:val="10"/>
                <w:color w:val="auto"/>
              </w:rPr>
              <w:t>L + 5.25%</w:t>
            </w:r>
          </w:p>
        </w:tc>
        <w:tc>
          <w:tcPr>
            <w:tcW w:w="1040" w:type="dxa"/>
            <w:vAlign w:val="bottom"/>
            <w:gridSpan w:val="2"/>
            <w:shd w:val="clear" w:color="auto" w:fill="CFF0FC"/>
          </w:tcPr>
          <w:p>
            <w:pPr>
              <w:jc w:val="right"/>
              <w:ind w:right="120"/>
              <w:spacing w:after="0" w:line="95" w:lineRule="exact"/>
              <w:rPr>
                <w:sz w:val="20"/>
                <w:szCs w:val="20"/>
                <w:color w:val="auto"/>
              </w:rPr>
            </w:pPr>
            <w:r>
              <w:rPr>
                <w:rFonts w:ascii="Arial" w:cs="Arial" w:eastAsia="Arial" w:hAnsi="Arial"/>
                <w:sz w:val="10"/>
                <w:szCs w:val="10"/>
                <w:color w:val="auto"/>
              </w:rPr>
              <w:t>6.49 %</w:t>
            </w:r>
          </w:p>
        </w:tc>
        <w:tc>
          <w:tcPr>
            <w:tcW w:w="140" w:type="dxa"/>
            <w:vAlign w:val="bottom"/>
            <w:shd w:val="clear" w:color="auto" w:fill="CFF0FC"/>
          </w:tcPr>
          <w:p>
            <w:pPr>
              <w:spacing w:after="0"/>
              <w:rPr>
                <w:sz w:val="8"/>
                <w:szCs w:val="8"/>
                <w:color w:val="auto"/>
              </w:rPr>
            </w:pPr>
          </w:p>
        </w:tc>
        <w:tc>
          <w:tcPr>
            <w:tcW w:w="760" w:type="dxa"/>
            <w:vAlign w:val="bottom"/>
            <w:shd w:val="clear" w:color="auto" w:fill="CFF0FC"/>
          </w:tcPr>
          <w:p>
            <w:pPr>
              <w:jc w:val="right"/>
              <w:spacing w:after="0" w:line="95" w:lineRule="exact"/>
              <w:rPr>
                <w:sz w:val="20"/>
                <w:szCs w:val="20"/>
                <w:color w:val="auto"/>
              </w:rPr>
            </w:pPr>
            <w:r>
              <w:rPr>
                <w:rFonts w:ascii="Arial" w:cs="Arial" w:eastAsia="Arial" w:hAnsi="Arial"/>
                <w:sz w:val="10"/>
                <w:szCs w:val="10"/>
                <w:color w:val="auto"/>
              </w:rPr>
              <w:t>85,227</w:t>
            </w:r>
          </w:p>
        </w:tc>
        <w:tc>
          <w:tcPr>
            <w:tcW w:w="1040" w:type="dxa"/>
            <w:vAlign w:val="bottom"/>
            <w:gridSpan w:val="2"/>
            <w:shd w:val="clear" w:color="auto" w:fill="CFF0FC"/>
          </w:tcPr>
          <w:p>
            <w:pPr>
              <w:jc w:val="right"/>
              <w:spacing w:after="0" w:line="95" w:lineRule="exact"/>
              <w:rPr>
                <w:sz w:val="20"/>
                <w:szCs w:val="20"/>
                <w:color w:val="auto"/>
              </w:rPr>
            </w:pPr>
            <w:r>
              <w:rPr>
                <w:rFonts w:ascii="Arial" w:cs="Arial" w:eastAsia="Arial" w:hAnsi="Arial"/>
                <w:sz w:val="10"/>
                <w:szCs w:val="10"/>
                <w:color w:val="auto"/>
              </w:rPr>
              <w:t>84,962</w:t>
            </w:r>
          </w:p>
        </w:tc>
        <w:tc>
          <w:tcPr>
            <w:tcW w:w="1140" w:type="dxa"/>
            <w:vAlign w:val="bottom"/>
            <w:gridSpan w:val="3"/>
            <w:shd w:val="clear" w:color="auto" w:fill="CFF0FC"/>
          </w:tcPr>
          <w:p>
            <w:pPr>
              <w:jc w:val="right"/>
              <w:spacing w:after="0" w:line="95" w:lineRule="exact"/>
              <w:rPr>
                <w:sz w:val="20"/>
                <w:szCs w:val="20"/>
                <w:color w:val="auto"/>
              </w:rPr>
            </w:pPr>
            <w:r>
              <w:rPr>
                <w:rFonts w:ascii="Arial" w:cs="Arial" w:eastAsia="Arial" w:hAnsi="Arial"/>
                <w:sz w:val="10"/>
                <w:szCs w:val="10"/>
                <w:color w:val="auto"/>
              </w:rPr>
              <w:t>6.8 %</w:t>
            </w:r>
          </w:p>
        </w:tc>
        <w:tc>
          <w:tcPr>
            <w:tcW w:w="0" w:type="dxa"/>
            <w:vAlign w:val="bottom"/>
          </w:tcPr>
          <w:p>
            <w:pPr>
              <w:spacing w:after="0"/>
              <w:rPr>
                <w:sz w:val="1"/>
                <w:szCs w:val="1"/>
                <w:color w:val="auto"/>
              </w:rPr>
            </w:pPr>
          </w:p>
        </w:tc>
      </w:tr>
      <w:tr>
        <w:trPr>
          <w:trHeight w:val="135"/>
        </w:trPr>
        <w:tc>
          <w:tcPr>
            <w:tcW w:w="2480" w:type="dxa"/>
            <w:vAlign w:val="bottom"/>
            <w:tcBorders>
              <w:bottom w:val="single" w:sz="8" w:color="CFF0FC"/>
            </w:tcBorders>
            <w:shd w:val="clear" w:color="auto" w:fill="CFF0FC"/>
          </w:tcPr>
          <w:p>
            <w:pPr>
              <w:ind w:left="100"/>
              <w:spacing w:after="0" w:line="135" w:lineRule="exact"/>
              <w:rPr>
                <w:sz w:val="20"/>
                <w:szCs w:val="20"/>
                <w:color w:val="auto"/>
              </w:rPr>
            </w:pPr>
            <w:r>
              <w:rPr>
                <w:rFonts w:ascii="Arial" w:cs="Arial" w:eastAsia="Arial" w:hAnsi="Arial"/>
                <w:sz w:val="11"/>
                <w:szCs w:val="11"/>
                <w:color w:val="auto"/>
              </w:rPr>
              <w:t xml:space="preserve">Group, LLC </w:t>
            </w:r>
            <w:r>
              <w:rPr>
                <w:rFonts w:ascii="Arial" w:cs="Arial" w:eastAsia="Arial" w:hAnsi="Arial"/>
                <w:sz w:val="14"/>
                <w:szCs w:val="14"/>
                <w:color w:val="auto"/>
                <w:vertAlign w:val="superscript"/>
              </w:rPr>
              <w:t>(3)</w:t>
            </w:r>
          </w:p>
        </w:tc>
        <w:tc>
          <w:tcPr>
            <w:tcW w:w="100" w:type="dxa"/>
            <w:vAlign w:val="bottom"/>
            <w:tcBorders>
              <w:bottom w:val="single" w:sz="8" w:color="CFF0FC"/>
            </w:tcBorders>
            <w:shd w:val="clear" w:color="auto" w:fill="CFF0FC"/>
          </w:tcPr>
          <w:p>
            <w:pPr>
              <w:spacing w:after="0"/>
              <w:rPr>
                <w:sz w:val="11"/>
                <w:szCs w:val="11"/>
                <w:color w:val="auto"/>
              </w:rPr>
            </w:pPr>
          </w:p>
        </w:tc>
        <w:tc>
          <w:tcPr>
            <w:tcW w:w="24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241,866</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238,464</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19.1 %</w:t>
            </w:r>
          </w:p>
        </w:tc>
        <w:tc>
          <w:tcPr>
            <w:tcW w:w="0" w:type="dxa"/>
            <w:vAlign w:val="bottom"/>
          </w:tcPr>
          <w:p>
            <w:pPr>
              <w:spacing w:after="0"/>
              <w:rPr>
                <w:sz w:val="1"/>
                <w:szCs w:val="1"/>
                <w:color w:val="auto"/>
              </w:rPr>
            </w:pPr>
          </w:p>
        </w:tc>
      </w:tr>
      <w:tr>
        <w:trPr>
          <w:trHeight w:val="99"/>
        </w:trPr>
        <w:tc>
          <w:tcPr>
            <w:tcW w:w="248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Financial Services</w:t>
            </w:r>
          </w:p>
        </w:tc>
        <w:tc>
          <w:tcPr>
            <w:tcW w:w="1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AvidXchange, Inc. </w:t>
            </w:r>
            <w:r>
              <w:rPr>
                <w:rFonts w:ascii="Arial" w:cs="Arial" w:eastAsia="Arial" w:hAnsi="Arial"/>
                <w:sz w:val="14"/>
                <w:szCs w:val="14"/>
                <w:color w:val="auto"/>
                <w:vertAlign w:val="superscript"/>
              </w:rPr>
              <w:t>(3)(5)</w:t>
            </w:r>
          </w:p>
        </w:tc>
        <w:tc>
          <w:tcPr>
            <w:tcW w:w="100" w:type="dxa"/>
            <w:vAlign w:val="bottom"/>
          </w:tcPr>
          <w:p>
            <w:pPr>
              <w:spacing w:after="0"/>
              <w:rPr>
                <w:sz w:val="11"/>
                <w:szCs w:val="11"/>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First-lien loan ($11,460 par, due 4/2024)</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10/1/2019</w:t>
            </w:r>
          </w:p>
        </w:tc>
        <w:tc>
          <w:tcPr>
            <w:tcW w:w="10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L + 9.00%</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11.31 %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11,400</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11,430</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0.9 %</w:t>
            </w:r>
          </w:p>
        </w:tc>
        <w:tc>
          <w:tcPr>
            <w:tcW w:w="0" w:type="dxa"/>
            <w:vAlign w:val="bottom"/>
          </w:tcPr>
          <w:p>
            <w:pPr>
              <w:spacing w:after="0"/>
              <w:rPr>
                <w:sz w:val="1"/>
                <w:szCs w:val="1"/>
                <w:color w:val="auto"/>
              </w:rPr>
            </w:pPr>
          </w:p>
        </w:tc>
      </w:tr>
      <w:tr>
        <w:trPr>
          <w:trHeight w:val="128"/>
        </w:trPr>
        <w:tc>
          <w:tcPr>
            <w:tcW w:w="2480" w:type="dxa"/>
            <w:vAlign w:val="bottom"/>
          </w:tcPr>
          <w:p>
            <w:pPr>
              <w:ind w:left="20"/>
              <w:spacing w:after="0" w:line="129" w:lineRule="exact"/>
              <w:rPr>
                <w:sz w:val="20"/>
                <w:szCs w:val="20"/>
                <w:color w:val="auto"/>
              </w:rPr>
            </w:pPr>
            <w:r>
              <w:rPr>
                <w:rFonts w:ascii="Arial" w:cs="Arial" w:eastAsia="Arial" w:hAnsi="Arial"/>
                <w:sz w:val="11"/>
                <w:szCs w:val="11"/>
                <w:color w:val="auto"/>
              </w:rPr>
              <w:t xml:space="preserve">Bear OpCo, LLC </w:t>
            </w:r>
            <w:r>
              <w:rPr>
                <w:rFonts w:ascii="Arial" w:cs="Arial" w:eastAsia="Arial" w:hAnsi="Arial"/>
                <w:sz w:val="14"/>
                <w:szCs w:val="14"/>
                <w:color w:val="auto"/>
                <w:vertAlign w:val="superscript"/>
              </w:rPr>
              <w:t>(3)(5)</w:t>
            </w:r>
          </w:p>
        </w:tc>
        <w:tc>
          <w:tcPr>
            <w:tcW w:w="100" w:type="dxa"/>
            <w:vAlign w:val="bottom"/>
          </w:tcPr>
          <w:p>
            <w:pPr>
              <w:spacing w:after="0"/>
              <w:rPr>
                <w:sz w:val="11"/>
                <w:szCs w:val="11"/>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First-lien loan ($19,574 par, due 10/2024)</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10/10/2019</w:t>
            </w:r>
          </w:p>
        </w:tc>
        <w:tc>
          <w:tcPr>
            <w:tcW w:w="100" w:type="dxa"/>
            <w:vAlign w:val="bottom"/>
          </w:tcPr>
          <w:p>
            <w:pPr>
              <w:spacing w:after="0"/>
              <w:rPr>
                <w:sz w:val="11"/>
                <w:szCs w:val="1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1"/>
                <w:szCs w:val="11"/>
                <w:color w:val="auto"/>
              </w:rPr>
              <w:t>SOFR +</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9.18 %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19,301</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19,574</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135"/>
        </w:trPr>
        <w:tc>
          <w:tcPr>
            <w:tcW w:w="2480" w:type="dxa"/>
            <w:vAlign w:val="bottom"/>
            <w:vMerge w:val="restart"/>
          </w:tcPr>
          <w:p>
            <w:pPr>
              <w:ind w:left="20"/>
              <w:spacing w:after="0"/>
              <w:rPr>
                <w:sz w:val="20"/>
                <w:szCs w:val="20"/>
                <w:color w:val="auto"/>
              </w:rPr>
            </w:pPr>
            <w:r>
              <w:rPr>
                <w:rFonts w:ascii="Arial" w:cs="Arial" w:eastAsia="Arial" w:hAnsi="Arial"/>
                <w:sz w:val="11"/>
                <w:szCs w:val="11"/>
                <w:color w:val="auto"/>
              </w:rPr>
              <w:t xml:space="preserve">BlueSnap, Inc. </w:t>
            </w:r>
            <w:r>
              <w:rPr>
                <w:rFonts w:ascii="Arial" w:cs="Arial" w:eastAsia="Arial" w:hAnsi="Arial"/>
                <w:sz w:val="14"/>
                <w:szCs w:val="14"/>
                <w:color w:val="auto"/>
                <w:vertAlign w:val="superscript"/>
              </w:rPr>
              <w:t>(3)(5)</w:t>
            </w: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7.65%</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tcPr>
          <w:p>
            <w:pPr>
              <w:ind w:left="20"/>
              <w:spacing w:after="0" w:line="115" w:lineRule="exact"/>
              <w:rPr>
                <w:sz w:val="20"/>
                <w:szCs w:val="20"/>
                <w:color w:val="auto"/>
              </w:rPr>
            </w:pPr>
            <w:r>
              <w:rPr>
                <w:rFonts w:ascii="Arial" w:cs="Arial" w:eastAsia="Arial" w:hAnsi="Arial"/>
                <w:sz w:val="11"/>
                <w:szCs w:val="11"/>
                <w:color w:val="auto"/>
              </w:rPr>
              <w:t>First-lien loan ($35,000 par, due 10/2024)</w:t>
            </w:r>
          </w:p>
        </w:tc>
        <w:tc>
          <w:tcPr>
            <w:tcW w:w="96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10/25/2019</w:t>
            </w:r>
          </w:p>
        </w:tc>
        <w:tc>
          <w:tcPr>
            <w:tcW w:w="100" w:type="dxa"/>
            <w:vAlign w:val="bottom"/>
          </w:tcPr>
          <w:p>
            <w:pPr>
              <w:spacing w:after="0"/>
              <w:rPr>
                <w:sz w:val="9"/>
                <w:szCs w:val="9"/>
                <w:color w:val="auto"/>
              </w:rPr>
            </w:pPr>
          </w:p>
        </w:tc>
        <w:tc>
          <w:tcPr>
            <w:tcW w:w="104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L + 6.75%</w:t>
            </w:r>
          </w:p>
        </w:tc>
        <w:tc>
          <w:tcPr>
            <w:tcW w:w="104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8.42 %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34,575</w:t>
            </w:r>
          </w:p>
        </w:tc>
        <w:tc>
          <w:tcPr>
            <w:tcW w:w="10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34,881</w:t>
            </w:r>
          </w:p>
        </w:tc>
        <w:tc>
          <w:tcPr>
            <w:tcW w:w="114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2.8 %</w:t>
            </w:r>
          </w:p>
        </w:tc>
        <w:tc>
          <w:tcPr>
            <w:tcW w:w="0" w:type="dxa"/>
            <w:vAlign w:val="bottom"/>
          </w:tcPr>
          <w:p>
            <w:pPr>
              <w:spacing w:after="0"/>
              <w:rPr>
                <w:sz w:val="1"/>
                <w:szCs w:val="1"/>
                <w:color w:val="auto"/>
              </w:rPr>
            </w:pPr>
          </w:p>
        </w:tc>
      </w:tr>
      <w:tr>
        <w:trPr>
          <w:trHeight w:val="135"/>
        </w:trPr>
        <w:tc>
          <w:tcPr>
            <w:tcW w:w="24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 Treasury SS, LLC </w:t>
            </w:r>
            <w:r>
              <w:rPr>
                <w:rFonts w:ascii="Arial" w:cs="Arial" w:eastAsia="Arial" w:hAnsi="Arial"/>
                <w:sz w:val="14"/>
                <w:szCs w:val="14"/>
                <w:color w:val="auto"/>
                <w:vertAlign w:val="superscript"/>
              </w:rPr>
              <w:t>(3)(5)</w:t>
            </w:r>
          </w:p>
        </w:tc>
        <w:tc>
          <w:tcPr>
            <w:tcW w:w="100" w:type="dxa"/>
            <w:vAlign w:val="bottom"/>
          </w:tcPr>
          <w:p>
            <w:pPr>
              <w:spacing w:after="0"/>
              <w:rPr>
                <w:sz w:val="11"/>
                <w:szCs w:val="11"/>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First-lien loan ($63,671 par, due 4/2023)</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4/9/2018</w:t>
            </w:r>
          </w:p>
        </w:tc>
        <w:tc>
          <w:tcPr>
            <w:tcW w:w="10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L + 8.25%</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9.56 %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63,208</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64,168</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5.2 %</w:t>
            </w:r>
          </w:p>
        </w:tc>
        <w:tc>
          <w:tcPr>
            <w:tcW w:w="0" w:type="dxa"/>
            <w:vAlign w:val="bottom"/>
          </w:tcPr>
          <w:p>
            <w:pPr>
              <w:spacing w:after="0"/>
              <w:rPr>
                <w:sz w:val="1"/>
                <w:szCs w:val="1"/>
                <w:color w:val="auto"/>
              </w:rPr>
            </w:pPr>
          </w:p>
        </w:tc>
      </w:tr>
      <w:tr>
        <w:trPr>
          <w:trHeight w:val="135"/>
        </w:trPr>
        <w:tc>
          <w:tcPr>
            <w:tcW w:w="24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Ibis Intermediate Co. </w:t>
            </w:r>
            <w:r>
              <w:rPr>
                <w:rFonts w:ascii="Arial" w:cs="Arial" w:eastAsia="Arial" w:hAnsi="Arial"/>
                <w:sz w:val="14"/>
                <w:szCs w:val="14"/>
                <w:color w:val="auto"/>
                <w:vertAlign w:val="superscript"/>
              </w:rPr>
              <w:t>(3)(5)</w:t>
            </w:r>
          </w:p>
        </w:tc>
        <w:tc>
          <w:tcPr>
            <w:tcW w:w="100" w:type="dxa"/>
            <w:vAlign w:val="bottom"/>
          </w:tcPr>
          <w:p>
            <w:pPr>
              <w:spacing w:after="0"/>
              <w:rPr>
                <w:sz w:val="11"/>
                <w:szCs w:val="11"/>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First-lien loan ($1,534 par, due 5/2027)</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5/28/2021</w:t>
            </w:r>
          </w:p>
        </w:tc>
        <w:tc>
          <w:tcPr>
            <w:tcW w:w="10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L + 5.00%</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6.60 %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1,413</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1,494</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0.1 %</w:t>
            </w:r>
          </w:p>
        </w:tc>
        <w:tc>
          <w:tcPr>
            <w:tcW w:w="0" w:type="dxa"/>
            <w:vAlign w:val="bottom"/>
          </w:tcPr>
          <w:p>
            <w:pPr>
              <w:spacing w:after="0"/>
              <w:rPr>
                <w:sz w:val="1"/>
                <w:szCs w:val="1"/>
                <w:color w:val="auto"/>
              </w:rPr>
            </w:pPr>
          </w:p>
        </w:tc>
      </w:tr>
      <w:tr>
        <w:trPr>
          <w:trHeight w:val="155"/>
        </w:trPr>
        <w:tc>
          <w:tcPr>
            <w:tcW w:w="24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Ibis US Blocker Co. </w:t>
            </w:r>
            <w:r>
              <w:rPr>
                <w:rFonts w:ascii="Arial" w:cs="Arial" w:eastAsia="Arial" w:hAnsi="Arial"/>
                <w:sz w:val="14"/>
                <w:szCs w:val="14"/>
                <w:color w:val="auto"/>
                <w:vertAlign w:val="superscript"/>
              </w:rPr>
              <w:t>(3)</w:t>
            </w:r>
          </w:p>
        </w:tc>
        <w:tc>
          <w:tcPr>
            <w:tcW w:w="100" w:type="dxa"/>
            <w:vAlign w:val="bottom"/>
          </w:tcPr>
          <w:p>
            <w:pPr>
              <w:spacing w:after="0"/>
              <w:rPr>
                <w:sz w:val="13"/>
                <w:szCs w:val="13"/>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First-lien loan ($13,236 par, due 5/2028)</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5/28/2021</w:t>
            </w:r>
          </w:p>
        </w:tc>
        <w:tc>
          <w:tcPr>
            <w:tcW w:w="1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L + 8.25%</w:t>
            </w:r>
          </w:p>
        </w:tc>
        <w:tc>
          <w:tcPr>
            <w:tcW w:w="1180" w:type="dxa"/>
            <w:vAlign w:val="bottom"/>
            <w:gridSpan w:val="3"/>
          </w:tcPr>
          <w:p>
            <w:pPr>
              <w:jc w:val="right"/>
              <w:ind w:right="360"/>
              <w:spacing w:after="0"/>
              <w:rPr>
                <w:sz w:val="20"/>
                <w:szCs w:val="20"/>
                <w:color w:val="auto"/>
              </w:rPr>
            </w:pPr>
            <w:r>
              <w:rPr>
                <w:rFonts w:ascii="Arial" w:cs="Arial" w:eastAsia="Arial" w:hAnsi="Arial"/>
                <w:sz w:val="11"/>
                <w:szCs w:val="11"/>
                <w:color w:val="auto"/>
              </w:rPr>
              <w:t>9.85% PIK</w:t>
            </w:r>
          </w:p>
        </w:tc>
        <w:tc>
          <w:tcPr>
            <w:tcW w:w="760" w:type="dxa"/>
            <w:vAlign w:val="bottom"/>
          </w:tcPr>
          <w:p>
            <w:pPr>
              <w:jc w:val="right"/>
              <w:spacing w:after="0"/>
              <w:rPr>
                <w:sz w:val="20"/>
                <w:szCs w:val="20"/>
                <w:color w:val="auto"/>
              </w:rPr>
            </w:pPr>
            <w:r>
              <w:rPr>
                <w:rFonts w:ascii="Arial" w:cs="Arial" w:eastAsia="Arial" w:hAnsi="Arial"/>
                <w:sz w:val="11"/>
                <w:szCs w:val="11"/>
                <w:color w:val="auto"/>
              </w:rPr>
              <w:t>12,976</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12,839</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1.0 %</w:t>
            </w:r>
          </w:p>
        </w:tc>
        <w:tc>
          <w:tcPr>
            <w:tcW w:w="0" w:type="dxa"/>
            <w:vAlign w:val="bottom"/>
          </w:tcPr>
          <w:p>
            <w:pPr>
              <w:spacing w:after="0"/>
              <w:rPr>
                <w:sz w:val="1"/>
                <w:szCs w:val="1"/>
                <w:color w:val="auto"/>
              </w:rPr>
            </w:pPr>
          </w:p>
        </w:tc>
      </w:tr>
      <w:tr>
        <w:trPr>
          <w:trHeight w:val="104"/>
        </w:trPr>
        <w:tc>
          <w:tcPr>
            <w:tcW w:w="2480" w:type="dxa"/>
            <w:vAlign w:val="bottom"/>
          </w:tcPr>
          <w:p>
            <w:pPr>
              <w:ind w:left="20"/>
              <w:spacing w:after="0" w:line="104" w:lineRule="exact"/>
              <w:rPr>
                <w:sz w:val="20"/>
                <w:szCs w:val="20"/>
                <w:color w:val="auto"/>
              </w:rPr>
            </w:pPr>
            <w:r>
              <w:rPr>
                <w:rFonts w:ascii="Arial" w:cs="Arial" w:eastAsia="Arial" w:hAnsi="Arial"/>
                <w:sz w:val="11"/>
                <w:szCs w:val="11"/>
                <w:color w:val="auto"/>
              </w:rPr>
              <w:t>Jonas Collections and</w:t>
            </w:r>
          </w:p>
        </w:tc>
        <w:tc>
          <w:tcPr>
            <w:tcW w:w="100" w:type="dxa"/>
            <w:vAlign w:val="bottom"/>
          </w:tcPr>
          <w:p>
            <w:pPr>
              <w:spacing w:after="0"/>
              <w:rPr>
                <w:sz w:val="9"/>
                <w:szCs w:val="9"/>
                <w:color w:val="auto"/>
              </w:rPr>
            </w:pPr>
          </w:p>
        </w:tc>
        <w:tc>
          <w:tcPr>
            <w:tcW w:w="2440" w:type="dxa"/>
            <w:vAlign w:val="bottom"/>
          </w:tcPr>
          <w:p>
            <w:pPr>
              <w:ind w:left="20"/>
              <w:spacing w:after="0" w:line="104" w:lineRule="exact"/>
              <w:rPr>
                <w:sz w:val="20"/>
                <w:szCs w:val="20"/>
                <w:color w:val="auto"/>
              </w:rPr>
            </w:pPr>
            <w:r>
              <w:rPr>
                <w:rFonts w:ascii="Arial" w:cs="Arial" w:eastAsia="Arial" w:hAnsi="Arial"/>
                <w:sz w:val="11"/>
                <w:szCs w:val="11"/>
                <w:color w:val="auto"/>
              </w:rPr>
              <w:t>First-lien loan ($27,250 par, due 6/2026)</w:t>
            </w:r>
          </w:p>
        </w:tc>
        <w:tc>
          <w:tcPr>
            <w:tcW w:w="960" w:type="dxa"/>
            <w:vAlign w:val="bottom"/>
            <w:gridSpan w:val="2"/>
          </w:tcPr>
          <w:p>
            <w:pPr>
              <w:jc w:val="right"/>
              <w:spacing w:after="0" w:line="104" w:lineRule="exact"/>
              <w:rPr>
                <w:sz w:val="20"/>
                <w:szCs w:val="20"/>
                <w:color w:val="auto"/>
              </w:rPr>
            </w:pPr>
            <w:r>
              <w:rPr>
                <w:rFonts w:ascii="Arial" w:cs="Arial" w:eastAsia="Arial" w:hAnsi="Arial"/>
                <w:sz w:val="11"/>
                <w:szCs w:val="11"/>
                <w:color w:val="auto"/>
              </w:rPr>
              <w:t>6/21/2021</w:t>
            </w:r>
          </w:p>
        </w:tc>
        <w:tc>
          <w:tcPr>
            <w:tcW w:w="100" w:type="dxa"/>
            <w:vAlign w:val="bottom"/>
          </w:tcPr>
          <w:p>
            <w:pPr>
              <w:spacing w:after="0"/>
              <w:rPr>
                <w:sz w:val="9"/>
                <w:szCs w:val="9"/>
                <w:color w:val="auto"/>
              </w:rPr>
            </w:pPr>
          </w:p>
        </w:tc>
        <w:tc>
          <w:tcPr>
            <w:tcW w:w="1040" w:type="dxa"/>
            <w:vAlign w:val="bottom"/>
            <w:gridSpan w:val="2"/>
          </w:tcPr>
          <w:p>
            <w:pPr>
              <w:jc w:val="right"/>
              <w:ind w:right="240"/>
              <w:spacing w:after="0" w:line="104" w:lineRule="exact"/>
              <w:rPr>
                <w:sz w:val="20"/>
                <w:szCs w:val="20"/>
                <w:color w:val="auto"/>
              </w:rPr>
            </w:pPr>
            <w:r>
              <w:rPr>
                <w:rFonts w:ascii="Arial" w:cs="Arial" w:eastAsia="Arial" w:hAnsi="Arial"/>
                <w:sz w:val="11"/>
                <w:szCs w:val="11"/>
                <w:color w:val="auto"/>
              </w:rPr>
              <w:t>L + 5.75%</w:t>
            </w:r>
          </w:p>
        </w:tc>
        <w:tc>
          <w:tcPr>
            <w:tcW w:w="1040" w:type="dxa"/>
            <w:vAlign w:val="bottom"/>
            <w:gridSpan w:val="2"/>
          </w:tcPr>
          <w:p>
            <w:pPr>
              <w:jc w:val="right"/>
              <w:ind w:right="120"/>
              <w:spacing w:after="0" w:line="104" w:lineRule="exact"/>
              <w:rPr>
                <w:sz w:val="20"/>
                <w:szCs w:val="20"/>
                <w:color w:val="auto"/>
              </w:rPr>
            </w:pPr>
            <w:r>
              <w:rPr>
                <w:rFonts w:ascii="Arial" w:cs="Arial" w:eastAsia="Arial" w:hAnsi="Arial"/>
                <w:sz w:val="11"/>
                <w:szCs w:val="11"/>
                <w:color w:val="auto"/>
              </w:rPr>
              <w:t>8.63 %</w:t>
            </w:r>
          </w:p>
        </w:tc>
        <w:tc>
          <w:tcPr>
            <w:tcW w:w="140" w:type="dxa"/>
            <w:vAlign w:val="bottom"/>
          </w:tcPr>
          <w:p>
            <w:pPr>
              <w:spacing w:after="0"/>
              <w:rPr>
                <w:sz w:val="9"/>
                <w:szCs w:val="9"/>
                <w:color w:val="auto"/>
              </w:rPr>
            </w:pPr>
          </w:p>
        </w:tc>
        <w:tc>
          <w:tcPr>
            <w:tcW w:w="760" w:type="dxa"/>
            <w:vAlign w:val="bottom"/>
          </w:tcPr>
          <w:p>
            <w:pPr>
              <w:jc w:val="right"/>
              <w:spacing w:after="0" w:line="104" w:lineRule="exact"/>
              <w:rPr>
                <w:sz w:val="20"/>
                <w:szCs w:val="20"/>
                <w:color w:val="auto"/>
              </w:rPr>
            </w:pPr>
            <w:r>
              <w:rPr>
                <w:rFonts w:ascii="Arial" w:cs="Arial" w:eastAsia="Arial" w:hAnsi="Arial"/>
                <w:sz w:val="11"/>
                <w:szCs w:val="11"/>
                <w:color w:val="auto"/>
              </w:rPr>
              <w:t>26,782</w:t>
            </w:r>
          </w:p>
        </w:tc>
        <w:tc>
          <w:tcPr>
            <w:tcW w:w="1040" w:type="dxa"/>
            <w:vAlign w:val="bottom"/>
            <w:gridSpan w:val="2"/>
          </w:tcPr>
          <w:p>
            <w:pPr>
              <w:jc w:val="right"/>
              <w:spacing w:after="0" w:line="104" w:lineRule="exact"/>
              <w:rPr>
                <w:sz w:val="20"/>
                <w:szCs w:val="20"/>
                <w:color w:val="auto"/>
              </w:rPr>
            </w:pPr>
            <w:r>
              <w:rPr>
                <w:rFonts w:ascii="Arial" w:cs="Arial" w:eastAsia="Arial" w:hAnsi="Arial"/>
                <w:sz w:val="11"/>
                <w:szCs w:val="11"/>
                <w:color w:val="auto"/>
              </w:rPr>
              <w:t>26,569</w:t>
            </w:r>
          </w:p>
        </w:tc>
        <w:tc>
          <w:tcPr>
            <w:tcW w:w="1140" w:type="dxa"/>
            <w:vAlign w:val="bottom"/>
            <w:gridSpan w:val="3"/>
          </w:tcPr>
          <w:p>
            <w:pPr>
              <w:jc w:val="right"/>
              <w:spacing w:after="0" w:line="104" w:lineRule="exact"/>
              <w:rPr>
                <w:sz w:val="20"/>
                <w:szCs w:val="20"/>
                <w:color w:val="auto"/>
              </w:rPr>
            </w:pPr>
            <w:r>
              <w:rPr>
                <w:rFonts w:ascii="Arial" w:cs="Arial" w:eastAsia="Arial" w:hAnsi="Arial"/>
                <w:sz w:val="11"/>
                <w:szCs w:val="11"/>
                <w:color w:val="auto"/>
              </w:rPr>
              <w:t>2.1 %</w:t>
            </w:r>
          </w:p>
        </w:tc>
        <w:tc>
          <w:tcPr>
            <w:tcW w:w="0" w:type="dxa"/>
            <w:vAlign w:val="bottom"/>
          </w:tcPr>
          <w:p>
            <w:pPr>
              <w:spacing w:after="0"/>
              <w:rPr>
                <w:sz w:val="1"/>
                <w:szCs w:val="1"/>
                <w:color w:val="auto"/>
              </w:rPr>
            </w:pPr>
          </w:p>
        </w:tc>
      </w:tr>
      <w:tr>
        <w:trPr>
          <w:trHeight w:val="119"/>
        </w:trPr>
        <w:tc>
          <w:tcPr>
            <w:tcW w:w="2480" w:type="dxa"/>
            <w:vAlign w:val="bottom"/>
          </w:tcPr>
          <w:p>
            <w:pPr>
              <w:ind w:left="100"/>
              <w:spacing w:after="0" w:line="119" w:lineRule="exact"/>
              <w:rPr>
                <w:sz w:val="20"/>
                <w:szCs w:val="20"/>
                <w:color w:val="auto"/>
              </w:rPr>
            </w:pPr>
            <w:r>
              <w:rPr>
                <w:rFonts w:ascii="Arial" w:cs="Arial" w:eastAsia="Arial" w:hAnsi="Arial"/>
                <w:sz w:val="10"/>
                <w:szCs w:val="10"/>
                <w:color w:val="auto"/>
              </w:rPr>
              <w:t xml:space="preserve">Recovery, Inc. </w:t>
            </w:r>
            <w:r>
              <w:rPr>
                <w:rFonts w:ascii="Arial" w:cs="Arial" w:eastAsia="Arial" w:hAnsi="Arial"/>
                <w:sz w:val="13"/>
                <w:szCs w:val="13"/>
                <w:color w:val="auto"/>
                <w:vertAlign w:val="superscript"/>
              </w:rPr>
              <w:t>(3)(5)</w:t>
            </w:r>
          </w:p>
        </w:tc>
        <w:tc>
          <w:tcPr>
            <w:tcW w:w="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480" w:type="dxa"/>
            <w:vAlign w:val="bottom"/>
          </w:tcPr>
          <w:p>
            <w:pPr>
              <w:ind w:left="20"/>
              <w:spacing w:after="0" w:line="129" w:lineRule="exact"/>
              <w:rPr>
                <w:sz w:val="20"/>
                <w:szCs w:val="20"/>
                <w:color w:val="auto"/>
              </w:rPr>
            </w:pPr>
            <w:r>
              <w:rPr>
                <w:rFonts w:ascii="Arial" w:cs="Arial" w:eastAsia="Arial" w:hAnsi="Arial"/>
                <w:sz w:val="11"/>
                <w:szCs w:val="11"/>
                <w:color w:val="auto"/>
              </w:rPr>
              <w:t>Kyriba Corp.</w:t>
            </w:r>
            <w:r>
              <w:rPr>
                <w:rFonts w:ascii="Arial" w:cs="Arial" w:eastAsia="Arial" w:hAnsi="Arial"/>
                <w:sz w:val="14"/>
                <w:szCs w:val="14"/>
                <w:color w:val="auto"/>
                <w:vertAlign w:val="superscript"/>
              </w:rPr>
              <w:t>(3)</w:t>
            </w:r>
          </w:p>
        </w:tc>
        <w:tc>
          <w:tcPr>
            <w:tcW w:w="100" w:type="dxa"/>
            <w:vAlign w:val="bottom"/>
          </w:tcPr>
          <w:p>
            <w:pPr>
              <w:spacing w:after="0"/>
              <w:rPr>
                <w:sz w:val="11"/>
                <w:szCs w:val="11"/>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First-lien loan ($18,209 par, due 4/2025)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4/9/2019</w:t>
            </w:r>
          </w:p>
        </w:tc>
        <w:tc>
          <w:tcPr>
            <w:tcW w:w="10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L + 9.00%</w:t>
            </w:r>
          </w:p>
        </w:tc>
        <w:tc>
          <w:tcPr>
            <w:tcW w:w="1180" w:type="dxa"/>
            <w:vAlign w:val="bottom"/>
            <w:gridSpan w:val="3"/>
          </w:tcPr>
          <w:p>
            <w:pPr>
              <w:jc w:val="right"/>
              <w:ind w:right="400"/>
              <w:spacing w:after="0"/>
              <w:rPr>
                <w:sz w:val="20"/>
                <w:szCs w:val="20"/>
                <w:color w:val="auto"/>
              </w:rPr>
            </w:pPr>
            <w:r>
              <w:rPr>
                <w:rFonts w:ascii="Arial" w:cs="Arial" w:eastAsia="Arial" w:hAnsi="Arial"/>
                <w:sz w:val="11"/>
                <w:szCs w:val="11"/>
                <w:color w:val="auto"/>
              </w:rPr>
              <w:t>10.50% (incl.</w:t>
            </w:r>
          </w:p>
        </w:tc>
        <w:tc>
          <w:tcPr>
            <w:tcW w:w="760" w:type="dxa"/>
            <w:vAlign w:val="bottom"/>
          </w:tcPr>
          <w:p>
            <w:pPr>
              <w:jc w:val="right"/>
              <w:spacing w:after="0"/>
              <w:rPr>
                <w:sz w:val="20"/>
                <w:szCs w:val="20"/>
                <w:color w:val="auto"/>
              </w:rPr>
            </w:pPr>
            <w:r>
              <w:rPr>
                <w:rFonts w:ascii="Arial" w:cs="Arial" w:eastAsia="Arial" w:hAnsi="Arial"/>
                <w:sz w:val="11"/>
                <w:szCs w:val="11"/>
                <w:color w:val="auto"/>
              </w:rPr>
              <w:t>17,992</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18,254</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1.5 %</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1"/>
                <w:szCs w:val="11"/>
                <w:color w:val="auto"/>
              </w:rPr>
              <w:t>9.00% PIK)</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tcPr>
          <w:p>
            <w:pPr>
              <w:ind w:left="20"/>
              <w:spacing w:after="0" w:line="108" w:lineRule="exact"/>
              <w:rPr>
                <w:sz w:val="20"/>
                <w:szCs w:val="20"/>
                <w:color w:val="auto"/>
              </w:rPr>
            </w:pPr>
            <w:r>
              <w:rPr>
                <w:rFonts w:ascii="Arial" w:cs="Arial" w:eastAsia="Arial" w:hAnsi="Arial"/>
                <w:sz w:val="11"/>
                <w:szCs w:val="11"/>
                <w:color w:val="auto"/>
              </w:rPr>
              <w:t>First-lien loan (EUR 9,486 par, due 4/2025)</w:t>
            </w:r>
          </w:p>
        </w:tc>
        <w:tc>
          <w:tcPr>
            <w:tcW w:w="96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4/9/2019</w:t>
            </w:r>
          </w:p>
        </w:tc>
        <w:tc>
          <w:tcPr>
            <w:tcW w:w="100" w:type="dxa"/>
            <w:vAlign w:val="bottom"/>
          </w:tcPr>
          <w:p>
            <w:pPr>
              <w:spacing w:after="0"/>
              <w:rPr>
                <w:sz w:val="9"/>
                <w:szCs w:val="9"/>
                <w:color w:val="auto"/>
              </w:rPr>
            </w:pPr>
          </w:p>
        </w:tc>
        <w:tc>
          <w:tcPr>
            <w:tcW w:w="1040" w:type="dxa"/>
            <w:vAlign w:val="bottom"/>
            <w:gridSpan w:val="2"/>
          </w:tcPr>
          <w:p>
            <w:pPr>
              <w:jc w:val="right"/>
              <w:ind w:right="240"/>
              <w:spacing w:after="0" w:line="108" w:lineRule="exact"/>
              <w:rPr>
                <w:sz w:val="20"/>
                <w:szCs w:val="20"/>
                <w:color w:val="auto"/>
              </w:rPr>
            </w:pPr>
            <w:r>
              <w:rPr>
                <w:rFonts w:ascii="Arial" w:cs="Arial" w:eastAsia="Arial" w:hAnsi="Arial"/>
                <w:sz w:val="11"/>
                <w:szCs w:val="11"/>
                <w:color w:val="auto"/>
              </w:rPr>
              <w:t>E + 9.00%</w:t>
            </w:r>
          </w:p>
        </w:tc>
        <w:tc>
          <w:tcPr>
            <w:tcW w:w="1180" w:type="dxa"/>
            <w:vAlign w:val="bottom"/>
            <w:gridSpan w:val="3"/>
          </w:tcPr>
          <w:p>
            <w:pPr>
              <w:jc w:val="right"/>
              <w:ind w:right="360"/>
              <w:spacing w:after="0" w:line="108" w:lineRule="exact"/>
              <w:rPr>
                <w:sz w:val="20"/>
                <w:szCs w:val="20"/>
                <w:color w:val="auto"/>
              </w:rPr>
            </w:pPr>
            <w:r>
              <w:rPr>
                <w:rFonts w:ascii="Arial" w:cs="Arial" w:eastAsia="Arial" w:hAnsi="Arial"/>
                <w:sz w:val="11"/>
                <w:szCs w:val="11"/>
                <w:color w:val="auto"/>
              </w:rPr>
              <w:t>9.00% PIK</w:t>
            </w:r>
          </w:p>
        </w:tc>
        <w:tc>
          <w:tcPr>
            <w:tcW w:w="760" w:type="dxa"/>
            <w:vAlign w:val="bottom"/>
          </w:tcPr>
          <w:p>
            <w:pPr>
              <w:jc w:val="right"/>
              <w:spacing w:after="0" w:line="108" w:lineRule="exact"/>
              <w:rPr>
                <w:sz w:val="20"/>
                <w:szCs w:val="20"/>
                <w:color w:val="auto"/>
              </w:rPr>
            </w:pPr>
            <w:r>
              <w:rPr>
                <w:rFonts w:ascii="Arial" w:cs="Arial" w:eastAsia="Arial" w:hAnsi="Arial"/>
                <w:sz w:val="11"/>
                <w:szCs w:val="11"/>
                <w:color w:val="auto"/>
              </w:rPr>
              <w:t>10,536</w:t>
            </w:r>
          </w:p>
        </w:tc>
        <w:tc>
          <w:tcPr>
            <w:tcW w:w="10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9,941</w:t>
            </w:r>
          </w:p>
        </w:tc>
        <w:tc>
          <w:tcPr>
            <w:tcW w:w="1140" w:type="dxa"/>
            <w:vAlign w:val="bottom"/>
            <w:gridSpan w:val="3"/>
          </w:tcPr>
          <w:p>
            <w:pPr>
              <w:jc w:val="right"/>
              <w:spacing w:after="0" w:line="108" w:lineRule="exact"/>
              <w:rPr>
                <w:sz w:val="20"/>
                <w:szCs w:val="20"/>
                <w:color w:val="auto"/>
              </w:rPr>
            </w:pPr>
            <w:r>
              <w:rPr>
                <w:rFonts w:ascii="Arial" w:cs="Arial" w:eastAsia="Arial" w:hAnsi="Arial"/>
                <w:sz w:val="11"/>
                <w:szCs w:val="11"/>
                <w:color w:val="auto"/>
              </w:rPr>
              <w:t>0.8 %</w:t>
            </w:r>
          </w:p>
        </w:tc>
        <w:tc>
          <w:tcPr>
            <w:tcW w:w="0" w:type="dxa"/>
            <w:vAlign w:val="bottom"/>
          </w:tcPr>
          <w:p>
            <w:pPr>
              <w:spacing w:after="0"/>
              <w:rPr>
                <w:sz w:val="1"/>
                <w:szCs w:val="1"/>
                <w:color w:val="auto"/>
              </w:rPr>
            </w:pPr>
          </w:p>
        </w:tc>
      </w:tr>
      <w:tr>
        <w:trPr>
          <w:trHeight w:val="140"/>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(EUR 9,509)</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40" w:type="dxa"/>
            <w:vAlign w:val="bottom"/>
            <w:shd w:val="clear" w:color="auto" w:fill="CFF0FC"/>
          </w:tcPr>
          <w:p>
            <w:pPr>
              <w:ind w:left="20"/>
              <w:spacing w:after="0"/>
              <w:rPr>
                <w:sz w:val="20"/>
                <w:szCs w:val="20"/>
                <w:color w:val="auto"/>
              </w:rPr>
            </w:pPr>
            <w:r>
              <w:rPr>
                <w:rFonts w:ascii="Arial" w:cs="Arial" w:eastAsia="Arial" w:hAnsi="Arial"/>
                <w:sz w:val="11"/>
                <w:szCs w:val="11"/>
                <w:color w:val="auto"/>
              </w:rPr>
              <w:t>First-lien revolving loan ($1,411 par, due 4/2025)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4/9/2019</w:t>
            </w: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L + 7.25%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9.50 %</w:t>
            </w: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1,390</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1,415</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0.1 %</w:t>
            </w:r>
          </w:p>
        </w:tc>
        <w:tc>
          <w:tcPr>
            <w:tcW w:w="0" w:type="dxa"/>
            <w:vAlign w:val="bottom"/>
          </w:tcPr>
          <w:p>
            <w:pPr>
              <w:spacing w:after="0"/>
              <w:rPr>
                <w:sz w:val="1"/>
                <w:szCs w:val="1"/>
                <w:color w:val="auto"/>
              </w:rPr>
            </w:pPr>
          </w:p>
        </w:tc>
      </w:tr>
      <w:tr>
        <w:trPr>
          <w:trHeight w:val="98"/>
        </w:trPr>
        <w:tc>
          <w:tcPr>
            <w:tcW w:w="2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tcPr>
          <w:p>
            <w:pPr>
              <w:ind w:left="20"/>
              <w:spacing w:after="0" w:line="99" w:lineRule="exact"/>
              <w:rPr>
                <w:sz w:val="20"/>
                <w:szCs w:val="20"/>
                <w:color w:val="auto"/>
              </w:rPr>
            </w:pPr>
            <w:r>
              <w:rPr>
                <w:rFonts w:ascii="Arial" w:cs="Arial" w:eastAsia="Arial" w:hAnsi="Arial"/>
                <w:sz w:val="11"/>
                <w:szCs w:val="11"/>
                <w:color w:val="auto"/>
                <w:w w:val="96"/>
              </w:rPr>
              <w:t>First-lien revolving loan (EUR 336 par, due 4/2025)</w:t>
            </w:r>
          </w:p>
        </w:tc>
        <w:tc>
          <w:tcPr>
            <w:tcW w:w="960" w:type="dxa"/>
            <w:vAlign w:val="bottom"/>
            <w:gridSpan w:val="2"/>
          </w:tcPr>
          <w:p>
            <w:pPr>
              <w:jc w:val="right"/>
              <w:spacing w:after="0" w:line="99" w:lineRule="exact"/>
              <w:rPr>
                <w:sz w:val="20"/>
                <w:szCs w:val="20"/>
                <w:color w:val="auto"/>
              </w:rPr>
            </w:pPr>
            <w:r>
              <w:rPr>
                <w:rFonts w:ascii="Arial" w:cs="Arial" w:eastAsia="Arial" w:hAnsi="Arial"/>
                <w:sz w:val="11"/>
                <w:szCs w:val="11"/>
                <w:color w:val="auto"/>
              </w:rPr>
              <w:t>4/9/2019</w:t>
            </w:r>
          </w:p>
        </w:tc>
        <w:tc>
          <w:tcPr>
            <w:tcW w:w="100" w:type="dxa"/>
            <w:vAlign w:val="bottom"/>
          </w:tcPr>
          <w:p>
            <w:pPr>
              <w:spacing w:after="0"/>
              <w:rPr>
                <w:sz w:val="8"/>
                <w:szCs w:val="8"/>
                <w:color w:val="auto"/>
              </w:rPr>
            </w:pPr>
          </w:p>
        </w:tc>
        <w:tc>
          <w:tcPr>
            <w:tcW w:w="1040" w:type="dxa"/>
            <w:vAlign w:val="bottom"/>
            <w:gridSpan w:val="2"/>
          </w:tcPr>
          <w:p>
            <w:pPr>
              <w:jc w:val="right"/>
              <w:ind w:right="240"/>
              <w:spacing w:after="0" w:line="99" w:lineRule="exact"/>
              <w:rPr>
                <w:sz w:val="20"/>
                <w:szCs w:val="20"/>
                <w:color w:val="auto"/>
              </w:rPr>
            </w:pPr>
            <w:r>
              <w:rPr>
                <w:rFonts w:ascii="Arial" w:cs="Arial" w:eastAsia="Arial" w:hAnsi="Arial"/>
                <w:sz w:val="11"/>
                <w:szCs w:val="11"/>
                <w:color w:val="auto"/>
              </w:rPr>
              <w:t>E + 7.25%</w:t>
            </w:r>
          </w:p>
        </w:tc>
        <w:tc>
          <w:tcPr>
            <w:tcW w:w="1040" w:type="dxa"/>
            <w:vAlign w:val="bottom"/>
            <w:gridSpan w:val="2"/>
          </w:tcPr>
          <w:p>
            <w:pPr>
              <w:jc w:val="right"/>
              <w:ind w:right="120"/>
              <w:spacing w:after="0" w:line="99" w:lineRule="exact"/>
              <w:rPr>
                <w:sz w:val="20"/>
                <w:szCs w:val="20"/>
                <w:color w:val="auto"/>
              </w:rPr>
            </w:pPr>
            <w:r>
              <w:rPr>
                <w:rFonts w:ascii="Arial" w:cs="Arial" w:eastAsia="Arial" w:hAnsi="Arial"/>
                <w:sz w:val="11"/>
                <w:szCs w:val="11"/>
                <w:color w:val="auto"/>
              </w:rPr>
              <w:t>7.25 %</w:t>
            </w:r>
          </w:p>
        </w:tc>
        <w:tc>
          <w:tcPr>
            <w:tcW w:w="14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Arial" w:cs="Arial" w:eastAsia="Arial" w:hAnsi="Arial"/>
                <w:sz w:val="11"/>
                <w:szCs w:val="11"/>
                <w:color w:val="auto"/>
              </w:rPr>
              <w:t>371</w:t>
            </w:r>
          </w:p>
        </w:tc>
        <w:tc>
          <w:tcPr>
            <w:tcW w:w="1040" w:type="dxa"/>
            <w:vAlign w:val="bottom"/>
            <w:gridSpan w:val="2"/>
          </w:tcPr>
          <w:p>
            <w:pPr>
              <w:jc w:val="right"/>
              <w:spacing w:after="0" w:line="99" w:lineRule="exact"/>
              <w:rPr>
                <w:sz w:val="20"/>
                <w:szCs w:val="20"/>
                <w:color w:val="auto"/>
              </w:rPr>
            </w:pPr>
            <w:r>
              <w:rPr>
                <w:rFonts w:ascii="Arial" w:cs="Arial" w:eastAsia="Arial" w:hAnsi="Arial"/>
                <w:sz w:val="11"/>
                <w:szCs w:val="11"/>
                <w:color w:val="auto"/>
              </w:rPr>
              <w:t>351</w:t>
            </w:r>
          </w:p>
        </w:tc>
        <w:tc>
          <w:tcPr>
            <w:tcW w:w="1140" w:type="dxa"/>
            <w:vAlign w:val="bottom"/>
            <w:gridSpan w:val="3"/>
          </w:tcPr>
          <w:p>
            <w:pPr>
              <w:jc w:val="right"/>
              <w:spacing w:after="0" w:line="99" w:lineRule="exact"/>
              <w:rPr>
                <w:sz w:val="20"/>
                <w:szCs w:val="20"/>
                <w:color w:val="auto"/>
              </w:rPr>
            </w:pPr>
            <w:r>
              <w:rPr>
                <w:rFonts w:ascii="Arial" w:cs="Arial" w:eastAsia="Arial" w:hAnsi="Arial"/>
                <w:sz w:val="11"/>
                <w:szCs w:val="11"/>
                <w:color w:val="auto"/>
              </w:rPr>
              <w:t>0.0 %</w:t>
            </w:r>
          </w:p>
        </w:tc>
        <w:tc>
          <w:tcPr>
            <w:tcW w:w="0" w:type="dxa"/>
            <w:vAlign w:val="bottom"/>
          </w:tcPr>
          <w:p>
            <w:pPr>
              <w:spacing w:after="0"/>
              <w:rPr>
                <w:sz w:val="1"/>
                <w:szCs w:val="1"/>
                <w:color w:val="auto"/>
              </w:rPr>
            </w:pPr>
          </w:p>
        </w:tc>
      </w:tr>
      <w:tr>
        <w:trPr>
          <w:trHeight w:val="135"/>
        </w:trPr>
        <w:tc>
          <w:tcPr>
            <w:tcW w:w="2480" w:type="dxa"/>
            <w:vAlign w:val="bottom"/>
            <w:vMerge w:val="restart"/>
          </w:tcPr>
          <w:p>
            <w:pPr>
              <w:ind w:left="20"/>
              <w:spacing w:after="0"/>
              <w:rPr>
                <w:sz w:val="20"/>
                <w:szCs w:val="20"/>
                <w:color w:val="auto"/>
              </w:rPr>
            </w:pPr>
            <w:r>
              <w:rPr>
                <w:rFonts w:ascii="Arial" w:cs="Arial" w:eastAsia="Arial" w:hAnsi="Arial"/>
                <w:sz w:val="11"/>
                <w:szCs w:val="11"/>
                <w:color w:val="auto"/>
              </w:rPr>
              <w:t xml:space="preserve">Passport Labs, Inc. </w:t>
            </w:r>
            <w:r>
              <w:rPr>
                <w:rFonts w:ascii="Arial" w:cs="Arial" w:eastAsia="Arial" w:hAnsi="Arial"/>
                <w:sz w:val="14"/>
                <w:szCs w:val="14"/>
                <w:color w:val="auto"/>
                <w:vertAlign w:val="superscript"/>
              </w:rPr>
              <w:t>(3)</w:t>
            </w: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(EUR 336)</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tcPr>
          <w:p>
            <w:pPr>
              <w:ind w:left="20"/>
              <w:spacing w:after="0" w:line="108" w:lineRule="exact"/>
              <w:rPr>
                <w:sz w:val="20"/>
                <w:szCs w:val="20"/>
                <w:color w:val="auto"/>
              </w:rPr>
            </w:pPr>
            <w:r>
              <w:rPr>
                <w:rFonts w:ascii="Arial" w:cs="Arial" w:eastAsia="Arial" w:hAnsi="Arial"/>
                <w:sz w:val="11"/>
                <w:szCs w:val="11"/>
                <w:color w:val="auto"/>
              </w:rPr>
              <w:t>First-lien loan ($20,153 par, due 4/2026)</w:t>
            </w:r>
          </w:p>
        </w:tc>
        <w:tc>
          <w:tcPr>
            <w:tcW w:w="96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4/28/2021</w:t>
            </w:r>
          </w:p>
        </w:tc>
        <w:tc>
          <w:tcPr>
            <w:tcW w:w="100" w:type="dxa"/>
            <w:vAlign w:val="bottom"/>
          </w:tcPr>
          <w:p>
            <w:pPr>
              <w:spacing w:after="0"/>
              <w:rPr>
                <w:sz w:val="9"/>
                <w:szCs w:val="9"/>
                <w:color w:val="auto"/>
              </w:rPr>
            </w:pPr>
          </w:p>
        </w:tc>
        <w:tc>
          <w:tcPr>
            <w:tcW w:w="1040" w:type="dxa"/>
            <w:vAlign w:val="bottom"/>
            <w:gridSpan w:val="2"/>
          </w:tcPr>
          <w:p>
            <w:pPr>
              <w:jc w:val="right"/>
              <w:ind w:right="240"/>
              <w:spacing w:after="0" w:line="108" w:lineRule="exact"/>
              <w:rPr>
                <w:sz w:val="20"/>
                <w:szCs w:val="20"/>
                <w:color w:val="auto"/>
              </w:rPr>
            </w:pPr>
            <w:r>
              <w:rPr>
                <w:rFonts w:ascii="Arial" w:cs="Arial" w:eastAsia="Arial" w:hAnsi="Arial"/>
                <w:sz w:val="11"/>
                <w:szCs w:val="11"/>
                <w:color w:val="auto"/>
              </w:rPr>
              <w:t>L + 8.25%</w:t>
            </w:r>
          </w:p>
        </w:tc>
        <w:tc>
          <w:tcPr>
            <w:tcW w:w="1180" w:type="dxa"/>
            <w:vAlign w:val="bottom"/>
            <w:gridSpan w:val="3"/>
          </w:tcPr>
          <w:p>
            <w:pPr>
              <w:jc w:val="right"/>
              <w:ind w:right="400"/>
              <w:spacing w:after="0" w:line="108" w:lineRule="exact"/>
              <w:rPr>
                <w:sz w:val="20"/>
                <w:szCs w:val="20"/>
                <w:color w:val="auto"/>
              </w:rPr>
            </w:pPr>
            <w:r>
              <w:rPr>
                <w:rFonts w:ascii="Arial" w:cs="Arial" w:eastAsia="Arial" w:hAnsi="Arial"/>
                <w:sz w:val="11"/>
                <w:szCs w:val="11"/>
                <w:color w:val="auto"/>
              </w:rPr>
              <w:t>9.49% (incl.</w:t>
            </w:r>
          </w:p>
        </w:tc>
        <w:tc>
          <w:tcPr>
            <w:tcW w:w="760" w:type="dxa"/>
            <w:vAlign w:val="bottom"/>
          </w:tcPr>
          <w:p>
            <w:pPr>
              <w:jc w:val="right"/>
              <w:spacing w:after="0" w:line="108" w:lineRule="exact"/>
              <w:rPr>
                <w:sz w:val="20"/>
                <w:szCs w:val="20"/>
                <w:color w:val="auto"/>
              </w:rPr>
            </w:pPr>
            <w:r>
              <w:rPr>
                <w:rFonts w:ascii="Arial" w:cs="Arial" w:eastAsia="Arial" w:hAnsi="Arial"/>
                <w:sz w:val="11"/>
                <w:szCs w:val="11"/>
                <w:color w:val="auto"/>
              </w:rPr>
              <w:t>19,900</w:t>
            </w:r>
          </w:p>
        </w:tc>
        <w:tc>
          <w:tcPr>
            <w:tcW w:w="10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19,555</w:t>
            </w:r>
          </w:p>
        </w:tc>
        <w:tc>
          <w:tcPr>
            <w:tcW w:w="1140" w:type="dxa"/>
            <w:vAlign w:val="bottom"/>
            <w:gridSpan w:val="3"/>
          </w:tcPr>
          <w:p>
            <w:pPr>
              <w:jc w:val="right"/>
              <w:spacing w:after="0" w:line="108" w:lineRule="exact"/>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135"/>
        </w:trPr>
        <w:tc>
          <w:tcPr>
            <w:tcW w:w="2480" w:type="dxa"/>
            <w:vAlign w:val="bottom"/>
            <w:vMerge w:val="restart"/>
          </w:tcPr>
          <w:p>
            <w:pPr>
              <w:ind w:left="20"/>
              <w:spacing w:after="0"/>
              <w:rPr>
                <w:sz w:val="20"/>
                <w:szCs w:val="20"/>
                <w:color w:val="auto"/>
              </w:rPr>
            </w:pPr>
            <w:r>
              <w:rPr>
                <w:rFonts w:ascii="Arial" w:cs="Arial" w:eastAsia="Arial" w:hAnsi="Arial"/>
                <w:sz w:val="11"/>
                <w:szCs w:val="11"/>
                <w:color w:val="auto"/>
              </w:rPr>
              <w:t xml:space="preserve">PrimeRevenue, Inc. </w:t>
            </w:r>
            <w:r>
              <w:rPr>
                <w:rFonts w:ascii="Arial" w:cs="Arial" w:eastAsia="Arial" w:hAnsi="Arial"/>
                <w:sz w:val="14"/>
                <w:szCs w:val="14"/>
                <w:color w:val="auto"/>
                <w:vertAlign w:val="superscript"/>
              </w:rPr>
              <w:t>(3)</w:t>
            </w: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1"/>
                <w:szCs w:val="11"/>
                <w:color w:val="auto"/>
              </w:rPr>
              <w:t>4.125% PIK)</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tcPr>
          <w:p>
            <w:pPr>
              <w:ind w:left="20"/>
              <w:spacing w:after="0" w:line="115" w:lineRule="exact"/>
              <w:rPr>
                <w:sz w:val="20"/>
                <w:szCs w:val="20"/>
                <w:color w:val="auto"/>
              </w:rPr>
            </w:pPr>
            <w:r>
              <w:rPr>
                <w:rFonts w:ascii="Arial" w:cs="Arial" w:eastAsia="Arial" w:hAnsi="Arial"/>
                <w:sz w:val="11"/>
                <w:szCs w:val="11"/>
                <w:color w:val="auto"/>
              </w:rPr>
              <w:t>First-lien loan ($22,507 par, due 12/2023)</w:t>
            </w:r>
          </w:p>
        </w:tc>
        <w:tc>
          <w:tcPr>
            <w:tcW w:w="96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12/31/2018</w:t>
            </w:r>
          </w:p>
        </w:tc>
        <w:tc>
          <w:tcPr>
            <w:tcW w:w="100" w:type="dxa"/>
            <w:vAlign w:val="bottom"/>
          </w:tcPr>
          <w:p>
            <w:pPr>
              <w:spacing w:after="0"/>
              <w:rPr>
                <w:sz w:val="9"/>
                <w:szCs w:val="9"/>
                <w:color w:val="auto"/>
              </w:rPr>
            </w:pPr>
          </w:p>
        </w:tc>
        <w:tc>
          <w:tcPr>
            <w:tcW w:w="104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L + 7.00%</w:t>
            </w:r>
          </w:p>
        </w:tc>
        <w:tc>
          <w:tcPr>
            <w:tcW w:w="104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8.67 %</w:t>
            </w:r>
          </w:p>
        </w:tc>
        <w:tc>
          <w:tcPr>
            <w:tcW w:w="14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22,399</w:t>
            </w:r>
          </w:p>
        </w:tc>
        <w:tc>
          <w:tcPr>
            <w:tcW w:w="10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22,724</w:t>
            </w:r>
          </w:p>
        </w:tc>
        <w:tc>
          <w:tcPr>
            <w:tcW w:w="114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65"/>
        </w:trPr>
        <w:tc>
          <w:tcPr>
            <w:tcW w:w="2480" w:type="dxa"/>
            <w:vAlign w:val="bottom"/>
          </w:tcPr>
          <w:p>
            <w:pPr>
              <w:ind w:left="20"/>
              <w:spacing w:after="0"/>
              <w:rPr>
                <w:sz w:val="20"/>
                <w:szCs w:val="20"/>
                <w:color w:val="auto"/>
              </w:rPr>
            </w:pPr>
            <w:r>
              <w:rPr>
                <w:rFonts w:ascii="Arial" w:cs="Arial" w:eastAsia="Arial" w:hAnsi="Arial"/>
                <w:sz w:val="11"/>
                <w:szCs w:val="11"/>
                <w:color w:val="auto"/>
              </w:rPr>
              <w:t xml:space="preserve">TradingScreen, Inc. </w:t>
            </w:r>
            <w:r>
              <w:rPr>
                <w:rFonts w:ascii="Arial" w:cs="Arial" w:eastAsia="Arial" w:hAnsi="Arial"/>
                <w:sz w:val="14"/>
                <w:szCs w:val="14"/>
                <w:color w:val="auto"/>
                <w:vertAlign w:val="superscript"/>
              </w:rPr>
              <w:t>(3)(5)</w:t>
            </w:r>
          </w:p>
        </w:tc>
        <w:tc>
          <w:tcPr>
            <w:tcW w:w="100" w:type="dxa"/>
            <w:vAlign w:val="bottom"/>
          </w:tcPr>
          <w:p>
            <w:pPr>
              <w:spacing w:after="0"/>
              <w:rPr>
                <w:sz w:val="14"/>
                <w:szCs w:val="14"/>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First-lien loan ($44,888 par, due 4/2027)</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4/30/2021</w:t>
            </w: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L + 6.25%</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7.49 %</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43,764</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43,765</w:t>
            </w:r>
          </w:p>
        </w:tc>
        <w:tc>
          <w:tcPr>
            <w:tcW w:w="2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3.5 %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286,007</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286,960</w:t>
            </w:r>
          </w:p>
        </w:tc>
        <w:tc>
          <w:tcPr>
            <w:tcW w:w="20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23.0 %</w:t>
            </w:r>
          </w:p>
        </w:tc>
        <w:tc>
          <w:tcPr>
            <w:tcW w:w="0" w:type="dxa"/>
            <w:vAlign w:val="bottom"/>
          </w:tcPr>
          <w:p>
            <w:pPr>
              <w:spacing w:after="0"/>
              <w:rPr>
                <w:sz w:val="1"/>
                <w:szCs w:val="1"/>
                <w:color w:val="auto"/>
              </w:rPr>
            </w:pPr>
          </w:p>
        </w:tc>
      </w:tr>
      <w:tr>
        <w:trPr>
          <w:trHeight w:val="99"/>
        </w:trPr>
        <w:tc>
          <w:tcPr>
            <w:tcW w:w="248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Healthcare</w:t>
            </w:r>
          </w:p>
        </w:tc>
        <w:tc>
          <w:tcPr>
            <w:tcW w:w="1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480" w:type="dxa"/>
            <w:vAlign w:val="bottom"/>
          </w:tcPr>
          <w:p>
            <w:pPr>
              <w:ind w:left="20"/>
              <w:spacing w:after="0"/>
              <w:rPr>
                <w:sz w:val="20"/>
                <w:szCs w:val="20"/>
                <w:color w:val="auto"/>
              </w:rPr>
            </w:pPr>
            <w:r>
              <w:rPr>
                <w:rFonts w:ascii="Arial" w:cs="Arial" w:eastAsia="Arial" w:hAnsi="Arial"/>
                <w:sz w:val="11"/>
                <w:szCs w:val="11"/>
                <w:color w:val="auto"/>
              </w:rPr>
              <w:t xml:space="preserve">BCTO Ace Purchaser, Inc. </w:t>
            </w:r>
            <w:r>
              <w:rPr>
                <w:rFonts w:ascii="Arial" w:cs="Arial" w:eastAsia="Arial" w:hAnsi="Arial"/>
                <w:sz w:val="14"/>
                <w:szCs w:val="14"/>
                <w:color w:val="auto"/>
                <w:vertAlign w:val="superscript"/>
              </w:rPr>
              <w:t>(3)(5)</w:t>
            </w:r>
          </w:p>
        </w:tc>
        <w:tc>
          <w:tcPr>
            <w:tcW w:w="100" w:type="dxa"/>
            <w:vAlign w:val="bottom"/>
          </w:tcPr>
          <w:p>
            <w:pPr>
              <w:spacing w:after="0"/>
              <w:rPr>
                <w:sz w:val="14"/>
                <w:szCs w:val="14"/>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First-lien loan ($56,691 par, due 11/2026)</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11/23/2020</w:t>
            </w: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L + 7.50%</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8.54 %</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55,526</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55,983</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4.5 %</w:t>
            </w:r>
          </w:p>
        </w:tc>
        <w:tc>
          <w:tcPr>
            <w:tcW w:w="0" w:type="dxa"/>
            <w:vAlign w:val="bottom"/>
          </w:tcPr>
          <w:p>
            <w:pPr>
              <w:spacing w:after="0"/>
              <w:rPr>
                <w:sz w:val="1"/>
                <w:szCs w:val="1"/>
                <w:color w:val="auto"/>
              </w:rPr>
            </w:pPr>
          </w:p>
        </w:tc>
      </w:tr>
      <w:tr>
        <w:trPr>
          <w:trHeight w:val="135"/>
        </w:trPr>
        <w:tc>
          <w:tcPr>
            <w:tcW w:w="2480" w:type="dxa"/>
            <w:vAlign w:val="bottom"/>
            <w:shd w:val="clear" w:color="auto" w:fill="CFF0FC"/>
          </w:tcPr>
          <w:p>
            <w:pPr>
              <w:ind w:left="20"/>
              <w:spacing w:after="0"/>
              <w:rPr>
                <w:sz w:val="20"/>
                <w:szCs w:val="20"/>
                <w:color w:val="auto"/>
              </w:rPr>
            </w:pPr>
            <w:r>
              <w:rPr>
                <w:rFonts w:ascii="Arial" w:cs="Arial" w:eastAsia="Arial" w:hAnsi="Arial"/>
                <w:sz w:val="11"/>
                <w:szCs w:val="11"/>
                <w:color w:val="auto"/>
              </w:rPr>
              <w:t>Caris Life Sciences, Inc.</w:t>
            </w:r>
          </w:p>
        </w:tc>
        <w:tc>
          <w:tcPr>
            <w:tcW w:w="100" w:type="dxa"/>
            <w:vAlign w:val="bottom"/>
            <w:shd w:val="clear" w:color="auto" w:fill="CFF0FC"/>
          </w:tcPr>
          <w:p>
            <w:pPr>
              <w:spacing w:after="0"/>
              <w:rPr>
                <w:sz w:val="11"/>
                <w:szCs w:val="11"/>
                <w:color w:val="auto"/>
              </w:rPr>
            </w:pPr>
          </w:p>
        </w:tc>
        <w:tc>
          <w:tcPr>
            <w:tcW w:w="2440" w:type="dxa"/>
            <w:vAlign w:val="bottom"/>
            <w:shd w:val="clear" w:color="auto" w:fill="CFF0FC"/>
          </w:tcPr>
          <w:p>
            <w:pPr>
              <w:ind w:left="20"/>
              <w:spacing w:after="0"/>
              <w:rPr>
                <w:sz w:val="20"/>
                <w:szCs w:val="20"/>
                <w:color w:val="auto"/>
              </w:rPr>
            </w:pPr>
            <w:r>
              <w:rPr>
                <w:rFonts w:ascii="Arial" w:cs="Arial" w:eastAsia="Arial" w:hAnsi="Arial"/>
                <w:sz w:val="11"/>
                <w:szCs w:val="11"/>
                <w:color w:val="auto"/>
              </w:rPr>
              <w:t>First-lien loan ($5,000 par, due 9/2023)</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9/21/2018</w:t>
            </w:r>
          </w:p>
        </w:tc>
        <w:tc>
          <w:tcPr>
            <w:tcW w:w="114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11.30 %</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11.30 %</w:t>
            </w: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4,945</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5,038</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0.4 %</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First-lien loan ($3,750 par, due 4/2025)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4/2/2020</w:t>
            </w:r>
          </w:p>
        </w:tc>
        <w:tc>
          <w:tcPr>
            <w:tcW w:w="1140" w:type="dxa"/>
            <w:vAlign w:val="bottom"/>
            <w:gridSpan w:val="3"/>
          </w:tcPr>
          <w:p>
            <w:pPr>
              <w:jc w:val="right"/>
              <w:ind w:right="120"/>
              <w:spacing w:after="0"/>
              <w:rPr>
                <w:sz w:val="20"/>
                <w:szCs w:val="20"/>
                <w:color w:val="auto"/>
              </w:rPr>
            </w:pPr>
            <w:r>
              <w:rPr>
                <w:rFonts w:ascii="Arial" w:cs="Arial" w:eastAsia="Arial" w:hAnsi="Arial"/>
                <w:sz w:val="11"/>
                <w:szCs w:val="11"/>
                <w:color w:val="auto"/>
              </w:rPr>
              <w:t>11.30 %</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11.30 %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3,573</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3,881</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0.3 %</w:t>
            </w:r>
          </w:p>
        </w:tc>
        <w:tc>
          <w:tcPr>
            <w:tcW w:w="0" w:type="dxa"/>
            <w:vAlign w:val="bottom"/>
          </w:tcPr>
          <w:p>
            <w:pPr>
              <w:spacing w:after="0"/>
              <w:rPr>
                <w:sz w:val="1"/>
                <w:szCs w:val="1"/>
                <w:color w:val="auto"/>
              </w:rPr>
            </w:pPr>
          </w:p>
        </w:tc>
      </w:tr>
      <w:tr>
        <w:trPr>
          <w:trHeight w:val="135"/>
        </w:trPr>
        <w:tc>
          <w:tcPr>
            <w:tcW w:w="2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4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Convertible note ($2,602 par, due 9/2023)</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9/21/2018</w:t>
            </w:r>
          </w:p>
        </w:tc>
        <w:tc>
          <w:tcPr>
            <w:tcW w:w="114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8.00 %</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8.00 %</w:t>
            </w: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6,141</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0.5 %</w:t>
            </w:r>
          </w:p>
        </w:tc>
        <w:tc>
          <w:tcPr>
            <w:tcW w:w="0" w:type="dxa"/>
            <w:vAlign w:val="bottom"/>
          </w:tcPr>
          <w:p>
            <w:pPr>
              <w:spacing w:after="0"/>
              <w:rPr>
                <w:sz w:val="1"/>
                <w:szCs w:val="1"/>
                <w:color w:val="auto"/>
              </w:rPr>
            </w:pPr>
          </w:p>
        </w:tc>
      </w:tr>
      <w:tr>
        <w:trPr>
          <w:trHeight w:val="95"/>
        </w:trPr>
        <w:tc>
          <w:tcPr>
            <w:tcW w:w="2480" w:type="dxa"/>
            <w:vAlign w:val="bottom"/>
          </w:tcPr>
          <w:p>
            <w:pPr>
              <w:ind w:left="20"/>
              <w:spacing w:after="0" w:line="95" w:lineRule="exact"/>
              <w:rPr>
                <w:sz w:val="20"/>
                <w:szCs w:val="20"/>
                <w:color w:val="auto"/>
              </w:rPr>
            </w:pPr>
            <w:r>
              <w:rPr>
                <w:rFonts w:ascii="Arial" w:cs="Arial" w:eastAsia="Arial" w:hAnsi="Arial"/>
                <w:sz w:val="10"/>
                <w:szCs w:val="10"/>
                <w:color w:val="auto"/>
              </w:rPr>
              <w:t>Homecare Software Solutions,</w:t>
            </w:r>
          </w:p>
        </w:tc>
        <w:tc>
          <w:tcPr>
            <w:tcW w:w="100" w:type="dxa"/>
            <w:vAlign w:val="bottom"/>
          </w:tcPr>
          <w:p>
            <w:pPr>
              <w:spacing w:after="0"/>
              <w:rPr>
                <w:sz w:val="8"/>
                <w:szCs w:val="8"/>
                <w:color w:val="auto"/>
              </w:rPr>
            </w:pPr>
          </w:p>
        </w:tc>
        <w:tc>
          <w:tcPr>
            <w:tcW w:w="2440" w:type="dxa"/>
            <w:vAlign w:val="bottom"/>
          </w:tcPr>
          <w:p>
            <w:pPr>
              <w:ind w:left="20"/>
              <w:spacing w:after="0" w:line="95" w:lineRule="exact"/>
              <w:rPr>
                <w:sz w:val="20"/>
                <w:szCs w:val="20"/>
                <w:color w:val="auto"/>
              </w:rPr>
            </w:pPr>
            <w:r>
              <w:rPr>
                <w:rFonts w:ascii="Arial" w:cs="Arial" w:eastAsia="Arial" w:hAnsi="Arial"/>
                <w:sz w:val="10"/>
                <w:szCs w:val="10"/>
                <w:color w:val="auto"/>
              </w:rPr>
              <w:t>First-lien loan ($65,000 par, due 10/2026)</w:t>
            </w:r>
          </w:p>
        </w:tc>
        <w:tc>
          <w:tcPr>
            <w:tcW w:w="96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10/6/2021</w:t>
            </w:r>
          </w:p>
        </w:tc>
        <w:tc>
          <w:tcPr>
            <w:tcW w:w="100" w:type="dxa"/>
            <w:vAlign w:val="bottom"/>
          </w:tcPr>
          <w:p>
            <w:pPr>
              <w:spacing w:after="0"/>
              <w:rPr>
                <w:sz w:val="8"/>
                <w:szCs w:val="8"/>
                <w:color w:val="auto"/>
              </w:rPr>
            </w:pPr>
          </w:p>
        </w:tc>
        <w:tc>
          <w:tcPr>
            <w:tcW w:w="1040" w:type="dxa"/>
            <w:vAlign w:val="bottom"/>
            <w:gridSpan w:val="2"/>
          </w:tcPr>
          <w:p>
            <w:pPr>
              <w:jc w:val="right"/>
              <w:ind w:right="260"/>
              <w:spacing w:after="0" w:line="95" w:lineRule="exact"/>
              <w:rPr>
                <w:sz w:val="20"/>
                <w:szCs w:val="20"/>
                <w:color w:val="auto"/>
              </w:rPr>
            </w:pPr>
            <w:r>
              <w:rPr>
                <w:rFonts w:ascii="Arial" w:cs="Arial" w:eastAsia="Arial" w:hAnsi="Arial"/>
                <w:sz w:val="10"/>
                <w:szCs w:val="10"/>
                <w:color w:val="auto"/>
              </w:rPr>
              <w:t>SOFR +</w:t>
            </w:r>
          </w:p>
        </w:tc>
        <w:tc>
          <w:tcPr>
            <w:tcW w:w="1040" w:type="dxa"/>
            <w:vAlign w:val="bottom"/>
            <w:gridSpan w:val="2"/>
          </w:tcPr>
          <w:p>
            <w:pPr>
              <w:jc w:val="right"/>
              <w:ind w:right="120"/>
              <w:spacing w:after="0" w:line="95" w:lineRule="exact"/>
              <w:rPr>
                <w:sz w:val="20"/>
                <w:szCs w:val="20"/>
                <w:color w:val="auto"/>
              </w:rPr>
            </w:pPr>
            <w:r>
              <w:rPr>
                <w:rFonts w:ascii="Arial" w:cs="Arial" w:eastAsia="Arial" w:hAnsi="Arial"/>
                <w:sz w:val="10"/>
                <w:szCs w:val="10"/>
                <w:color w:val="auto"/>
              </w:rPr>
              <w:t>7.18 %</w:t>
            </w:r>
          </w:p>
        </w:tc>
        <w:tc>
          <w:tcPr>
            <w:tcW w:w="14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Arial" w:cs="Arial" w:eastAsia="Arial" w:hAnsi="Arial"/>
                <w:sz w:val="10"/>
                <w:szCs w:val="10"/>
                <w:color w:val="auto"/>
              </w:rPr>
              <w:t>63,595</w:t>
            </w:r>
          </w:p>
        </w:tc>
        <w:tc>
          <w:tcPr>
            <w:tcW w:w="104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62,888</w:t>
            </w:r>
          </w:p>
        </w:tc>
        <w:tc>
          <w:tcPr>
            <w:tcW w:w="1140" w:type="dxa"/>
            <w:vAlign w:val="bottom"/>
            <w:gridSpan w:val="3"/>
          </w:tcPr>
          <w:p>
            <w:pPr>
              <w:jc w:val="right"/>
              <w:spacing w:after="0" w:line="95" w:lineRule="exact"/>
              <w:rPr>
                <w:sz w:val="20"/>
                <w:szCs w:val="20"/>
                <w:color w:val="auto"/>
              </w:rPr>
            </w:pPr>
            <w:r>
              <w:rPr>
                <w:rFonts w:ascii="Arial" w:cs="Arial" w:eastAsia="Arial" w:hAnsi="Arial"/>
                <w:sz w:val="10"/>
                <w:szCs w:val="10"/>
                <w:color w:val="auto"/>
              </w:rPr>
              <w:t>5.1 %</w:t>
            </w:r>
          </w:p>
        </w:tc>
        <w:tc>
          <w:tcPr>
            <w:tcW w:w="0" w:type="dxa"/>
            <w:vAlign w:val="bottom"/>
          </w:tcPr>
          <w:p>
            <w:pPr>
              <w:spacing w:after="0"/>
              <w:rPr>
                <w:sz w:val="1"/>
                <w:szCs w:val="1"/>
                <w:color w:val="auto"/>
              </w:rPr>
            </w:pPr>
          </w:p>
        </w:tc>
      </w:tr>
      <w:tr>
        <w:trPr>
          <w:trHeight w:val="139"/>
        </w:trPr>
        <w:tc>
          <w:tcPr>
            <w:tcW w:w="2480" w:type="dxa"/>
            <w:vAlign w:val="bottom"/>
          </w:tcPr>
          <w:p>
            <w:pPr>
              <w:ind w:left="100"/>
              <w:spacing w:after="0" w:line="139" w:lineRule="exact"/>
              <w:rPr>
                <w:sz w:val="20"/>
                <w:szCs w:val="20"/>
                <w:color w:val="auto"/>
              </w:rPr>
            </w:pPr>
            <w:r>
              <w:rPr>
                <w:rFonts w:ascii="Arial" w:cs="Arial" w:eastAsia="Arial" w:hAnsi="Arial"/>
                <w:sz w:val="16"/>
                <w:szCs w:val="16"/>
                <w:color w:val="auto"/>
                <w:vertAlign w:val="subscript"/>
              </w:rPr>
              <w:t>LLC</w:t>
            </w:r>
            <w:r>
              <w:rPr>
                <w:rFonts w:ascii="Arial" w:cs="Arial" w:eastAsia="Arial" w:hAnsi="Arial"/>
                <w:sz w:val="6"/>
                <w:szCs w:val="6"/>
                <w:color w:val="auto"/>
              </w:rPr>
              <w:t xml:space="preserve"> (3)(5)</w:t>
            </w:r>
          </w:p>
        </w:tc>
        <w:tc>
          <w:tcPr>
            <w:tcW w:w="1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5.70%</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480" w:type="dxa"/>
            <w:vAlign w:val="bottom"/>
          </w:tcPr>
          <w:p>
            <w:pPr>
              <w:ind w:left="20"/>
              <w:spacing w:after="0" w:line="104" w:lineRule="exact"/>
              <w:rPr>
                <w:sz w:val="20"/>
                <w:szCs w:val="20"/>
                <w:color w:val="auto"/>
              </w:rPr>
            </w:pPr>
            <w:r>
              <w:rPr>
                <w:rFonts w:ascii="Arial" w:cs="Arial" w:eastAsia="Arial" w:hAnsi="Arial"/>
                <w:sz w:val="11"/>
                <w:szCs w:val="11"/>
                <w:color w:val="auto"/>
              </w:rPr>
              <w:t>Integrated Practice</w:t>
            </w:r>
          </w:p>
        </w:tc>
        <w:tc>
          <w:tcPr>
            <w:tcW w:w="100" w:type="dxa"/>
            <w:vAlign w:val="bottom"/>
          </w:tcPr>
          <w:p>
            <w:pPr>
              <w:spacing w:after="0"/>
              <w:rPr>
                <w:sz w:val="9"/>
                <w:szCs w:val="9"/>
                <w:color w:val="auto"/>
              </w:rPr>
            </w:pPr>
          </w:p>
        </w:tc>
        <w:tc>
          <w:tcPr>
            <w:tcW w:w="2440" w:type="dxa"/>
            <w:vAlign w:val="bottom"/>
          </w:tcPr>
          <w:p>
            <w:pPr>
              <w:ind w:left="20"/>
              <w:spacing w:after="0" w:line="104" w:lineRule="exact"/>
              <w:rPr>
                <w:sz w:val="20"/>
                <w:szCs w:val="20"/>
                <w:color w:val="auto"/>
              </w:rPr>
            </w:pPr>
            <w:r>
              <w:rPr>
                <w:rFonts w:ascii="Arial" w:cs="Arial" w:eastAsia="Arial" w:hAnsi="Arial"/>
                <w:sz w:val="11"/>
                <w:szCs w:val="11"/>
                <w:color w:val="auto"/>
              </w:rPr>
              <w:t>First-lien loan ($46,937 par, due 10/2024)</w:t>
            </w:r>
          </w:p>
        </w:tc>
        <w:tc>
          <w:tcPr>
            <w:tcW w:w="960" w:type="dxa"/>
            <w:vAlign w:val="bottom"/>
            <w:gridSpan w:val="2"/>
          </w:tcPr>
          <w:p>
            <w:pPr>
              <w:jc w:val="right"/>
              <w:spacing w:after="0" w:line="104" w:lineRule="exact"/>
              <w:rPr>
                <w:sz w:val="20"/>
                <w:szCs w:val="20"/>
                <w:color w:val="auto"/>
              </w:rPr>
            </w:pPr>
            <w:r>
              <w:rPr>
                <w:rFonts w:ascii="Arial" w:cs="Arial" w:eastAsia="Arial" w:hAnsi="Arial"/>
                <w:sz w:val="11"/>
                <w:szCs w:val="11"/>
                <w:color w:val="auto"/>
              </w:rPr>
              <w:t>6/30/2017</w:t>
            </w:r>
          </w:p>
        </w:tc>
        <w:tc>
          <w:tcPr>
            <w:tcW w:w="100" w:type="dxa"/>
            <w:vAlign w:val="bottom"/>
          </w:tcPr>
          <w:p>
            <w:pPr>
              <w:spacing w:after="0"/>
              <w:rPr>
                <w:sz w:val="9"/>
                <w:szCs w:val="9"/>
                <w:color w:val="auto"/>
              </w:rPr>
            </w:pPr>
          </w:p>
        </w:tc>
        <w:tc>
          <w:tcPr>
            <w:tcW w:w="1040" w:type="dxa"/>
            <w:vAlign w:val="bottom"/>
            <w:gridSpan w:val="2"/>
          </w:tcPr>
          <w:p>
            <w:pPr>
              <w:jc w:val="right"/>
              <w:ind w:right="240"/>
              <w:spacing w:after="0" w:line="104" w:lineRule="exact"/>
              <w:rPr>
                <w:sz w:val="20"/>
                <w:szCs w:val="20"/>
                <w:color w:val="auto"/>
              </w:rPr>
            </w:pPr>
            <w:r>
              <w:rPr>
                <w:rFonts w:ascii="Arial" w:cs="Arial" w:eastAsia="Arial" w:hAnsi="Arial"/>
                <w:sz w:val="11"/>
                <w:szCs w:val="11"/>
                <w:color w:val="auto"/>
              </w:rPr>
              <w:t>L + 7.50%</w:t>
            </w:r>
          </w:p>
        </w:tc>
        <w:tc>
          <w:tcPr>
            <w:tcW w:w="1040" w:type="dxa"/>
            <w:vAlign w:val="bottom"/>
            <w:gridSpan w:val="2"/>
          </w:tcPr>
          <w:p>
            <w:pPr>
              <w:jc w:val="right"/>
              <w:ind w:right="120"/>
              <w:spacing w:after="0" w:line="104" w:lineRule="exact"/>
              <w:rPr>
                <w:sz w:val="20"/>
                <w:szCs w:val="20"/>
                <w:color w:val="auto"/>
              </w:rPr>
            </w:pPr>
            <w:r>
              <w:rPr>
                <w:rFonts w:ascii="Arial" w:cs="Arial" w:eastAsia="Arial" w:hAnsi="Arial"/>
                <w:sz w:val="11"/>
                <w:szCs w:val="11"/>
                <w:color w:val="auto"/>
              </w:rPr>
              <w:t>9.17 %</w:t>
            </w:r>
          </w:p>
        </w:tc>
        <w:tc>
          <w:tcPr>
            <w:tcW w:w="140" w:type="dxa"/>
            <w:vAlign w:val="bottom"/>
          </w:tcPr>
          <w:p>
            <w:pPr>
              <w:spacing w:after="0"/>
              <w:rPr>
                <w:sz w:val="9"/>
                <w:szCs w:val="9"/>
                <w:color w:val="auto"/>
              </w:rPr>
            </w:pPr>
          </w:p>
        </w:tc>
        <w:tc>
          <w:tcPr>
            <w:tcW w:w="760" w:type="dxa"/>
            <w:vAlign w:val="bottom"/>
          </w:tcPr>
          <w:p>
            <w:pPr>
              <w:jc w:val="right"/>
              <w:spacing w:after="0" w:line="104" w:lineRule="exact"/>
              <w:rPr>
                <w:sz w:val="20"/>
                <w:szCs w:val="20"/>
                <w:color w:val="auto"/>
              </w:rPr>
            </w:pPr>
            <w:r>
              <w:rPr>
                <w:rFonts w:ascii="Arial" w:cs="Arial" w:eastAsia="Arial" w:hAnsi="Arial"/>
                <w:sz w:val="11"/>
                <w:szCs w:val="11"/>
                <w:color w:val="auto"/>
              </w:rPr>
              <w:t>46,022</w:t>
            </w:r>
          </w:p>
        </w:tc>
        <w:tc>
          <w:tcPr>
            <w:tcW w:w="1040" w:type="dxa"/>
            <w:vAlign w:val="bottom"/>
            <w:gridSpan w:val="2"/>
          </w:tcPr>
          <w:p>
            <w:pPr>
              <w:jc w:val="right"/>
              <w:spacing w:after="0" w:line="104" w:lineRule="exact"/>
              <w:rPr>
                <w:sz w:val="20"/>
                <w:szCs w:val="20"/>
                <w:color w:val="auto"/>
              </w:rPr>
            </w:pPr>
            <w:r>
              <w:rPr>
                <w:rFonts w:ascii="Arial" w:cs="Arial" w:eastAsia="Arial" w:hAnsi="Arial"/>
                <w:sz w:val="11"/>
                <w:szCs w:val="11"/>
                <w:color w:val="auto"/>
              </w:rPr>
              <w:t>47,054</w:t>
            </w:r>
          </w:p>
        </w:tc>
        <w:tc>
          <w:tcPr>
            <w:tcW w:w="1140" w:type="dxa"/>
            <w:vAlign w:val="bottom"/>
            <w:gridSpan w:val="3"/>
          </w:tcPr>
          <w:p>
            <w:pPr>
              <w:jc w:val="right"/>
              <w:spacing w:after="0" w:line="104" w:lineRule="exact"/>
              <w:rPr>
                <w:sz w:val="20"/>
                <w:szCs w:val="20"/>
                <w:color w:val="auto"/>
              </w:rPr>
            </w:pPr>
            <w:r>
              <w:rPr>
                <w:rFonts w:ascii="Arial" w:cs="Arial" w:eastAsia="Arial" w:hAnsi="Arial"/>
                <w:sz w:val="11"/>
                <w:szCs w:val="11"/>
                <w:color w:val="auto"/>
              </w:rPr>
              <w:t>3.8 %</w:t>
            </w:r>
          </w:p>
        </w:tc>
        <w:tc>
          <w:tcPr>
            <w:tcW w:w="0" w:type="dxa"/>
            <w:vAlign w:val="bottom"/>
          </w:tcPr>
          <w:p>
            <w:pPr>
              <w:spacing w:after="0"/>
              <w:rPr>
                <w:sz w:val="1"/>
                <w:szCs w:val="1"/>
                <w:color w:val="auto"/>
              </w:rPr>
            </w:pPr>
          </w:p>
        </w:tc>
      </w:tr>
      <w:tr>
        <w:trPr>
          <w:trHeight w:val="119"/>
        </w:trPr>
        <w:tc>
          <w:tcPr>
            <w:tcW w:w="2480" w:type="dxa"/>
            <w:vAlign w:val="bottom"/>
          </w:tcPr>
          <w:p>
            <w:pPr>
              <w:ind w:left="100"/>
              <w:spacing w:after="0" w:line="119" w:lineRule="exact"/>
              <w:rPr>
                <w:sz w:val="20"/>
                <w:szCs w:val="20"/>
                <w:color w:val="auto"/>
              </w:rPr>
            </w:pPr>
            <w:r>
              <w:rPr>
                <w:rFonts w:ascii="Arial" w:cs="Arial" w:eastAsia="Arial" w:hAnsi="Arial"/>
                <w:sz w:val="10"/>
                <w:szCs w:val="10"/>
                <w:color w:val="auto"/>
              </w:rPr>
              <w:t xml:space="preserve">Solutions, Inc. </w:t>
            </w:r>
            <w:r>
              <w:rPr>
                <w:rFonts w:ascii="Arial" w:cs="Arial" w:eastAsia="Arial" w:hAnsi="Arial"/>
                <w:sz w:val="13"/>
                <w:szCs w:val="13"/>
                <w:color w:val="auto"/>
                <w:vertAlign w:val="superscript"/>
              </w:rPr>
              <w:t>(3)(5)</w:t>
            </w:r>
          </w:p>
        </w:tc>
        <w:tc>
          <w:tcPr>
            <w:tcW w:w="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480" w:type="dxa"/>
            <w:vAlign w:val="bottom"/>
          </w:tcPr>
          <w:p>
            <w:pPr>
              <w:ind w:left="20"/>
              <w:spacing w:after="0" w:line="129" w:lineRule="exact"/>
              <w:rPr>
                <w:sz w:val="20"/>
                <w:szCs w:val="20"/>
                <w:color w:val="auto"/>
              </w:rPr>
            </w:pPr>
            <w:r>
              <w:rPr>
                <w:rFonts w:ascii="Arial" w:cs="Arial" w:eastAsia="Arial" w:hAnsi="Arial"/>
                <w:sz w:val="11"/>
                <w:szCs w:val="11"/>
                <w:color w:val="auto"/>
              </w:rPr>
              <w:t xml:space="preserve">Merative L.P. </w:t>
            </w:r>
            <w:r>
              <w:rPr>
                <w:rFonts w:ascii="Arial" w:cs="Arial" w:eastAsia="Arial" w:hAnsi="Arial"/>
                <w:sz w:val="14"/>
                <w:szCs w:val="14"/>
                <w:color w:val="auto"/>
                <w:vertAlign w:val="superscript"/>
              </w:rPr>
              <w:t>(3)(5)</w:t>
            </w:r>
          </w:p>
        </w:tc>
        <w:tc>
          <w:tcPr>
            <w:tcW w:w="100" w:type="dxa"/>
            <w:vAlign w:val="bottom"/>
          </w:tcPr>
          <w:p>
            <w:pPr>
              <w:spacing w:after="0"/>
              <w:rPr>
                <w:sz w:val="11"/>
                <w:szCs w:val="11"/>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First-lien loan ($70,103 par, due 6/2028)</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6/30/2022</w:t>
            </w:r>
          </w:p>
        </w:tc>
        <w:tc>
          <w:tcPr>
            <w:tcW w:w="100" w:type="dxa"/>
            <w:vAlign w:val="bottom"/>
          </w:tcPr>
          <w:p>
            <w:pPr>
              <w:spacing w:after="0"/>
              <w:rPr>
                <w:sz w:val="11"/>
                <w:szCs w:val="1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1"/>
                <w:szCs w:val="11"/>
                <w:color w:val="auto"/>
              </w:rPr>
              <w:t>SOFR +</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9.31 %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67,760</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66,423</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5.3 %</w:t>
            </w:r>
          </w:p>
        </w:tc>
        <w:tc>
          <w:tcPr>
            <w:tcW w:w="0" w:type="dxa"/>
            <w:vAlign w:val="bottom"/>
          </w:tcPr>
          <w:p>
            <w:pPr>
              <w:spacing w:after="0"/>
              <w:rPr>
                <w:sz w:val="1"/>
                <w:szCs w:val="1"/>
                <w:color w:val="auto"/>
              </w:rPr>
            </w:pPr>
          </w:p>
        </w:tc>
      </w:tr>
      <w:tr>
        <w:trPr>
          <w:trHeight w:val="131"/>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7.25%</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4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244,023</w:t>
            </w:r>
          </w:p>
        </w:tc>
        <w:tc>
          <w:tcPr>
            <w:tcW w:w="2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247,408</w:t>
            </w:r>
          </w:p>
        </w:tc>
        <w:tc>
          <w:tcPr>
            <w:tcW w:w="2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1"/>
              </w:rPr>
              <w:t>%</w:t>
            </w:r>
          </w:p>
        </w:tc>
        <w:tc>
          <w:tcPr>
            <w:tcW w:w="0" w:type="dxa"/>
            <w:vAlign w:val="bottom"/>
          </w:tcPr>
          <w:p>
            <w:pPr>
              <w:spacing w:after="0"/>
              <w:rPr>
                <w:sz w:val="1"/>
                <w:szCs w:val="1"/>
                <w:color w:val="auto"/>
              </w:rPr>
            </w:pPr>
          </w:p>
        </w:tc>
      </w:tr>
      <w:tr>
        <w:trPr>
          <w:trHeight w:val="99"/>
        </w:trPr>
        <w:tc>
          <w:tcPr>
            <w:tcW w:w="248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Hotel, Gaming and Leisure</w:t>
            </w:r>
          </w:p>
        </w:tc>
        <w:tc>
          <w:tcPr>
            <w:tcW w:w="1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480" w:type="dxa"/>
            <w:vAlign w:val="bottom"/>
          </w:tcPr>
          <w:p>
            <w:pPr>
              <w:ind w:left="20"/>
              <w:spacing w:after="0" w:line="129" w:lineRule="exact"/>
              <w:rPr>
                <w:sz w:val="20"/>
                <w:szCs w:val="20"/>
                <w:color w:val="auto"/>
              </w:rPr>
            </w:pPr>
            <w:r>
              <w:rPr>
                <w:rFonts w:ascii="Arial" w:cs="Arial" w:eastAsia="Arial" w:hAnsi="Arial"/>
                <w:sz w:val="11"/>
                <w:szCs w:val="11"/>
                <w:color w:val="auto"/>
              </w:rPr>
              <w:t xml:space="preserve">ASG II, LLC </w:t>
            </w:r>
            <w:r>
              <w:rPr>
                <w:rFonts w:ascii="Arial" w:cs="Arial" w:eastAsia="Arial" w:hAnsi="Arial"/>
                <w:sz w:val="14"/>
                <w:szCs w:val="14"/>
                <w:color w:val="auto"/>
                <w:vertAlign w:val="superscript"/>
              </w:rPr>
              <w:t>(3)(5)</w:t>
            </w:r>
          </w:p>
        </w:tc>
        <w:tc>
          <w:tcPr>
            <w:tcW w:w="100" w:type="dxa"/>
            <w:vAlign w:val="bottom"/>
          </w:tcPr>
          <w:p>
            <w:pPr>
              <w:spacing w:after="0"/>
              <w:rPr>
                <w:sz w:val="11"/>
                <w:szCs w:val="11"/>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First-lien loan ($56,522 par, due 5/2028)</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5/25/2022</w:t>
            </w:r>
          </w:p>
        </w:tc>
        <w:tc>
          <w:tcPr>
            <w:tcW w:w="100" w:type="dxa"/>
            <w:vAlign w:val="bottom"/>
          </w:tcPr>
          <w:p>
            <w:pPr>
              <w:spacing w:after="0"/>
              <w:rPr>
                <w:sz w:val="11"/>
                <w:szCs w:val="1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1"/>
                <w:szCs w:val="11"/>
                <w:color w:val="auto"/>
              </w:rPr>
              <w:t>SOFR +</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8.70 %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54,965</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54,409</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4.4 %</w:t>
            </w:r>
          </w:p>
        </w:tc>
        <w:tc>
          <w:tcPr>
            <w:tcW w:w="0" w:type="dxa"/>
            <w:vAlign w:val="bottom"/>
          </w:tcPr>
          <w:p>
            <w:pPr>
              <w:spacing w:after="0"/>
              <w:rPr>
                <w:sz w:val="1"/>
                <w:szCs w:val="1"/>
                <w:color w:val="auto"/>
              </w:rPr>
            </w:pPr>
          </w:p>
        </w:tc>
      </w:tr>
      <w:tr>
        <w:trPr>
          <w:trHeight w:val="135"/>
        </w:trPr>
        <w:tc>
          <w:tcPr>
            <w:tcW w:w="2480" w:type="dxa"/>
            <w:vAlign w:val="bottom"/>
            <w:vMerge w:val="restart"/>
          </w:tcPr>
          <w:p>
            <w:pPr>
              <w:ind w:left="20"/>
              <w:spacing w:after="0"/>
              <w:rPr>
                <w:sz w:val="20"/>
                <w:szCs w:val="20"/>
                <w:color w:val="auto"/>
              </w:rPr>
            </w:pPr>
            <w:r>
              <w:rPr>
                <w:rFonts w:ascii="Arial" w:cs="Arial" w:eastAsia="Arial" w:hAnsi="Arial"/>
                <w:sz w:val="11"/>
                <w:szCs w:val="11"/>
                <w:color w:val="auto"/>
              </w:rPr>
              <w:t xml:space="preserve">IRGSE Holding Corp. </w:t>
            </w:r>
            <w:r>
              <w:rPr>
                <w:rFonts w:ascii="Arial" w:cs="Arial" w:eastAsia="Arial" w:hAnsi="Arial"/>
                <w:sz w:val="14"/>
                <w:szCs w:val="14"/>
                <w:color w:val="auto"/>
                <w:vertAlign w:val="superscript"/>
              </w:rPr>
              <w:t>(3)(7)</w:t>
            </w: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6.65%</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First-lien loan ($30,261 par, due 6/2023)</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9/29/2015</w:t>
            </w:r>
          </w:p>
        </w:tc>
        <w:tc>
          <w:tcPr>
            <w:tcW w:w="10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L + 9.50%</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11.75 %</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28,594</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30,034</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2.4 %</w:t>
            </w:r>
          </w:p>
        </w:tc>
        <w:tc>
          <w:tcPr>
            <w:tcW w:w="0" w:type="dxa"/>
            <w:vAlign w:val="bottom"/>
          </w:tcPr>
          <w:p>
            <w:pPr>
              <w:spacing w:after="0"/>
              <w:rPr>
                <w:sz w:val="1"/>
                <w:szCs w:val="1"/>
                <w:color w:val="auto"/>
              </w:rPr>
            </w:pPr>
          </w:p>
        </w:tc>
      </w:tr>
      <w:tr>
        <w:trPr>
          <w:trHeight w:val="135"/>
        </w:trPr>
        <w:tc>
          <w:tcPr>
            <w:tcW w:w="2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40" w:type="dxa"/>
            <w:vAlign w:val="bottom"/>
            <w:shd w:val="clear" w:color="auto" w:fill="CFF0FC"/>
          </w:tcPr>
          <w:p>
            <w:pPr>
              <w:ind w:left="20"/>
              <w:spacing w:after="0"/>
              <w:rPr>
                <w:sz w:val="20"/>
                <w:szCs w:val="20"/>
                <w:color w:val="auto"/>
              </w:rPr>
            </w:pPr>
            <w:r>
              <w:rPr>
                <w:rFonts w:ascii="Arial" w:cs="Arial" w:eastAsia="Arial" w:hAnsi="Arial"/>
                <w:sz w:val="11"/>
                <w:szCs w:val="11"/>
                <w:color w:val="auto"/>
                <w:w w:val="98"/>
              </w:rPr>
              <w:t>First-lien revolving loan ($13,257 par, due 6/2023)</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9/29/2015</w:t>
            </w:r>
          </w:p>
        </w:tc>
        <w:tc>
          <w:tcPr>
            <w:tcW w:w="1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L + 9.50%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11.75 %</w:t>
            </w: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13,258</w:t>
            </w: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13,156</w:t>
            </w:r>
          </w:p>
        </w:tc>
        <w:tc>
          <w:tcPr>
            <w:tcW w:w="2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20"/>
        </w:trPr>
        <w:tc>
          <w:tcPr>
            <w:tcW w:w="24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96,817</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97,599</w:t>
            </w:r>
          </w:p>
        </w:tc>
        <w:tc>
          <w:tcPr>
            <w:tcW w:w="20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7.9 %</w:t>
            </w:r>
          </w:p>
        </w:tc>
        <w:tc>
          <w:tcPr>
            <w:tcW w:w="0" w:type="dxa"/>
            <w:vAlign w:val="bottom"/>
          </w:tcPr>
          <w:p>
            <w:pPr>
              <w:spacing w:after="0"/>
              <w:rPr>
                <w:sz w:val="1"/>
                <w:szCs w:val="1"/>
                <w:color w:val="auto"/>
              </w:rPr>
            </w:pPr>
          </w:p>
        </w:tc>
      </w:tr>
      <w:tr>
        <w:trPr>
          <w:trHeight w:val="128"/>
        </w:trPr>
        <w:tc>
          <w:tcPr>
            <w:tcW w:w="2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480" w:type="dxa"/>
            <w:vAlign w:val="bottom"/>
          </w:tcPr>
          <w:p>
            <w:pPr>
              <w:ind w:left="20"/>
              <w:spacing w:after="0" w:line="105" w:lineRule="exact"/>
              <w:rPr>
                <w:sz w:val="20"/>
                <w:szCs w:val="20"/>
                <w:color w:val="auto"/>
              </w:rPr>
            </w:pPr>
            <w:r>
              <w:rPr>
                <w:rFonts w:ascii="Arial" w:cs="Arial" w:eastAsia="Arial" w:hAnsi="Arial"/>
                <w:sz w:val="11"/>
                <w:szCs w:val="11"/>
                <w:b w:val="1"/>
                <w:bCs w:val="1"/>
                <w:color w:val="auto"/>
              </w:rPr>
              <w:t>Human Resource Support Services</w:t>
            </w:r>
          </w:p>
        </w:tc>
        <w:tc>
          <w:tcPr>
            <w:tcW w:w="1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Axonify, Inc. </w:t>
            </w:r>
            <w:r>
              <w:rPr>
                <w:rFonts w:ascii="Arial" w:cs="Arial" w:eastAsia="Arial" w:hAnsi="Arial"/>
                <w:sz w:val="14"/>
                <w:szCs w:val="14"/>
                <w:color w:val="auto"/>
                <w:vertAlign w:val="superscript"/>
              </w:rPr>
              <w:t>(3)(4)(5)</w:t>
            </w:r>
          </w:p>
        </w:tc>
        <w:tc>
          <w:tcPr>
            <w:tcW w:w="100" w:type="dxa"/>
            <w:vAlign w:val="bottom"/>
          </w:tcPr>
          <w:p>
            <w:pPr>
              <w:spacing w:after="0"/>
              <w:rPr>
                <w:sz w:val="11"/>
                <w:szCs w:val="11"/>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First-lien loan ($45,228 par, due 5/2026)</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5/5/2021</w:t>
            </w:r>
          </w:p>
        </w:tc>
        <w:tc>
          <w:tcPr>
            <w:tcW w:w="10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L + 7.50%</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8.87 %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44,197</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44,150</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3.6 %</w:t>
            </w:r>
          </w:p>
        </w:tc>
        <w:tc>
          <w:tcPr>
            <w:tcW w:w="0" w:type="dxa"/>
            <w:vAlign w:val="bottom"/>
          </w:tcPr>
          <w:p>
            <w:pPr>
              <w:spacing w:after="0"/>
              <w:rPr>
                <w:sz w:val="1"/>
                <w:szCs w:val="1"/>
                <w:color w:val="auto"/>
              </w:rPr>
            </w:pPr>
          </w:p>
        </w:tc>
      </w:tr>
      <w:tr>
        <w:trPr>
          <w:trHeight w:val="128"/>
        </w:trPr>
        <w:tc>
          <w:tcPr>
            <w:tcW w:w="2480" w:type="dxa"/>
            <w:vAlign w:val="bottom"/>
          </w:tcPr>
          <w:p>
            <w:pPr>
              <w:ind w:left="20"/>
              <w:spacing w:after="0" w:line="129" w:lineRule="exact"/>
              <w:rPr>
                <w:sz w:val="20"/>
                <w:szCs w:val="20"/>
                <w:color w:val="auto"/>
              </w:rPr>
            </w:pPr>
            <w:r>
              <w:rPr>
                <w:rFonts w:ascii="Arial" w:cs="Arial" w:eastAsia="Arial" w:hAnsi="Arial"/>
                <w:sz w:val="11"/>
                <w:szCs w:val="11"/>
                <w:color w:val="auto"/>
              </w:rPr>
              <w:t xml:space="preserve">Elysian Finco Ltd. </w:t>
            </w:r>
            <w:r>
              <w:rPr>
                <w:rFonts w:ascii="Arial" w:cs="Arial" w:eastAsia="Arial" w:hAnsi="Arial"/>
                <w:sz w:val="14"/>
                <w:szCs w:val="14"/>
                <w:color w:val="auto"/>
                <w:vertAlign w:val="superscript"/>
              </w:rPr>
              <w:t>(3)(4)(5)</w:t>
            </w:r>
          </w:p>
        </w:tc>
        <w:tc>
          <w:tcPr>
            <w:tcW w:w="100" w:type="dxa"/>
            <w:vAlign w:val="bottom"/>
          </w:tcPr>
          <w:p>
            <w:pPr>
              <w:spacing w:after="0"/>
              <w:rPr>
                <w:sz w:val="11"/>
                <w:szCs w:val="11"/>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First-lien loan ($16,259 par, due 1/2028)</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1/31/2022</w:t>
            </w:r>
          </w:p>
        </w:tc>
        <w:tc>
          <w:tcPr>
            <w:tcW w:w="100" w:type="dxa"/>
            <w:vAlign w:val="bottom"/>
          </w:tcPr>
          <w:p>
            <w:pPr>
              <w:spacing w:after="0"/>
              <w:rPr>
                <w:sz w:val="11"/>
                <w:szCs w:val="1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1"/>
                <w:szCs w:val="11"/>
                <w:color w:val="auto"/>
              </w:rPr>
              <w:t>SOFR +</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8.10 %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15,737</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15,420</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6.65%</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480" w:type="dxa"/>
            <w:vAlign w:val="bottom"/>
          </w:tcPr>
          <w:p>
            <w:pPr>
              <w:ind w:left="20"/>
              <w:spacing w:after="0" w:line="104" w:lineRule="exact"/>
              <w:rPr>
                <w:sz w:val="20"/>
                <w:szCs w:val="20"/>
                <w:color w:val="auto"/>
              </w:rPr>
            </w:pPr>
            <w:r>
              <w:rPr>
                <w:rFonts w:ascii="Arial" w:cs="Arial" w:eastAsia="Arial" w:hAnsi="Arial"/>
                <w:sz w:val="11"/>
                <w:szCs w:val="11"/>
                <w:color w:val="auto"/>
              </w:rPr>
              <w:t>Employment Hero Holdings Pty</w:t>
            </w:r>
          </w:p>
        </w:tc>
        <w:tc>
          <w:tcPr>
            <w:tcW w:w="100" w:type="dxa"/>
            <w:vAlign w:val="bottom"/>
          </w:tcPr>
          <w:p>
            <w:pPr>
              <w:spacing w:after="0"/>
              <w:rPr>
                <w:sz w:val="9"/>
                <w:szCs w:val="9"/>
                <w:color w:val="auto"/>
              </w:rPr>
            </w:pPr>
          </w:p>
        </w:tc>
        <w:tc>
          <w:tcPr>
            <w:tcW w:w="2440" w:type="dxa"/>
            <w:vAlign w:val="bottom"/>
          </w:tcPr>
          <w:p>
            <w:pPr>
              <w:ind w:left="20"/>
              <w:spacing w:after="0" w:line="104" w:lineRule="exact"/>
              <w:rPr>
                <w:sz w:val="20"/>
                <w:szCs w:val="20"/>
                <w:color w:val="auto"/>
              </w:rPr>
            </w:pPr>
            <w:r>
              <w:rPr>
                <w:rFonts w:ascii="Arial" w:cs="Arial" w:eastAsia="Arial" w:hAnsi="Arial"/>
                <w:sz w:val="11"/>
                <w:szCs w:val="11"/>
                <w:color w:val="auto"/>
              </w:rPr>
              <w:t>First-lien loan (AUD 40,000 par, due 12/2026)</w:t>
            </w:r>
          </w:p>
        </w:tc>
        <w:tc>
          <w:tcPr>
            <w:tcW w:w="960" w:type="dxa"/>
            <w:vAlign w:val="bottom"/>
            <w:gridSpan w:val="2"/>
          </w:tcPr>
          <w:p>
            <w:pPr>
              <w:jc w:val="right"/>
              <w:spacing w:after="0" w:line="104" w:lineRule="exact"/>
              <w:rPr>
                <w:sz w:val="20"/>
                <w:szCs w:val="20"/>
                <w:color w:val="auto"/>
              </w:rPr>
            </w:pPr>
            <w:r>
              <w:rPr>
                <w:rFonts w:ascii="Arial" w:cs="Arial" w:eastAsia="Arial" w:hAnsi="Arial"/>
                <w:sz w:val="11"/>
                <w:szCs w:val="11"/>
                <w:color w:val="auto"/>
              </w:rPr>
              <w:t>12/6/2021</w:t>
            </w:r>
          </w:p>
        </w:tc>
        <w:tc>
          <w:tcPr>
            <w:tcW w:w="100" w:type="dxa"/>
            <w:vAlign w:val="bottom"/>
          </w:tcPr>
          <w:p>
            <w:pPr>
              <w:spacing w:after="0"/>
              <w:rPr>
                <w:sz w:val="9"/>
                <w:szCs w:val="9"/>
                <w:color w:val="auto"/>
              </w:rPr>
            </w:pPr>
          </w:p>
        </w:tc>
        <w:tc>
          <w:tcPr>
            <w:tcW w:w="1040" w:type="dxa"/>
            <w:vAlign w:val="bottom"/>
            <w:gridSpan w:val="2"/>
          </w:tcPr>
          <w:p>
            <w:pPr>
              <w:jc w:val="right"/>
              <w:ind w:right="240"/>
              <w:spacing w:after="0" w:line="104" w:lineRule="exact"/>
              <w:rPr>
                <w:sz w:val="20"/>
                <w:szCs w:val="20"/>
                <w:color w:val="auto"/>
              </w:rPr>
            </w:pPr>
            <w:r>
              <w:rPr>
                <w:rFonts w:ascii="Arial" w:cs="Arial" w:eastAsia="Arial" w:hAnsi="Arial"/>
                <w:sz w:val="11"/>
                <w:szCs w:val="11"/>
                <w:color w:val="auto"/>
              </w:rPr>
              <w:t>B + 6.50%</w:t>
            </w:r>
          </w:p>
        </w:tc>
        <w:tc>
          <w:tcPr>
            <w:tcW w:w="1040" w:type="dxa"/>
            <w:vAlign w:val="bottom"/>
            <w:gridSpan w:val="2"/>
          </w:tcPr>
          <w:p>
            <w:pPr>
              <w:jc w:val="right"/>
              <w:ind w:right="120"/>
              <w:spacing w:after="0" w:line="104" w:lineRule="exact"/>
              <w:rPr>
                <w:sz w:val="20"/>
                <w:szCs w:val="20"/>
                <w:color w:val="auto"/>
              </w:rPr>
            </w:pPr>
            <w:r>
              <w:rPr>
                <w:rFonts w:ascii="Arial" w:cs="Arial" w:eastAsia="Arial" w:hAnsi="Arial"/>
                <w:sz w:val="11"/>
                <w:szCs w:val="11"/>
                <w:color w:val="auto"/>
              </w:rPr>
              <w:t>8.36 %</w:t>
            </w:r>
          </w:p>
        </w:tc>
        <w:tc>
          <w:tcPr>
            <w:tcW w:w="140" w:type="dxa"/>
            <w:vAlign w:val="bottom"/>
          </w:tcPr>
          <w:p>
            <w:pPr>
              <w:spacing w:after="0"/>
              <w:rPr>
                <w:sz w:val="9"/>
                <w:szCs w:val="9"/>
                <w:color w:val="auto"/>
              </w:rPr>
            </w:pPr>
          </w:p>
        </w:tc>
        <w:tc>
          <w:tcPr>
            <w:tcW w:w="760" w:type="dxa"/>
            <w:vAlign w:val="bottom"/>
          </w:tcPr>
          <w:p>
            <w:pPr>
              <w:jc w:val="right"/>
              <w:spacing w:after="0" w:line="104" w:lineRule="exact"/>
              <w:rPr>
                <w:sz w:val="20"/>
                <w:szCs w:val="20"/>
                <w:color w:val="auto"/>
              </w:rPr>
            </w:pPr>
            <w:r>
              <w:rPr>
                <w:rFonts w:ascii="Arial" w:cs="Arial" w:eastAsia="Arial" w:hAnsi="Arial"/>
                <w:sz w:val="11"/>
                <w:szCs w:val="11"/>
                <w:color w:val="auto"/>
              </w:rPr>
              <w:t>27,477</w:t>
            </w:r>
          </w:p>
        </w:tc>
        <w:tc>
          <w:tcPr>
            <w:tcW w:w="1040" w:type="dxa"/>
            <w:vAlign w:val="bottom"/>
            <w:gridSpan w:val="2"/>
          </w:tcPr>
          <w:p>
            <w:pPr>
              <w:jc w:val="right"/>
              <w:spacing w:after="0" w:line="104" w:lineRule="exact"/>
              <w:rPr>
                <w:sz w:val="20"/>
                <w:szCs w:val="20"/>
                <w:color w:val="auto"/>
              </w:rPr>
            </w:pPr>
            <w:r>
              <w:rPr>
                <w:rFonts w:ascii="Arial" w:cs="Arial" w:eastAsia="Arial" w:hAnsi="Arial"/>
                <w:sz w:val="11"/>
                <w:szCs w:val="11"/>
                <w:color w:val="auto"/>
              </w:rPr>
              <w:t>26,098</w:t>
            </w:r>
          </w:p>
        </w:tc>
        <w:tc>
          <w:tcPr>
            <w:tcW w:w="1140" w:type="dxa"/>
            <w:vAlign w:val="bottom"/>
            <w:gridSpan w:val="3"/>
          </w:tcPr>
          <w:p>
            <w:pPr>
              <w:jc w:val="right"/>
              <w:spacing w:after="0" w:line="104" w:lineRule="exact"/>
              <w:rPr>
                <w:sz w:val="20"/>
                <w:szCs w:val="20"/>
                <w:color w:val="auto"/>
              </w:rPr>
            </w:pPr>
            <w:r>
              <w:rPr>
                <w:rFonts w:ascii="Arial" w:cs="Arial" w:eastAsia="Arial" w:hAnsi="Arial"/>
                <w:sz w:val="11"/>
                <w:szCs w:val="11"/>
                <w:color w:val="auto"/>
              </w:rPr>
              <w:t>2.1 %</w:t>
            </w:r>
          </w:p>
        </w:tc>
        <w:tc>
          <w:tcPr>
            <w:tcW w:w="0" w:type="dxa"/>
            <w:vAlign w:val="bottom"/>
          </w:tcPr>
          <w:p>
            <w:pPr>
              <w:spacing w:after="0"/>
              <w:rPr>
                <w:sz w:val="1"/>
                <w:szCs w:val="1"/>
                <w:color w:val="auto"/>
              </w:rPr>
            </w:pPr>
          </w:p>
        </w:tc>
      </w:tr>
      <w:tr>
        <w:trPr>
          <w:trHeight w:val="119"/>
        </w:trPr>
        <w:tc>
          <w:tcPr>
            <w:tcW w:w="2480" w:type="dxa"/>
            <w:vAlign w:val="bottom"/>
          </w:tcPr>
          <w:p>
            <w:pPr>
              <w:ind w:left="100"/>
              <w:spacing w:after="0" w:line="119" w:lineRule="exact"/>
              <w:rPr>
                <w:sz w:val="20"/>
                <w:szCs w:val="20"/>
                <w:color w:val="auto"/>
              </w:rPr>
            </w:pPr>
            <w:r>
              <w:rPr>
                <w:rFonts w:ascii="Arial" w:cs="Arial" w:eastAsia="Arial" w:hAnsi="Arial"/>
                <w:sz w:val="13"/>
                <w:szCs w:val="13"/>
                <w:color w:val="auto"/>
                <w:vertAlign w:val="subscript"/>
              </w:rPr>
              <w:t>Ltd.</w:t>
            </w:r>
            <w:r>
              <w:rPr>
                <w:rFonts w:ascii="Arial" w:cs="Arial" w:eastAsia="Arial" w:hAnsi="Arial"/>
                <w:sz w:val="6"/>
                <w:szCs w:val="6"/>
                <w:color w:val="auto"/>
              </w:rPr>
              <w:t xml:space="preserve"> (3)(4)</w:t>
            </w:r>
          </w:p>
        </w:tc>
        <w:tc>
          <w:tcPr>
            <w:tcW w:w="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Arial" w:cs="Arial" w:eastAsia="Arial" w:hAnsi="Arial"/>
                <w:sz w:val="11"/>
                <w:szCs w:val="11"/>
                <w:color w:val="auto"/>
              </w:rPr>
              <w:t>(AUD 37,953)</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480" w:type="dxa"/>
            <w:vAlign w:val="bottom"/>
          </w:tcPr>
          <w:p>
            <w:pPr>
              <w:ind w:left="20"/>
              <w:spacing w:after="0" w:line="129" w:lineRule="exact"/>
              <w:rPr>
                <w:sz w:val="20"/>
                <w:szCs w:val="20"/>
                <w:color w:val="auto"/>
              </w:rPr>
            </w:pPr>
            <w:r>
              <w:rPr>
                <w:rFonts w:ascii="Arial" w:cs="Arial" w:eastAsia="Arial" w:hAnsi="Arial"/>
                <w:sz w:val="11"/>
                <w:szCs w:val="11"/>
                <w:color w:val="auto"/>
              </w:rPr>
              <w:t xml:space="preserve">PageUp People, Ltd. </w:t>
            </w:r>
            <w:r>
              <w:rPr>
                <w:rFonts w:ascii="Arial" w:cs="Arial" w:eastAsia="Arial" w:hAnsi="Arial"/>
                <w:sz w:val="14"/>
                <w:szCs w:val="14"/>
                <w:color w:val="auto"/>
                <w:vertAlign w:val="superscript"/>
              </w:rPr>
              <w:t>(3)(4)(5)</w:t>
            </w:r>
          </w:p>
        </w:tc>
        <w:tc>
          <w:tcPr>
            <w:tcW w:w="100" w:type="dxa"/>
            <w:vAlign w:val="bottom"/>
          </w:tcPr>
          <w:p>
            <w:pPr>
              <w:spacing w:after="0"/>
              <w:rPr>
                <w:sz w:val="11"/>
                <w:szCs w:val="11"/>
                <w:color w:val="auto"/>
              </w:rPr>
            </w:pPr>
          </w:p>
        </w:tc>
        <w:tc>
          <w:tcPr>
            <w:tcW w:w="2440" w:type="dxa"/>
            <w:vAlign w:val="bottom"/>
          </w:tcPr>
          <w:p>
            <w:pPr>
              <w:ind w:left="20"/>
              <w:spacing w:after="0"/>
              <w:rPr>
                <w:sz w:val="20"/>
                <w:szCs w:val="20"/>
                <w:color w:val="auto"/>
              </w:rPr>
            </w:pPr>
            <w:r>
              <w:rPr>
                <w:rFonts w:ascii="Arial" w:cs="Arial" w:eastAsia="Arial" w:hAnsi="Arial"/>
                <w:sz w:val="11"/>
                <w:szCs w:val="11"/>
                <w:color w:val="auto"/>
              </w:rPr>
              <w:t>First-lien loan (AUD 15,982 par, due 12/2025)</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1/11/2018</w:t>
            </w:r>
          </w:p>
        </w:tc>
        <w:tc>
          <w:tcPr>
            <w:tcW w:w="10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B + 5.50%</w:t>
            </w: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7.26 %</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11,776</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9,903</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0.8 %</w:t>
            </w: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(AUD 14,401)</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-6560820</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-6320155</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-6080125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-5702935</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-5394325</wp:posOffset>
            </wp:positionV>
            <wp:extent cx="7132320" cy="857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-5125720</wp:posOffset>
            </wp:positionV>
            <wp:extent cx="685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-5125720</wp:posOffset>
            </wp:positionV>
            <wp:extent cx="685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-5125720</wp:posOffset>
            </wp:positionV>
            <wp:extent cx="6858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-5034280</wp:posOffset>
            </wp:positionV>
            <wp:extent cx="7132320" cy="857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-4774565</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-4774565</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-4774565</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-4674235</wp:posOffset>
            </wp:positionV>
            <wp:extent cx="7132320" cy="857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-4502785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-4114165</wp:posOffset>
            </wp:positionV>
            <wp:extent cx="685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-4114165</wp:posOffset>
            </wp:positionV>
            <wp:extent cx="685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-4014470</wp:posOffset>
            </wp:positionV>
            <wp:extent cx="7132320" cy="857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-3843020</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-3602990</wp:posOffset>
            </wp:positionV>
            <wp:extent cx="7132320" cy="85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-3431540</wp:posOffset>
            </wp:positionV>
            <wp:extent cx="7132320" cy="85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-3191510</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-2642870</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-2402840</wp:posOffset>
            </wp:positionV>
            <wp:extent cx="7132320" cy="94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-2214245</wp:posOffset>
            </wp:positionV>
            <wp:extent cx="7132320" cy="857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-1631315</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-1233805</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-1233805</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-1142365</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-814070</wp:posOffset>
            </wp:positionV>
            <wp:extent cx="685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-814070</wp:posOffset>
            </wp:positionV>
            <wp:extent cx="6858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857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26"/>
        </w:trPr>
        <w:tc>
          <w:tcPr>
            <w:tcW w:w="2100" w:type="dxa"/>
            <w:vAlign w:val="bottom"/>
            <w:shd w:val="clear" w:color="auto" w:fill="CFF0FC"/>
          </w:tcPr>
          <w:p>
            <w:pPr>
              <w:spacing w:after="0"/>
              <w:rPr>
                <w:sz w:val="10"/>
                <w:szCs w:val="10"/>
                <w:color w:val="auto"/>
              </w:rPr>
            </w:pPr>
          </w:p>
        </w:tc>
        <w:tc>
          <w:tcPr>
            <w:tcW w:w="3040" w:type="dxa"/>
            <w:vAlign w:val="bottom"/>
            <w:shd w:val="clear" w:color="auto" w:fill="CFF0FC"/>
          </w:tcPr>
          <w:p>
            <w:pPr>
              <w:ind w:left="500"/>
              <w:spacing w:after="0"/>
              <w:rPr>
                <w:sz w:val="20"/>
                <w:szCs w:val="20"/>
                <w:color w:val="auto"/>
              </w:rPr>
            </w:pPr>
            <w:r>
              <w:rPr>
                <w:rFonts w:ascii="Arial" w:cs="Arial" w:eastAsia="Arial" w:hAnsi="Arial"/>
                <w:sz w:val="11"/>
                <w:szCs w:val="11"/>
                <w:color w:val="auto"/>
              </w:rPr>
              <w:t>First-lien loan (GBP 4,723 par, due 12/2025)</w:t>
            </w:r>
          </w:p>
        </w:tc>
        <w:tc>
          <w:tcPr>
            <w:tcW w:w="1020" w:type="dxa"/>
            <w:vAlign w:val="bottom"/>
            <w:shd w:val="clear" w:color="auto" w:fill="CFF0FC"/>
          </w:tcPr>
          <w:p>
            <w:pPr>
              <w:jc w:val="right"/>
              <w:ind w:right="147"/>
              <w:spacing w:after="0"/>
              <w:rPr>
                <w:sz w:val="20"/>
                <w:szCs w:val="20"/>
                <w:color w:val="auto"/>
              </w:rPr>
            </w:pPr>
            <w:r>
              <w:rPr>
                <w:rFonts w:ascii="Arial" w:cs="Arial" w:eastAsia="Arial" w:hAnsi="Arial"/>
                <w:sz w:val="11"/>
                <w:szCs w:val="11"/>
                <w:color w:val="auto"/>
              </w:rPr>
              <w:t>10/28/2021</w:t>
            </w:r>
          </w:p>
        </w:tc>
        <w:tc>
          <w:tcPr>
            <w:tcW w:w="940" w:type="dxa"/>
            <w:vAlign w:val="bottom"/>
            <w:shd w:val="clear" w:color="auto" w:fill="CFF0FC"/>
          </w:tcPr>
          <w:p>
            <w:pPr>
              <w:jc w:val="right"/>
              <w:ind w:right="167"/>
              <w:spacing w:after="0"/>
              <w:rPr>
                <w:sz w:val="20"/>
                <w:szCs w:val="20"/>
                <w:color w:val="auto"/>
              </w:rPr>
            </w:pPr>
            <w:r>
              <w:rPr>
                <w:rFonts w:ascii="Arial" w:cs="Arial" w:eastAsia="Arial" w:hAnsi="Arial"/>
                <w:sz w:val="11"/>
                <w:szCs w:val="11"/>
                <w:color w:val="auto"/>
              </w:rPr>
              <w:t>S + 5.50%</w:t>
            </w:r>
          </w:p>
        </w:tc>
        <w:tc>
          <w:tcPr>
            <w:tcW w:w="1060" w:type="dxa"/>
            <w:vAlign w:val="bottom"/>
            <w:shd w:val="clear" w:color="auto" w:fill="CFF0FC"/>
          </w:tcPr>
          <w:p>
            <w:pPr>
              <w:jc w:val="right"/>
              <w:ind w:right="67"/>
              <w:spacing w:after="0"/>
              <w:rPr>
                <w:sz w:val="20"/>
                <w:szCs w:val="20"/>
                <w:color w:val="auto"/>
              </w:rPr>
            </w:pPr>
            <w:r>
              <w:rPr>
                <w:rFonts w:ascii="Arial" w:cs="Arial" w:eastAsia="Arial" w:hAnsi="Arial"/>
                <w:sz w:val="11"/>
                <w:szCs w:val="11"/>
                <w:color w:val="auto"/>
              </w:rPr>
              <w:t>6.56 %</w:t>
            </w: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6,501</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5,578</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0.4 %</w:t>
            </w:r>
          </w:p>
        </w:tc>
        <w:tc>
          <w:tcPr>
            <w:tcW w:w="0" w:type="dxa"/>
            <w:vAlign w:val="bottom"/>
          </w:tcPr>
          <w:p>
            <w:pPr>
              <w:spacing w:after="0"/>
              <w:rPr>
                <w:sz w:val="1"/>
                <w:szCs w:val="1"/>
                <w:color w:val="auto"/>
              </w:rPr>
            </w:pPr>
          </w:p>
        </w:tc>
      </w:tr>
      <w:tr>
        <w:trPr>
          <w:trHeight w:val="145"/>
        </w:trPr>
        <w:tc>
          <w:tcPr>
            <w:tcW w:w="2100" w:type="dxa"/>
            <w:vAlign w:val="bottom"/>
            <w:shd w:val="clear" w:color="auto" w:fill="CFF0FC"/>
          </w:tcPr>
          <w:p>
            <w:pPr>
              <w:spacing w:after="0"/>
              <w:rPr>
                <w:sz w:val="12"/>
                <w:szCs w:val="12"/>
                <w:color w:val="auto"/>
              </w:rPr>
            </w:pPr>
          </w:p>
        </w:tc>
        <w:tc>
          <w:tcPr>
            <w:tcW w:w="30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(GBP 4,593)</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00" w:type="dxa"/>
            <w:vAlign w:val="bottom"/>
            <w:vMerge w:val="restart"/>
          </w:tcPr>
          <w:p>
            <w:pPr>
              <w:ind w:left="20"/>
              <w:spacing w:after="0"/>
              <w:rPr>
                <w:sz w:val="20"/>
                <w:szCs w:val="20"/>
                <w:color w:val="auto"/>
              </w:rPr>
            </w:pPr>
            <w:r>
              <w:rPr>
                <w:rFonts w:ascii="Arial" w:cs="Arial" w:eastAsia="Arial" w:hAnsi="Arial"/>
                <w:sz w:val="11"/>
                <w:szCs w:val="11"/>
                <w:color w:val="auto"/>
              </w:rPr>
              <w:t xml:space="preserve">PayScale Holdings, Inc. </w:t>
            </w:r>
            <w:r>
              <w:rPr>
                <w:rFonts w:ascii="Arial" w:cs="Arial" w:eastAsia="Arial" w:hAnsi="Arial"/>
                <w:sz w:val="14"/>
                <w:szCs w:val="14"/>
                <w:color w:val="auto"/>
                <w:vertAlign w:val="superscript"/>
              </w:rPr>
              <w:t>(3)(5)</w:t>
            </w:r>
          </w:p>
        </w:tc>
        <w:tc>
          <w:tcPr>
            <w:tcW w:w="3040" w:type="dxa"/>
            <w:vAlign w:val="bottom"/>
          </w:tcPr>
          <w:p>
            <w:pPr>
              <w:ind w:left="500"/>
              <w:spacing w:after="0" w:line="125" w:lineRule="exact"/>
              <w:rPr>
                <w:sz w:val="20"/>
                <w:szCs w:val="20"/>
                <w:color w:val="auto"/>
              </w:rPr>
            </w:pPr>
            <w:r>
              <w:rPr>
                <w:rFonts w:ascii="Arial" w:cs="Arial" w:eastAsia="Arial" w:hAnsi="Arial"/>
                <w:sz w:val="11"/>
                <w:szCs w:val="11"/>
                <w:color w:val="auto"/>
              </w:rPr>
              <w:t>First-lien loan ($12,989 par, due 12/2025)</w:t>
            </w:r>
          </w:p>
        </w:tc>
        <w:tc>
          <w:tcPr>
            <w:tcW w:w="1020" w:type="dxa"/>
            <w:vAlign w:val="bottom"/>
          </w:tcPr>
          <w:p>
            <w:pPr>
              <w:jc w:val="right"/>
              <w:ind w:right="147"/>
              <w:spacing w:after="0" w:line="125" w:lineRule="exact"/>
              <w:rPr>
                <w:sz w:val="20"/>
                <w:szCs w:val="20"/>
                <w:color w:val="auto"/>
              </w:rPr>
            </w:pPr>
            <w:r>
              <w:rPr>
                <w:rFonts w:ascii="Arial" w:cs="Arial" w:eastAsia="Arial" w:hAnsi="Arial"/>
                <w:sz w:val="11"/>
                <w:szCs w:val="11"/>
                <w:color w:val="auto"/>
              </w:rPr>
              <w:t>10/28/2021</w:t>
            </w:r>
          </w:p>
        </w:tc>
        <w:tc>
          <w:tcPr>
            <w:tcW w:w="940" w:type="dxa"/>
            <w:vAlign w:val="bottom"/>
          </w:tcPr>
          <w:p>
            <w:pPr>
              <w:jc w:val="right"/>
              <w:ind w:right="167"/>
              <w:spacing w:after="0" w:line="125" w:lineRule="exact"/>
              <w:rPr>
                <w:sz w:val="20"/>
                <w:szCs w:val="20"/>
                <w:color w:val="auto"/>
              </w:rPr>
            </w:pPr>
            <w:r>
              <w:rPr>
                <w:rFonts w:ascii="Arial" w:cs="Arial" w:eastAsia="Arial" w:hAnsi="Arial"/>
                <w:sz w:val="11"/>
                <w:szCs w:val="11"/>
                <w:color w:val="auto"/>
              </w:rPr>
              <w:t>L + 5.50%</w:t>
            </w:r>
          </w:p>
        </w:tc>
        <w:tc>
          <w:tcPr>
            <w:tcW w:w="1060" w:type="dxa"/>
            <w:vAlign w:val="bottom"/>
          </w:tcPr>
          <w:p>
            <w:pPr>
              <w:jc w:val="right"/>
              <w:ind w:right="67"/>
              <w:spacing w:after="0" w:line="125" w:lineRule="exact"/>
              <w:rPr>
                <w:sz w:val="20"/>
                <w:szCs w:val="20"/>
                <w:color w:val="auto"/>
              </w:rPr>
            </w:pPr>
            <w:r>
              <w:rPr>
                <w:rFonts w:ascii="Arial" w:cs="Arial" w:eastAsia="Arial" w:hAnsi="Arial"/>
                <w:sz w:val="11"/>
                <w:szCs w:val="11"/>
                <w:color w:val="auto"/>
              </w:rPr>
              <w:t>7.75 %</w:t>
            </w:r>
          </w:p>
        </w:tc>
        <w:tc>
          <w:tcPr>
            <w:tcW w:w="900" w:type="dxa"/>
            <w:vAlign w:val="bottom"/>
          </w:tcPr>
          <w:p>
            <w:pPr>
              <w:jc w:val="right"/>
              <w:spacing w:after="0" w:line="125" w:lineRule="exact"/>
              <w:rPr>
                <w:sz w:val="20"/>
                <w:szCs w:val="20"/>
                <w:color w:val="auto"/>
              </w:rPr>
            </w:pPr>
            <w:r>
              <w:rPr>
                <w:rFonts w:ascii="Arial" w:cs="Arial" w:eastAsia="Arial" w:hAnsi="Arial"/>
                <w:sz w:val="11"/>
                <w:szCs w:val="11"/>
                <w:color w:val="auto"/>
              </w:rPr>
              <w:t>12,972</w:t>
            </w:r>
          </w:p>
        </w:tc>
        <w:tc>
          <w:tcPr>
            <w:tcW w:w="104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12,632</w:t>
            </w:r>
          </w:p>
        </w:tc>
        <w:tc>
          <w:tcPr>
            <w:tcW w:w="1140" w:type="dxa"/>
            <w:vAlign w:val="bottom"/>
            <w:gridSpan w:val="3"/>
          </w:tcPr>
          <w:p>
            <w:pPr>
              <w:jc w:val="right"/>
              <w:spacing w:after="0" w:line="125" w:lineRule="exact"/>
              <w:rPr>
                <w:sz w:val="20"/>
                <w:szCs w:val="20"/>
                <w:color w:val="auto"/>
              </w:rPr>
            </w:pPr>
            <w:r>
              <w:rPr>
                <w:rFonts w:ascii="Arial" w:cs="Arial" w:eastAsia="Arial" w:hAnsi="Arial"/>
                <w:sz w:val="11"/>
                <w:szCs w:val="11"/>
                <w:color w:val="auto"/>
              </w:rPr>
              <w:t>1.0 %</w:t>
            </w:r>
          </w:p>
        </w:tc>
        <w:tc>
          <w:tcPr>
            <w:tcW w:w="0" w:type="dxa"/>
            <w:vAlign w:val="bottom"/>
          </w:tcPr>
          <w:p>
            <w:pPr>
              <w:spacing w:after="0"/>
              <w:rPr>
                <w:sz w:val="1"/>
                <w:szCs w:val="1"/>
                <w:color w:val="auto"/>
              </w:rPr>
            </w:pPr>
          </w:p>
        </w:tc>
      </w:tr>
      <w:tr>
        <w:trPr>
          <w:trHeight w:val="135"/>
        </w:trPr>
        <w:tc>
          <w:tcPr>
            <w:tcW w:w="2100" w:type="dxa"/>
            <w:vAlign w:val="bottom"/>
            <w:vMerge w:val="continue"/>
          </w:tcPr>
          <w:p>
            <w:pPr>
              <w:spacing w:after="0"/>
              <w:rPr>
                <w:sz w:val="11"/>
                <w:szCs w:val="11"/>
                <w:color w:val="auto"/>
              </w:rPr>
            </w:pPr>
          </w:p>
        </w:tc>
        <w:tc>
          <w:tcPr>
            <w:tcW w:w="3040" w:type="dxa"/>
            <w:vAlign w:val="bottom"/>
          </w:tcPr>
          <w:p>
            <w:pPr>
              <w:ind w:left="500"/>
              <w:spacing w:after="0"/>
              <w:rPr>
                <w:sz w:val="20"/>
                <w:szCs w:val="20"/>
                <w:color w:val="auto"/>
              </w:rPr>
            </w:pPr>
            <w:r>
              <w:rPr>
                <w:rFonts w:ascii="Arial" w:cs="Arial" w:eastAsia="Arial" w:hAnsi="Arial"/>
                <w:sz w:val="11"/>
                <w:szCs w:val="11"/>
                <w:color w:val="auto"/>
              </w:rPr>
              <w:t>First-lien loan ($69,125 par, due 5/2024)</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5/3/2019</w:t>
            </w:r>
          </w:p>
        </w:tc>
        <w:tc>
          <w:tcPr>
            <w:tcW w:w="940" w:type="dxa"/>
            <w:vAlign w:val="bottom"/>
          </w:tcPr>
          <w:p>
            <w:pPr>
              <w:jc w:val="right"/>
              <w:ind w:right="167"/>
              <w:spacing w:after="0"/>
              <w:rPr>
                <w:sz w:val="20"/>
                <w:szCs w:val="20"/>
                <w:color w:val="auto"/>
              </w:rPr>
            </w:pPr>
            <w:r>
              <w:rPr>
                <w:rFonts w:ascii="Arial" w:cs="Arial" w:eastAsia="Arial" w:hAnsi="Arial"/>
                <w:sz w:val="11"/>
                <w:szCs w:val="11"/>
                <w:color w:val="auto"/>
              </w:rPr>
              <w:t>L + 5.50%</w:t>
            </w:r>
          </w:p>
        </w:tc>
        <w:tc>
          <w:tcPr>
            <w:tcW w:w="1060" w:type="dxa"/>
            <w:vAlign w:val="bottom"/>
          </w:tcPr>
          <w:p>
            <w:pPr>
              <w:jc w:val="right"/>
              <w:ind w:right="67"/>
              <w:spacing w:after="0"/>
              <w:rPr>
                <w:sz w:val="20"/>
                <w:szCs w:val="20"/>
                <w:color w:val="auto"/>
              </w:rPr>
            </w:pPr>
            <w:r>
              <w:rPr>
                <w:rFonts w:ascii="Arial" w:cs="Arial" w:eastAsia="Arial" w:hAnsi="Arial"/>
                <w:sz w:val="11"/>
                <w:szCs w:val="11"/>
                <w:color w:val="auto"/>
              </w:rPr>
              <w:t>7.75 %</w:t>
            </w:r>
          </w:p>
        </w:tc>
        <w:tc>
          <w:tcPr>
            <w:tcW w:w="900" w:type="dxa"/>
            <w:vAlign w:val="bottom"/>
          </w:tcPr>
          <w:p>
            <w:pPr>
              <w:jc w:val="right"/>
              <w:spacing w:after="0"/>
              <w:rPr>
                <w:sz w:val="20"/>
                <w:szCs w:val="20"/>
                <w:color w:val="auto"/>
              </w:rPr>
            </w:pPr>
            <w:r>
              <w:rPr>
                <w:rFonts w:ascii="Arial" w:cs="Arial" w:eastAsia="Arial" w:hAnsi="Arial"/>
                <w:sz w:val="11"/>
                <w:szCs w:val="11"/>
                <w:color w:val="auto"/>
              </w:rPr>
              <w:t>68,343</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67,915</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5.5 %</w:t>
            </w:r>
          </w:p>
        </w:tc>
        <w:tc>
          <w:tcPr>
            <w:tcW w:w="0" w:type="dxa"/>
            <w:vAlign w:val="bottom"/>
          </w:tcPr>
          <w:p>
            <w:pPr>
              <w:spacing w:after="0"/>
              <w:rPr>
                <w:sz w:val="1"/>
                <w:szCs w:val="1"/>
                <w:color w:val="auto"/>
              </w:rPr>
            </w:pPr>
          </w:p>
        </w:tc>
      </w:tr>
      <w:tr>
        <w:trPr>
          <w:trHeight w:val="104"/>
        </w:trPr>
        <w:tc>
          <w:tcPr>
            <w:tcW w:w="2100" w:type="dxa"/>
            <w:vAlign w:val="bottom"/>
          </w:tcPr>
          <w:p>
            <w:pPr>
              <w:ind w:left="20"/>
              <w:spacing w:after="0" w:line="104" w:lineRule="exact"/>
              <w:rPr>
                <w:sz w:val="20"/>
                <w:szCs w:val="20"/>
                <w:color w:val="auto"/>
              </w:rPr>
            </w:pPr>
            <w:r>
              <w:rPr>
                <w:rFonts w:ascii="Arial" w:cs="Arial" w:eastAsia="Arial" w:hAnsi="Arial"/>
                <w:sz w:val="11"/>
                <w:szCs w:val="11"/>
                <w:color w:val="auto"/>
              </w:rPr>
              <w:t>PrimePay Intermediate,</w:t>
            </w:r>
          </w:p>
        </w:tc>
        <w:tc>
          <w:tcPr>
            <w:tcW w:w="3040" w:type="dxa"/>
            <w:vAlign w:val="bottom"/>
          </w:tcPr>
          <w:p>
            <w:pPr>
              <w:ind w:left="500"/>
              <w:spacing w:after="0" w:line="104" w:lineRule="exact"/>
              <w:rPr>
                <w:sz w:val="20"/>
                <w:szCs w:val="20"/>
                <w:color w:val="auto"/>
              </w:rPr>
            </w:pPr>
            <w:r>
              <w:rPr>
                <w:rFonts w:ascii="Arial" w:cs="Arial" w:eastAsia="Arial" w:hAnsi="Arial"/>
                <w:sz w:val="11"/>
                <w:szCs w:val="11"/>
                <w:color w:val="auto"/>
              </w:rPr>
              <w:t>First-lien loan ($29,567 par, due 12/2026)</w:t>
            </w:r>
          </w:p>
        </w:tc>
        <w:tc>
          <w:tcPr>
            <w:tcW w:w="1020" w:type="dxa"/>
            <w:vAlign w:val="bottom"/>
          </w:tcPr>
          <w:p>
            <w:pPr>
              <w:jc w:val="right"/>
              <w:ind w:right="147"/>
              <w:spacing w:after="0" w:line="104" w:lineRule="exact"/>
              <w:rPr>
                <w:sz w:val="20"/>
                <w:szCs w:val="20"/>
                <w:color w:val="auto"/>
              </w:rPr>
            </w:pPr>
            <w:r>
              <w:rPr>
                <w:rFonts w:ascii="Arial" w:cs="Arial" w:eastAsia="Arial" w:hAnsi="Arial"/>
                <w:sz w:val="11"/>
                <w:szCs w:val="11"/>
                <w:color w:val="auto"/>
              </w:rPr>
              <w:t>12/17/2021</w:t>
            </w:r>
          </w:p>
        </w:tc>
        <w:tc>
          <w:tcPr>
            <w:tcW w:w="940" w:type="dxa"/>
            <w:vAlign w:val="bottom"/>
          </w:tcPr>
          <w:p>
            <w:pPr>
              <w:jc w:val="right"/>
              <w:ind w:right="167"/>
              <w:spacing w:after="0" w:line="104" w:lineRule="exact"/>
              <w:rPr>
                <w:sz w:val="20"/>
                <w:szCs w:val="20"/>
                <w:color w:val="auto"/>
              </w:rPr>
            </w:pPr>
            <w:r>
              <w:rPr>
                <w:rFonts w:ascii="Arial" w:cs="Arial" w:eastAsia="Arial" w:hAnsi="Arial"/>
                <w:sz w:val="11"/>
                <w:szCs w:val="11"/>
                <w:color w:val="auto"/>
              </w:rPr>
              <w:t>L + 7.00%</w:t>
            </w:r>
          </w:p>
        </w:tc>
        <w:tc>
          <w:tcPr>
            <w:tcW w:w="1060" w:type="dxa"/>
            <w:vAlign w:val="bottom"/>
          </w:tcPr>
          <w:p>
            <w:pPr>
              <w:jc w:val="right"/>
              <w:ind w:right="67"/>
              <w:spacing w:after="0" w:line="104" w:lineRule="exact"/>
              <w:rPr>
                <w:sz w:val="20"/>
                <w:szCs w:val="20"/>
                <w:color w:val="auto"/>
              </w:rPr>
            </w:pPr>
            <w:r>
              <w:rPr>
                <w:rFonts w:ascii="Arial" w:cs="Arial" w:eastAsia="Arial" w:hAnsi="Arial"/>
                <w:sz w:val="11"/>
                <w:szCs w:val="11"/>
                <w:color w:val="auto"/>
              </w:rPr>
              <w:t>9.88 %</w:t>
            </w:r>
          </w:p>
        </w:tc>
        <w:tc>
          <w:tcPr>
            <w:tcW w:w="900" w:type="dxa"/>
            <w:vAlign w:val="bottom"/>
          </w:tcPr>
          <w:p>
            <w:pPr>
              <w:jc w:val="right"/>
              <w:spacing w:after="0" w:line="104" w:lineRule="exact"/>
              <w:rPr>
                <w:sz w:val="20"/>
                <w:szCs w:val="20"/>
                <w:color w:val="auto"/>
              </w:rPr>
            </w:pPr>
            <w:r>
              <w:rPr>
                <w:rFonts w:ascii="Arial" w:cs="Arial" w:eastAsia="Arial" w:hAnsi="Arial"/>
                <w:sz w:val="11"/>
                <w:szCs w:val="11"/>
                <w:color w:val="auto"/>
              </w:rPr>
              <w:t>28,503</w:t>
            </w:r>
          </w:p>
        </w:tc>
        <w:tc>
          <w:tcPr>
            <w:tcW w:w="1040" w:type="dxa"/>
            <w:vAlign w:val="bottom"/>
            <w:gridSpan w:val="2"/>
          </w:tcPr>
          <w:p>
            <w:pPr>
              <w:jc w:val="right"/>
              <w:spacing w:after="0" w:line="104" w:lineRule="exact"/>
              <w:rPr>
                <w:sz w:val="20"/>
                <w:szCs w:val="20"/>
                <w:color w:val="auto"/>
              </w:rPr>
            </w:pPr>
            <w:r>
              <w:rPr>
                <w:rFonts w:ascii="Arial" w:cs="Arial" w:eastAsia="Arial" w:hAnsi="Arial"/>
                <w:sz w:val="11"/>
                <w:szCs w:val="11"/>
                <w:color w:val="auto"/>
              </w:rPr>
              <w:t>28,385</w:t>
            </w:r>
          </w:p>
        </w:tc>
        <w:tc>
          <w:tcPr>
            <w:tcW w:w="1140" w:type="dxa"/>
            <w:vAlign w:val="bottom"/>
            <w:gridSpan w:val="3"/>
          </w:tcPr>
          <w:p>
            <w:pPr>
              <w:jc w:val="right"/>
              <w:spacing w:after="0" w:line="104" w:lineRule="exact"/>
              <w:rPr>
                <w:sz w:val="20"/>
                <w:szCs w:val="20"/>
                <w:color w:val="auto"/>
              </w:rPr>
            </w:pPr>
            <w:r>
              <w:rPr>
                <w:rFonts w:ascii="Arial" w:cs="Arial" w:eastAsia="Arial" w:hAnsi="Arial"/>
                <w:sz w:val="11"/>
                <w:szCs w:val="11"/>
                <w:color w:val="auto"/>
              </w:rPr>
              <w:t>2.3 %</w:t>
            </w:r>
          </w:p>
        </w:tc>
        <w:tc>
          <w:tcPr>
            <w:tcW w:w="0" w:type="dxa"/>
            <w:vAlign w:val="bottom"/>
          </w:tcPr>
          <w:p>
            <w:pPr>
              <w:spacing w:after="0"/>
              <w:rPr>
                <w:sz w:val="1"/>
                <w:szCs w:val="1"/>
                <w:color w:val="auto"/>
              </w:rPr>
            </w:pPr>
          </w:p>
        </w:tc>
      </w:tr>
      <w:tr>
        <w:trPr>
          <w:trHeight w:val="119"/>
        </w:trPr>
        <w:tc>
          <w:tcPr>
            <w:tcW w:w="2100" w:type="dxa"/>
            <w:vAlign w:val="bottom"/>
          </w:tcPr>
          <w:p>
            <w:pPr>
              <w:ind w:left="100"/>
              <w:spacing w:after="0" w:line="119" w:lineRule="exact"/>
              <w:rPr>
                <w:sz w:val="20"/>
                <w:szCs w:val="20"/>
                <w:color w:val="auto"/>
              </w:rPr>
            </w:pPr>
            <w:r>
              <w:rPr>
                <w:rFonts w:ascii="Arial" w:cs="Arial" w:eastAsia="Arial" w:hAnsi="Arial"/>
                <w:sz w:val="13"/>
                <w:szCs w:val="13"/>
                <w:color w:val="auto"/>
                <w:vertAlign w:val="subscript"/>
              </w:rPr>
              <w:t>LLC</w:t>
            </w:r>
            <w:r>
              <w:rPr>
                <w:rFonts w:ascii="Arial" w:cs="Arial" w:eastAsia="Arial" w:hAnsi="Arial"/>
                <w:sz w:val="6"/>
                <w:szCs w:val="6"/>
                <w:color w:val="auto"/>
              </w:rPr>
              <w:t xml:space="preserve"> (3)(5)</w:t>
            </w:r>
          </w:p>
        </w:tc>
        <w:tc>
          <w:tcPr>
            <w:tcW w:w="3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Modern Hire, Inc. </w:t>
            </w:r>
            <w:r>
              <w:rPr>
                <w:rFonts w:ascii="Arial" w:cs="Arial" w:eastAsia="Arial" w:hAnsi="Arial"/>
                <w:sz w:val="14"/>
                <w:szCs w:val="14"/>
                <w:color w:val="auto"/>
                <w:vertAlign w:val="superscript"/>
              </w:rPr>
              <w:t>(3)(5)</w:t>
            </w:r>
          </w:p>
        </w:tc>
        <w:tc>
          <w:tcPr>
            <w:tcW w:w="3040" w:type="dxa"/>
            <w:vAlign w:val="bottom"/>
          </w:tcPr>
          <w:p>
            <w:pPr>
              <w:ind w:left="500"/>
              <w:spacing w:after="0"/>
              <w:rPr>
                <w:sz w:val="20"/>
                <w:szCs w:val="20"/>
                <w:color w:val="auto"/>
              </w:rPr>
            </w:pPr>
            <w:r>
              <w:rPr>
                <w:rFonts w:ascii="Arial" w:cs="Arial" w:eastAsia="Arial" w:hAnsi="Arial"/>
                <w:sz w:val="11"/>
                <w:szCs w:val="11"/>
                <w:color w:val="auto"/>
              </w:rPr>
              <w:t>First-lien loan ($29,259 par, due 5/2024)</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5/15/2019</w:t>
            </w:r>
          </w:p>
        </w:tc>
        <w:tc>
          <w:tcPr>
            <w:tcW w:w="940" w:type="dxa"/>
            <w:vAlign w:val="bottom"/>
          </w:tcPr>
          <w:p>
            <w:pPr>
              <w:jc w:val="right"/>
              <w:ind w:right="167"/>
              <w:spacing w:after="0"/>
              <w:rPr>
                <w:sz w:val="20"/>
                <w:szCs w:val="20"/>
                <w:color w:val="auto"/>
              </w:rPr>
            </w:pPr>
            <w:r>
              <w:rPr>
                <w:rFonts w:ascii="Arial" w:cs="Arial" w:eastAsia="Arial" w:hAnsi="Arial"/>
                <w:sz w:val="11"/>
                <w:szCs w:val="11"/>
                <w:color w:val="auto"/>
              </w:rPr>
              <w:t>L + 7.00%</w:t>
            </w:r>
          </w:p>
        </w:tc>
        <w:tc>
          <w:tcPr>
            <w:tcW w:w="1060" w:type="dxa"/>
            <w:vAlign w:val="bottom"/>
          </w:tcPr>
          <w:p>
            <w:pPr>
              <w:jc w:val="right"/>
              <w:ind w:right="67"/>
              <w:spacing w:after="0"/>
              <w:rPr>
                <w:sz w:val="20"/>
                <w:szCs w:val="20"/>
                <w:color w:val="auto"/>
              </w:rPr>
            </w:pPr>
            <w:r>
              <w:rPr>
                <w:rFonts w:ascii="Arial" w:cs="Arial" w:eastAsia="Arial" w:hAnsi="Arial"/>
                <w:sz w:val="11"/>
                <w:szCs w:val="11"/>
                <w:color w:val="auto"/>
              </w:rPr>
              <w:t>8.67 %</w:t>
            </w:r>
          </w:p>
        </w:tc>
        <w:tc>
          <w:tcPr>
            <w:tcW w:w="900" w:type="dxa"/>
            <w:vAlign w:val="bottom"/>
          </w:tcPr>
          <w:p>
            <w:pPr>
              <w:jc w:val="right"/>
              <w:spacing w:after="0"/>
              <w:rPr>
                <w:sz w:val="20"/>
                <w:szCs w:val="20"/>
                <w:color w:val="auto"/>
              </w:rPr>
            </w:pPr>
            <w:r>
              <w:rPr>
                <w:rFonts w:ascii="Arial" w:cs="Arial" w:eastAsia="Arial" w:hAnsi="Arial"/>
                <w:sz w:val="11"/>
                <w:szCs w:val="11"/>
                <w:color w:val="auto"/>
              </w:rPr>
              <w:t>28,914</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29,551</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2.4 %</w:t>
            </w:r>
          </w:p>
        </w:tc>
        <w:tc>
          <w:tcPr>
            <w:tcW w:w="0" w:type="dxa"/>
            <w:vAlign w:val="bottom"/>
          </w:tcPr>
          <w:p>
            <w:pPr>
              <w:spacing w:after="0"/>
              <w:rPr>
                <w:sz w:val="1"/>
                <w:szCs w:val="1"/>
                <w:color w:val="auto"/>
              </w:rPr>
            </w:pPr>
          </w:p>
        </w:tc>
      </w:tr>
      <w:tr>
        <w:trPr>
          <w:trHeight w:val="128"/>
        </w:trPr>
        <w:tc>
          <w:tcPr>
            <w:tcW w:w="2100" w:type="dxa"/>
            <w:vAlign w:val="bottom"/>
          </w:tcPr>
          <w:p>
            <w:pPr>
              <w:ind w:left="20"/>
              <w:spacing w:after="0" w:line="129" w:lineRule="exact"/>
              <w:rPr>
                <w:sz w:val="20"/>
                <w:szCs w:val="20"/>
                <w:color w:val="auto"/>
              </w:rPr>
            </w:pPr>
            <w:r>
              <w:rPr>
                <w:rFonts w:ascii="Arial" w:cs="Arial" w:eastAsia="Arial" w:hAnsi="Arial"/>
                <w:sz w:val="11"/>
                <w:szCs w:val="11"/>
                <w:color w:val="auto"/>
              </w:rPr>
              <w:t xml:space="preserve">Workwell Acquisition Co. </w:t>
            </w:r>
            <w:r>
              <w:rPr>
                <w:rFonts w:ascii="Arial" w:cs="Arial" w:eastAsia="Arial" w:hAnsi="Arial"/>
                <w:sz w:val="14"/>
                <w:szCs w:val="14"/>
                <w:color w:val="auto"/>
                <w:vertAlign w:val="superscript"/>
              </w:rPr>
              <w:t>(3)(5)</w:t>
            </w:r>
          </w:p>
        </w:tc>
        <w:tc>
          <w:tcPr>
            <w:tcW w:w="3040" w:type="dxa"/>
            <w:vAlign w:val="bottom"/>
          </w:tcPr>
          <w:p>
            <w:pPr>
              <w:ind w:left="500"/>
              <w:spacing w:after="0"/>
              <w:rPr>
                <w:sz w:val="20"/>
                <w:szCs w:val="20"/>
                <w:color w:val="auto"/>
              </w:rPr>
            </w:pPr>
            <w:r>
              <w:rPr>
                <w:rFonts w:ascii="Arial" w:cs="Arial" w:eastAsia="Arial" w:hAnsi="Arial"/>
                <w:sz w:val="11"/>
                <w:szCs w:val="11"/>
                <w:color w:val="auto"/>
              </w:rPr>
              <w:t>First-lien loan ($24,012 par, due 10/2025)</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10/19/2020</w:t>
            </w:r>
          </w:p>
        </w:tc>
        <w:tc>
          <w:tcPr>
            <w:tcW w:w="940" w:type="dxa"/>
            <w:vAlign w:val="bottom"/>
          </w:tcPr>
          <w:p>
            <w:pPr>
              <w:jc w:val="right"/>
              <w:ind w:right="187"/>
              <w:spacing w:after="0"/>
              <w:rPr>
                <w:sz w:val="20"/>
                <w:szCs w:val="20"/>
                <w:color w:val="auto"/>
              </w:rPr>
            </w:pPr>
            <w:r>
              <w:rPr>
                <w:rFonts w:ascii="Arial" w:cs="Arial" w:eastAsia="Arial" w:hAnsi="Arial"/>
                <w:sz w:val="11"/>
                <w:szCs w:val="11"/>
                <w:color w:val="auto"/>
              </w:rPr>
              <w:t>SOFR +</w:t>
            </w:r>
          </w:p>
        </w:tc>
        <w:tc>
          <w:tcPr>
            <w:tcW w:w="1060" w:type="dxa"/>
            <w:vAlign w:val="bottom"/>
          </w:tcPr>
          <w:p>
            <w:pPr>
              <w:jc w:val="right"/>
              <w:ind w:right="67"/>
              <w:spacing w:after="0"/>
              <w:rPr>
                <w:sz w:val="20"/>
                <w:szCs w:val="20"/>
                <w:color w:val="auto"/>
              </w:rPr>
            </w:pPr>
            <w:r>
              <w:rPr>
                <w:rFonts w:ascii="Arial" w:cs="Arial" w:eastAsia="Arial" w:hAnsi="Arial"/>
                <w:sz w:val="11"/>
                <w:szCs w:val="11"/>
                <w:color w:val="auto"/>
              </w:rPr>
              <w:t>8.83 %</w:t>
            </w:r>
          </w:p>
        </w:tc>
        <w:tc>
          <w:tcPr>
            <w:tcW w:w="900" w:type="dxa"/>
            <w:vAlign w:val="bottom"/>
          </w:tcPr>
          <w:p>
            <w:pPr>
              <w:jc w:val="right"/>
              <w:spacing w:after="0"/>
              <w:rPr>
                <w:sz w:val="20"/>
                <w:szCs w:val="20"/>
                <w:color w:val="auto"/>
              </w:rPr>
            </w:pPr>
            <w:r>
              <w:rPr>
                <w:rFonts w:ascii="Arial" w:cs="Arial" w:eastAsia="Arial" w:hAnsi="Arial"/>
                <w:sz w:val="11"/>
                <w:szCs w:val="11"/>
                <w:color w:val="auto"/>
              </w:rPr>
              <w:t>23,563</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23,715</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1.9 %</w:t>
            </w:r>
          </w:p>
        </w:tc>
        <w:tc>
          <w:tcPr>
            <w:tcW w:w="0" w:type="dxa"/>
            <w:vAlign w:val="bottom"/>
          </w:tcPr>
          <w:p>
            <w:pPr>
              <w:spacing w:after="0"/>
              <w:rPr>
                <w:sz w:val="1"/>
                <w:szCs w:val="1"/>
                <w:color w:val="auto"/>
              </w:rPr>
            </w:pPr>
          </w:p>
        </w:tc>
      </w:tr>
      <w:tr>
        <w:trPr>
          <w:trHeight w:val="131"/>
        </w:trPr>
        <w:tc>
          <w:tcPr>
            <w:tcW w:w="21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jc w:val="right"/>
              <w:ind w:right="167"/>
              <w:spacing w:after="0"/>
              <w:rPr>
                <w:sz w:val="20"/>
                <w:szCs w:val="20"/>
                <w:color w:val="auto"/>
              </w:rPr>
            </w:pPr>
            <w:r>
              <w:rPr>
                <w:rFonts w:ascii="Arial" w:cs="Arial" w:eastAsia="Arial" w:hAnsi="Arial"/>
                <w:sz w:val="11"/>
                <w:szCs w:val="11"/>
                <w:color w:val="auto"/>
              </w:rPr>
              <w:t>7.35%</w:t>
            </w:r>
          </w:p>
        </w:tc>
        <w:tc>
          <w:tcPr>
            <w:tcW w:w="10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00" w:type="dxa"/>
            <w:vAlign w:val="bottom"/>
            <w:tcBorders>
              <w:bottom w:val="single" w:sz="8" w:color="CFF0FC"/>
            </w:tcBorders>
            <w:shd w:val="clear" w:color="auto" w:fill="CFF0FC"/>
          </w:tcPr>
          <w:p>
            <w:pPr>
              <w:spacing w:after="0"/>
              <w:rPr>
                <w:sz w:val="11"/>
                <w:szCs w:val="11"/>
                <w:color w:val="auto"/>
              </w:rPr>
            </w:pPr>
          </w:p>
        </w:tc>
        <w:tc>
          <w:tcPr>
            <w:tcW w:w="304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106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267,983</w:t>
            </w:r>
          </w:p>
        </w:tc>
        <w:tc>
          <w:tcPr>
            <w:tcW w:w="2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263,347</w:t>
            </w:r>
          </w:p>
        </w:tc>
        <w:tc>
          <w:tcPr>
            <w:tcW w:w="2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1"/>
              </w:rPr>
              <w:t>%</w:t>
            </w:r>
          </w:p>
        </w:tc>
        <w:tc>
          <w:tcPr>
            <w:tcW w:w="0" w:type="dxa"/>
            <w:vAlign w:val="bottom"/>
          </w:tcPr>
          <w:p>
            <w:pPr>
              <w:spacing w:after="0"/>
              <w:rPr>
                <w:sz w:val="1"/>
                <w:szCs w:val="1"/>
                <w:color w:val="auto"/>
              </w:rPr>
            </w:pPr>
          </w:p>
        </w:tc>
      </w:tr>
      <w:tr>
        <w:trPr>
          <w:trHeight w:val="128"/>
        </w:trPr>
        <w:tc>
          <w:tcPr>
            <w:tcW w:w="2100" w:type="dxa"/>
            <w:vAlign w:val="bottom"/>
          </w:tcPr>
          <w:p>
            <w:pPr>
              <w:ind w:left="20"/>
              <w:spacing w:after="0"/>
              <w:rPr>
                <w:sz w:val="20"/>
                <w:szCs w:val="20"/>
                <w:color w:val="auto"/>
              </w:rPr>
            </w:pPr>
            <w:r>
              <w:rPr>
                <w:rFonts w:ascii="Arial" w:cs="Arial" w:eastAsia="Arial" w:hAnsi="Arial"/>
                <w:sz w:val="11"/>
                <w:szCs w:val="11"/>
                <w:b w:val="1"/>
                <w:bCs w:val="1"/>
                <w:color w:val="auto"/>
              </w:rPr>
              <w:t>Internet Services</w:t>
            </w:r>
          </w:p>
        </w:tc>
        <w:tc>
          <w:tcPr>
            <w:tcW w:w="3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100" w:type="dxa"/>
            <w:vAlign w:val="bottom"/>
            <w:shd w:val="clear" w:color="auto" w:fill="CFF0FC"/>
          </w:tcPr>
          <w:p>
            <w:pPr>
              <w:ind w:left="20"/>
              <w:spacing w:after="0" w:line="95" w:lineRule="exact"/>
              <w:rPr>
                <w:sz w:val="20"/>
                <w:szCs w:val="20"/>
                <w:color w:val="auto"/>
              </w:rPr>
            </w:pPr>
            <w:r>
              <w:rPr>
                <w:rFonts w:ascii="Arial" w:cs="Arial" w:eastAsia="Arial" w:hAnsi="Arial"/>
                <w:sz w:val="10"/>
                <w:szCs w:val="10"/>
                <w:color w:val="auto"/>
              </w:rPr>
              <w:t>Bayshore Intermediate #2,</w:t>
            </w:r>
          </w:p>
        </w:tc>
        <w:tc>
          <w:tcPr>
            <w:tcW w:w="3040" w:type="dxa"/>
            <w:vAlign w:val="bottom"/>
            <w:shd w:val="clear" w:color="auto" w:fill="CFF0FC"/>
          </w:tcPr>
          <w:p>
            <w:pPr>
              <w:ind w:left="500"/>
              <w:spacing w:after="0" w:line="95" w:lineRule="exact"/>
              <w:rPr>
                <w:sz w:val="20"/>
                <w:szCs w:val="20"/>
                <w:color w:val="auto"/>
              </w:rPr>
            </w:pPr>
            <w:r>
              <w:rPr>
                <w:rFonts w:ascii="Arial" w:cs="Arial" w:eastAsia="Arial" w:hAnsi="Arial"/>
                <w:sz w:val="10"/>
                <w:szCs w:val="10"/>
                <w:color w:val="auto"/>
              </w:rPr>
              <w:t>First-lien loan ($30,492 par, due 10/2028)</w:t>
            </w:r>
          </w:p>
        </w:tc>
        <w:tc>
          <w:tcPr>
            <w:tcW w:w="1020" w:type="dxa"/>
            <w:vAlign w:val="bottom"/>
            <w:shd w:val="clear" w:color="auto" w:fill="CFF0FC"/>
          </w:tcPr>
          <w:p>
            <w:pPr>
              <w:jc w:val="right"/>
              <w:ind w:right="147"/>
              <w:spacing w:after="0" w:line="95" w:lineRule="exact"/>
              <w:rPr>
                <w:sz w:val="20"/>
                <w:szCs w:val="20"/>
                <w:color w:val="auto"/>
              </w:rPr>
            </w:pPr>
            <w:r>
              <w:rPr>
                <w:rFonts w:ascii="Arial" w:cs="Arial" w:eastAsia="Arial" w:hAnsi="Arial"/>
                <w:sz w:val="10"/>
                <w:szCs w:val="10"/>
                <w:color w:val="auto"/>
              </w:rPr>
              <w:t>10/1/2021</w:t>
            </w:r>
          </w:p>
        </w:tc>
        <w:tc>
          <w:tcPr>
            <w:tcW w:w="940" w:type="dxa"/>
            <w:vAlign w:val="bottom"/>
            <w:shd w:val="clear" w:color="auto" w:fill="CFF0FC"/>
          </w:tcPr>
          <w:p>
            <w:pPr>
              <w:jc w:val="right"/>
              <w:ind w:right="167"/>
              <w:spacing w:after="0" w:line="95" w:lineRule="exact"/>
              <w:rPr>
                <w:sz w:val="20"/>
                <w:szCs w:val="20"/>
                <w:color w:val="auto"/>
              </w:rPr>
            </w:pPr>
            <w:r>
              <w:rPr>
                <w:rFonts w:ascii="Arial" w:cs="Arial" w:eastAsia="Arial" w:hAnsi="Arial"/>
                <w:sz w:val="10"/>
                <w:szCs w:val="10"/>
                <w:color w:val="auto"/>
              </w:rPr>
              <w:t>L + 7.75%</w:t>
            </w:r>
          </w:p>
        </w:tc>
        <w:tc>
          <w:tcPr>
            <w:tcW w:w="1060" w:type="dxa"/>
            <w:vAlign w:val="bottom"/>
            <w:shd w:val="clear" w:color="auto" w:fill="CFF0FC"/>
          </w:tcPr>
          <w:p>
            <w:pPr>
              <w:jc w:val="right"/>
              <w:ind w:right="167"/>
              <w:spacing w:after="0" w:line="95" w:lineRule="exact"/>
              <w:rPr>
                <w:sz w:val="20"/>
                <w:szCs w:val="20"/>
                <w:color w:val="auto"/>
              </w:rPr>
            </w:pPr>
            <w:r>
              <w:rPr>
                <w:rFonts w:ascii="Arial" w:cs="Arial" w:eastAsia="Arial" w:hAnsi="Arial"/>
                <w:sz w:val="10"/>
                <w:szCs w:val="10"/>
                <w:color w:val="auto"/>
              </w:rPr>
              <w:t>8.87% PIK</w:t>
            </w:r>
          </w:p>
        </w:tc>
        <w:tc>
          <w:tcPr>
            <w:tcW w:w="900" w:type="dxa"/>
            <w:vAlign w:val="bottom"/>
            <w:shd w:val="clear" w:color="auto" w:fill="CFF0FC"/>
          </w:tcPr>
          <w:p>
            <w:pPr>
              <w:jc w:val="right"/>
              <w:spacing w:after="0" w:line="95" w:lineRule="exact"/>
              <w:rPr>
                <w:sz w:val="20"/>
                <w:szCs w:val="20"/>
                <w:color w:val="auto"/>
              </w:rPr>
            </w:pPr>
            <w:r>
              <w:rPr>
                <w:rFonts w:ascii="Arial" w:cs="Arial" w:eastAsia="Arial" w:hAnsi="Arial"/>
                <w:sz w:val="10"/>
                <w:szCs w:val="10"/>
                <w:color w:val="auto"/>
              </w:rPr>
              <w:t>29,850</w:t>
            </w:r>
          </w:p>
        </w:tc>
        <w:tc>
          <w:tcPr>
            <w:tcW w:w="1040" w:type="dxa"/>
            <w:vAlign w:val="bottom"/>
            <w:gridSpan w:val="2"/>
            <w:shd w:val="clear" w:color="auto" w:fill="CFF0FC"/>
          </w:tcPr>
          <w:p>
            <w:pPr>
              <w:jc w:val="right"/>
              <w:spacing w:after="0" w:line="95" w:lineRule="exact"/>
              <w:rPr>
                <w:sz w:val="20"/>
                <w:szCs w:val="20"/>
                <w:color w:val="auto"/>
              </w:rPr>
            </w:pPr>
            <w:r>
              <w:rPr>
                <w:rFonts w:ascii="Arial" w:cs="Arial" w:eastAsia="Arial" w:hAnsi="Arial"/>
                <w:sz w:val="10"/>
                <w:szCs w:val="10"/>
                <w:color w:val="auto"/>
              </w:rPr>
              <w:t>29,259</w:t>
            </w:r>
          </w:p>
        </w:tc>
        <w:tc>
          <w:tcPr>
            <w:tcW w:w="1140" w:type="dxa"/>
            <w:vAlign w:val="bottom"/>
            <w:gridSpan w:val="3"/>
            <w:shd w:val="clear" w:color="auto" w:fill="CFF0FC"/>
          </w:tcPr>
          <w:p>
            <w:pPr>
              <w:jc w:val="right"/>
              <w:spacing w:after="0" w:line="95" w:lineRule="exact"/>
              <w:rPr>
                <w:sz w:val="20"/>
                <w:szCs w:val="20"/>
                <w:color w:val="auto"/>
              </w:rPr>
            </w:pPr>
            <w:r>
              <w:rPr>
                <w:rFonts w:ascii="Arial" w:cs="Arial" w:eastAsia="Arial" w:hAnsi="Arial"/>
                <w:sz w:val="10"/>
                <w:szCs w:val="10"/>
                <w:color w:val="auto"/>
              </w:rPr>
              <w:t>2.4 %</w:t>
            </w:r>
          </w:p>
        </w:tc>
        <w:tc>
          <w:tcPr>
            <w:tcW w:w="0" w:type="dxa"/>
            <w:vAlign w:val="bottom"/>
          </w:tcPr>
          <w:p>
            <w:pPr>
              <w:spacing w:after="0"/>
              <w:rPr>
                <w:sz w:val="1"/>
                <w:szCs w:val="1"/>
                <w:color w:val="auto"/>
              </w:rPr>
            </w:pPr>
          </w:p>
        </w:tc>
      </w:tr>
      <w:tr>
        <w:trPr>
          <w:trHeight w:val="148"/>
        </w:trPr>
        <w:tc>
          <w:tcPr>
            <w:tcW w:w="2100" w:type="dxa"/>
            <w:vAlign w:val="bottom"/>
            <w:shd w:val="clear" w:color="auto" w:fill="CFF0FC"/>
          </w:tcPr>
          <w:p>
            <w:pPr>
              <w:ind w:left="100"/>
              <w:spacing w:after="0" w:line="149" w:lineRule="exact"/>
              <w:rPr>
                <w:sz w:val="20"/>
                <w:szCs w:val="20"/>
                <w:color w:val="auto"/>
              </w:rPr>
            </w:pPr>
            <w:r>
              <w:rPr>
                <w:rFonts w:ascii="Arial" w:cs="Arial" w:eastAsia="Arial" w:hAnsi="Arial"/>
                <w:sz w:val="11"/>
                <w:szCs w:val="11"/>
                <w:color w:val="auto"/>
              </w:rPr>
              <w:t xml:space="preserve">L.P. </w:t>
            </w:r>
            <w:r>
              <w:rPr>
                <w:rFonts w:ascii="Arial" w:cs="Arial" w:eastAsia="Arial" w:hAnsi="Arial"/>
                <w:sz w:val="14"/>
                <w:szCs w:val="14"/>
                <w:color w:val="auto"/>
                <w:vertAlign w:val="superscript"/>
              </w:rPr>
              <w:t>(3)</w:t>
            </w:r>
          </w:p>
        </w:tc>
        <w:tc>
          <w:tcPr>
            <w:tcW w:w="30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100" w:type="dxa"/>
            <w:vAlign w:val="bottom"/>
          </w:tcPr>
          <w:p>
            <w:pPr>
              <w:ind w:left="20"/>
              <w:spacing w:after="0" w:line="95" w:lineRule="exact"/>
              <w:rPr>
                <w:sz w:val="20"/>
                <w:szCs w:val="20"/>
                <w:color w:val="auto"/>
              </w:rPr>
            </w:pPr>
            <w:r>
              <w:rPr>
                <w:rFonts w:ascii="Arial" w:cs="Arial" w:eastAsia="Arial" w:hAnsi="Arial"/>
                <w:sz w:val="10"/>
                <w:szCs w:val="10"/>
                <w:color w:val="auto"/>
              </w:rPr>
              <w:t>CrunchTime Information,</w:t>
            </w:r>
          </w:p>
        </w:tc>
        <w:tc>
          <w:tcPr>
            <w:tcW w:w="3040" w:type="dxa"/>
            <w:vAlign w:val="bottom"/>
          </w:tcPr>
          <w:p>
            <w:pPr>
              <w:ind w:left="500"/>
              <w:spacing w:after="0" w:line="95" w:lineRule="exact"/>
              <w:rPr>
                <w:sz w:val="20"/>
                <w:szCs w:val="20"/>
                <w:color w:val="auto"/>
              </w:rPr>
            </w:pPr>
            <w:r>
              <w:rPr>
                <w:rFonts w:ascii="Arial" w:cs="Arial" w:eastAsia="Arial" w:hAnsi="Arial"/>
                <w:sz w:val="10"/>
                <w:szCs w:val="10"/>
                <w:color w:val="auto"/>
              </w:rPr>
              <w:t>First-lien loan ($53,255 par, due 6/2028)</w:t>
            </w:r>
          </w:p>
        </w:tc>
        <w:tc>
          <w:tcPr>
            <w:tcW w:w="1020" w:type="dxa"/>
            <w:vAlign w:val="bottom"/>
          </w:tcPr>
          <w:p>
            <w:pPr>
              <w:jc w:val="right"/>
              <w:ind w:right="147"/>
              <w:spacing w:after="0" w:line="95" w:lineRule="exact"/>
              <w:rPr>
                <w:sz w:val="20"/>
                <w:szCs w:val="20"/>
                <w:color w:val="auto"/>
              </w:rPr>
            </w:pPr>
            <w:r>
              <w:rPr>
                <w:rFonts w:ascii="Arial" w:cs="Arial" w:eastAsia="Arial" w:hAnsi="Arial"/>
                <w:sz w:val="10"/>
                <w:szCs w:val="10"/>
                <w:color w:val="auto"/>
              </w:rPr>
              <w:t>6/17/2022</w:t>
            </w:r>
          </w:p>
        </w:tc>
        <w:tc>
          <w:tcPr>
            <w:tcW w:w="940" w:type="dxa"/>
            <w:vAlign w:val="bottom"/>
          </w:tcPr>
          <w:p>
            <w:pPr>
              <w:jc w:val="right"/>
              <w:ind w:right="187"/>
              <w:spacing w:after="0" w:line="95" w:lineRule="exact"/>
              <w:rPr>
                <w:sz w:val="20"/>
                <w:szCs w:val="20"/>
                <w:color w:val="auto"/>
              </w:rPr>
            </w:pPr>
            <w:r>
              <w:rPr>
                <w:rFonts w:ascii="Arial" w:cs="Arial" w:eastAsia="Arial" w:hAnsi="Arial"/>
                <w:sz w:val="10"/>
                <w:szCs w:val="10"/>
                <w:color w:val="auto"/>
              </w:rPr>
              <w:t>SOFR +</w:t>
            </w:r>
          </w:p>
        </w:tc>
        <w:tc>
          <w:tcPr>
            <w:tcW w:w="1060" w:type="dxa"/>
            <w:vAlign w:val="bottom"/>
          </w:tcPr>
          <w:p>
            <w:pPr>
              <w:jc w:val="right"/>
              <w:ind w:right="67"/>
              <w:spacing w:after="0" w:line="95" w:lineRule="exact"/>
              <w:rPr>
                <w:sz w:val="20"/>
                <w:szCs w:val="20"/>
                <w:color w:val="auto"/>
              </w:rPr>
            </w:pPr>
            <w:r>
              <w:rPr>
                <w:rFonts w:ascii="Arial" w:cs="Arial" w:eastAsia="Arial" w:hAnsi="Arial"/>
                <w:sz w:val="10"/>
                <w:szCs w:val="10"/>
                <w:color w:val="auto"/>
              </w:rPr>
              <w:t>7.48 %</w:t>
            </w:r>
          </w:p>
        </w:tc>
        <w:tc>
          <w:tcPr>
            <w:tcW w:w="900" w:type="dxa"/>
            <w:vAlign w:val="bottom"/>
          </w:tcPr>
          <w:p>
            <w:pPr>
              <w:jc w:val="right"/>
              <w:spacing w:after="0" w:line="95" w:lineRule="exact"/>
              <w:rPr>
                <w:sz w:val="20"/>
                <w:szCs w:val="20"/>
                <w:color w:val="auto"/>
              </w:rPr>
            </w:pPr>
            <w:r>
              <w:rPr>
                <w:rFonts w:ascii="Arial" w:cs="Arial" w:eastAsia="Arial" w:hAnsi="Arial"/>
                <w:sz w:val="10"/>
                <w:szCs w:val="10"/>
                <w:color w:val="auto"/>
              </w:rPr>
              <w:t>51,994</w:t>
            </w:r>
          </w:p>
        </w:tc>
        <w:tc>
          <w:tcPr>
            <w:tcW w:w="104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51,746</w:t>
            </w:r>
          </w:p>
        </w:tc>
        <w:tc>
          <w:tcPr>
            <w:tcW w:w="1140" w:type="dxa"/>
            <w:vAlign w:val="bottom"/>
            <w:gridSpan w:val="3"/>
          </w:tcPr>
          <w:p>
            <w:pPr>
              <w:jc w:val="right"/>
              <w:spacing w:after="0" w:line="95" w:lineRule="exact"/>
              <w:rPr>
                <w:sz w:val="20"/>
                <w:szCs w:val="20"/>
                <w:color w:val="auto"/>
              </w:rPr>
            </w:pPr>
            <w:r>
              <w:rPr>
                <w:rFonts w:ascii="Arial" w:cs="Arial" w:eastAsia="Arial" w:hAnsi="Arial"/>
                <w:sz w:val="10"/>
                <w:szCs w:val="10"/>
                <w:color w:val="auto"/>
              </w:rPr>
              <w:t>4.2 %</w:t>
            </w:r>
          </w:p>
        </w:tc>
        <w:tc>
          <w:tcPr>
            <w:tcW w:w="0" w:type="dxa"/>
            <w:vAlign w:val="bottom"/>
          </w:tcPr>
          <w:p>
            <w:pPr>
              <w:spacing w:after="0"/>
              <w:rPr>
                <w:sz w:val="1"/>
                <w:szCs w:val="1"/>
                <w:color w:val="auto"/>
              </w:rPr>
            </w:pPr>
          </w:p>
        </w:tc>
      </w:tr>
      <w:tr>
        <w:trPr>
          <w:trHeight w:val="119"/>
        </w:trPr>
        <w:tc>
          <w:tcPr>
            <w:tcW w:w="2100" w:type="dxa"/>
            <w:vAlign w:val="bottom"/>
          </w:tcPr>
          <w:p>
            <w:pPr>
              <w:ind w:left="100"/>
              <w:spacing w:after="0" w:line="119" w:lineRule="exact"/>
              <w:rPr>
                <w:sz w:val="20"/>
                <w:szCs w:val="20"/>
                <w:color w:val="auto"/>
              </w:rPr>
            </w:pPr>
            <w:r>
              <w:rPr>
                <w:rFonts w:ascii="Arial" w:cs="Arial" w:eastAsia="Arial" w:hAnsi="Arial"/>
                <w:sz w:val="10"/>
                <w:szCs w:val="10"/>
                <w:color w:val="auto"/>
              </w:rPr>
              <w:t xml:space="preserve">Systems, Inc. </w:t>
            </w:r>
            <w:r>
              <w:rPr>
                <w:rFonts w:ascii="Arial" w:cs="Arial" w:eastAsia="Arial" w:hAnsi="Arial"/>
                <w:sz w:val="13"/>
                <w:szCs w:val="13"/>
                <w:color w:val="auto"/>
                <w:vertAlign w:val="superscript"/>
              </w:rPr>
              <w:t>(3)(5)</w:t>
            </w:r>
          </w:p>
        </w:tc>
        <w:tc>
          <w:tcPr>
            <w:tcW w:w="3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jc w:val="right"/>
              <w:ind w:right="167"/>
              <w:spacing w:after="0" w:line="119" w:lineRule="exact"/>
              <w:rPr>
                <w:sz w:val="20"/>
                <w:szCs w:val="20"/>
                <w:color w:val="auto"/>
              </w:rPr>
            </w:pPr>
            <w:r>
              <w:rPr>
                <w:rFonts w:ascii="Arial" w:cs="Arial" w:eastAsia="Arial" w:hAnsi="Arial"/>
                <w:sz w:val="11"/>
                <w:szCs w:val="11"/>
                <w:color w:val="auto"/>
              </w:rPr>
              <w:t>6.00%</w:t>
            </w: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1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Higher Logic, LLC </w:t>
            </w:r>
            <w:r>
              <w:rPr>
                <w:rFonts w:ascii="Arial" w:cs="Arial" w:eastAsia="Arial" w:hAnsi="Arial"/>
                <w:sz w:val="14"/>
                <w:szCs w:val="14"/>
                <w:color w:val="auto"/>
                <w:vertAlign w:val="superscript"/>
              </w:rPr>
              <w:t>(3)(5)</w:t>
            </w:r>
          </w:p>
        </w:tc>
        <w:tc>
          <w:tcPr>
            <w:tcW w:w="3040" w:type="dxa"/>
            <w:vAlign w:val="bottom"/>
          </w:tcPr>
          <w:p>
            <w:pPr>
              <w:ind w:left="500"/>
              <w:spacing w:after="0"/>
              <w:rPr>
                <w:sz w:val="20"/>
                <w:szCs w:val="20"/>
                <w:color w:val="auto"/>
              </w:rPr>
            </w:pPr>
            <w:r>
              <w:rPr>
                <w:rFonts w:ascii="Arial" w:cs="Arial" w:eastAsia="Arial" w:hAnsi="Arial"/>
                <w:sz w:val="11"/>
                <w:szCs w:val="11"/>
                <w:color w:val="auto"/>
              </w:rPr>
              <w:t>First-lien loan ($56,541 par, due 1/2024)</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6/18/2018</w:t>
            </w:r>
          </w:p>
        </w:tc>
        <w:tc>
          <w:tcPr>
            <w:tcW w:w="940" w:type="dxa"/>
            <w:vAlign w:val="bottom"/>
          </w:tcPr>
          <w:p>
            <w:pPr>
              <w:jc w:val="right"/>
              <w:ind w:right="167"/>
              <w:spacing w:after="0"/>
              <w:rPr>
                <w:sz w:val="20"/>
                <w:szCs w:val="20"/>
                <w:color w:val="auto"/>
              </w:rPr>
            </w:pPr>
            <w:r>
              <w:rPr>
                <w:rFonts w:ascii="Arial" w:cs="Arial" w:eastAsia="Arial" w:hAnsi="Arial"/>
                <w:sz w:val="11"/>
                <w:szCs w:val="11"/>
                <w:color w:val="auto"/>
              </w:rPr>
              <w:t>L + 7.25%</w:t>
            </w:r>
          </w:p>
        </w:tc>
        <w:tc>
          <w:tcPr>
            <w:tcW w:w="1060" w:type="dxa"/>
            <w:vAlign w:val="bottom"/>
          </w:tcPr>
          <w:p>
            <w:pPr>
              <w:jc w:val="right"/>
              <w:ind w:right="67"/>
              <w:spacing w:after="0"/>
              <w:rPr>
                <w:sz w:val="20"/>
                <w:szCs w:val="20"/>
                <w:color w:val="auto"/>
              </w:rPr>
            </w:pPr>
            <w:r>
              <w:rPr>
                <w:rFonts w:ascii="Arial" w:cs="Arial" w:eastAsia="Arial" w:hAnsi="Arial"/>
                <w:sz w:val="11"/>
                <w:szCs w:val="11"/>
                <w:color w:val="auto"/>
              </w:rPr>
              <w:t>9.51 %</w:t>
            </w:r>
          </w:p>
        </w:tc>
        <w:tc>
          <w:tcPr>
            <w:tcW w:w="900" w:type="dxa"/>
            <w:vAlign w:val="bottom"/>
          </w:tcPr>
          <w:p>
            <w:pPr>
              <w:jc w:val="right"/>
              <w:spacing w:after="0"/>
              <w:rPr>
                <w:sz w:val="20"/>
                <w:szCs w:val="20"/>
                <w:color w:val="auto"/>
              </w:rPr>
            </w:pPr>
            <w:r>
              <w:rPr>
                <w:rFonts w:ascii="Arial" w:cs="Arial" w:eastAsia="Arial" w:hAnsi="Arial"/>
                <w:sz w:val="11"/>
                <w:szCs w:val="11"/>
                <w:color w:val="auto"/>
              </w:rPr>
              <w:t>56,151</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56,400</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4.5 %</w:t>
            </w:r>
          </w:p>
        </w:tc>
        <w:tc>
          <w:tcPr>
            <w:tcW w:w="0" w:type="dxa"/>
            <w:vAlign w:val="bottom"/>
          </w:tcPr>
          <w:p>
            <w:pPr>
              <w:spacing w:after="0"/>
              <w:rPr>
                <w:sz w:val="1"/>
                <w:szCs w:val="1"/>
                <w:color w:val="auto"/>
              </w:rPr>
            </w:pPr>
          </w:p>
        </w:tc>
      </w:tr>
      <w:tr>
        <w:trPr>
          <w:trHeight w:val="104"/>
        </w:trPr>
        <w:tc>
          <w:tcPr>
            <w:tcW w:w="2100" w:type="dxa"/>
            <w:vAlign w:val="bottom"/>
          </w:tcPr>
          <w:p>
            <w:pPr>
              <w:ind w:left="20"/>
              <w:spacing w:after="0" w:line="104" w:lineRule="exact"/>
              <w:rPr>
                <w:sz w:val="20"/>
                <w:szCs w:val="20"/>
                <w:color w:val="auto"/>
              </w:rPr>
            </w:pPr>
            <w:r>
              <w:rPr>
                <w:rFonts w:ascii="Arial" w:cs="Arial" w:eastAsia="Arial" w:hAnsi="Arial"/>
                <w:sz w:val="11"/>
                <w:szCs w:val="11"/>
                <w:color w:val="auto"/>
              </w:rPr>
              <w:t>Lithium Technologies,</w:t>
            </w:r>
          </w:p>
        </w:tc>
        <w:tc>
          <w:tcPr>
            <w:tcW w:w="3040" w:type="dxa"/>
            <w:vAlign w:val="bottom"/>
          </w:tcPr>
          <w:p>
            <w:pPr>
              <w:ind w:left="500"/>
              <w:spacing w:after="0" w:line="104" w:lineRule="exact"/>
              <w:rPr>
                <w:sz w:val="20"/>
                <w:szCs w:val="20"/>
                <w:color w:val="auto"/>
              </w:rPr>
            </w:pPr>
            <w:r>
              <w:rPr>
                <w:rFonts w:ascii="Arial" w:cs="Arial" w:eastAsia="Arial" w:hAnsi="Arial"/>
                <w:sz w:val="11"/>
                <w:szCs w:val="11"/>
                <w:color w:val="auto"/>
              </w:rPr>
              <w:t>First-lien loan ($54,700 par, due 10/2022)</w:t>
            </w:r>
          </w:p>
        </w:tc>
        <w:tc>
          <w:tcPr>
            <w:tcW w:w="1020" w:type="dxa"/>
            <w:vAlign w:val="bottom"/>
          </w:tcPr>
          <w:p>
            <w:pPr>
              <w:jc w:val="right"/>
              <w:ind w:right="147"/>
              <w:spacing w:after="0" w:line="104" w:lineRule="exact"/>
              <w:rPr>
                <w:sz w:val="20"/>
                <w:szCs w:val="20"/>
                <w:color w:val="auto"/>
              </w:rPr>
            </w:pPr>
            <w:r>
              <w:rPr>
                <w:rFonts w:ascii="Arial" w:cs="Arial" w:eastAsia="Arial" w:hAnsi="Arial"/>
                <w:sz w:val="11"/>
                <w:szCs w:val="11"/>
                <w:color w:val="auto"/>
              </w:rPr>
              <w:t>10/3/2017</w:t>
            </w:r>
          </w:p>
        </w:tc>
        <w:tc>
          <w:tcPr>
            <w:tcW w:w="940" w:type="dxa"/>
            <w:vAlign w:val="bottom"/>
          </w:tcPr>
          <w:p>
            <w:pPr>
              <w:jc w:val="right"/>
              <w:ind w:right="167"/>
              <w:spacing w:after="0" w:line="104" w:lineRule="exact"/>
              <w:rPr>
                <w:sz w:val="20"/>
                <w:szCs w:val="20"/>
                <w:color w:val="auto"/>
              </w:rPr>
            </w:pPr>
            <w:r>
              <w:rPr>
                <w:rFonts w:ascii="Arial" w:cs="Arial" w:eastAsia="Arial" w:hAnsi="Arial"/>
                <w:sz w:val="11"/>
                <w:szCs w:val="11"/>
                <w:color w:val="auto"/>
              </w:rPr>
              <w:t>L + 8.00%</w:t>
            </w:r>
          </w:p>
        </w:tc>
        <w:tc>
          <w:tcPr>
            <w:tcW w:w="1060" w:type="dxa"/>
            <w:vAlign w:val="bottom"/>
          </w:tcPr>
          <w:p>
            <w:pPr>
              <w:jc w:val="right"/>
              <w:ind w:right="67"/>
              <w:spacing w:after="0" w:line="104" w:lineRule="exact"/>
              <w:rPr>
                <w:sz w:val="20"/>
                <w:szCs w:val="20"/>
                <w:color w:val="auto"/>
              </w:rPr>
            </w:pPr>
            <w:r>
              <w:rPr>
                <w:rFonts w:ascii="Arial" w:cs="Arial" w:eastAsia="Arial" w:hAnsi="Arial"/>
                <w:sz w:val="11"/>
                <w:szCs w:val="11"/>
                <w:color w:val="auto"/>
              </w:rPr>
              <w:t>9.03 %</w:t>
            </w:r>
          </w:p>
        </w:tc>
        <w:tc>
          <w:tcPr>
            <w:tcW w:w="900" w:type="dxa"/>
            <w:vAlign w:val="bottom"/>
          </w:tcPr>
          <w:p>
            <w:pPr>
              <w:jc w:val="right"/>
              <w:spacing w:after="0" w:line="104" w:lineRule="exact"/>
              <w:rPr>
                <w:sz w:val="20"/>
                <w:szCs w:val="20"/>
                <w:color w:val="auto"/>
              </w:rPr>
            </w:pPr>
            <w:r>
              <w:rPr>
                <w:rFonts w:ascii="Arial" w:cs="Arial" w:eastAsia="Arial" w:hAnsi="Arial"/>
                <w:sz w:val="11"/>
                <w:szCs w:val="11"/>
                <w:color w:val="auto"/>
              </w:rPr>
              <w:t>54,621</w:t>
            </w:r>
          </w:p>
        </w:tc>
        <w:tc>
          <w:tcPr>
            <w:tcW w:w="1040" w:type="dxa"/>
            <w:vAlign w:val="bottom"/>
            <w:gridSpan w:val="2"/>
          </w:tcPr>
          <w:p>
            <w:pPr>
              <w:jc w:val="right"/>
              <w:spacing w:after="0" w:line="104" w:lineRule="exact"/>
              <w:rPr>
                <w:sz w:val="20"/>
                <w:szCs w:val="20"/>
                <w:color w:val="auto"/>
              </w:rPr>
            </w:pPr>
            <w:r>
              <w:rPr>
                <w:rFonts w:ascii="Arial" w:cs="Arial" w:eastAsia="Arial" w:hAnsi="Arial"/>
                <w:sz w:val="11"/>
                <w:szCs w:val="11"/>
                <w:color w:val="auto"/>
              </w:rPr>
              <w:t>53,606</w:t>
            </w:r>
          </w:p>
        </w:tc>
        <w:tc>
          <w:tcPr>
            <w:tcW w:w="1140" w:type="dxa"/>
            <w:vAlign w:val="bottom"/>
            <w:gridSpan w:val="3"/>
          </w:tcPr>
          <w:p>
            <w:pPr>
              <w:jc w:val="right"/>
              <w:spacing w:after="0" w:line="104" w:lineRule="exact"/>
              <w:rPr>
                <w:sz w:val="20"/>
                <w:szCs w:val="20"/>
                <w:color w:val="auto"/>
              </w:rPr>
            </w:pPr>
            <w:r>
              <w:rPr>
                <w:rFonts w:ascii="Arial" w:cs="Arial" w:eastAsia="Arial" w:hAnsi="Arial"/>
                <w:sz w:val="11"/>
                <w:szCs w:val="11"/>
                <w:color w:val="auto"/>
              </w:rPr>
              <w:t>4.3 %</w:t>
            </w:r>
          </w:p>
        </w:tc>
        <w:tc>
          <w:tcPr>
            <w:tcW w:w="0" w:type="dxa"/>
            <w:vAlign w:val="bottom"/>
          </w:tcPr>
          <w:p>
            <w:pPr>
              <w:spacing w:after="0"/>
              <w:rPr>
                <w:sz w:val="1"/>
                <w:szCs w:val="1"/>
                <w:color w:val="auto"/>
              </w:rPr>
            </w:pPr>
          </w:p>
        </w:tc>
      </w:tr>
      <w:tr>
        <w:trPr>
          <w:trHeight w:val="148"/>
        </w:trPr>
        <w:tc>
          <w:tcPr>
            <w:tcW w:w="2100" w:type="dxa"/>
            <w:vAlign w:val="bottom"/>
          </w:tcPr>
          <w:p>
            <w:pPr>
              <w:ind w:left="100"/>
              <w:spacing w:after="0" w:line="149" w:lineRule="exact"/>
              <w:rPr>
                <w:sz w:val="20"/>
                <w:szCs w:val="20"/>
                <w:color w:val="auto"/>
              </w:rPr>
            </w:pPr>
            <w:r>
              <w:rPr>
                <w:rFonts w:ascii="Arial" w:cs="Arial" w:eastAsia="Arial" w:hAnsi="Arial"/>
                <w:sz w:val="11"/>
                <w:szCs w:val="11"/>
                <w:color w:val="auto"/>
              </w:rPr>
              <w:t xml:space="preserve">LLC </w:t>
            </w:r>
            <w:r>
              <w:rPr>
                <w:rFonts w:ascii="Arial" w:cs="Arial" w:eastAsia="Arial" w:hAnsi="Arial"/>
                <w:sz w:val="14"/>
                <w:szCs w:val="14"/>
                <w:color w:val="auto"/>
                <w:vertAlign w:val="superscript"/>
              </w:rPr>
              <w:t>(3)</w:t>
            </w:r>
          </w:p>
        </w:tc>
        <w:tc>
          <w:tcPr>
            <w:tcW w:w="3040" w:type="dxa"/>
            <w:vAlign w:val="bottom"/>
            <w:vMerge w:val="restart"/>
          </w:tcPr>
          <w:p>
            <w:pPr>
              <w:ind w:left="500"/>
              <w:spacing w:after="0"/>
              <w:rPr>
                <w:sz w:val="20"/>
                <w:szCs w:val="20"/>
                <w:color w:val="auto"/>
              </w:rPr>
            </w:pPr>
            <w:r>
              <w:rPr>
                <w:rFonts w:ascii="Arial" w:cs="Arial" w:eastAsia="Arial" w:hAnsi="Arial"/>
                <w:sz w:val="11"/>
                <w:szCs w:val="11"/>
                <w:color w:val="auto"/>
              </w:rPr>
              <w:t>First-lien revolving loan ($1,320 par, due 10/2022)</w:t>
            </w:r>
          </w:p>
        </w:tc>
        <w:tc>
          <w:tcPr>
            <w:tcW w:w="1020" w:type="dxa"/>
            <w:vAlign w:val="bottom"/>
            <w:vMerge w:val="restart"/>
          </w:tcPr>
          <w:p>
            <w:pPr>
              <w:jc w:val="right"/>
              <w:ind w:right="147"/>
              <w:spacing w:after="0"/>
              <w:rPr>
                <w:sz w:val="20"/>
                <w:szCs w:val="20"/>
                <w:color w:val="auto"/>
              </w:rPr>
            </w:pPr>
            <w:r>
              <w:rPr>
                <w:rFonts w:ascii="Arial" w:cs="Arial" w:eastAsia="Arial" w:hAnsi="Arial"/>
                <w:sz w:val="11"/>
                <w:szCs w:val="11"/>
                <w:color w:val="auto"/>
              </w:rPr>
              <w:t>10/3/2017</w:t>
            </w:r>
          </w:p>
        </w:tc>
        <w:tc>
          <w:tcPr>
            <w:tcW w:w="940" w:type="dxa"/>
            <w:vAlign w:val="bottom"/>
            <w:vMerge w:val="restart"/>
          </w:tcPr>
          <w:p>
            <w:pPr>
              <w:jc w:val="right"/>
              <w:ind w:right="167"/>
              <w:spacing w:after="0"/>
              <w:rPr>
                <w:sz w:val="20"/>
                <w:szCs w:val="20"/>
                <w:color w:val="auto"/>
              </w:rPr>
            </w:pPr>
            <w:r>
              <w:rPr>
                <w:rFonts w:ascii="Arial" w:cs="Arial" w:eastAsia="Arial" w:hAnsi="Arial"/>
                <w:sz w:val="11"/>
                <w:szCs w:val="11"/>
                <w:color w:val="auto"/>
              </w:rPr>
              <w:t>L + 8.00%</w:t>
            </w:r>
          </w:p>
        </w:tc>
        <w:tc>
          <w:tcPr>
            <w:tcW w:w="1060" w:type="dxa"/>
            <w:vAlign w:val="bottom"/>
            <w:vMerge w:val="restart"/>
          </w:tcPr>
          <w:p>
            <w:pPr>
              <w:jc w:val="right"/>
              <w:ind w:right="67"/>
              <w:spacing w:after="0"/>
              <w:rPr>
                <w:sz w:val="20"/>
                <w:szCs w:val="20"/>
                <w:color w:val="auto"/>
              </w:rPr>
            </w:pPr>
            <w:r>
              <w:rPr>
                <w:rFonts w:ascii="Arial" w:cs="Arial" w:eastAsia="Arial" w:hAnsi="Arial"/>
                <w:sz w:val="11"/>
                <w:szCs w:val="11"/>
                <w:color w:val="auto"/>
              </w:rPr>
              <w:t>9.00 %</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1,317</w:t>
            </w:r>
          </w:p>
        </w:tc>
        <w:tc>
          <w:tcPr>
            <w:tcW w:w="1040" w:type="dxa"/>
            <w:vAlign w:val="bottom"/>
            <w:gridSpan w:val="2"/>
            <w:vMerge w:val="restart"/>
          </w:tcPr>
          <w:p>
            <w:pPr>
              <w:jc w:val="right"/>
              <w:spacing w:after="0"/>
              <w:rPr>
                <w:sz w:val="20"/>
                <w:szCs w:val="20"/>
                <w:color w:val="auto"/>
              </w:rPr>
            </w:pPr>
            <w:r>
              <w:rPr>
                <w:rFonts w:ascii="Arial" w:cs="Arial" w:eastAsia="Arial" w:hAnsi="Arial"/>
                <w:sz w:val="11"/>
                <w:szCs w:val="11"/>
                <w:color w:val="auto"/>
              </w:rPr>
              <w:t>1,254</w:t>
            </w:r>
          </w:p>
        </w:tc>
        <w:tc>
          <w:tcPr>
            <w:tcW w:w="1140" w:type="dxa"/>
            <w:vAlign w:val="bottom"/>
            <w:gridSpan w:val="3"/>
            <w:vMerge w:val="restart"/>
          </w:tcPr>
          <w:p>
            <w:pPr>
              <w:jc w:val="right"/>
              <w:spacing w:after="0"/>
              <w:rPr>
                <w:sz w:val="20"/>
                <w:szCs w:val="20"/>
                <w:color w:val="auto"/>
              </w:rPr>
            </w:pPr>
            <w:r>
              <w:rPr>
                <w:rFonts w:ascii="Arial" w:cs="Arial" w:eastAsia="Arial" w:hAnsi="Arial"/>
                <w:sz w:val="11"/>
                <w:szCs w:val="11"/>
                <w:color w:val="auto"/>
              </w:rPr>
              <w:t>0.1 %</w:t>
            </w:r>
          </w:p>
        </w:tc>
        <w:tc>
          <w:tcPr>
            <w:tcW w:w="0" w:type="dxa"/>
            <w:vAlign w:val="bottom"/>
          </w:tcPr>
          <w:p>
            <w:pPr>
              <w:spacing w:after="0"/>
              <w:rPr>
                <w:sz w:val="1"/>
                <w:szCs w:val="1"/>
                <w:color w:val="auto"/>
              </w:rPr>
            </w:pPr>
          </w:p>
        </w:tc>
      </w:tr>
      <w:tr>
        <w:trPr>
          <w:trHeight w:val="125"/>
        </w:trPr>
        <w:tc>
          <w:tcPr>
            <w:tcW w:w="2100" w:type="dxa"/>
            <w:vAlign w:val="bottom"/>
            <w:vMerge w:val="restart"/>
          </w:tcPr>
          <w:p>
            <w:pPr>
              <w:ind w:left="20"/>
              <w:spacing w:after="0"/>
              <w:rPr>
                <w:sz w:val="20"/>
                <w:szCs w:val="20"/>
                <w:color w:val="auto"/>
              </w:rPr>
            </w:pPr>
            <w:r>
              <w:rPr>
                <w:rFonts w:ascii="Arial" w:cs="Arial" w:eastAsia="Arial" w:hAnsi="Arial"/>
                <w:sz w:val="11"/>
                <w:szCs w:val="11"/>
                <w:color w:val="auto"/>
              </w:rPr>
              <w:t xml:space="preserve">Lucidworks, Inc. </w:t>
            </w:r>
            <w:r>
              <w:rPr>
                <w:rFonts w:ascii="Arial" w:cs="Arial" w:eastAsia="Arial" w:hAnsi="Arial"/>
                <w:sz w:val="14"/>
                <w:szCs w:val="14"/>
                <w:color w:val="auto"/>
                <w:vertAlign w:val="superscript"/>
              </w:rPr>
              <w:t>(3)(5)</w:t>
            </w:r>
          </w:p>
        </w:tc>
        <w:tc>
          <w:tcPr>
            <w:tcW w:w="30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00" w:type="dxa"/>
            <w:vAlign w:val="bottom"/>
            <w:vMerge w:val="continue"/>
          </w:tcPr>
          <w:p>
            <w:pPr>
              <w:spacing w:after="0"/>
              <w:rPr>
                <w:sz w:val="9"/>
                <w:szCs w:val="9"/>
                <w:color w:val="auto"/>
              </w:rPr>
            </w:pPr>
          </w:p>
        </w:tc>
        <w:tc>
          <w:tcPr>
            <w:tcW w:w="3040" w:type="dxa"/>
            <w:vAlign w:val="bottom"/>
          </w:tcPr>
          <w:p>
            <w:pPr>
              <w:ind w:left="500"/>
              <w:spacing w:after="0" w:line="108" w:lineRule="exact"/>
              <w:rPr>
                <w:sz w:val="20"/>
                <w:szCs w:val="20"/>
                <w:color w:val="auto"/>
              </w:rPr>
            </w:pPr>
            <w:r>
              <w:rPr>
                <w:rFonts w:ascii="Arial" w:cs="Arial" w:eastAsia="Arial" w:hAnsi="Arial"/>
                <w:sz w:val="11"/>
                <w:szCs w:val="11"/>
                <w:color w:val="auto"/>
              </w:rPr>
              <w:t>First-lien loan ($8,046 par, due 2/2027)</w:t>
            </w:r>
          </w:p>
        </w:tc>
        <w:tc>
          <w:tcPr>
            <w:tcW w:w="1020" w:type="dxa"/>
            <w:vAlign w:val="bottom"/>
          </w:tcPr>
          <w:p>
            <w:pPr>
              <w:jc w:val="right"/>
              <w:ind w:right="147"/>
              <w:spacing w:after="0" w:line="108" w:lineRule="exact"/>
              <w:rPr>
                <w:sz w:val="20"/>
                <w:szCs w:val="20"/>
                <w:color w:val="auto"/>
              </w:rPr>
            </w:pPr>
            <w:r>
              <w:rPr>
                <w:rFonts w:ascii="Arial" w:cs="Arial" w:eastAsia="Arial" w:hAnsi="Arial"/>
                <w:sz w:val="11"/>
                <w:szCs w:val="11"/>
                <w:color w:val="auto"/>
              </w:rPr>
              <w:t>2/11/2022</w:t>
            </w:r>
          </w:p>
        </w:tc>
        <w:tc>
          <w:tcPr>
            <w:tcW w:w="940" w:type="dxa"/>
            <w:vAlign w:val="bottom"/>
          </w:tcPr>
          <w:p>
            <w:pPr>
              <w:jc w:val="right"/>
              <w:ind w:right="187"/>
              <w:spacing w:after="0" w:line="108" w:lineRule="exact"/>
              <w:rPr>
                <w:sz w:val="20"/>
                <w:szCs w:val="20"/>
                <w:color w:val="auto"/>
              </w:rPr>
            </w:pPr>
            <w:r>
              <w:rPr>
                <w:rFonts w:ascii="Arial" w:cs="Arial" w:eastAsia="Arial" w:hAnsi="Arial"/>
                <w:sz w:val="11"/>
                <w:szCs w:val="11"/>
                <w:color w:val="auto"/>
              </w:rPr>
              <w:t>SOFR +</w:t>
            </w:r>
          </w:p>
        </w:tc>
        <w:tc>
          <w:tcPr>
            <w:tcW w:w="1060" w:type="dxa"/>
            <w:vAlign w:val="bottom"/>
          </w:tcPr>
          <w:p>
            <w:pPr>
              <w:jc w:val="right"/>
              <w:ind w:right="207"/>
              <w:spacing w:after="0" w:line="108" w:lineRule="exact"/>
              <w:rPr>
                <w:sz w:val="20"/>
                <w:szCs w:val="20"/>
                <w:color w:val="auto"/>
              </w:rPr>
            </w:pPr>
            <w:r>
              <w:rPr>
                <w:rFonts w:ascii="Arial" w:cs="Arial" w:eastAsia="Arial" w:hAnsi="Arial"/>
                <w:sz w:val="11"/>
                <w:szCs w:val="11"/>
                <w:color w:val="auto"/>
              </w:rPr>
              <w:t>9.03% (incl.</w:t>
            </w:r>
          </w:p>
        </w:tc>
        <w:tc>
          <w:tcPr>
            <w:tcW w:w="900" w:type="dxa"/>
            <w:vAlign w:val="bottom"/>
          </w:tcPr>
          <w:p>
            <w:pPr>
              <w:jc w:val="right"/>
              <w:spacing w:after="0" w:line="108" w:lineRule="exact"/>
              <w:rPr>
                <w:sz w:val="20"/>
                <w:szCs w:val="20"/>
                <w:color w:val="auto"/>
              </w:rPr>
            </w:pPr>
            <w:r>
              <w:rPr>
                <w:rFonts w:ascii="Arial" w:cs="Arial" w:eastAsia="Arial" w:hAnsi="Arial"/>
                <w:sz w:val="11"/>
                <w:szCs w:val="11"/>
                <w:color w:val="auto"/>
              </w:rPr>
              <w:t>8,046</w:t>
            </w:r>
          </w:p>
        </w:tc>
        <w:tc>
          <w:tcPr>
            <w:tcW w:w="10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7,890</w:t>
            </w:r>
          </w:p>
        </w:tc>
        <w:tc>
          <w:tcPr>
            <w:tcW w:w="1140" w:type="dxa"/>
            <w:vAlign w:val="bottom"/>
            <w:gridSpan w:val="3"/>
          </w:tcPr>
          <w:p>
            <w:pPr>
              <w:jc w:val="right"/>
              <w:spacing w:after="0" w:line="108" w:lineRule="exact"/>
              <w:rPr>
                <w:sz w:val="20"/>
                <w:szCs w:val="20"/>
                <w:color w:val="auto"/>
              </w:rPr>
            </w:pPr>
            <w:r>
              <w:rPr>
                <w:rFonts w:ascii="Arial" w:cs="Arial" w:eastAsia="Arial" w:hAnsi="Arial"/>
                <w:sz w:val="11"/>
                <w:szCs w:val="11"/>
                <w:color w:val="auto"/>
              </w:rPr>
              <w:t>0.6 %</w:t>
            </w:r>
          </w:p>
        </w:tc>
        <w:tc>
          <w:tcPr>
            <w:tcW w:w="0" w:type="dxa"/>
            <w:vAlign w:val="bottom"/>
          </w:tcPr>
          <w:p>
            <w:pPr>
              <w:spacing w:after="0"/>
              <w:rPr>
                <w:sz w:val="1"/>
                <w:szCs w:val="1"/>
                <w:color w:val="auto"/>
              </w:rPr>
            </w:pPr>
          </w:p>
        </w:tc>
      </w:tr>
      <w:tr>
        <w:trPr>
          <w:trHeight w:val="135"/>
        </w:trPr>
        <w:tc>
          <w:tcPr>
            <w:tcW w:w="2100" w:type="dxa"/>
            <w:vAlign w:val="bottom"/>
            <w:vMerge w:val="restart"/>
          </w:tcPr>
          <w:p>
            <w:pPr>
              <w:ind w:left="20"/>
              <w:spacing w:after="0"/>
              <w:rPr>
                <w:sz w:val="20"/>
                <w:szCs w:val="20"/>
                <w:color w:val="auto"/>
              </w:rPr>
            </w:pPr>
            <w:r>
              <w:rPr>
                <w:rFonts w:ascii="Arial" w:cs="Arial" w:eastAsia="Arial" w:hAnsi="Arial"/>
                <w:sz w:val="11"/>
                <w:szCs w:val="11"/>
                <w:color w:val="auto"/>
              </w:rPr>
              <w:t xml:space="preserve">Piano Software, Inc. </w:t>
            </w:r>
            <w:r>
              <w:rPr>
                <w:rFonts w:ascii="Arial" w:cs="Arial" w:eastAsia="Arial" w:hAnsi="Arial"/>
                <w:sz w:val="14"/>
                <w:szCs w:val="14"/>
                <w:color w:val="auto"/>
                <w:vertAlign w:val="superscript"/>
              </w:rPr>
              <w:t>(3)(5)</w:t>
            </w:r>
          </w:p>
        </w:tc>
        <w:tc>
          <w:tcPr>
            <w:tcW w:w="3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jc w:val="right"/>
              <w:ind w:right="167"/>
              <w:spacing w:after="0"/>
              <w:rPr>
                <w:sz w:val="20"/>
                <w:szCs w:val="20"/>
                <w:color w:val="auto"/>
              </w:rPr>
            </w:pPr>
            <w:r>
              <w:rPr>
                <w:rFonts w:ascii="Arial" w:cs="Arial" w:eastAsia="Arial" w:hAnsi="Arial"/>
                <w:sz w:val="11"/>
                <w:szCs w:val="11"/>
                <w:color w:val="auto"/>
              </w:rPr>
              <w:t>7.50%</w:t>
            </w:r>
          </w:p>
        </w:tc>
        <w:tc>
          <w:tcPr>
            <w:tcW w:w="1060" w:type="dxa"/>
            <w:vAlign w:val="bottom"/>
          </w:tcPr>
          <w:p>
            <w:pPr>
              <w:jc w:val="right"/>
              <w:ind w:right="167"/>
              <w:spacing w:after="0"/>
              <w:rPr>
                <w:sz w:val="20"/>
                <w:szCs w:val="20"/>
                <w:color w:val="auto"/>
              </w:rPr>
            </w:pPr>
            <w:r>
              <w:rPr>
                <w:rFonts w:ascii="Arial" w:cs="Arial" w:eastAsia="Arial" w:hAnsi="Arial"/>
                <w:sz w:val="11"/>
                <w:szCs w:val="11"/>
                <w:color w:val="auto"/>
              </w:rPr>
              <w:t>3.50% PIK)</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100" w:type="dxa"/>
            <w:vAlign w:val="bottom"/>
            <w:vMerge w:val="continue"/>
          </w:tcPr>
          <w:p>
            <w:pPr>
              <w:spacing w:after="0"/>
              <w:rPr>
                <w:sz w:val="9"/>
                <w:szCs w:val="9"/>
                <w:color w:val="auto"/>
              </w:rPr>
            </w:pPr>
          </w:p>
        </w:tc>
        <w:tc>
          <w:tcPr>
            <w:tcW w:w="3040" w:type="dxa"/>
            <w:vAlign w:val="bottom"/>
          </w:tcPr>
          <w:p>
            <w:pPr>
              <w:ind w:left="500"/>
              <w:spacing w:after="0" w:line="108" w:lineRule="exact"/>
              <w:rPr>
                <w:sz w:val="20"/>
                <w:szCs w:val="20"/>
                <w:color w:val="auto"/>
              </w:rPr>
            </w:pPr>
            <w:r>
              <w:rPr>
                <w:rFonts w:ascii="Arial" w:cs="Arial" w:eastAsia="Arial" w:hAnsi="Arial"/>
                <w:sz w:val="11"/>
                <w:szCs w:val="11"/>
                <w:color w:val="auto"/>
              </w:rPr>
              <w:t>First-lien loan ($51,573 par, due 2/2026)</w:t>
            </w:r>
          </w:p>
        </w:tc>
        <w:tc>
          <w:tcPr>
            <w:tcW w:w="1020" w:type="dxa"/>
            <w:vAlign w:val="bottom"/>
          </w:tcPr>
          <w:p>
            <w:pPr>
              <w:jc w:val="right"/>
              <w:ind w:right="147"/>
              <w:spacing w:after="0" w:line="108" w:lineRule="exact"/>
              <w:rPr>
                <w:sz w:val="20"/>
                <w:szCs w:val="20"/>
                <w:color w:val="auto"/>
              </w:rPr>
            </w:pPr>
            <w:r>
              <w:rPr>
                <w:rFonts w:ascii="Arial" w:cs="Arial" w:eastAsia="Arial" w:hAnsi="Arial"/>
                <w:sz w:val="11"/>
                <w:szCs w:val="11"/>
                <w:color w:val="auto"/>
              </w:rPr>
              <w:t>2/25/2021</w:t>
            </w:r>
          </w:p>
        </w:tc>
        <w:tc>
          <w:tcPr>
            <w:tcW w:w="940" w:type="dxa"/>
            <w:vAlign w:val="bottom"/>
          </w:tcPr>
          <w:p>
            <w:pPr>
              <w:jc w:val="right"/>
              <w:ind w:right="187"/>
              <w:spacing w:after="0" w:line="108" w:lineRule="exact"/>
              <w:rPr>
                <w:sz w:val="20"/>
                <w:szCs w:val="20"/>
                <w:color w:val="auto"/>
              </w:rPr>
            </w:pPr>
            <w:r>
              <w:rPr>
                <w:rFonts w:ascii="Arial" w:cs="Arial" w:eastAsia="Arial" w:hAnsi="Arial"/>
                <w:sz w:val="11"/>
                <w:szCs w:val="11"/>
                <w:color w:val="auto"/>
              </w:rPr>
              <w:t>SOFR +</w:t>
            </w:r>
          </w:p>
        </w:tc>
        <w:tc>
          <w:tcPr>
            <w:tcW w:w="1060" w:type="dxa"/>
            <w:vAlign w:val="bottom"/>
          </w:tcPr>
          <w:p>
            <w:pPr>
              <w:jc w:val="right"/>
              <w:ind w:right="67"/>
              <w:spacing w:after="0" w:line="108" w:lineRule="exact"/>
              <w:rPr>
                <w:sz w:val="20"/>
                <w:szCs w:val="20"/>
                <w:color w:val="auto"/>
              </w:rPr>
            </w:pPr>
            <w:r>
              <w:rPr>
                <w:rFonts w:ascii="Arial" w:cs="Arial" w:eastAsia="Arial" w:hAnsi="Arial"/>
                <w:sz w:val="11"/>
                <w:szCs w:val="11"/>
                <w:color w:val="auto"/>
              </w:rPr>
              <w:t>8.63 %</w:t>
            </w:r>
          </w:p>
        </w:tc>
        <w:tc>
          <w:tcPr>
            <w:tcW w:w="900" w:type="dxa"/>
            <w:vAlign w:val="bottom"/>
          </w:tcPr>
          <w:p>
            <w:pPr>
              <w:jc w:val="right"/>
              <w:spacing w:after="0" w:line="108" w:lineRule="exact"/>
              <w:rPr>
                <w:sz w:val="20"/>
                <w:szCs w:val="20"/>
                <w:color w:val="auto"/>
              </w:rPr>
            </w:pPr>
            <w:r>
              <w:rPr>
                <w:rFonts w:ascii="Arial" w:cs="Arial" w:eastAsia="Arial" w:hAnsi="Arial"/>
                <w:sz w:val="11"/>
                <w:szCs w:val="11"/>
                <w:color w:val="auto"/>
              </w:rPr>
              <w:t>50,589</w:t>
            </w:r>
          </w:p>
        </w:tc>
        <w:tc>
          <w:tcPr>
            <w:tcW w:w="10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50,356</w:t>
            </w:r>
          </w:p>
        </w:tc>
        <w:tc>
          <w:tcPr>
            <w:tcW w:w="1140" w:type="dxa"/>
            <w:vAlign w:val="bottom"/>
            <w:gridSpan w:val="3"/>
          </w:tcPr>
          <w:p>
            <w:pPr>
              <w:jc w:val="right"/>
              <w:spacing w:after="0" w:line="108" w:lineRule="exact"/>
              <w:rPr>
                <w:sz w:val="20"/>
                <w:szCs w:val="20"/>
                <w:color w:val="auto"/>
              </w:rPr>
            </w:pPr>
            <w:r>
              <w:rPr>
                <w:rFonts w:ascii="Arial" w:cs="Arial" w:eastAsia="Arial" w:hAnsi="Arial"/>
                <w:sz w:val="11"/>
                <w:szCs w:val="11"/>
                <w:color w:val="auto"/>
              </w:rPr>
              <w:t>4.1 %</w:t>
            </w:r>
          </w:p>
        </w:tc>
        <w:tc>
          <w:tcPr>
            <w:tcW w:w="0" w:type="dxa"/>
            <w:vAlign w:val="bottom"/>
          </w:tcPr>
          <w:p>
            <w:pPr>
              <w:spacing w:after="0"/>
              <w:rPr>
                <w:sz w:val="1"/>
                <w:szCs w:val="1"/>
                <w:color w:val="auto"/>
              </w:rPr>
            </w:pPr>
          </w:p>
        </w:tc>
      </w:tr>
      <w:tr>
        <w:trPr>
          <w:trHeight w:val="131"/>
        </w:trPr>
        <w:tc>
          <w:tcPr>
            <w:tcW w:w="21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jc w:val="right"/>
              <w:ind w:right="167"/>
              <w:spacing w:after="0"/>
              <w:rPr>
                <w:sz w:val="20"/>
                <w:szCs w:val="20"/>
                <w:color w:val="auto"/>
              </w:rPr>
            </w:pPr>
            <w:r>
              <w:rPr>
                <w:rFonts w:ascii="Arial" w:cs="Arial" w:eastAsia="Arial" w:hAnsi="Arial"/>
                <w:sz w:val="11"/>
                <w:szCs w:val="11"/>
                <w:color w:val="auto"/>
              </w:rPr>
              <w:t>7.10%</w:t>
            </w:r>
          </w:p>
        </w:tc>
        <w:tc>
          <w:tcPr>
            <w:tcW w:w="10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252,568</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250,511</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20.2 %</w:t>
            </w:r>
          </w:p>
        </w:tc>
        <w:tc>
          <w:tcPr>
            <w:tcW w:w="0" w:type="dxa"/>
            <w:vAlign w:val="bottom"/>
          </w:tcPr>
          <w:p>
            <w:pPr>
              <w:spacing w:after="0"/>
              <w:rPr>
                <w:sz w:val="1"/>
                <w:szCs w:val="1"/>
                <w:color w:val="auto"/>
              </w:rPr>
            </w:pPr>
          </w:p>
        </w:tc>
      </w:tr>
      <w:tr>
        <w:trPr>
          <w:trHeight w:val="99"/>
        </w:trPr>
        <w:tc>
          <w:tcPr>
            <w:tcW w:w="210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Marketing Services</w:t>
            </w:r>
          </w:p>
        </w:tc>
        <w:tc>
          <w:tcPr>
            <w:tcW w:w="3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2100" w:type="dxa"/>
            <w:vAlign w:val="bottom"/>
          </w:tcPr>
          <w:p>
            <w:pPr>
              <w:ind w:left="20"/>
              <w:spacing w:after="0" w:line="151" w:lineRule="exact"/>
              <w:rPr>
                <w:sz w:val="20"/>
                <w:szCs w:val="20"/>
                <w:color w:val="auto"/>
              </w:rPr>
            </w:pPr>
            <w:r>
              <w:rPr>
                <w:rFonts w:ascii="Arial" w:cs="Arial" w:eastAsia="Arial" w:hAnsi="Arial"/>
                <w:sz w:val="11"/>
                <w:szCs w:val="11"/>
                <w:color w:val="auto"/>
              </w:rPr>
              <w:t xml:space="preserve">Acoustic, L.P. </w:t>
            </w:r>
            <w:r>
              <w:rPr>
                <w:rFonts w:ascii="Arial" w:cs="Arial" w:eastAsia="Arial" w:hAnsi="Arial"/>
                <w:sz w:val="14"/>
                <w:szCs w:val="14"/>
                <w:color w:val="auto"/>
                <w:vertAlign w:val="superscript"/>
              </w:rPr>
              <w:t>(3)</w:t>
            </w:r>
          </w:p>
        </w:tc>
        <w:tc>
          <w:tcPr>
            <w:tcW w:w="3040" w:type="dxa"/>
            <w:vAlign w:val="bottom"/>
          </w:tcPr>
          <w:p>
            <w:pPr>
              <w:ind w:left="500"/>
              <w:spacing w:after="0"/>
              <w:rPr>
                <w:sz w:val="20"/>
                <w:szCs w:val="20"/>
                <w:color w:val="auto"/>
              </w:rPr>
            </w:pPr>
            <w:r>
              <w:rPr>
                <w:rFonts w:ascii="Arial" w:cs="Arial" w:eastAsia="Arial" w:hAnsi="Arial"/>
                <w:sz w:val="11"/>
                <w:szCs w:val="11"/>
                <w:color w:val="auto"/>
              </w:rPr>
              <w:t>First-lien note ($33,330 par, due 6/2024)</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12/17/2019</w:t>
            </w:r>
          </w:p>
        </w:tc>
        <w:tc>
          <w:tcPr>
            <w:tcW w:w="940" w:type="dxa"/>
            <w:vAlign w:val="bottom"/>
          </w:tcPr>
          <w:p>
            <w:pPr>
              <w:jc w:val="right"/>
              <w:ind w:right="167"/>
              <w:spacing w:after="0"/>
              <w:rPr>
                <w:sz w:val="20"/>
                <w:szCs w:val="20"/>
                <w:color w:val="auto"/>
              </w:rPr>
            </w:pPr>
            <w:r>
              <w:rPr>
                <w:rFonts w:ascii="Arial" w:cs="Arial" w:eastAsia="Arial" w:hAnsi="Arial"/>
                <w:sz w:val="11"/>
                <w:szCs w:val="11"/>
                <w:color w:val="auto"/>
              </w:rPr>
              <w:t>L + 7.00%</w:t>
            </w:r>
          </w:p>
        </w:tc>
        <w:tc>
          <w:tcPr>
            <w:tcW w:w="1060" w:type="dxa"/>
            <w:vAlign w:val="bottom"/>
          </w:tcPr>
          <w:p>
            <w:pPr>
              <w:jc w:val="right"/>
              <w:ind w:right="67"/>
              <w:spacing w:after="0"/>
              <w:rPr>
                <w:sz w:val="20"/>
                <w:szCs w:val="20"/>
                <w:color w:val="auto"/>
              </w:rPr>
            </w:pPr>
            <w:r>
              <w:rPr>
                <w:rFonts w:ascii="Arial" w:cs="Arial" w:eastAsia="Arial" w:hAnsi="Arial"/>
                <w:sz w:val="11"/>
                <w:szCs w:val="11"/>
                <w:color w:val="auto"/>
              </w:rPr>
              <w:t>8.50 %</w:t>
            </w:r>
          </w:p>
        </w:tc>
        <w:tc>
          <w:tcPr>
            <w:tcW w:w="900" w:type="dxa"/>
            <w:vAlign w:val="bottom"/>
          </w:tcPr>
          <w:p>
            <w:pPr>
              <w:jc w:val="right"/>
              <w:spacing w:after="0"/>
              <w:rPr>
                <w:sz w:val="20"/>
                <w:szCs w:val="20"/>
                <w:color w:val="auto"/>
              </w:rPr>
            </w:pPr>
            <w:r>
              <w:rPr>
                <w:rFonts w:ascii="Arial" w:cs="Arial" w:eastAsia="Arial" w:hAnsi="Arial"/>
                <w:sz w:val="11"/>
                <w:szCs w:val="11"/>
                <w:color w:val="auto"/>
              </w:rPr>
              <w:t>32,632</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31,330</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2.5 %</w:t>
            </w:r>
          </w:p>
        </w:tc>
        <w:tc>
          <w:tcPr>
            <w:tcW w:w="0" w:type="dxa"/>
            <w:vAlign w:val="bottom"/>
          </w:tcPr>
          <w:p>
            <w:pPr>
              <w:spacing w:after="0"/>
              <w:rPr>
                <w:sz w:val="1"/>
                <w:szCs w:val="1"/>
                <w:color w:val="auto"/>
              </w:rPr>
            </w:pPr>
          </w:p>
        </w:tc>
      </w:tr>
      <w:tr>
        <w:trPr>
          <w:trHeight w:val="119"/>
        </w:trPr>
        <w:tc>
          <w:tcPr>
            <w:tcW w:w="210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Office Products</w:t>
            </w:r>
          </w:p>
        </w:tc>
        <w:tc>
          <w:tcPr>
            <w:tcW w:w="3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00" w:type="dxa"/>
            <w:vAlign w:val="bottom"/>
          </w:tcPr>
          <w:p>
            <w:pPr>
              <w:ind w:left="20"/>
              <w:spacing w:after="0" w:line="129" w:lineRule="exact"/>
              <w:rPr>
                <w:sz w:val="20"/>
                <w:szCs w:val="20"/>
                <w:color w:val="auto"/>
              </w:rPr>
            </w:pPr>
            <w:r>
              <w:rPr>
                <w:rFonts w:ascii="Arial" w:cs="Arial" w:eastAsia="Arial" w:hAnsi="Arial"/>
                <w:sz w:val="11"/>
                <w:szCs w:val="11"/>
                <w:color w:val="auto"/>
              </w:rPr>
              <w:t xml:space="preserve">USR Parent, Inc. </w:t>
            </w:r>
            <w:r>
              <w:rPr>
                <w:rFonts w:ascii="Arial" w:cs="Arial" w:eastAsia="Arial" w:hAnsi="Arial"/>
                <w:sz w:val="14"/>
                <w:szCs w:val="14"/>
                <w:color w:val="auto"/>
                <w:vertAlign w:val="superscript"/>
              </w:rPr>
              <w:t>(3)(5)</w:t>
            </w:r>
          </w:p>
        </w:tc>
        <w:tc>
          <w:tcPr>
            <w:tcW w:w="3040" w:type="dxa"/>
            <w:vAlign w:val="bottom"/>
          </w:tcPr>
          <w:p>
            <w:pPr>
              <w:ind w:left="500"/>
              <w:spacing w:after="0"/>
              <w:rPr>
                <w:sz w:val="20"/>
                <w:szCs w:val="20"/>
                <w:color w:val="auto"/>
              </w:rPr>
            </w:pPr>
            <w:r>
              <w:rPr>
                <w:rFonts w:ascii="Arial" w:cs="Arial" w:eastAsia="Arial" w:hAnsi="Arial"/>
                <w:sz w:val="11"/>
                <w:szCs w:val="11"/>
                <w:color w:val="auto"/>
              </w:rPr>
              <w:t>ABL FILO term loan ($20,000 par, due 4/2027)</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4/25/2022</w:t>
            </w:r>
          </w:p>
        </w:tc>
        <w:tc>
          <w:tcPr>
            <w:tcW w:w="940" w:type="dxa"/>
            <w:vAlign w:val="bottom"/>
          </w:tcPr>
          <w:p>
            <w:pPr>
              <w:jc w:val="right"/>
              <w:ind w:right="187"/>
              <w:spacing w:after="0"/>
              <w:rPr>
                <w:sz w:val="20"/>
                <w:szCs w:val="20"/>
                <w:color w:val="auto"/>
              </w:rPr>
            </w:pPr>
            <w:r>
              <w:rPr>
                <w:rFonts w:ascii="Arial" w:cs="Arial" w:eastAsia="Arial" w:hAnsi="Arial"/>
                <w:sz w:val="11"/>
                <w:szCs w:val="11"/>
                <w:color w:val="auto"/>
              </w:rPr>
              <w:t>SOFR +</w:t>
            </w:r>
          </w:p>
        </w:tc>
        <w:tc>
          <w:tcPr>
            <w:tcW w:w="1060" w:type="dxa"/>
            <w:vAlign w:val="bottom"/>
          </w:tcPr>
          <w:p>
            <w:pPr>
              <w:jc w:val="right"/>
              <w:ind w:right="67"/>
              <w:spacing w:after="0"/>
              <w:rPr>
                <w:sz w:val="20"/>
                <w:szCs w:val="20"/>
                <w:color w:val="auto"/>
              </w:rPr>
            </w:pPr>
            <w:r>
              <w:rPr>
                <w:rFonts w:ascii="Arial" w:cs="Arial" w:eastAsia="Arial" w:hAnsi="Arial"/>
                <w:sz w:val="11"/>
                <w:szCs w:val="11"/>
                <w:color w:val="auto"/>
              </w:rPr>
              <w:t>7.55 %</w:t>
            </w:r>
          </w:p>
        </w:tc>
        <w:tc>
          <w:tcPr>
            <w:tcW w:w="900" w:type="dxa"/>
            <w:vAlign w:val="bottom"/>
          </w:tcPr>
          <w:p>
            <w:pPr>
              <w:jc w:val="right"/>
              <w:spacing w:after="0"/>
              <w:rPr>
                <w:sz w:val="20"/>
                <w:szCs w:val="20"/>
                <w:color w:val="auto"/>
              </w:rPr>
            </w:pPr>
            <w:r>
              <w:rPr>
                <w:rFonts w:ascii="Arial" w:cs="Arial" w:eastAsia="Arial" w:hAnsi="Arial"/>
                <w:sz w:val="11"/>
                <w:szCs w:val="11"/>
                <w:color w:val="auto"/>
              </w:rPr>
              <w:t>19,601</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19,300</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140"/>
        </w:trPr>
        <w:tc>
          <w:tcPr>
            <w:tcW w:w="21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jc w:val="right"/>
              <w:ind w:right="167"/>
              <w:spacing w:after="0"/>
              <w:rPr>
                <w:sz w:val="20"/>
                <w:szCs w:val="20"/>
                <w:color w:val="auto"/>
              </w:rPr>
            </w:pPr>
            <w:r>
              <w:rPr>
                <w:rFonts w:ascii="Arial" w:cs="Arial" w:eastAsia="Arial" w:hAnsi="Arial"/>
                <w:sz w:val="11"/>
                <w:szCs w:val="11"/>
                <w:color w:val="auto"/>
              </w:rPr>
              <w:t>6.50%</w:t>
            </w: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Oil, Gas and Consumable Fuels</w:t>
            </w:r>
          </w:p>
        </w:tc>
        <w:tc>
          <w:tcPr>
            <w:tcW w:w="30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100" w:type="dxa"/>
            <w:vAlign w:val="bottom"/>
          </w:tcPr>
          <w:p>
            <w:pPr>
              <w:ind w:left="20"/>
              <w:spacing w:after="0" w:line="95" w:lineRule="exact"/>
              <w:rPr>
                <w:sz w:val="20"/>
                <w:szCs w:val="20"/>
                <w:color w:val="auto"/>
              </w:rPr>
            </w:pPr>
            <w:r>
              <w:rPr>
                <w:rFonts w:ascii="Arial" w:cs="Arial" w:eastAsia="Arial" w:hAnsi="Arial"/>
                <w:sz w:val="10"/>
                <w:szCs w:val="10"/>
                <w:color w:val="auto"/>
              </w:rPr>
              <w:t>Mississippi Resources,</w:t>
            </w:r>
          </w:p>
        </w:tc>
        <w:tc>
          <w:tcPr>
            <w:tcW w:w="3040" w:type="dxa"/>
            <w:vAlign w:val="bottom"/>
          </w:tcPr>
          <w:p>
            <w:pPr>
              <w:ind w:left="500"/>
              <w:spacing w:after="0" w:line="95" w:lineRule="exact"/>
              <w:rPr>
                <w:sz w:val="20"/>
                <w:szCs w:val="20"/>
                <w:color w:val="auto"/>
              </w:rPr>
            </w:pPr>
            <w:r>
              <w:rPr>
                <w:rFonts w:ascii="Arial" w:cs="Arial" w:eastAsia="Arial" w:hAnsi="Arial"/>
                <w:sz w:val="10"/>
                <w:szCs w:val="10"/>
                <w:color w:val="auto"/>
              </w:rPr>
              <w:t>First-lien loan ($1,500 par, due 12/2022)</w:t>
            </w:r>
          </w:p>
        </w:tc>
        <w:tc>
          <w:tcPr>
            <w:tcW w:w="1020" w:type="dxa"/>
            <w:vAlign w:val="bottom"/>
          </w:tcPr>
          <w:p>
            <w:pPr>
              <w:jc w:val="right"/>
              <w:ind w:right="147"/>
              <w:spacing w:after="0" w:line="95" w:lineRule="exact"/>
              <w:rPr>
                <w:sz w:val="20"/>
                <w:szCs w:val="20"/>
                <w:color w:val="auto"/>
              </w:rPr>
            </w:pPr>
            <w:r>
              <w:rPr>
                <w:rFonts w:ascii="Arial" w:cs="Arial" w:eastAsia="Arial" w:hAnsi="Arial"/>
                <w:sz w:val="10"/>
                <w:szCs w:val="10"/>
                <w:color w:val="auto"/>
              </w:rPr>
              <w:t>6/29/2018</w:t>
            </w:r>
          </w:p>
        </w:tc>
        <w:tc>
          <w:tcPr>
            <w:tcW w:w="940" w:type="dxa"/>
            <w:vAlign w:val="bottom"/>
          </w:tcPr>
          <w:p>
            <w:pPr>
              <w:jc w:val="right"/>
              <w:ind w:right="167"/>
              <w:spacing w:after="0" w:line="95" w:lineRule="exact"/>
              <w:rPr>
                <w:sz w:val="20"/>
                <w:szCs w:val="20"/>
                <w:color w:val="auto"/>
              </w:rPr>
            </w:pPr>
            <w:r>
              <w:rPr>
                <w:rFonts w:ascii="Arial" w:cs="Arial" w:eastAsia="Arial" w:hAnsi="Arial"/>
                <w:sz w:val="10"/>
                <w:szCs w:val="10"/>
                <w:color w:val="auto"/>
              </w:rPr>
              <w:t>P + 8.00%</w:t>
            </w:r>
          </w:p>
        </w:tc>
        <w:tc>
          <w:tcPr>
            <w:tcW w:w="1060" w:type="dxa"/>
            <w:vAlign w:val="bottom"/>
          </w:tcPr>
          <w:p>
            <w:pPr>
              <w:jc w:val="right"/>
              <w:ind w:right="67"/>
              <w:spacing w:after="0" w:line="95" w:lineRule="exact"/>
              <w:rPr>
                <w:sz w:val="20"/>
                <w:szCs w:val="20"/>
                <w:color w:val="auto"/>
              </w:rPr>
            </w:pPr>
            <w:r>
              <w:rPr>
                <w:rFonts w:ascii="Arial" w:cs="Arial" w:eastAsia="Arial" w:hAnsi="Arial"/>
                <w:sz w:val="10"/>
                <w:szCs w:val="10"/>
                <w:color w:val="auto"/>
              </w:rPr>
              <w:t>12.00 %</w:t>
            </w:r>
          </w:p>
        </w:tc>
        <w:tc>
          <w:tcPr>
            <w:tcW w:w="900" w:type="dxa"/>
            <w:vAlign w:val="bottom"/>
          </w:tcPr>
          <w:p>
            <w:pPr>
              <w:jc w:val="right"/>
              <w:spacing w:after="0" w:line="95" w:lineRule="exact"/>
              <w:rPr>
                <w:sz w:val="20"/>
                <w:szCs w:val="20"/>
                <w:color w:val="auto"/>
              </w:rPr>
            </w:pPr>
            <w:r>
              <w:rPr>
                <w:rFonts w:ascii="Arial" w:cs="Arial" w:eastAsia="Arial" w:hAnsi="Arial"/>
                <w:sz w:val="10"/>
                <w:szCs w:val="10"/>
                <w:color w:val="auto"/>
              </w:rPr>
              <w:t>1,498</w:t>
            </w:r>
          </w:p>
        </w:tc>
        <w:tc>
          <w:tcPr>
            <w:tcW w:w="200" w:type="dxa"/>
            <w:vAlign w:val="bottom"/>
          </w:tcPr>
          <w:p>
            <w:pPr>
              <w:spacing w:after="0"/>
              <w:rPr>
                <w:sz w:val="8"/>
                <w:szCs w:val="8"/>
                <w:color w:val="auto"/>
              </w:rPr>
            </w:pPr>
          </w:p>
        </w:tc>
        <w:tc>
          <w:tcPr>
            <w:tcW w:w="84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1140" w:type="dxa"/>
            <w:vAlign w:val="bottom"/>
            <w:gridSpan w:val="3"/>
          </w:tcPr>
          <w:p>
            <w:pPr>
              <w:jc w:val="right"/>
              <w:spacing w:after="0" w:line="95" w:lineRule="exact"/>
              <w:rPr>
                <w:sz w:val="20"/>
                <w:szCs w:val="20"/>
                <w:color w:val="auto"/>
              </w:rPr>
            </w:pPr>
            <w:r>
              <w:rPr>
                <w:rFonts w:ascii="Arial" w:cs="Arial" w:eastAsia="Arial" w:hAnsi="Arial"/>
                <w:sz w:val="10"/>
                <w:szCs w:val="10"/>
                <w:color w:val="auto"/>
              </w:rPr>
              <w:t>0.0 %</w:t>
            </w:r>
          </w:p>
        </w:tc>
        <w:tc>
          <w:tcPr>
            <w:tcW w:w="0" w:type="dxa"/>
            <w:vAlign w:val="bottom"/>
          </w:tcPr>
          <w:p>
            <w:pPr>
              <w:spacing w:after="0"/>
              <w:rPr>
                <w:sz w:val="1"/>
                <w:szCs w:val="1"/>
                <w:color w:val="auto"/>
              </w:rPr>
            </w:pPr>
          </w:p>
        </w:tc>
      </w:tr>
      <w:tr>
        <w:trPr>
          <w:trHeight w:val="119"/>
        </w:trPr>
        <w:tc>
          <w:tcPr>
            <w:tcW w:w="2100" w:type="dxa"/>
            <w:vAlign w:val="bottom"/>
          </w:tcPr>
          <w:p>
            <w:pPr>
              <w:ind w:left="100"/>
              <w:spacing w:after="0" w:line="119" w:lineRule="exact"/>
              <w:rPr>
                <w:sz w:val="20"/>
                <w:szCs w:val="20"/>
                <w:color w:val="auto"/>
              </w:rPr>
            </w:pPr>
            <w:r>
              <w:rPr>
                <w:rFonts w:ascii="Arial" w:cs="Arial" w:eastAsia="Arial" w:hAnsi="Arial"/>
                <w:sz w:val="13"/>
                <w:szCs w:val="13"/>
                <w:color w:val="auto"/>
                <w:vertAlign w:val="subscript"/>
              </w:rPr>
              <w:t>LLC</w:t>
            </w:r>
            <w:r>
              <w:rPr>
                <w:rFonts w:ascii="Arial" w:cs="Arial" w:eastAsia="Arial" w:hAnsi="Arial"/>
                <w:sz w:val="6"/>
                <w:szCs w:val="6"/>
                <w:color w:val="auto"/>
              </w:rPr>
              <w:t xml:space="preserve"> (3)(7)(15)</w:t>
            </w:r>
          </w:p>
        </w:tc>
        <w:tc>
          <w:tcPr>
            <w:tcW w:w="3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00" w:type="dxa"/>
            <w:vAlign w:val="bottom"/>
          </w:tcPr>
          <w:p>
            <w:pPr>
              <w:ind w:left="20"/>
              <w:spacing w:after="0" w:line="129" w:lineRule="exact"/>
              <w:rPr>
                <w:sz w:val="20"/>
                <w:szCs w:val="20"/>
                <w:color w:val="auto"/>
              </w:rPr>
            </w:pPr>
            <w:r>
              <w:rPr>
                <w:rFonts w:ascii="Arial" w:cs="Arial" w:eastAsia="Arial" w:hAnsi="Arial"/>
                <w:sz w:val="11"/>
                <w:szCs w:val="11"/>
                <w:color w:val="auto"/>
              </w:rPr>
              <w:t xml:space="preserve">Murchison Oil and Gas, LLC </w:t>
            </w:r>
            <w:r>
              <w:rPr>
                <w:rFonts w:ascii="Arial" w:cs="Arial" w:eastAsia="Arial" w:hAnsi="Arial"/>
                <w:sz w:val="14"/>
                <w:szCs w:val="14"/>
                <w:color w:val="auto"/>
                <w:vertAlign w:val="superscript"/>
              </w:rPr>
              <w:t>(3)</w:t>
            </w:r>
          </w:p>
        </w:tc>
        <w:tc>
          <w:tcPr>
            <w:tcW w:w="3040" w:type="dxa"/>
            <w:vAlign w:val="bottom"/>
          </w:tcPr>
          <w:p>
            <w:pPr>
              <w:ind w:left="500"/>
              <w:spacing w:after="0"/>
              <w:rPr>
                <w:sz w:val="20"/>
                <w:szCs w:val="20"/>
                <w:color w:val="auto"/>
              </w:rPr>
            </w:pPr>
            <w:r>
              <w:rPr>
                <w:rFonts w:ascii="Arial" w:cs="Arial" w:eastAsia="Arial" w:hAnsi="Arial"/>
                <w:sz w:val="11"/>
                <w:szCs w:val="11"/>
                <w:color w:val="auto"/>
              </w:rPr>
              <w:t>First-lien loan ($26,873 par, due 6/2026)</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6/30/2022</w:t>
            </w:r>
          </w:p>
        </w:tc>
        <w:tc>
          <w:tcPr>
            <w:tcW w:w="940" w:type="dxa"/>
            <w:vAlign w:val="bottom"/>
          </w:tcPr>
          <w:p>
            <w:pPr>
              <w:jc w:val="right"/>
              <w:ind w:right="187"/>
              <w:spacing w:after="0"/>
              <w:rPr>
                <w:sz w:val="20"/>
                <w:szCs w:val="20"/>
                <w:color w:val="auto"/>
              </w:rPr>
            </w:pPr>
            <w:r>
              <w:rPr>
                <w:rFonts w:ascii="Arial" w:cs="Arial" w:eastAsia="Arial" w:hAnsi="Arial"/>
                <w:sz w:val="11"/>
                <w:szCs w:val="11"/>
                <w:color w:val="auto"/>
              </w:rPr>
              <w:t>SOFR +</w:t>
            </w:r>
          </w:p>
        </w:tc>
        <w:tc>
          <w:tcPr>
            <w:tcW w:w="1060" w:type="dxa"/>
            <w:vAlign w:val="bottom"/>
          </w:tcPr>
          <w:p>
            <w:pPr>
              <w:jc w:val="right"/>
              <w:ind w:right="67"/>
              <w:spacing w:after="0"/>
              <w:rPr>
                <w:sz w:val="20"/>
                <w:szCs w:val="20"/>
                <w:color w:val="auto"/>
              </w:rPr>
            </w:pPr>
            <w:r>
              <w:rPr>
                <w:rFonts w:ascii="Arial" w:cs="Arial" w:eastAsia="Arial" w:hAnsi="Arial"/>
                <w:sz w:val="11"/>
                <w:szCs w:val="11"/>
                <w:color w:val="auto"/>
              </w:rPr>
              <w:t>10.70 %</w:t>
            </w:r>
          </w:p>
        </w:tc>
        <w:tc>
          <w:tcPr>
            <w:tcW w:w="900" w:type="dxa"/>
            <w:vAlign w:val="bottom"/>
          </w:tcPr>
          <w:p>
            <w:pPr>
              <w:jc w:val="right"/>
              <w:spacing w:after="0"/>
              <w:rPr>
                <w:sz w:val="20"/>
                <w:szCs w:val="20"/>
                <w:color w:val="auto"/>
              </w:rPr>
            </w:pPr>
            <w:r>
              <w:rPr>
                <w:rFonts w:ascii="Arial" w:cs="Arial" w:eastAsia="Arial" w:hAnsi="Arial"/>
                <w:sz w:val="11"/>
                <w:szCs w:val="11"/>
                <w:color w:val="auto"/>
              </w:rPr>
              <w:t>26,269</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26,048</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2.1 %</w:t>
            </w:r>
          </w:p>
        </w:tc>
        <w:tc>
          <w:tcPr>
            <w:tcW w:w="0" w:type="dxa"/>
            <w:vAlign w:val="bottom"/>
          </w:tcPr>
          <w:p>
            <w:pPr>
              <w:spacing w:after="0"/>
              <w:rPr>
                <w:sz w:val="1"/>
                <w:szCs w:val="1"/>
                <w:color w:val="auto"/>
              </w:rPr>
            </w:pPr>
          </w:p>
        </w:tc>
      </w:tr>
      <w:tr>
        <w:trPr>
          <w:trHeight w:val="135"/>
        </w:trPr>
        <w:tc>
          <w:tcPr>
            <w:tcW w:w="2100" w:type="dxa"/>
            <w:vAlign w:val="bottom"/>
            <w:vMerge w:val="restart"/>
          </w:tcPr>
          <w:p>
            <w:pPr>
              <w:ind w:left="20"/>
              <w:spacing w:after="0"/>
              <w:rPr>
                <w:sz w:val="20"/>
                <w:szCs w:val="20"/>
                <w:color w:val="auto"/>
              </w:rPr>
            </w:pPr>
            <w:r>
              <w:rPr>
                <w:rFonts w:ascii="Arial" w:cs="Arial" w:eastAsia="Arial" w:hAnsi="Arial"/>
                <w:sz w:val="11"/>
                <w:szCs w:val="11"/>
                <w:color w:val="auto"/>
              </w:rPr>
              <w:t xml:space="preserve">TRP Assets, LLC </w:t>
            </w:r>
            <w:r>
              <w:rPr>
                <w:rFonts w:ascii="Arial" w:cs="Arial" w:eastAsia="Arial" w:hAnsi="Arial"/>
                <w:sz w:val="14"/>
                <w:szCs w:val="14"/>
                <w:color w:val="auto"/>
                <w:vertAlign w:val="superscript"/>
              </w:rPr>
              <w:t>(3)</w:t>
            </w:r>
          </w:p>
        </w:tc>
        <w:tc>
          <w:tcPr>
            <w:tcW w:w="3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jc w:val="right"/>
              <w:ind w:right="167"/>
              <w:spacing w:after="0"/>
              <w:rPr>
                <w:sz w:val="20"/>
                <w:szCs w:val="20"/>
                <w:color w:val="auto"/>
              </w:rPr>
            </w:pPr>
            <w:r>
              <w:rPr>
                <w:rFonts w:ascii="Arial" w:cs="Arial" w:eastAsia="Arial" w:hAnsi="Arial"/>
                <w:sz w:val="11"/>
                <w:szCs w:val="11"/>
                <w:color w:val="auto"/>
              </w:rPr>
              <w:t>8.50%</w:t>
            </w: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100" w:type="dxa"/>
            <w:vAlign w:val="bottom"/>
            <w:vMerge w:val="continue"/>
          </w:tcPr>
          <w:p>
            <w:pPr>
              <w:spacing w:after="0"/>
              <w:rPr>
                <w:sz w:val="9"/>
                <w:szCs w:val="9"/>
                <w:color w:val="auto"/>
              </w:rPr>
            </w:pPr>
          </w:p>
        </w:tc>
        <w:tc>
          <w:tcPr>
            <w:tcW w:w="3040" w:type="dxa"/>
            <w:vAlign w:val="bottom"/>
          </w:tcPr>
          <w:p>
            <w:pPr>
              <w:ind w:left="500"/>
              <w:spacing w:after="0" w:line="108" w:lineRule="exact"/>
              <w:rPr>
                <w:sz w:val="20"/>
                <w:szCs w:val="20"/>
                <w:color w:val="auto"/>
              </w:rPr>
            </w:pPr>
            <w:r>
              <w:rPr>
                <w:rFonts w:ascii="Arial" w:cs="Arial" w:eastAsia="Arial" w:hAnsi="Arial"/>
                <w:sz w:val="11"/>
                <w:szCs w:val="11"/>
                <w:color w:val="auto"/>
              </w:rPr>
              <w:t>First-lien loan ($42,000 par, due 12/2025)</w:t>
            </w:r>
          </w:p>
        </w:tc>
        <w:tc>
          <w:tcPr>
            <w:tcW w:w="1020" w:type="dxa"/>
            <w:vAlign w:val="bottom"/>
          </w:tcPr>
          <w:p>
            <w:pPr>
              <w:jc w:val="right"/>
              <w:ind w:right="147"/>
              <w:spacing w:after="0" w:line="108" w:lineRule="exact"/>
              <w:rPr>
                <w:sz w:val="20"/>
                <w:szCs w:val="20"/>
                <w:color w:val="auto"/>
              </w:rPr>
            </w:pPr>
            <w:r>
              <w:rPr>
                <w:rFonts w:ascii="Arial" w:cs="Arial" w:eastAsia="Arial" w:hAnsi="Arial"/>
                <w:sz w:val="11"/>
                <w:szCs w:val="11"/>
                <w:color w:val="auto"/>
              </w:rPr>
              <w:t>12/3/2021</w:t>
            </w:r>
          </w:p>
        </w:tc>
        <w:tc>
          <w:tcPr>
            <w:tcW w:w="940" w:type="dxa"/>
            <w:vAlign w:val="bottom"/>
          </w:tcPr>
          <w:p>
            <w:pPr>
              <w:jc w:val="right"/>
              <w:ind w:right="187"/>
              <w:spacing w:after="0" w:line="108" w:lineRule="exact"/>
              <w:rPr>
                <w:sz w:val="20"/>
                <w:szCs w:val="20"/>
                <w:color w:val="auto"/>
              </w:rPr>
            </w:pPr>
            <w:r>
              <w:rPr>
                <w:rFonts w:ascii="Arial" w:cs="Arial" w:eastAsia="Arial" w:hAnsi="Arial"/>
                <w:sz w:val="11"/>
                <w:szCs w:val="11"/>
                <w:color w:val="auto"/>
              </w:rPr>
              <w:t>SOFR +</w:t>
            </w:r>
          </w:p>
        </w:tc>
        <w:tc>
          <w:tcPr>
            <w:tcW w:w="1060" w:type="dxa"/>
            <w:vAlign w:val="bottom"/>
          </w:tcPr>
          <w:p>
            <w:pPr>
              <w:jc w:val="right"/>
              <w:ind w:right="67"/>
              <w:spacing w:after="0" w:line="108" w:lineRule="exact"/>
              <w:rPr>
                <w:sz w:val="20"/>
                <w:szCs w:val="20"/>
                <w:color w:val="auto"/>
              </w:rPr>
            </w:pPr>
            <w:r>
              <w:rPr>
                <w:rFonts w:ascii="Arial" w:cs="Arial" w:eastAsia="Arial" w:hAnsi="Arial"/>
                <w:sz w:val="11"/>
                <w:szCs w:val="11"/>
                <w:color w:val="auto"/>
              </w:rPr>
              <w:t>9.82 %</w:t>
            </w:r>
          </w:p>
        </w:tc>
        <w:tc>
          <w:tcPr>
            <w:tcW w:w="900" w:type="dxa"/>
            <w:vAlign w:val="bottom"/>
          </w:tcPr>
          <w:p>
            <w:pPr>
              <w:jc w:val="right"/>
              <w:spacing w:after="0" w:line="108" w:lineRule="exact"/>
              <w:rPr>
                <w:sz w:val="20"/>
                <w:szCs w:val="20"/>
                <w:color w:val="auto"/>
              </w:rPr>
            </w:pPr>
            <w:r>
              <w:rPr>
                <w:rFonts w:ascii="Arial" w:cs="Arial" w:eastAsia="Arial" w:hAnsi="Arial"/>
                <w:sz w:val="11"/>
                <w:szCs w:val="11"/>
                <w:color w:val="auto"/>
              </w:rPr>
              <w:t>41,151</w:t>
            </w:r>
          </w:p>
        </w:tc>
        <w:tc>
          <w:tcPr>
            <w:tcW w:w="10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42,150</w:t>
            </w:r>
          </w:p>
        </w:tc>
        <w:tc>
          <w:tcPr>
            <w:tcW w:w="1140" w:type="dxa"/>
            <w:vAlign w:val="bottom"/>
            <w:gridSpan w:val="3"/>
          </w:tcPr>
          <w:p>
            <w:pPr>
              <w:jc w:val="right"/>
              <w:spacing w:after="0" w:line="108" w:lineRule="exact"/>
              <w:rPr>
                <w:sz w:val="20"/>
                <w:szCs w:val="20"/>
                <w:color w:val="auto"/>
              </w:rPr>
            </w:pPr>
            <w:r>
              <w:rPr>
                <w:rFonts w:ascii="Arial" w:cs="Arial" w:eastAsia="Arial" w:hAnsi="Arial"/>
                <w:sz w:val="11"/>
                <w:szCs w:val="11"/>
                <w:color w:val="auto"/>
              </w:rPr>
              <w:t>3.4 %</w:t>
            </w:r>
          </w:p>
        </w:tc>
        <w:tc>
          <w:tcPr>
            <w:tcW w:w="0" w:type="dxa"/>
            <w:vAlign w:val="bottom"/>
          </w:tcPr>
          <w:p>
            <w:pPr>
              <w:spacing w:after="0"/>
              <w:rPr>
                <w:sz w:val="1"/>
                <w:szCs w:val="1"/>
                <w:color w:val="auto"/>
              </w:rPr>
            </w:pPr>
          </w:p>
        </w:tc>
      </w:tr>
      <w:tr>
        <w:trPr>
          <w:trHeight w:val="131"/>
        </w:trPr>
        <w:tc>
          <w:tcPr>
            <w:tcW w:w="21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jc w:val="right"/>
              <w:ind w:right="167"/>
              <w:spacing w:after="0"/>
              <w:rPr>
                <w:sz w:val="20"/>
                <w:szCs w:val="20"/>
                <w:color w:val="auto"/>
              </w:rPr>
            </w:pPr>
            <w:r>
              <w:rPr>
                <w:rFonts w:ascii="Arial" w:cs="Arial" w:eastAsia="Arial" w:hAnsi="Arial"/>
                <w:sz w:val="11"/>
                <w:szCs w:val="11"/>
                <w:color w:val="auto"/>
              </w:rPr>
              <w:t>7.76%</w:t>
            </w:r>
          </w:p>
        </w:tc>
        <w:tc>
          <w:tcPr>
            <w:tcW w:w="10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00" w:type="dxa"/>
            <w:vAlign w:val="bottom"/>
            <w:tcBorders>
              <w:bottom w:val="single" w:sz="8" w:color="CFF0FC"/>
            </w:tcBorders>
            <w:shd w:val="clear" w:color="auto" w:fill="CFF0FC"/>
          </w:tcPr>
          <w:p>
            <w:pPr>
              <w:spacing w:after="0"/>
              <w:rPr>
                <w:sz w:val="11"/>
                <w:szCs w:val="11"/>
                <w:color w:val="auto"/>
              </w:rPr>
            </w:pPr>
          </w:p>
        </w:tc>
        <w:tc>
          <w:tcPr>
            <w:tcW w:w="304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106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68,918</w:t>
            </w:r>
          </w:p>
        </w:tc>
        <w:tc>
          <w:tcPr>
            <w:tcW w:w="2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68,198</w:t>
            </w:r>
          </w:p>
        </w:tc>
        <w:tc>
          <w:tcPr>
            <w:tcW w:w="2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1"/>
              </w:rPr>
              <w:t>%</w:t>
            </w:r>
          </w:p>
        </w:tc>
        <w:tc>
          <w:tcPr>
            <w:tcW w:w="0" w:type="dxa"/>
            <w:vAlign w:val="bottom"/>
          </w:tcPr>
          <w:p>
            <w:pPr>
              <w:spacing w:after="0"/>
              <w:rPr>
                <w:sz w:val="1"/>
                <w:szCs w:val="1"/>
                <w:color w:val="auto"/>
              </w:rPr>
            </w:pPr>
          </w:p>
        </w:tc>
      </w:tr>
      <w:tr>
        <w:trPr>
          <w:trHeight w:val="99"/>
        </w:trPr>
        <w:tc>
          <w:tcPr>
            <w:tcW w:w="210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Other</w:t>
            </w:r>
          </w:p>
        </w:tc>
        <w:tc>
          <w:tcPr>
            <w:tcW w:w="3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100" w:type="dxa"/>
            <w:vAlign w:val="bottom"/>
          </w:tcPr>
          <w:p>
            <w:pPr>
              <w:ind w:left="20"/>
              <w:spacing w:after="0" w:line="129" w:lineRule="exact"/>
              <w:rPr>
                <w:sz w:val="20"/>
                <w:szCs w:val="20"/>
                <w:color w:val="auto"/>
              </w:rPr>
            </w:pPr>
            <w:r>
              <w:rPr>
                <w:rFonts w:ascii="Arial" w:cs="Arial" w:eastAsia="Arial" w:hAnsi="Arial"/>
                <w:sz w:val="11"/>
                <w:szCs w:val="11"/>
                <w:color w:val="auto"/>
              </w:rPr>
              <w:t xml:space="preserve">Omnigo Software, LLC </w:t>
            </w:r>
            <w:r>
              <w:rPr>
                <w:rFonts w:ascii="Arial" w:cs="Arial" w:eastAsia="Arial" w:hAnsi="Arial"/>
                <w:sz w:val="14"/>
                <w:szCs w:val="14"/>
                <w:color w:val="auto"/>
                <w:vertAlign w:val="superscript"/>
              </w:rPr>
              <w:t>(3)(5)</w:t>
            </w:r>
          </w:p>
        </w:tc>
        <w:tc>
          <w:tcPr>
            <w:tcW w:w="3040" w:type="dxa"/>
            <w:vAlign w:val="bottom"/>
          </w:tcPr>
          <w:p>
            <w:pPr>
              <w:ind w:left="500"/>
              <w:spacing w:after="0"/>
              <w:rPr>
                <w:sz w:val="20"/>
                <w:szCs w:val="20"/>
                <w:color w:val="auto"/>
              </w:rPr>
            </w:pPr>
            <w:r>
              <w:rPr>
                <w:rFonts w:ascii="Arial" w:cs="Arial" w:eastAsia="Arial" w:hAnsi="Arial"/>
                <w:sz w:val="11"/>
                <w:szCs w:val="11"/>
                <w:color w:val="auto"/>
              </w:rPr>
              <w:t>First-lien loan ($40,558 par, due 3/2026)</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3/31/2021</w:t>
            </w:r>
          </w:p>
        </w:tc>
        <w:tc>
          <w:tcPr>
            <w:tcW w:w="940" w:type="dxa"/>
            <w:vAlign w:val="bottom"/>
          </w:tcPr>
          <w:p>
            <w:pPr>
              <w:jc w:val="right"/>
              <w:ind w:right="187"/>
              <w:spacing w:after="0"/>
              <w:rPr>
                <w:sz w:val="20"/>
                <w:szCs w:val="20"/>
                <w:color w:val="auto"/>
              </w:rPr>
            </w:pPr>
            <w:r>
              <w:rPr>
                <w:rFonts w:ascii="Arial" w:cs="Arial" w:eastAsia="Arial" w:hAnsi="Arial"/>
                <w:sz w:val="11"/>
                <w:szCs w:val="11"/>
                <w:color w:val="auto"/>
              </w:rPr>
              <w:t>SOFR +</w:t>
            </w:r>
          </w:p>
        </w:tc>
        <w:tc>
          <w:tcPr>
            <w:tcW w:w="1060" w:type="dxa"/>
            <w:vAlign w:val="bottom"/>
          </w:tcPr>
          <w:p>
            <w:pPr>
              <w:jc w:val="right"/>
              <w:ind w:right="67"/>
              <w:spacing w:after="0"/>
              <w:rPr>
                <w:sz w:val="20"/>
                <w:szCs w:val="20"/>
                <w:color w:val="auto"/>
              </w:rPr>
            </w:pPr>
            <w:r>
              <w:rPr>
                <w:rFonts w:ascii="Arial" w:cs="Arial" w:eastAsia="Arial" w:hAnsi="Arial"/>
                <w:sz w:val="11"/>
                <w:szCs w:val="11"/>
                <w:color w:val="auto"/>
              </w:rPr>
              <w:t>8.13 %</w:t>
            </w:r>
          </w:p>
        </w:tc>
        <w:tc>
          <w:tcPr>
            <w:tcW w:w="900" w:type="dxa"/>
            <w:vAlign w:val="bottom"/>
          </w:tcPr>
          <w:p>
            <w:pPr>
              <w:jc w:val="right"/>
              <w:spacing w:after="0"/>
              <w:rPr>
                <w:sz w:val="20"/>
                <w:szCs w:val="20"/>
                <w:color w:val="auto"/>
              </w:rPr>
            </w:pPr>
            <w:r>
              <w:rPr>
                <w:rFonts w:ascii="Arial" w:cs="Arial" w:eastAsia="Arial" w:hAnsi="Arial"/>
                <w:sz w:val="11"/>
                <w:szCs w:val="11"/>
                <w:color w:val="auto"/>
              </w:rPr>
              <w:t>39,765</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39,645</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136"/>
        </w:trPr>
        <w:tc>
          <w:tcPr>
            <w:tcW w:w="21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Pharmaceuticals</w:t>
            </w:r>
          </w:p>
        </w:tc>
        <w:tc>
          <w:tcPr>
            <w:tcW w:w="3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jc w:val="right"/>
              <w:ind w:right="167"/>
              <w:spacing w:after="0"/>
              <w:rPr>
                <w:sz w:val="20"/>
                <w:szCs w:val="20"/>
                <w:color w:val="auto"/>
              </w:rPr>
            </w:pPr>
            <w:r>
              <w:rPr>
                <w:rFonts w:ascii="Arial" w:cs="Arial" w:eastAsia="Arial" w:hAnsi="Arial"/>
                <w:sz w:val="11"/>
                <w:szCs w:val="11"/>
                <w:color w:val="auto"/>
              </w:rPr>
              <w:t>6.60%</w:t>
            </w: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00" w:type="dxa"/>
            <w:vAlign w:val="bottom"/>
            <w:vMerge w:val="continue"/>
          </w:tcPr>
          <w:p>
            <w:pPr>
              <w:spacing w:after="0"/>
              <w:rPr>
                <w:sz w:val="12"/>
                <w:szCs w:val="12"/>
                <w:color w:val="auto"/>
              </w:rPr>
            </w:pPr>
          </w:p>
        </w:tc>
        <w:tc>
          <w:tcPr>
            <w:tcW w:w="3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100" w:type="dxa"/>
            <w:vAlign w:val="bottom"/>
            <w:shd w:val="clear" w:color="auto" w:fill="CFF0FC"/>
          </w:tcPr>
          <w:p>
            <w:pPr>
              <w:ind w:left="20"/>
              <w:spacing w:after="0" w:line="99" w:lineRule="exact"/>
              <w:rPr>
                <w:sz w:val="20"/>
                <w:szCs w:val="20"/>
                <w:color w:val="auto"/>
              </w:rPr>
            </w:pPr>
            <w:r>
              <w:rPr>
                <w:rFonts w:ascii="Arial" w:cs="Arial" w:eastAsia="Arial" w:hAnsi="Arial"/>
                <w:sz w:val="11"/>
                <w:szCs w:val="11"/>
                <w:color w:val="auto"/>
              </w:rPr>
              <w:t>Biohaven Pharmaceuticals,</w:t>
            </w:r>
          </w:p>
        </w:tc>
        <w:tc>
          <w:tcPr>
            <w:tcW w:w="3040" w:type="dxa"/>
            <w:vAlign w:val="bottom"/>
            <w:shd w:val="clear" w:color="auto" w:fill="CFF0FC"/>
          </w:tcPr>
          <w:p>
            <w:pPr>
              <w:ind w:left="500"/>
              <w:spacing w:after="0" w:line="99" w:lineRule="exact"/>
              <w:rPr>
                <w:sz w:val="20"/>
                <w:szCs w:val="20"/>
                <w:color w:val="auto"/>
              </w:rPr>
            </w:pPr>
            <w:r>
              <w:rPr>
                <w:rFonts w:ascii="Arial" w:cs="Arial" w:eastAsia="Arial" w:hAnsi="Arial"/>
                <w:sz w:val="11"/>
                <w:szCs w:val="11"/>
                <w:color w:val="auto"/>
              </w:rPr>
              <w:t>First-lien loan ($42,613 par, due 8/2025)</w:t>
            </w:r>
          </w:p>
        </w:tc>
        <w:tc>
          <w:tcPr>
            <w:tcW w:w="1020" w:type="dxa"/>
            <w:vAlign w:val="bottom"/>
            <w:shd w:val="clear" w:color="auto" w:fill="CFF0FC"/>
          </w:tcPr>
          <w:p>
            <w:pPr>
              <w:jc w:val="right"/>
              <w:ind w:right="147"/>
              <w:spacing w:after="0" w:line="99" w:lineRule="exact"/>
              <w:rPr>
                <w:sz w:val="20"/>
                <w:szCs w:val="20"/>
                <w:color w:val="auto"/>
              </w:rPr>
            </w:pPr>
            <w:r>
              <w:rPr>
                <w:rFonts w:ascii="Arial" w:cs="Arial" w:eastAsia="Arial" w:hAnsi="Arial"/>
                <w:sz w:val="11"/>
                <w:szCs w:val="11"/>
                <w:color w:val="auto"/>
              </w:rPr>
              <w:t>8/7/2020</w:t>
            </w:r>
          </w:p>
        </w:tc>
        <w:tc>
          <w:tcPr>
            <w:tcW w:w="940" w:type="dxa"/>
            <w:vAlign w:val="bottom"/>
            <w:shd w:val="clear" w:color="auto" w:fill="CFF0FC"/>
          </w:tcPr>
          <w:p>
            <w:pPr>
              <w:jc w:val="right"/>
              <w:ind w:right="167"/>
              <w:spacing w:after="0" w:line="99" w:lineRule="exact"/>
              <w:rPr>
                <w:sz w:val="20"/>
                <w:szCs w:val="20"/>
                <w:color w:val="auto"/>
              </w:rPr>
            </w:pPr>
            <w:r>
              <w:rPr>
                <w:rFonts w:ascii="Arial" w:cs="Arial" w:eastAsia="Arial" w:hAnsi="Arial"/>
                <w:sz w:val="11"/>
                <w:szCs w:val="11"/>
                <w:color w:val="auto"/>
              </w:rPr>
              <w:t>L + 9.00%</w:t>
            </w:r>
          </w:p>
        </w:tc>
        <w:tc>
          <w:tcPr>
            <w:tcW w:w="1060" w:type="dxa"/>
            <w:vAlign w:val="bottom"/>
            <w:shd w:val="clear" w:color="auto" w:fill="CFF0FC"/>
          </w:tcPr>
          <w:p>
            <w:pPr>
              <w:jc w:val="right"/>
              <w:ind w:right="207"/>
              <w:spacing w:after="0" w:line="99" w:lineRule="exact"/>
              <w:rPr>
                <w:sz w:val="20"/>
                <w:szCs w:val="20"/>
                <w:color w:val="auto"/>
              </w:rPr>
            </w:pPr>
            <w:r>
              <w:rPr>
                <w:rFonts w:ascii="Arial" w:cs="Arial" w:eastAsia="Arial" w:hAnsi="Arial"/>
                <w:sz w:val="11"/>
                <w:szCs w:val="11"/>
                <w:color w:val="auto"/>
              </w:rPr>
              <w:t>11.25% (incl.</w:t>
            </w:r>
          </w:p>
        </w:tc>
        <w:tc>
          <w:tcPr>
            <w:tcW w:w="900" w:type="dxa"/>
            <w:vAlign w:val="bottom"/>
            <w:shd w:val="clear" w:color="auto" w:fill="CFF0FC"/>
          </w:tcPr>
          <w:p>
            <w:pPr>
              <w:jc w:val="right"/>
              <w:spacing w:after="0" w:line="99" w:lineRule="exact"/>
              <w:rPr>
                <w:sz w:val="20"/>
                <w:szCs w:val="20"/>
                <w:color w:val="auto"/>
              </w:rPr>
            </w:pPr>
            <w:r>
              <w:rPr>
                <w:rFonts w:ascii="Arial" w:cs="Arial" w:eastAsia="Arial" w:hAnsi="Arial"/>
                <w:sz w:val="11"/>
                <w:szCs w:val="11"/>
                <w:color w:val="auto"/>
              </w:rPr>
              <w:t>41,806</w:t>
            </w:r>
          </w:p>
        </w:tc>
        <w:tc>
          <w:tcPr>
            <w:tcW w:w="1040" w:type="dxa"/>
            <w:vAlign w:val="bottom"/>
            <w:gridSpan w:val="2"/>
            <w:shd w:val="clear" w:color="auto" w:fill="CFF0FC"/>
          </w:tcPr>
          <w:p>
            <w:pPr>
              <w:jc w:val="right"/>
              <w:spacing w:after="0" w:line="99" w:lineRule="exact"/>
              <w:rPr>
                <w:sz w:val="20"/>
                <w:szCs w:val="20"/>
                <w:color w:val="auto"/>
              </w:rPr>
            </w:pPr>
            <w:r>
              <w:rPr>
                <w:rFonts w:ascii="Arial" w:cs="Arial" w:eastAsia="Arial" w:hAnsi="Arial"/>
                <w:sz w:val="11"/>
                <w:szCs w:val="11"/>
                <w:color w:val="auto"/>
              </w:rPr>
              <w:t>45,596</w:t>
            </w:r>
          </w:p>
        </w:tc>
        <w:tc>
          <w:tcPr>
            <w:tcW w:w="1140" w:type="dxa"/>
            <w:vAlign w:val="bottom"/>
            <w:gridSpan w:val="3"/>
            <w:shd w:val="clear" w:color="auto" w:fill="CFF0FC"/>
          </w:tcPr>
          <w:p>
            <w:pPr>
              <w:jc w:val="right"/>
              <w:spacing w:after="0" w:line="99" w:lineRule="exact"/>
              <w:rPr>
                <w:sz w:val="20"/>
                <w:szCs w:val="20"/>
                <w:color w:val="auto"/>
              </w:rPr>
            </w:pPr>
            <w:r>
              <w:rPr>
                <w:rFonts w:ascii="Arial" w:cs="Arial" w:eastAsia="Arial" w:hAnsi="Arial"/>
                <w:sz w:val="11"/>
                <w:szCs w:val="11"/>
                <w:color w:val="auto"/>
              </w:rPr>
              <w:t>3.7 %</w:t>
            </w:r>
          </w:p>
        </w:tc>
        <w:tc>
          <w:tcPr>
            <w:tcW w:w="0" w:type="dxa"/>
            <w:vAlign w:val="bottom"/>
          </w:tcPr>
          <w:p>
            <w:pPr>
              <w:spacing w:after="0"/>
              <w:rPr>
                <w:sz w:val="1"/>
                <w:szCs w:val="1"/>
                <w:color w:val="auto"/>
              </w:rPr>
            </w:pPr>
          </w:p>
        </w:tc>
      </w:tr>
      <w:tr>
        <w:trPr>
          <w:trHeight w:val="148"/>
        </w:trPr>
        <w:tc>
          <w:tcPr>
            <w:tcW w:w="2100" w:type="dxa"/>
            <w:vAlign w:val="bottom"/>
            <w:shd w:val="clear" w:color="auto" w:fill="CFF0FC"/>
          </w:tcPr>
          <w:p>
            <w:pPr>
              <w:ind w:left="100"/>
              <w:spacing w:after="0" w:line="149" w:lineRule="exact"/>
              <w:rPr>
                <w:sz w:val="20"/>
                <w:szCs w:val="20"/>
                <w:color w:val="auto"/>
              </w:rPr>
            </w:pPr>
            <w:r>
              <w:rPr>
                <w:rFonts w:ascii="Arial" w:cs="Arial" w:eastAsia="Arial" w:hAnsi="Arial"/>
                <w:sz w:val="17"/>
                <w:szCs w:val="17"/>
                <w:color w:val="auto"/>
                <w:vertAlign w:val="subscript"/>
              </w:rPr>
              <w:t>Inc.</w:t>
            </w:r>
            <w:r>
              <w:rPr>
                <w:rFonts w:ascii="Arial" w:cs="Arial" w:eastAsia="Arial" w:hAnsi="Arial"/>
                <w:sz w:val="6"/>
                <w:szCs w:val="6"/>
                <w:color w:val="auto"/>
              </w:rPr>
              <w:t xml:space="preserve"> (3)(4)</w:t>
            </w:r>
          </w:p>
        </w:tc>
        <w:tc>
          <w:tcPr>
            <w:tcW w:w="30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167"/>
              <w:spacing w:after="0"/>
              <w:rPr>
                <w:sz w:val="20"/>
                <w:szCs w:val="20"/>
                <w:color w:val="auto"/>
              </w:rPr>
            </w:pPr>
            <w:r>
              <w:rPr>
                <w:rFonts w:ascii="Arial" w:cs="Arial" w:eastAsia="Arial" w:hAnsi="Arial"/>
                <w:sz w:val="11"/>
                <w:szCs w:val="11"/>
                <w:color w:val="auto"/>
              </w:rPr>
              <w:t>4.00% PIK)</w:t>
            </w: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100" w:type="dxa"/>
            <w:vAlign w:val="bottom"/>
          </w:tcPr>
          <w:p>
            <w:pPr>
              <w:spacing w:after="0"/>
              <w:rPr>
                <w:sz w:val="8"/>
                <w:szCs w:val="8"/>
                <w:color w:val="auto"/>
              </w:rPr>
            </w:pPr>
          </w:p>
        </w:tc>
        <w:tc>
          <w:tcPr>
            <w:tcW w:w="3040" w:type="dxa"/>
            <w:vAlign w:val="bottom"/>
          </w:tcPr>
          <w:p>
            <w:pPr>
              <w:ind w:left="500"/>
              <w:spacing w:after="0" w:line="99" w:lineRule="exact"/>
              <w:rPr>
                <w:sz w:val="20"/>
                <w:szCs w:val="20"/>
                <w:color w:val="auto"/>
              </w:rPr>
            </w:pPr>
            <w:r>
              <w:rPr>
                <w:rFonts w:ascii="Arial" w:cs="Arial" w:eastAsia="Arial" w:hAnsi="Arial"/>
                <w:sz w:val="11"/>
                <w:szCs w:val="11"/>
                <w:color w:val="auto"/>
              </w:rPr>
              <w:t>First-lien loan ($35,689 par, due 9/2026)</w:t>
            </w:r>
          </w:p>
        </w:tc>
        <w:tc>
          <w:tcPr>
            <w:tcW w:w="1020" w:type="dxa"/>
            <w:vAlign w:val="bottom"/>
          </w:tcPr>
          <w:p>
            <w:pPr>
              <w:jc w:val="right"/>
              <w:ind w:right="147"/>
              <w:spacing w:after="0" w:line="99" w:lineRule="exact"/>
              <w:rPr>
                <w:sz w:val="20"/>
                <w:szCs w:val="20"/>
                <w:color w:val="auto"/>
              </w:rPr>
            </w:pPr>
            <w:r>
              <w:rPr>
                <w:rFonts w:ascii="Arial" w:cs="Arial" w:eastAsia="Arial" w:hAnsi="Arial"/>
                <w:sz w:val="11"/>
                <w:szCs w:val="11"/>
                <w:color w:val="auto"/>
              </w:rPr>
              <w:t>9/30/2021</w:t>
            </w:r>
          </w:p>
        </w:tc>
        <w:tc>
          <w:tcPr>
            <w:tcW w:w="940" w:type="dxa"/>
            <w:vAlign w:val="bottom"/>
          </w:tcPr>
          <w:p>
            <w:pPr>
              <w:jc w:val="right"/>
              <w:ind w:right="167"/>
              <w:spacing w:after="0" w:line="99" w:lineRule="exact"/>
              <w:rPr>
                <w:sz w:val="20"/>
                <w:szCs w:val="20"/>
                <w:color w:val="auto"/>
              </w:rPr>
            </w:pPr>
            <w:r>
              <w:rPr>
                <w:rFonts w:ascii="Arial" w:cs="Arial" w:eastAsia="Arial" w:hAnsi="Arial"/>
                <w:sz w:val="11"/>
                <w:szCs w:val="11"/>
                <w:color w:val="auto"/>
              </w:rPr>
              <w:t>L + 8.25%</w:t>
            </w:r>
          </w:p>
        </w:tc>
        <w:tc>
          <w:tcPr>
            <w:tcW w:w="1060" w:type="dxa"/>
            <w:vAlign w:val="bottom"/>
          </w:tcPr>
          <w:p>
            <w:pPr>
              <w:jc w:val="right"/>
              <w:ind w:right="207"/>
              <w:spacing w:after="0" w:line="99" w:lineRule="exact"/>
              <w:rPr>
                <w:sz w:val="20"/>
                <w:szCs w:val="20"/>
                <w:color w:val="auto"/>
              </w:rPr>
            </w:pPr>
            <w:r>
              <w:rPr>
                <w:rFonts w:ascii="Arial" w:cs="Arial" w:eastAsia="Arial" w:hAnsi="Arial"/>
                <w:sz w:val="11"/>
                <w:szCs w:val="11"/>
                <w:color w:val="auto"/>
              </w:rPr>
              <w:t>10.49% (incl.</w:t>
            </w:r>
          </w:p>
        </w:tc>
        <w:tc>
          <w:tcPr>
            <w:tcW w:w="900" w:type="dxa"/>
            <w:vAlign w:val="bottom"/>
          </w:tcPr>
          <w:p>
            <w:pPr>
              <w:jc w:val="right"/>
              <w:spacing w:after="0" w:line="99" w:lineRule="exact"/>
              <w:rPr>
                <w:sz w:val="20"/>
                <w:szCs w:val="20"/>
                <w:color w:val="auto"/>
              </w:rPr>
            </w:pPr>
            <w:r>
              <w:rPr>
                <w:rFonts w:ascii="Arial" w:cs="Arial" w:eastAsia="Arial" w:hAnsi="Arial"/>
                <w:sz w:val="11"/>
                <w:szCs w:val="11"/>
                <w:color w:val="auto"/>
              </w:rPr>
              <w:t>34,968</w:t>
            </w:r>
          </w:p>
        </w:tc>
        <w:tc>
          <w:tcPr>
            <w:tcW w:w="1040" w:type="dxa"/>
            <w:vAlign w:val="bottom"/>
            <w:gridSpan w:val="2"/>
          </w:tcPr>
          <w:p>
            <w:pPr>
              <w:jc w:val="right"/>
              <w:spacing w:after="0" w:line="99" w:lineRule="exact"/>
              <w:rPr>
                <w:sz w:val="20"/>
                <w:szCs w:val="20"/>
                <w:color w:val="auto"/>
              </w:rPr>
            </w:pPr>
            <w:r>
              <w:rPr>
                <w:rFonts w:ascii="Arial" w:cs="Arial" w:eastAsia="Arial" w:hAnsi="Arial"/>
                <w:sz w:val="11"/>
                <w:szCs w:val="11"/>
                <w:color w:val="auto"/>
              </w:rPr>
              <w:t>41,132</w:t>
            </w:r>
          </w:p>
        </w:tc>
        <w:tc>
          <w:tcPr>
            <w:tcW w:w="1140" w:type="dxa"/>
            <w:vAlign w:val="bottom"/>
            <w:gridSpan w:val="3"/>
          </w:tcPr>
          <w:p>
            <w:pPr>
              <w:jc w:val="right"/>
              <w:spacing w:after="0" w:line="99" w:lineRule="exact"/>
              <w:rPr>
                <w:sz w:val="20"/>
                <w:szCs w:val="20"/>
                <w:color w:val="auto"/>
              </w:rPr>
            </w:pPr>
            <w:r>
              <w:rPr>
                <w:rFonts w:ascii="Arial" w:cs="Arial" w:eastAsia="Arial" w:hAnsi="Arial"/>
                <w:sz w:val="11"/>
                <w:szCs w:val="11"/>
                <w:color w:val="auto"/>
              </w:rPr>
              <w:t>3.3 %</w:t>
            </w:r>
          </w:p>
        </w:tc>
        <w:tc>
          <w:tcPr>
            <w:tcW w:w="0" w:type="dxa"/>
            <w:vAlign w:val="bottom"/>
          </w:tcPr>
          <w:p>
            <w:pPr>
              <w:spacing w:after="0"/>
              <w:rPr>
                <w:sz w:val="1"/>
                <w:szCs w:val="1"/>
                <w:color w:val="auto"/>
              </w:rPr>
            </w:pPr>
          </w:p>
        </w:tc>
      </w:tr>
      <w:tr>
        <w:trPr>
          <w:trHeight w:val="135"/>
        </w:trPr>
        <w:tc>
          <w:tcPr>
            <w:tcW w:w="2100" w:type="dxa"/>
            <w:vAlign w:val="bottom"/>
            <w:vMerge w:val="restart"/>
          </w:tcPr>
          <w:p>
            <w:pPr>
              <w:ind w:left="20"/>
              <w:spacing w:after="0"/>
              <w:rPr>
                <w:sz w:val="20"/>
                <w:szCs w:val="20"/>
                <w:color w:val="auto"/>
              </w:rPr>
            </w:pPr>
            <w:r>
              <w:rPr>
                <w:rFonts w:ascii="Arial" w:cs="Arial" w:eastAsia="Arial" w:hAnsi="Arial"/>
                <w:sz w:val="11"/>
                <w:szCs w:val="11"/>
                <w:color w:val="auto"/>
              </w:rPr>
              <w:t xml:space="preserve">TherapeuticsMD, Inc. </w:t>
            </w:r>
            <w:r>
              <w:rPr>
                <w:rFonts w:ascii="Arial" w:cs="Arial" w:eastAsia="Arial" w:hAnsi="Arial"/>
                <w:sz w:val="14"/>
                <w:szCs w:val="14"/>
                <w:color w:val="auto"/>
                <w:vertAlign w:val="superscript"/>
              </w:rPr>
              <w:t>(3)(4)</w:t>
            </w:r>
          </w:p>
        </w:tc>
        <w:tc>
          <w:tcPr>
            <w:tcW w:w="3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jc w:val="right"/>
              <w:ind w:right="167"/>
              <w:spacing w:after="0"/>
              <w:rPr>
                <w:sz w:val="20"/>
                <w:szCs w:val="20"/>
                <w:color w:val="auto"/>
              </w:rPr>
            </w:pPr>
            <w:r>
              <w:rPr>
                <w:rFonts w:ascii="Arial" w:cs="Arial" w:eastAsia="Arial" w:hAnsi="Arial"/>
                <w:sz w:val="11"/>
                <w:szCs w:val="11"/>
                <w:color w:val="auto"/>
              </w:rPr>
              <w:t>4.00% PIK)</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100" w:type="dxa"/>
            <w:vAlign w:val="bottom"/>
            <w:vMerge w:val="continue"/>
          </w:tcPr>
          <w:p>
            <w:pPr>
              <w:spacing w:after="0"/>
              <w:rPr>
                <w:sz w:val="12"/>
                <w:szCs w:val="12"/>
                <w:color w:val="auto"/>
              </w:rPr>
            </w:pPr>
          </w:p>
        </w:tc>
        <w:tc>
          <w:tcPr>
            <w:tcW w:w="3040" w:type="dxa"/>
            <w:vAlign w:val="bottom"/>
          </w:tcPr>
          <w:p>
            <w:pPr>
              <w:ind w:left="500"/>
              <w:spacing w:after="0"/>
              <w:rPr>
                <w:sz w:val="20"/>
                <w:szCs w:val="20"/>
                <w:color w:val="auto"/>
              </w:rPr>
            </w:pPr>
            <w:r>
              <w:rPr>
                <w:rFonts w:ascii="Arial" w:cs="Arial" w:eastAsia="Arial" w:hAnsi="Arial"/>
                <w:sz w:val="11"/>
                <w:szCs w:val="11"/>
                <w:color w:val="auto"/>
              </w:rPr>
              <w:t>First-lien loan ($13,617 par, due 7/2022)</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4/24/2019</w:t>
            </w:r>
          </w:p>
        </w:tc>
        <w:tc>
          <w:tcPr>
            <w:tcW w:w="940" w:type="dxa"/>
            <w:vAlign w:val="bottom"/>
          </w:tcPr>
          <w:p>
            <w:pPr>
              <w:jc w:val="right"/>
              <w:ind w:right="167"/>
              <w:spacing w:after="0"/>
              <w:rPr>
                <w:sz w:val="20"/>
                <w:szCs w:val="20"/>
                <w:color w:val="auto"/>
              </w:rPr>
            </w:pPr>
            <w:r>
              <w:rPr>
                <w:rFonts w:ascii="Arial" w:cs="Arial" w:eastAsia="Arial" w:hAnsi="Arial"/>
                <w:sz w:val="11"/>
                <w:szCs w:val="11"/>
                <w:color w:val="auto"/>
              </w:rPr>
              <w:t>L + 7.75%</w:t>
            </w:r>
          </w:p>
        </w:tc>
        <w:tc>
          <w:tcPr>
            <w:tcW w:w="1060" w:type="dxa"/>
            <w:vAlign w:val="bottom"/>
          </w:tcPr>
          <w:p>
            <w:pPr>
              <w:jc w:val="right"/>
              <w:ind w:right="67"/>
              <w:spacing w:after="0"/>
              <w:rPr>
                <w:sz w:val="20"/>
                <w:szCs w:val="20"/>
                <w:color w:val="auto"/>
              </w:rPr>
            </w:pPr>
            <w:r>
              <w:rPr>
                <w:rFonts w:ascii="Arial" w:cs="Arial" w:eastAsia="Arial" w:hAnsi="Arial"/>
                <w:sz w:val="11"/>
                <w:szCs w:val="11"/>
                <w:color w:val="auto"/>
              </w:rPr>
              <w:t>10.45 %</w:t>
            </w:r>
          </w:p>
        </w:tc>
        <w:tc>
          <w:tcPr>
            <w:tcW w:w="900" w:type="dxa"/>
            <w:vAlign w:val="bottom"/>
          </w:tcPr>
          <w:p>
            <w:pPr>
              <w:jc w:val="right"/>
              <w:spacing w:after="0"/>
              <w:rPr>
                <w:sz w:val="20"/>
                <w:szCs w:val="20"/>
                <w:color w:val="auto"/>
              </w:rPr>
            </w:pPr>
            <w:r>
              <w:rPr>
                <w:rFonts w:ascii="Arial" w:cs="Arial" w:eastAsia="Arial" w:hAnsi="Arial"/>
                <w:sz w:val="11"/>
                <w:szCs w:val="11"/>
                <w:color w:val="auto"/>
              </w:rPr>
              <w:t>13,612</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13,617</w:t>
            </w:r>
          </w:p>
        </w:tc>
        <w:tc>
          <w:tcPr>
            <w:tcW w:w="20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1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90,386</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100,345</w:t>
            </w:r>
          </w:p>
        </w:tc>
        <w:tc>
          <w:tcPr>
            <w:tcW w:w="20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8.1 %</w:t>
            </w:r>
          </w:p>
        </w:tc>
        <w:tc>
          <w:tcPr>
            <w:tcW w:w="0" w:type="dxa"/>
            <w:vAlign w:val="bottom"/>
          </w:tcPr>
          <w:p>
            <w:pPr>
              <w:spacing w:after="0"/>
              <w:rPr>
                <w:sz w:val="1"/>
                <w:szCs w:val="1"/>
                <w:color w:val="auto"/>
              </w:rPr>
            </w:pPr>
          </w:p>
        </w:tc>
      </w:tr>
      <w:tr>
        <w:trPr>
          <w:trHeight w:val="128"/>
        </w:trPr>
        <w:tc>
          <w:tcPr>
            <w:tcW w:w="2100" w:type="dxa"/>
            <w:vAlign w:val="bottom"/>
            <w:shd w:val="clear" w:color="auto" w:fill="CFF0FC"/>
          </w:tcPr>
          <w:p>
            <w:pPr>
              <w:spacing w:after="0"/>
              <w:rPr>
                <w:sz w:val="11"/>
                <w:szCs w:val="11"/>
                <w:color w:val="auto"/>
              </w:rPr>
            </w:pPr>
          </w:p>
        </w:tc>
        <w:tc>
          <w:tcPr>
            <w:tcW w:w="30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rPr>
                <w:sz w:val="20"/>
                <w:szCs w:val="20"/>
                <w:color w:val="auto"/>
              </w:rPr>
            </w:pPr>
            <w:r>
              <w:rPr>
                <w:rFonts w:ascii="Arial" w:cs="Arial" w:eastAsia="Arial" w:hAnsi="Arial"/>
                <w:sz w:val="11"/>
                <w:szCs w:val="11"/>
                <w:b w:val="1"/>
                <w:bCs w:val="1"/>
                <w:color w:val="auto"/>
              </w:rPr>
              <w:t>Retail and Consumer Products</w:t>
            </w:r>
          </w:p>
        </w:tc>
        <w:tc>
          <w:tcPr>
            <w:tcW w:w="3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100" w:type="dxa"/>
            <w:vAlign w:val="bottom"/>
            <w:shd w:val="clear" w:color="auto" w:fill="CFF0FC"/>
          </w:tcPr>
          <w:p>
            <w:pPr>
              <w:ind w:left="20"/>
              <w:spacing w:after="0" w:line="95" w:lineRule="exact"/>
              <w:rPr>
                <w:sz w:val="20"/>
                <w:szCs w:val="20"/>
                <w:color w:val="auto"/>
              </w:rPr>
            </w:pPr>
            <w:r>
              <w:rPr>
                <w:rFonts w:ascii="Arial" w:cs="Arial" w:eastAsia="Arial" w:hAnsi="Arial"/>
                <w:sz w:val="10"/>
                <w:szCs w:val="10"/>
                <w:color w:val="auto"/>
              </w:rPr>
              <w:t>99 Cents Only Stores</w:t>
            </w:r>
          </w:p>
        </w:tc>
        <w:tc>
          <w:tcPr>
            <w:tcW w:w="3040" w:type="dxa"/>
            <w:vAlign w:val="bottom"/>
            <w:shd w:val="clear" w:color="auto" w:fill="CFF0FC"/>
          </w:tcPr>
          <w:p>
            <w:pPr>
              <w:ind w:left="500"/>
              <w:spacing w:after="0" w:line="95" w:lineRule="exact"/>
              <w:rPr>
                <w:sz w:val="20"/>
                <w:szCs w:val="20"/>
                <w:color w:val="auto"/>
              </w:rPr>
            </w:pPr>
            <w:r>
              <w:rPr>
                <w:rFonts w:ascii="Arial" w:cs="Arial" w:eastAsia="Arial" w:hAnsi="Arial"/>
                <w:sz w:val="10"/>
                <w:szCs w:val="10"/>
                <w:color w:val="auto"/>
              </w:rPr>
              <w:t>ABL FILO term loan ($25,000 par, due 5/2025)</w:t>
            </w:r>
          </w:p>
        </w:tc>
        <w:tc>
          <w:tcPr>
            <w:tcW w:w="1020" w:type="dxa"/>
            <w:vAlign w:val="bottom"/>
            <w:shd w:val="clear" w:color="auto" w:fill="CFF0FC"/>
          </w:tcPr>
          <w:p>
            <w:pPr>
              <w:jc w:val="right"/>
              <w:ind w:right="147"/>
              <w:spacing w:after="0" w:line="95" w:lineRule="exact"/>
              <w:rPr>
                <w:sz w:val="20"/>
                <w:szCs w:val="20"/>
                <w:color w:val="auto"/>
              </w:rPr>
            </w:pPr>
            <w:r>
              <w:rPr>
                <w:rFonts w:ascii="Arial" w:cs="Arial" w:eastAsia="Arial" w:hAnsi="Arial"/>
                <w:sz w:val="10"/>
                <w:szCs w:val="10"/>
                <w:color w:val="auto"/>
              </w:rPr>
              <w:t>9/6/2017</w:t>
            </w:r>
          </w:p>
        </w:tc>
        <w:tc>
          <w:tcPr>
            <w:tcW w:w="940" w:type="dxa"/>
            <w:vAlign w:val="bottom"/>
            <w:shd w:val="clear" w:color="auto" w:fill="CFF0FC"/>
          </w:tcPr>
          <w:p>
            <w:pPr>
              <w:jc w:val="right"/>
              <w:ind w:right="167"/>
              <w:spacing w:after="0" w:line="95" w:lineRule="exact"/>
              <w:rPr>
                <w:sz w:val="20"/>
                <w:szCs w:val="20"/>
                <w:color w:val="auto"/>
              </w:rPr>
            </w:pPr>
            <w:r>
              <w:rPr>
                <w:rFonts w:ascii="Arial" w:cs="Arial" w:eastAsia="Arial" w:hAnsi="Arial"/>
                <w:sz w:val="10"/>
                <w:szCs w:val="10"/>
                <w:color w:val="auto"/>
              </w:rPr>
              <w:t>L + 8.50%</w:t>
            </w:r>
          </w:p>
        </w:tc>
        <w:tc>
          <w:tcPr>
            <w:tcW w:w="1060" w:type="dxa"/>
            <w:vAlign w:val="bottom"/>
            <w:shd w:val="clear" w:color="auto" w:fill="CFF0FC"/>
          </w:tcPr>
          <w:p>
            <w:pPr>
              <w:jc w:val="right"/>
              <w:ind w:right="67"/>
              <w:spacing w:after="0" w:line="95" w:lineRule="exact"/>
              <w:rPr>
                <w:sz w:val="20"/>
                <w:szCs w:val="20"/>
                <w:color w:val="auto"/>
              </w:rPr>
            </w:pPr>
            <w:r>
              <w:rPr>
                <w:rFonts w:ascii="Arial" w:cs="Arial" w:eastAsia="Arial" w:hAnsi="Arial"/>
                <w:sz w:val="10"/>
                <w:szCs w:val="10"/>
                <w:color w:val="auto"/>
              </w:rPr>
              <w:t>10.17 %</w:t>
            </w:r>
          </w:p>
        </w:tc>
        <w:tc>
          <w:tcPr>
            <w:tcW w:w="900" w:type="dxa"/>
            <w:vAlign w:val="bottom"/>
            <w:shd w:val="clear" w:color="auto" w:fill="CFF0FC"/>
          </w:tcPr>
          <w:p>
            <w:pPr>
              <w:jc w:val="right"/>
              <w:spacing w:after="0" w:line="95" w:lineRule="exact"/>
              <w:rPr>
                <w:sz w:val="20"/>
                <w:szCs w:val="20"/>
                <w:color w:val="auto"/>
              </w:rPr>
            </w:pPr>
            <w:r>
              <w:rPr>
                <w:rFonts w:ascii="Arial" w:cs="Arial" w:eastAsia="Arial" w:hAnsi="Arial"/>
                <w:sz w:val="10"/>
                <w:szCs w:val="10"/>
                <w:color w:val="auto"/>
              </w:rPr>
              <w:t>24,742</w:t>
            </w:r>
          </w:p>
        </w:tc>
        <w:tc>
          <w:tcPr>
            <w:tcW w:w="1040" w:type="dxa"/>
            <w:vAlign w:val="bottom"/>
            <w:gridSpan w:val="2"/>
            <w:shd w:val="clear" w:color="auto" w:fill="CFF0FC"/>
          </w:tcPr>
          <w:p>
            <w:pPr>
              <w:jc w:val="right"/>
              <w:spacing w:after="0" w:line="95" w:lineRule="exact"/>
              <w:rPr>
                <w:sz w:val="20"/>
                <w:szCs w:val="20"/>
                <w:color w:val="auto"/>
              </w:rPr>
            </w:pPr>
            <w:r>
              <w:rPr>
                <w:rFonts w:ascii="Arial" w:cs="Arial" w:eastAsia="Arial" w:hAnsi="Arial"/>
                <w:sz w:val="10"/>
                <w:szCs w:val="10"/>
                <w:color w:val="auto"/>
              </w:rPr>
              <w:t>25,063</w:t>
            </w:r>
          </w:p>
        </w:tc>
        <w:tc>
          <w:tcPr>
            <w:tcW w:w="1140" w:type="dxa"/>
            <w:vAlign w:val="bottom"/>
            <w:gridSpan w:val="3"/>
            <w:shd w:val="clear" w:color="auto" w:fill="CFF0FC"/>
          </w:tcPr>
          <w:p>
            <w:pPr>
              <w:jc w:val="right"/>
              <w:spacing w:after="0" w:line="95" w:lineRule="exact"/>
              <w:rPr>
                <w:sz w:val="20"/>
                <w:szCs w:val="20"/>
                <w:color w:val="auto"/>
              </w:rPr>
            </w:pPr>
            <w:r>
              <w:rPr>
                <w:rFonts w:ascii="Arial" w:cs="Arial" w:eastAsia="Arial" w:hAnsi="Arial"/>
                <w:sz w:val="10"/>
                <w:szCs w:val="10"/>
                <w:color w:val="auto"/>
              </w:rPr>
              <w:t>2.0 %</w:t>
            </w:r>
          </w:p>
        </w:tc>
        <w:tc>
          <w:tcPr>
            <w:tcW w:w="0" w:type="dxa"/>
            <w:vAlign w:val="bottom"/>
          </w:tcPr>
          <w:p>
            <w:pPr>
              <w:spacing w:after="0"/>
              <w:rPr>
                <w:sz w:val="1"/>
                <w:szCs w:val="1"/>
                <w:color w:val="auto"/>
              </w:rPr>
            </w:pPr>
          </w:p>
        </w:tc>
      </w:tr>
      <w:tr>
        <w:trPr>
          <w:trHeight w:val="148"/>
        </w:trPr>
        <w:tc>
          <w:tcPr>
            <w:tcW w:w="2100" w:type="dxa"/>
            <w:vAlign w:val="bottom"/>
            <w:shd w:val="clear" w:color="auto" w:fill="CFF0FC"/>
          </w:tcPr>
          <w:p>
            <w:pPr>
              <w:ind w:left="100"/>
              <w:spacing w:after="0" w:line="149" w:lineRule="exact"/>
              <w:rPr>
                <w:sz w:val="20"/>
                <w:szCs w:val="20"/>
                <w:color w:val="auto"/>
              </w:rPr>
            </w:pPr>
            <w:r>
              <w:rPr>
                <w:rFonts w:ascii="Arial" w:cs="Arial" w:eastAsia="Arial" w:hAnsi="Arial"/>
                <w:sz w:val="11"/>
                <w:szCs w:val="11"/>
                <w:color w:val="auto"/>
              </w:rPr>
              <w:t xml:space="preserve">LLC </w:t>
            </w:r>
            <w:r>
              <w:rPr>
                <w:rFonts w:ascii="Arial" w:cs="Arial" w:eastAsia="Arial" w:hAnsi="Arial"/>
                <w:sz w:val="14"/>
                <w:szCs w:val="14"/>
                <w:color w:val="auto"/>
                <w:vertAlign w:val="superscript"/>
              </w:rPr>
              <w:t>(3)</w:t>
            </w:r>
          </w:p>
        </w:tc>
        <w:tc>
          <w:tcPr>
            <w:tcW w:w="30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100" w:type="dxa"/>
            <w:vAlign w:val="bottom"/>
          </w:tcPr>
          <w:p>
            <w:pPr>
              <w:ind w:left="20"/>
              <w:spacing w:after="0" w:line="95" w:lineRule="exact"/>
              <w:rPr>
                <w:sz w:val="20"/>
                <w:szCs w:val="20"/>
                <w:color w:val="auto"/>
              </w:rPr>
            </w:pPr>
            <w:r>
              <w:rPr>
                <w:rFonts w:ascii="Arial" w:cs="Arial" w:eastAsia="Arial" w:hAnsi="Arial"/>
                <w:sz w:val="10"/>
                <w:szCs w:val="10"/>
                <w:color w:val="auto"/>
              </w:rPr>
              <w:t>American Achievement,</w:t>
            </w:r>
          </w:p>
        </w:tc>
        <w:tc>
          <w:tcPr>
            <w:tcW w:w="3040" w:type="dxa"/>
            <w:vAlign w:val="bottom"/>
          </w:tcPr>
          <w:p>
            <w:pPr>
              <w:ind w:left="500"/>
              <w:spacing w:after="0" w:line="95" w:lineRule="exact"/>
              <w:rPr>
                <w:sz w:val="20"/>
                <w:szCs w:val="20"/>
                <w:color w:val="auto"/>
              </w:rPr>
            </w:pPr>
            <w:r>
              <w:rPr>
                <w:rFonts w:ascii="Arial" w:cs="Arial" w:eastAsia="Arial" w:hAnsi="Arial"/>
                <w:sz w:val="10"/>
                <w:szCs w:val="10"/>
                <w:color w:val="auto"/>
              </w:rPr>
              <w:t>First-lien loan ($26,062 par, due 9/2026)</w:t>
            </w:r>
          </w:p>
        </w:tc>
        <w:tc>
          <w:tcPr>
            <w:tcW w:w="1020" w:type="dxa"/>
            <w:vAlign w:val="bottom"/>
          </w:tcPr>
          <w:p>
            <w:pPr>
              <w:jc w:val="right"/>
              <w:ind w:right="147"/>
              <w:spacing w:after="0" w:line="95" w:lineRule="exact"/>
              <w:rPr>
                <w:sz w:val="20"/>
                <w:szCs w:val="20"/>
                <w:color w:val="auto"/>
              </w:rPr>
            </w:pPr>
            <w:r>
              <w:rPr>
                <w:rFonts w:ascii="Arial" w:cs="Arial" w:eastAsia="Arial" w:hAnsi="Arial"/>
                <w:sz w:val="10"/>
                <w:szCs w:val="10"/>
                <w:color w:val="auto"/>
              </w:rPr>
              <w:t>9/30/2015</w:t>
            </w:r>
          </w:p>
        </w:tc>
        <w:tc>
          <w:tcPr>
            <w:tcW w:w="940" w:type="dxa"/>
            <w:vAlign w:val="bottom"/>
          </w:tcPr>
          <w:p>
            <w:pPr>
              <w:jc w:val="right"/>
              <w:ind w:right="167"/>
              <w:spacing w:after="0" w:line="95" w:lineRule="exact"/>
              <w:rPr>
                <w:sz w:val="20"/>
                <w:szCs w:val="20"/>
                <w:color w:val="auto"/>
              </w:rPr>
            </w:pPr>
            <w:r>
              <w:rPr>
                <w:rFonts w:ascii="Arial" w:cs="Arial" w:eastAsia="Arial" w:hAnsi="Arial"/>
                <w:sz w:val="10"/>
                <w:szCs w:val="10"/>
                <w:color w:val="auto"/>
              </w:rPr>
              <w:t>L + 6.25%</w:t>
            </w:r>
          </w:p>
        </w:tc>
        <w:tc>
          <w:tcPr>
            <w:tcW w:w="1060" w:type="dxa"/>
            <w:vAlign w:val="bottom"/>
          </w:tcPr>
          <w:p>
            <w:pPr>
              <w:jc w:val="right"/>
              <w:ind w:right="207"/>
              <w:spacing w:after="0" w:line="95" w:lineRule="exact"/>
              <w:rPr>
                <w:sz w:val="20"/>
                <w:szCs w:val="20"/>
                <w:color w:val="auto"/>
              </w:rPr>
            </w:pPr>
            <w:r>
              <w:rPr>
                <w:rFonts w:ascii="Arial" w:cs="Arial" w:eastAsia="Arial" w:hAnsi="Arial"/>
                <w:sz w:val="10"/>
                <w:szCs w:val="10"/>
                <w:color w:val="auto"/>
              </w:rPr>
              <w:t>7.32% (incl.</w:t>
            </w:r>
          </w:p>
        </w:tc>
        <w:tc>
          <w:tcPr>
            <w:tcW w:w="900" w:type="dxa"/>
            <w:vAlign w:val="bottom"/>
          </w:tcPr>
          <w:p>
            <w:pPr>
              <w:jc w:val="right"/>
              <w:spacing w:after="0" w:line="95" w:lineRule="exact"/>
              <w:rPr>
                <w:sz w:val="20"/>
                <w:szCs w:val="20"/>
                <w:color w:val="auto"/>
              </w:rPr>
            </w:pPr>
            <w:r>
              <w:rPr>
                <w:rFonts w:ascii="Arial" w:cs="Arial" w:eastAsia="Arial" w:hAnsi="Arial"/>
                <w:sz w:val="10"/>
                <w:szCs w:val="10"/>
                <w:color w:val="auto"/>
              </w:rPr>
              <w:t>25,182</w:t>
            </w:r>
          </w:p>
        </w:tc>
        <w:tc>
          <w:tcPr>
            <w:tcW w:w="104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19,416</w:t>
            </w:r>
          </w:p>
        </w:tc>
        <w:tc>
          <w:tcPr>
            <w:tcW w:w="1140" w:type="dxa"/>
            <w:vAlign w:val="bottom"/>
            <w:gridSpan w:val="3"/>
          </w:tcPr>
          <w:p>
            <w:pPr>
              <w:jc w:val="right"/>
              <w:spacing w:after="0" w:line="95" w:lineRule="exact"/>
              <w:rPr>
                <w:sz w:val="20"/>
                <w:szCs w:val="20"/>
                <w:color w:val="auto"/>
              </w:rPr>
            </w:pPr>
            <w:r>
              <w:rPr>
                <w:rFonts w:ascii="Arial" w:cs="Arial" w:eastAsia="Arial" w:hAnsi="Arial"/>
                <w:sz w:val="10"/>
                <w:szCs w:val="10"/>
                <w:color w:val="auto"/>
              </w:rPr>
              <w:t>1.6 %</w:t>
            </w:r>
          </w:p>
        </w:tc>
        <w:tc>
          <w:tcPr>
            <w:tcW w:w="0" w:type="dxa"/>
            <w:vAlign w:val="bottom"/>
          </w:tcPr>
          <w:p>
            <w:pPr>
              <w:spacing w:after="0"/>
              <w:rPr>
                <w:sz w:val="1"/>
                <w:szCs w:val="1"/>
                <w:color w:val="auto"/>
              </w:rPr>
            </w:pPr>
          </w:p>
        </w:tc>
      </w:tr>
      <w:tr>
        <w:trPr>
          <w:trHeight w:val="139"/>
        </w:trPr>
        <w:tc>
          <w:tcPr>
            <w:tcW w:w="2100" w:type="dxa"/>
            <w:vAlign w:val="bottom"/>
          </w:tcPr>
          <w:p>
            <w:pPr>
              <w:ind w:left="100"/>
              <w:spacing w:after="0" w:line="139" w:lineRule="exact"/>
              <w:rPr>
                <w:sz w:val="20"/>
                <w:szCs w:val="20"/>
                <w:color w:val="auto"/>
              </w:rPr>
            </w:pPr>
            <w:r>
              <w:rPr>
                <w:rFonts w:ascii="Arial" w:cs="Arial" w:eastAsia="Arial" w:hAnsi="Arial"/>
                <w:sz w:val="11"/>
                <w:szCs w:val="11"/>
                <w:color w:val="auto"/>
              </w:rPr>
              <w:t xml:space="preserve">Corp. </w:t>
            </w:r>
            <w:r>
              <w:rPr>
                <w:rFonts w:ascii="Arial" w:cs="Arial" w:eastAsia="Arial" w:hAnsi="Arial"/>
                <w:sz w:val="14"/>
                <w:szCs w:val="14"/>
                <w:color w:val="auto"/>
                <w:vertAlign w:val="superscript"/>
              </w:rPr>
              <w:t>(3)</w:t>
            </w:r>
          </w:p>
        </w:tc>
        <w:tc>
          <w:tcPr>
            <w:tcW w:w="3040" w:type="dxa"/>
            <w:vAlign w:val="bottom"/>
            <w:vMerge w:val="restart"/>
          </w:tcPr>
          <w:p>
            <w:pPr>
              <w:ind w:left="500"/>
              <w:spacing w:after="0"/>
              <w:rPr>
                <w:sz w:val="20"/>
                <w:szCs w:val="20"/>
                <w:color w:val="auto"/>
              </w:rPr>
            </w:pPr>
            <w:r>
              <w:rPr>
                <w:rFonts w:ascii="Arial" w:cs="Arial" w:eastAsia="Arial" w:hAnsi="Arial"/>
                <w:sz w:val="11"/>
                <w:szCs w:val="11"/>
                <w:color w:val="auto"/>
              </w:rPr>
              <w:t xml:space="preserve">First-lien loan ($1,366 par, due 9/2026) </w:t>
            </w:r>
            <w:r>
              <w:rPr>
                <w:rFonts w:ascii="Arial" w:cs="Arial" w:eastAsia="Arial" w:hAnsi="Arial"/>
                <w:sz w:val="14"/>
                <w:szCs w:val="14"/>
                <w:color w:val="auto"/>
                <w:vertAlign w:val="superscript"/>
              </w:rPr>
              <w:t>(15)</w:t>
            </w: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jc w:val="right"/>
              <w:ind w:right="167"/>
              <w:spacing w:after="0"/>
              <w:rPr>
                <w:sz w:val="20"/>
                <w:szCs w:val="20"/>
                <w:color w:val="auto"/>
              </w:rPr>
            </w:pPr>
            <w:r>
              <w:rPr>
                <w:rFonts w:ascii="Arial" w:cs="Arial" w:eastAsia="Arial" w:hAnsi="Arial"/>
                <w:sz w:val="11"/>
                <w:szCs w:val="11"/>
                <w:color w:val="auto"/>
              </w:rPr>
              <w:t>6.75% PIK)</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3040" w:type="dxa"/>
            <w:vAlign w:val="bottom"/>
            <w:vMerge w:val="continue"/>
          </w:tcPr>
          <w:p>
            <w:pPr>
              <w:spacing w:after="0"/>
              <w:rPr>
                <w:sz w:val="9"/>
                <w:szCs w:val="9"/>
                <w:color w:val="auto"/>
              </w:rPr>
            </w:pPr>
          </w:p>
        </w:tc>
        <w:tc>
          <w:tcPr>
            <w:tcW w:w="1020" w:type="dxa"/>
            <w:vAlign w:val="bottom"/>
          </w:tcPr>
          <w:p>
            <w:pPr>
              <w:jc w:val="right"/>
              <w:ind w:right="147"/>
              <w:spacing w:after="0" w:line="108" w:lineRule="exact"/>
              <w:rPr>
                <w:sz w:val="20"/>
                <w:szCs w:val="20"/>
                <w:color w:val="auto"/>
              </w:rPr>
            </w:pPr>
            <w:r>
              <w:rPr>
                <w:rFonts w:ascii="Arial" w:cs="Arial" w:eastAsia="Arial" w:hAnsi="Arial"/>
                <w:sz w:val="11"/>
                <w:szCs w:val="11"/>
                <w:color w:val="auto"/>
              </w:rPr>
              <w:t>6/10/2021</w:t>
            </w:r>
          </w:p>
        </w:tc>
        <w:tc>
          <w:tcPr>
            <w:tcW w:w="940" w:type="dxa"/>
            <w:vAlign w:val="bottom"/>
          </w:tcPr>
          <w:p>
            <w:pPr>
              <w:jc w:val="right"/>
              <w:ind w:right="167"/>
              <w:spacing w:after="0" w:line="108" w:lineRule="exact"/>
              <w:rPr>
                <w:sz w:val="20"/>
                <w:szCs w:val="20"/>
                <w:color w:val="auto"/>
              </w:rPr>
            </w:pPr>
            <w:r>
              <w:rPr>
                <w:rFonts w:ascii="Arial" w:cs="Arial" w:eastAsia="Arial" w:hAnsi="Arial"/>
                <w:sz w:val="11"/>
                <w:szCs w:val="11"/>
                <w:color w:val="auto"/>
              </w:rPr>
              <w:t>L + 14.00%</w:t>
            </w:r>
          </w:p>
        </w:tc>
        <w:tc>
          <w:tcPr>
            <w:tcW w:w="1060" w:type="dxa"/>
            <w:vAlign w:val="bottom"/>
          </w:tcPr>
          <w:p>
            <w:pPr>
              <w:jc w:val="right"/>
              <w:ind w:right="207"/>
              <w:spacing w:after="0" w:line="108" w:lineRule="exact"/>
              <w:rPr>
                <w:sz w:val="20"/>
                <w:szCs w:val="20"/>
                <w:color w:val="auto"/>
              </w:rPr>
            </w:pPr>
            <w:r>
              <w:rPr>
                <w:rFonts w:ascii="Arial" w:cs="Arial" w:eastAsia="Arial" w:hAnsi="Arial"/>
                <w:sz w:val="11"/>
                <w:szCs w:val="11"/>
                <w:color w:val="auto"/>
              </w:rPr>
              <w:t>15.07% (incl.</w:t>
            </w:r>
          </w:p>
        </w:tc>
        <w:tc>
          <w:tcPr>
            <w:tcW w:w="900" w:type="dxa"/>
            <w:vAlign w:val="bottom"/>
          </w:tcPr>
          <w:p>
            <w:pPr>
              <w:jc w:val="right"/>
              <w:spacing w:after="0" w:line="108" w:lineRule="exact"/>
              <w:rPr>
                <w:sz w:val="20"/>
                <w:szCs w:val="20"/>
                <w:color w:val="auto"/>
              </w:rPr>
            </w:pPr>
            <w:r>
              <w:rPr>
                <w:rFonts w:ascii="Arial" w:cs="Arial" w:eastAsia="Arial" w:hAnsi="Arial"/>
                <w:sz w:val="11"/>
                <w:szCs w:val="11"/>
                <w:color w:val="auto"/>
              </w:rPr>
              <w:t>1,366</w:t>
            </w:r>
          </w:p>
        </w:tc>
        <w:tc>
          <w:tcPr>
            <w:tcW w:w="104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89</w:t>
            </w:r>
          </w:p>
        </w:tc>
        <w:tc>
          <w:tcPr>
            <w:tcW w:w="1140" w:type="dxa"/>
            <w:vAlign w:val="bottom"/>
            <w:gridSpan w:val="3"/>
          </w:tcPr>
          <w:p>
            <w:pPr>
              <w:jc w:val="right"/>
              <w:spacing w:after="0" w:line="108" w:lineRule="exact"/>
              <w:rPr>
                <w:sz w:val="20"/>
                <w:szCs w:val="20"/>
                <w:color w:val="auto"/>
              </w:rPr>
            </w:pPr>
            <w:r>
              <w:rPr>
                <w:rFonts w:ascii="Arial" w:cs="Arial" w:eastAsia="Arial" w:hAnsi="Arial"/>
                <w:sz w:val="11"/>
                <w:szCs w:val="11"/>
                <w:color w:val="auto"/>
              </w:rPr>
              <w:t>0.0 %</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3040" w:type="dxa"/>
            <w:vAlign w:val="bottom"/>
            <w:vMerge w:val="restart"/>
          </w:tcPr>
          <w:p>
            <w:pPr>
              <w:ind w:left="500"/>
              <w:spacing w:after="0"/>
              <w:rPr>
                <w:sz w:val="20"/>
                <w:szCs w:val="20"/>
                <w:color w:val="auto"/>
              </w:rPr>
            </w:pPr>
            <w:r>
              <w:rPr>
                <w:rFonts w:ascii="Arial" w:cs="Arial" w:eastAsia="Arial" w:hAnsi="Arial"/>
                <w:sz w:val="11"/>
                <w:szCs w:val="11"/>
                <w:color w:val="auto"/>
              </w:rPr>
              <w:t xml:space="preserve">Subordinated note ($4,740 par, due 9/2026) </w:t>
            </w:r>
            <w:r>
              <w:rPr>
                <w:rFonts w:ascii="Arial" w:cs="Arial" w:eastAsia="Arial" w:hAnsi="Arial"/>
                <w:sz w:val="14"/>
                <w:szCs w:val="14"/>
                <w:color w:val="auto"/>
                <w:vertAlign w:val="superscript"/>
              </w:rPr>
              <w:t>(15)</w:t>
            </w: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jc w:val="right"/>
              <w:ind w:right="167"/>
              <w:spacing w:after="0"/>
              <w:rPr>
                <w:sz w:val="20"/>
                <w:szCs w:val="20"/>
                <w:color w:val="auto"/>
              </w:rPr>
            </w:pPr>
            <w:r>
              <w:rPr>
                <w:rFonts w:ascii="Arial" w:cs="Arial" w:eastAsia="Arial" w:hAnsi="Arial"/>
                <w:sz w:val="11"/>
                <w:szCs w:val="11"/>
                <w:color w:val="auto"/>
              </w:rPr>
              <w:t>14.50% PIK)</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vMerge w:val="restart"/>
          </w:tcPr>
          <w:p>
            <w:pPr>
              <w:ind w:left="20"/>
              <w:spacing w:after="0"/>
              <w:rPr>
                <w:sz w:val="20"/>
                <w:szCs w:val="20"/>
                <w:color w:val="auto"/>
              </w:rPr>
            </w:pPr>
            <w:r>
              <w:rPr>
                <w:rFonts w:ascii="Arial" w:cs="Arial" w:eastAsia="Arial" w:hAnsi="Arial"/>
                <w:sz w:val="11"/>
                <w:szCs w:val="11"/>
                <w:color w:val="auto"/>
              </w:rPr>
              <w:t xml:space="preserve">Moran Foods, LLC </w:t>
            </w:r>
            <w:r>
              <w:rPr>
                <w:rFonts w:ascii="Arial" w:cs="Arial" w:eastAsia="Arial" w:hAnsi="Arial"/>
                <w:sz w:val="14"/>
                <w:szCs w:val="14"/>
                <w:color w:val="auto"/>
                <w:vertAlign w:val="superscript"/>
              </w:rPr>
              <w:t>(3)</w:t>
            </w:r>
          </w:p>
        </w:tc>
        <w:tc>
          <w:tcPr>
            <w:tcW w:w="3040" w:type="dxa"/>
            <w:vAlign w:val="bottom"/>
            <w:vMerge w:val="continue"/>
          </w:tcPr>
          <w:p>
            <w:pPr>
              <w:spacing w:after="0"/>
              <w:rPr>
                <w:sz w:val="11"/>
                <w:szCs w:val="11"/>
                <w:color w:val="auto"/>
              </w:rPr>
            </w:pP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3/16/2021</w:t>
            </w:r>
          </w:p>
        </w:tc>
        <w:tc>
          <w:tcPr>
            <w:tcW w:w="940" w:type="dxa"/>
            <w:vAlign w:val="bottom"/>
          </w:tcPr>
          <w:p>
            <w:pPr>
              <w:jc w:val="right"/>
              <w:ind w:right="167"/>
              <w:spacing w:after="0"/>
              <w:rPr>
                <w:sz w:val="20"/>
                <w:szCs w:val="20"/>
                <w:color w:val="auto"/>
              </w:rPr>
            </w:pPr>
            <w:r>
              <w:rPr>
                <w:rFonts w:ascii="Arial" w:cs="Arial" w:eastAsia="Arial" w:hAnsi="Arial"/>
                <w:sz w:val="11"/>
                <w:szCs w:val="11"/>
                <w:color w:val="auto"/>
              </w:rPr>
              <w:t>L + 1.00%</w:t>
            </w:r>
          </w:p>
        </w:tc>
        <w:tc>
          <w:tcPr>
            <w:tcW w:w="1060" w:type="dxa"/>
            <w:vAlign w:val="bottom"/>
          </w:tcPr>
          <w:p>
            <w:pPr>
              <w:jc w:val="right"/>
              <w:ind w:right="167"/>
              <w:spacing w:after="0"/>
              <w:rPr>
                <w:sz w:val="20"/>
                <w:szCs w:val="20"/>
                <w:color w:val="auto"/>
              </w:rPr>
            </w:pPr>
            <w:r>
              <w:rPr>
                <w:rFonts w:ascii="Arial" w:cs="Arial" w:eastAsia="Arial" w:hAnsi="Arial"/>
                <w:sz w:val="11"/>
                <w:szCs w:val="11"/>
                <w:color w:val="auto"/>
              </w:rPr>
              <w:t>2.00% PIK</w:t>
            </w:r>
          </w:p>
        </w:tc>
        <w:tc>
          <w:tcPr>
            <w:tcW w:w="900" w:type="dxa"/>
            <w:vAlign w:val="bottom"/>
          </w:tcPr>
          <w:p>
            <w:pPr>
              <w:jc w:val="right"/>
              <w:spacing w:after="0"/>
              <w:rPr>
                <w:sz w:val="20"/>
                <w:szCs w:val="20"/>
                <w:color w:val="auto"/>
              </w:rPr>
            </w:pPr>
            <w:r>
              <w:rPr>
                <w:rFonts w:ascii="Arial" w:cs="Arial" w:eastAsia="Arial" w:hAnsi="Arial"/>
                <w:sz w:val="11"/>
                <w:szCs w:val="11"/>
                <w:color w:val="auto"/>
              </w:rPr>
              <w:t>545</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71</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0.0 %</w:t>
            </w:r>
          </w:p>
        </w:tc>
        <w:tc>
          <w:tcPr>
            <w:tcW w:w="0" w:type="dxa"/>
            <w:vAlign w:val="bottom"/>
          </w:tcPr>
          <w:p>
            <w:pPr>
              <w:spacing w:after="0"/>
              <w:rPr>
                <w:sz w:val="1"/>
                <w:szCs w:val="1"/>
                <w:color w:val="auto"/>
              </w:rPr>
            </w:pPr>
          </w:p>
        </w:tc>
      </w:tr>
      <w:tr>
        <w:trPr>
          <w:trHeight w:val="115"/>
        </w:trPr>
        <w:tc>
          <w:tcPr>
            <w:tcW w:w="2100" w:type="dxa"/>
            <w:vAlign w:val="bottom"/>
            <w:vMerge w:val="continue"/>
          </w:tcPr>
          <w:p>
            <w:pPr>
              <w:spacing w:after="0"/>
              <w:rPr>
                <w:sz w:val="9"/>
                <w:szCs w:val="9"/>
                <w:color w:val="auto"/>
              </w:rPr>
            </w:pPr>
          </w:p>
        </w:tc>
        <w:tc>
          <w:tcPr>
            <w:tcW w:w="3040" w:type="dxa"/>
            <w:vAlign w:val="bottom"/>
          </w:tcPr>
          <w:p>
            <w:pPr>
              <w:ind w:left="500"/>
              <w:spacing w:after="0" w:line="115" w:lineRule="exact"/>
              <w:rPr>
                <w:sz w:val="20"/>
                <w:szCs w:val="20"/>
                <w:color w:val="auto"/>
              </w:rPr>
            </w:pPr>
            <w:r>
              <w:rPr>
                <w:rFonts w:ascii="Arial" w:cs="Arial" w:eastAsia="Arial" w:hAnsi="Arial"/>
                <w:sz w:val="11"/>
                <w:szCs w:val="11"/>
                <w:color w:val="auto"/>
              </w:rPr>
              <w:t>ABL FILO term loan ($32,600 par, due 4/2024)</w:t>
            </w:r>
          </w:p>
        </w:tc>
        <w:tc>
          <w:tcPr>
            <w:tcW w:w="1020" w:type="dxa"/>
            <w:vAlign w:val="bottom"/>
          </w:tcPr>
          <w:p>
            <w:pPr>
              <w:jc w:val="right"/>
              <w:ind w:right="147"/>
              <w:spacing w:after="0" w:line="115" w:lineRule="exact"/>
              <w:rPr>
                <w:sz w:val="20"/>
                <w:szCs w:val="20"/>
                <w:color w:val="auto"/>
              </w:rPr>
            </w:pPr>
            <w:r>
              <w:rPr>
                <w:rFonts w:ascii="Arial" w:cs="Arial" w:eastAsia="Arial" w:hAnsi="Arial"/>
                <w:sz w:val="11"/>
                <w:szCs w:val="11"/>
                <w:color w:val="auto"/>
              </w:rPr>
              <w:t>4/1/2020</w:t>
            </w:r>
          </w:p>
        </w:tc>
        <w:tc>
          <w:tcPr>
            <w:tcW w:w="940" w:type="dxa"/>
            <w:vAlign w:val="bottom"/>
          </w:tcPr>
          <w:p>
            <w:pPr>
              <w:jc w:val="right"/>
              <w:ind w:right="167"/>
              <w:spacing w:after="0" w:line="115" w:lineRule="exact"/>
              <w:rPr>
                <w:sz w:val="20"/>
                <w:szCs w:val="20"/>
                <w:color w:val="auto"/>
              </w:rPr>
            </w:pPr>
            <w:r>
              <w:rPr>
                <w:rFonts w:ascii="Arial" w:cs="Arial" w:eastAsia="Arial" w:hAnsi="Arial"/>
                <w:sz w:val="11"/>
                <w:szCs w:val="11"/>
                <w:color w:val="auto"/>
              </w:rPr>
              <w:t>L + 7.50%</w:t>
            </w:r>
          </w:p>
        </w:tc>
        <w:tc>
          <w:tcPr>
            <w:tcW w:w="1060" w:type="dxa"/>
            <w:vAlign w:val="bottom"/>
          </w:tcPr>
          <w:p>
            <w:pPr>
              <w:jc w:val="right"/>
              <w:ind w:right="67"/>
              <w:spacing w:after="0" w:line="115" w:lineRule="exact"/>
              <w:rPr>
                <w:sz w:val="20"/>
                <w:szCs w:val="20"/>
                <w:color w:val="auto"/>
              </w:rPr>
            </w:pPr>
            <w:r>
              <w:rPr>
                <w:rFonts w:ascii="Arial" w:cs="Arial" w:eastAsia="Arial" w:hAnsi="Arial"/>
                <w:sz w:val="11"/>
                <w:szCs w:val="11"/>
                <w:color w:val="auto"/>
              </w:rPr>
              <w:t>9.75 %</w:t>
            </w:r>
          </w:p>
        </w:tc>
        <w:tc>
          <w:tcPr>
            <w:tcW w:w="900" w:type="dxa"/>
            <w:vAlign w:val="bottom"/>
          </w:tcPr>
          <w:p>
            <w:pPr>
              <w:jc w:val="right"/>
              <w:spacing w:after="0" w:line="115" w:lineRule="exact"/>
              <w:rPr>
                <w:sz w:val="20"/>
                <w:szCs w:val="20"/>
                <w:color w:val="auto"/>
              </w:rPr>
            </w:pPr>
            <w:r>
              <w:rPr>
                <w:rFonts w:ascii="Arial" w:cs="Arial" w:eastAsia="Arial" w:hAnsi="Arial"/>
                <w:sz w:val="11"/>
                <w:szCs w:val="11"/>
                <w:color w:val="auto"/>
              </w:rPr>
              <w:t>32,286</w:t>
            </w:r>
          </w:p>
        </w:tc>
        <w:tc>
          <w:tcPr>
            <w:tcW w:w="10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32,600</w:t>
            </w:r>
          </w:p>
        </w:tc>
        <w:tc>
          <w:tcPr>
            <w:tcW w:w="114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2.6 %</w:t>
            </w: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Neuintel, LLC </w:t>
            </w:r>
            <w:r>
              <w:rPr>
                <w:rFonts w:ascii="Arial" w:cs="Arial" w:eastAsia="Arial" w:hAnsi="Arial"/>
                <w:sz w:val="14"/>
                <w:szCs w:val="14"/>
                <w:color w:val="auto"/>
                <w:vertAlign w:val="superscript"/>
              </w:rPr>
              <w:t>(3)(5)</w:t>
            </w:r>
          </w:p>
        </w:tc>
        <w:tc>
          <w:tcPr>
            <w:tcW w:w="3040" w:type="dxa"/>
            <w:vAlign w:val="bottom"/>
          </w:tcPr>
          <w:p>
            <w:pPr>
              <w:ind w:left="500"/>
              <w:spacing w:after="0"/>
              <w:rPr>
                <w:sz w:val="20"/>
                <w:szCs w:val="20"/>
                <w:color w:val="auto"/>
              </w:rPr>
            </w:pPr>
            <w:r>
              <w:rPr>
                <w:rFonts w:ascii="Arial" w:cs="Arial" w:eastAsia="Arial" w:hAnsi="Arial"/>
                <w:sz w:val="11"/>
                <w:szCs w:val="11"/>
                <w:color w:val="auto"/>
              </w:rPr>
              <w:t>First-lien loan ($54,200 par, due 12/2026)</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12/20/2021</w:t>
            </w:r>
          </w:p>
        </w:tc>
        <w:tc>
          <w:tcPr>
            <w:tcW w:w="940" w:type="dxa"/>
            <w:vAlign w:val="bottom"/>
          </w:tcPr>
          <w:p>
            <w:pPr>
              <w:jc w:val="right"/>
              <w:ind w:right="167"/>
              <w:spacing w:after="0"/>
              <w:rPr>
                <w:sz w:val="20"/>
                <w:szCs w:val="20"/>
                <w:color w:val="auto"/>
              </w:rPr>
            </w:pPr>
            <w:r>
              <w:rPr>
                <w:rFonts w:ascii="Arial" w:cs="Arial" w:eastAsia="Arial" w:hAnsi="Arial"/>
                <w:sz w:val="11"/>
                <w:szCs w:val="11"/>
                <w:color w:val="auto"/>
              </w:rPr>
              <w:t>L + 6.25%</w:t>
            </w:r>
          </w:p>
        </w:tc>
        <w:tc>
          <w:tcPr>
            <w:tcW w:w="1060" w:type="dxa"/>
            <w:vAlign w:val="bottom"/>
          </w:tcPr>
          <w:p>
            <w:pPr>
              <w:jc w:val="right"/>
              <w:ind w:right="67"/>
              <w:spacing w:after="0"/>
              <w:rPr>
                <w:sz w:val="20"/>
                <w:szCs w:val="20"/>
                <w:color w:val="auto"/>
              </w:rPr>
            </w:pPr>
            <w:r>
              <w:rPr>
                <w:rFonts w:ascii="Arial" w:cs="Arial" w:eastAsia="Arial" w:hAnsi="Arial"/>
                <w:sz w:val="11"/>
                <w:szCs w:val="11"/>
                <w:color w:val="auto"/>
              </w:rPr>
              <w:t>7.92 %</w:t>
            </w:r>
          </w:p>
        </w:tc>
        <w:tc>
          <w:tcPr>
            <w:tcW w:w="900" w:type="dxa"/>
            <w:vAlign w:val="bottom"/>
          </w:tcPr>
          <w:p>
            <w:pPr>
              <w:jc w:val="right"/>
              <w:spacing w:after="0"/>
              <w:rPr>
                <w:sz w:val="20"/>
                <w:szCs w:val="20"/>
                <w:color w:val="auto"/>
              </w:rPr>
            </w:pPr>
            <w:r>
              <w:rPr>
                <w:rFonts w:ascii="Arial" w:cs="Arial" w:eastAsia="Arial" w:hAnsi="Arial"/>
                <w:sz w:val="11"/>
                <w:szCs w:val="11"/>
                <w:color w:val="auto"/>
              </w:rPr>
              <w:t>53,112</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52,168</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4.2 %</w:t>
            </w:r>
          </w:p>
        </w:tc>
        <w:tc>
          <w:tcPr>
            <w:tcW w:w="0" w:type="dxa"/>
            <w:vAlign w:val="bottom"/>
          </w:tcPr>
          <w:p>
            <w:pPr>
              <w:spacing w:after="0"/>
              <w:rPr>
                <w:sz w:val="1"/>
                <w:szCs w:val="1"/>
                <w:color w:val="auto"/>
              </w:rPr>
            </w:pPr>
          </w:p>
        </w:tc>
      </w:tr>
      <w:tr>
        <w:trPr>
          <w:trHeight w:val="155"/>
        </w:trPr>
        <w:tc>
          <w:tcPr>
            <w:tcW w:w="21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Project P Intermediate 2, LLC </w:t>
            </w:r>
            <w:r>
              <w:rPr>
                <w:rFonts w:ascii="Arial" w:cs="Arial" w:eastAsia="Arial" w:hAnsi="Arial"/>
                <w:sz w:val="14"/>
                <w:szCs w:val="14"/>
                <w:color w:val="auto"/>
                <w:vertAlign w:val="superscript"/>
              </w:rPr>
              <w:t>(3)</w:t>
            </w:r>
          </w:p>
        </w:tc>
        <w:tc>
          <w:tcPr>
            <w:tcW w:w="3040" w:type="dxa"/>
            <w:vAlign w:val="bottom"/>
          </w:tcPr>
          <w:p>
            <w:pPr>
              <w:ind w:left="500"/>
              <w:spacing w:after="0"/>
              <w:rPr>
                <w:sz w:val="20"/>
                <w:szCs w:val="20"/>
                <w:color w:val="auto"/>
              </w:rPr>
            </w:pPr>
            <w:r>
              <w:rPr>
                <w:rFonts w:ascii="Arial" w:cs="Arial" w:eastAsia="Arial" w:hAnsi="Arial"/>
                <w:sz w:val="11"/>
                <w:szCs w:val="11"/>
                <w:color w:val="auto"/>
              </w:rPr>
              <w:t>ABL FILO term loan ($74,531 par, due 5/2026)</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11/8/2021</w:t>
            </w:r>
          </w:p>
        </w:tc>
        <w:tc>
          <w:tcPr>
            <w:tcW w:w="940" w:type="dxa"/>
            <w:vAlign w:val="bottom"/>
          </w:tcPr>
          <w:p>
            <w:pPr>
              <w:jc w:val="right"/>
              <w:ind w:right="167"/>
              <w:spacing w:after="0"/>
              <w:rPr>
                <w:sz w:val="20"/>
                <w:szCs w:val="20"/>
                <w:color w:val="auto"/>
              </w:rPr>
            </w:pPr>
            <w:r>
              <w:rPr>
                <w:rFonts w:ascii="Arial" w:cs="Arial" w:eastAsia="Arial" w:hAnsi="Arial"/>
                <w:sz w:val="11"/>
                <w:szCs w:val="11"/>
                <w:color w:val="auto"/>
              </w:rPr>
              <w:t>L + 8.00%</w:t>
            </w:r>
          </w:p>
        </w:tc>
        <w:tc>
          <w:tcPr>
            <w:tcW w:w="1060" w:type="dxa"/>
            <w:vAlign w:val="bottom"/>
          </w:tcPr>
          <w:p>
            <w:pPr>
              <w:jc w:val="right"/>
              <w:ind w:right="67"/>
              <w:spacing w:after="0"/>
              <w:rPr>
                <w:sz w:val="20"/>
                <w:szCs w:val="20"/>
                <w:color w:val="auto"/>
              </w:rPr>
            </w:pPr>
            <w:r>
              <w:rPr>
                <w:rFonts w:ascii="Arial" w:cs="Arial" w:eastAsia="Arial" w:hAnsi="Arial"/>
                <w:sz w:val="11"/>
                <w:szCs w:val="11"/>
                <w:color w:val="auto"/>
              </w:rPr>
              <w:t>9.25 %</w:t>
            </w:r>
          </w:p>
        </w:tc>
        <w:tc>
          <w:tcPr>
            <w:tcW w:w="900" w:type="dxa"/>
            <w:vAlign w:val="bottom"/>
          </w:tcPr>
          <w:p>
            <w:pPr>
              <w:jc w:val="right"/>
              <w:spacing w:after="0"/>
              <w:rPr>
                <w:sz w:val="20"/>
                <w:szCs w:val="20"/>
                <w:color w:val="auto"/>
              </w:rPr>
            </w:pPr>
            <w:r>
              <w:rPr>
                <w:rFonts w:ascii="Arial" w:cs="Arial" w:eastAsia="Arial" w:hAnsi="Arial"/>
                <w:sz w:val="11"/>
                <w:szCs w:val="11"/>
                <w:color w:val="auto"/>
              </w:rPr>
              <w:t>73,218</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73,041</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5.9 %</w:t>
            </w:r>
          </w:p>
        </w:tc>
        <w:tc>
          <w:tcPr>
            <w:tcW w:w="0" w:type="dxa"/>
            <w:vAlign w:val="bottom"/>
          </w:tcPr>
          <w:p>
            <w:pPr>
              <w:spacing w:after="0"/>
              <w:rPr>
                <w:sz w:val="1"/>
                <w:szCs w:val="1"/>
                <w:color w:val="auto"/>
              </w:rPr>
            </w:pPr>
          </w:p>
        </w:tc>
      </w:tr>
      <w:tr>
        <w:trPr>
          <w:trHeight w:val="104"/>
        </w:trPr>
        <w:tc>
          <w:tcPr>
            <w:tcW w:w="2100" w:type="dxa"/>
            <w:vAlign w:val="bottom"/>
          </w:tcPr>
          <w:p>
            <w:pPr>
              <w:ind w:left="20"/>
              <w:spacing w:after="0" w:line="104" w:lineRule="exact"/>
              <w:rPr>
                <w:sz w:val="20"/>
                <w:szCs w:val="20"/>
                <w:color w:val="auto"/>
              </w:rPr>
            </w:pPr>
            <w:r>
              <w:rPr>
                <w:rFonts w:ascii="Arial" w:cs="Arial" w:eastAsia="Arial" w:hAnsi="Arial"/>
                <w:sz w:val="11"/>
                <w:szCs w:val="11"/>
                <w:color w:val="auto"/>
              </w:rPr>
              <w:t>Tango Management Consulting,</w:t>
            </w:r>
          </w:p>
        </w:tc>
        <w:tc>
          <w:tcPr>
            <w:tcW w:w="3040" w:type="dxa"/>
            <w:vAlign w:val="bottom"/>
          </w:tcPr>
          <w:p>
            <w:pPr>
              <w:ind w:left="500"/>
              <w:spacing w:after="0" w:line="104" w:lineRule="exact"/>
              <w:rPr>
                <w:sz w:val="20"/>
                <w:szCs w:val="20"/>
                <w:color w:val="auto"/>
              </w:rPr>
            </w:pPr>
            <w:r>
              <w:rPr>
                <w:rFonts w:ascii="Arial" w:cs="Arial" w:eastAsia="Arial" w:hAnsi="Arial"/>
                <w:sz w:val="11"/>
                <w:szCs w:val="11"/>
                <w:color w:val="auto"/>
              </w:rPr>
              <w:t>First-lien loan ($42,205 par, due 12/2027)</w:t>
            </w:r>
          </w:p>
        </w:tc>
        <w:tc>
          <w:tcPr>
            <w:tcW w:w="1020" w:type="dxa"/>
            <w:vAlign w:val="bottom"/>
          </w:tcPr>
          <w:p>
            <w:pPr>
              <w:jc w:val="right"/>
              <w:ind w:right="147"/>
              <w:spacing w:after="0" w:line="104" w:lineRule="exact"/>
              <w:rPr>
                <w:sz w:val="20"/>
                <w:szCs w:val="20"/>
                <w:color w:val="auto"/>
              </w:rPr>
            </w:pPr>
            <w:r>
              <w:rPr>
                <w:rFonts w:ascii="Arial" w:cs="Arial" w:eastAsia="Arial" w:hAnsi="Arial"/>
                <w:sz w:val="11"/>
                <w:szCs w:val="11"/>
                <w:color w:val="auto"/>
              </w:rPr>
              <w:t>12/1/2021</w:t>
            </w:r>
          </w:p>
        </w:tc>
        <w:tc>
          <w:tcPr>
            <w:tcW w:w="940" w:type="dxa"/>
            <w:vAlign w:val="bottom"/>
          </w:tcPr>
          <w:p>
            <w:pPr>
              <w:jc w:val="right"/>
              <w:ind w:right="167"/>
              <w:spacing w:after="0" w:line="104" w:lineRule="exact"/>
              <w:rPr>
                <w:sz w:val="20"/>
                <w:szCs w:val="20"/>
                <w:color w:val="auto"/>
              </w:rPr>
            </w:pPr>
            <w:r>
              <w:rPr>
                <w:rFonts w:ascii="Arial" w:cs="Arial" w:eastAsia="Arial" w:hAnsi="Arial"/>
                <w:sz w:val="11"/>
                <w:szCs w:val="11"/>
                <w:color w:val="auto"/>
              </w:rPr>
              <w:t>L + 6.75%</w:t>
            </w:r>
          </w:p>
        </w:tc>
        <w:tc>
          <w:tcPr>
            <w:tcW w:w="1060" w:type="dxa"/>
            <w:vAlign w:val="bottom"/>
          </w:tcPr>
          <w:p>
            <w:pPr>
              <w:jc w:val="right"/>
              <w:ind w:right="67"/>
              <w:spacing w:after="0" w:line="104" w:lineRule="exact"/>
              <w:rPr>
                <w:sz w:val="20"/>
                <w:szCs w:val="20"/>
                <w:color w:val="auto"/>
              </w:rPr>
            </w:pPr>
            <w:r>
              <w:rPr>
                <w:rFonts w:ascii="Arial" w:cs="Arial" w:eastAsia="Arial" w:hAnsi="Arial"/>
                <w:sz w:val="11"/>
                <w:szCs w:val="11"/>
                <w:color w:val="auto"/>
              </w:rPr>
              <w:t>7.81 %</w:t>
            </w:r>
          </w:p>
        </w:tc>
        <w:tc>
          <w:tcPr>
            <w:tcW w:w="900" w:type="dxa"/>
            <w:vAlign w:val="bottom"/>
          </w:tcPr>
          <w:p>
            <w:pPr>
              <w:jc w:val="right"/>
              <w:spacing w:after="0" w:line="104" w:lineRule="exact"/>
              <w:rPr>
                <w:sz w:val="20"/>
                <w:szCs w:val="20"/>
                <w:color w:val="auto"/>
              </w:rPr>
            </w:pPr>
            <w:r>
              <w:rPr>
                <w:rFonts w:ascii="Arial" w:cs="Arial" w:eastAsia="Arial" w:hAnsi="Arial"/>
                <w:sz w:val="11"/>
                <w:szCs w:val="11"/>
                <w:color w:val="auto"/>
              </w:rPr>
              <w:t>41,194</w:t>
            </w:r>
          </w:p>
        </w:tc>
        <w:tc>
          <w:tcPr>
            <w:tcW w:w="1040" w:type="dxa"/>
            <w:vAlign w:val="bottom"/>
            <w:gridSpan w:val="2"/>
          </w:tcPr>
          <w:p>
            <w:pPr>
              <w:jc w:val="right"/>
              <w:spacing w:after="0" w:line="104" w:lineRule="exact"/>
              <w:rPr>
                <w:sz w:val="20"/>
                <w:szCs w:val="20"/>
                <w:color w:val="auto"/>
              </w:rPr>
            </w:pPr>
            <w:r>
              <w:rPr>
                <w:rFonts w:ascii="Arial" w:cs="Arial" w:eastAsia="Arial" w:hAnsi="Arial"/>
                <w:sz w:val="11"/>
                <w:szCs w:val="11"/>
                <w:color w:val="auto"/>
              </w:rPr>
              <w:t>40,361</w:t>
            </w:r>
          </w:p>
        </w:tc>
        <w:tc>
          <w:tcPr>
            <w:tcW w:w="1140" w:type="dxa"/>
            <w:vAlign w:val="bottom"/>
            <w:gridSpan w:val="3"/>
          </w:tcPr>
          <w:p>
            <w:pPr>
              <w:jc w:val="right"/>
              <w:spacing w:after="0" w:line="104" w:lineRule="exact"/>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135"/>
        </w:trPr>
        <w:tc>
          <w:tcPr>
            <w:tcW w:w="2100" w:type="dxa"/>
            <w:vAlign w:val="bottom"/>
          </w:tcPr>
          <w:p>
            <w:pPr>
              <w:ind w:left="100"/>
              <w:spacing w:after="0" w:line="135" w:lineRule="exact"/>
              <w:rPr>
                <w:sz w:val="20"/>
                <w:szCs w:val="20"/>
                <w:color w:val="auto"/>
              </w:rPr>
            </w:pPr>
            <w:r>
              <w:rPr>
                <w:rFonts w:ascii="Arial" w:cs="Arial" w:eastAsia="Arial" w:hAnsi="Arial"/>
                <w:sz w:val="15"/>
                <w:szCs w:val="15"/>
                <w:color w:val="auto"/>
                <w:vertAlign w:val="subscript"/>
              </w:rPr>
              <w:t>LLC</w:t>
            </w:r>
            <w:r>
              <w:rPr>
                <w:rFonts w:ascii="Arial" w:cs="Arial" w:eastAsia="Arial" w:hAnsi="Arial"/>
                <w:sz w:val="6"/>
                <w:szCs w:val="6"/>
                <w:color w:val="auto"/>
              </w:rPr>
              <w:t xml:space="preserve"> (3)(5)</w:t>
            </w:r>
          </w:p>
        </w:tc>
        <w:tc>
          <w:tcPr>
            <w:tcW w:w="3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00" w:type="dxa"/>
            <w:vAlign w:val="bottom"/>
            <w:shd w:val="clear" w:color="auto" w:fill="CFF0FC"/>
          </w:tcPr>
          <w:p>
            <w:pPr>
              <w:spacing w:after="0"/>
              <w:rPr>
                <w:sz w:val="11"/>
                <w:szCs w:val="11"/>
                <w:color w:val="auto"/>
              </w:rPr>
            </w:pPr>
          </w:p>
        </w:tc>
        <w:tc>
          <w:tcPr>
            <w:tcW w:w="30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251,645</w:t>
            </w: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242,809</w:t>
            </w: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19.5</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1"/>
              </w:rPr>
              <w:t>%</w:t>
            </w:r>
          </w:p>
        </w:tc>
        <w:tc>
          <w:tcPr>
            <w:tcW w:w="0" w:type="dxa"/>
            <w:vAlign w:val="bottom"/>
          </w:tcPr>
          <w:p>
            <w:pPr>
              <w:spacing w:after="0"/>
              <w:rPr>
                <w:sz w:val="1"/>
                <w:szCs w:val="1"/>
                <w:color w:val="auto"/>
              </w:rPr>
            </w:pPr>
          </w:p>
        </w:tc>
      </w:tr>
      <w:tr>
        <w:trPr>
          <w:trHeight w:val="105"/>
        </w:trPr>
        <w:tc>
          <w:tcPr>
            <w:tcW w:w="2100" w:type="dxa"/>
            <w:vAlign w:val="bottom"/>
          </w:tcPr>
          <w:p>
            <w:pPr>
              <w:ind w:left="20"/>
              <w:spacing w:after="0" w:line="105" w:lineRule="exact"/>
              <w:rPr>
                <w:sz w:val="20"/>
                <w:szCs w:val="20"/>
                <w:color w:val="auto"/>
              </w:rPr>
            </w:pPr>
            <w:r>
              <w:rPr>
                <w:rFonts w:ascii="Arial" w:cs="Arial" w:eastAsia="Arial" w:hAnsi="Arial"/>
                <w:sz w:val="11"/>
                <w:szCs w:val="11"/>
                <w:b w:val="1"/>
                <w:bCs w:val="1"/>
                <w:color w:val="auto"/>
              </w:rPr>
              <w:t>Transportation</w:t>
            </w:r>
          </w:p>
        </w:tc>
        <w:tc>
          <w:tcPr>
            <w:tcW w:w="3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100" w:type="dxa"/>
            <w:vAlign w:val="bottom"/>
          </w:tcPr>
          <w:p>
            <w:pPr>
              <w:ind w:left="20"/>
              <w:spacing w:after="0"/>
              <w:rPr>
                <w:sz w:val="20"/>
                <w:szCs w:val="20"/>
                <w:color w:val="auto"/>
              </w:rPr>
            </w:pPr>
            <w:r>
              <w:rPr>
                <w:rFonts w:ascii="Arial" w:cs="Arial" w:eastAsia="Arial" w:hAnsi="Arial"/>
                <w:sz w:val="11"/>
                <w:szCs w:val="11"/>
                <w:color w:val="auto"/>
              </w:rPr>
              <w:t xml:space="preserve">Project44, Inc. </w:t>
            </w:r>
            <w:r>
              <w:rPr>
                <w:rFonts w:ascii="Arial" w:cs="Arial" w:eastAsia="Arial" w:hAnsi="Arial"/>
                <w:sz w:val="14"/>
                <w:szCs w:val="14"/>
                <w:color w:val="auto"/>
                <w:vertAlign w:val="superscript"/>
              </w:rPr>
              <w:t>(3)(5)</w:t>
            </w:r>
          </w:p>
        </w:tc>
        <w:tc>
          <w:tcPr>
            <w:tcW w:w="3040" w:type="dxa"/>
            <w:vAlign w:val="bottom"/>
          </w:tcPr>
          <w:p>
            <w:pPr>
              <w:ind w:left="500"/>
              <w:spacing w:after="0"/>
              <w:rPr>
                <w:sz w:val="20"/>
                <w:szCs w:val="20"/>
                <w:color w:val="auto"/>
              </w:rPr>
            </w:pPr>
            <w:r>
              <w:rPr>
                <w:rFonts w:ascii="Arial" w:cs="Arial" w:eastAsia="Arial" w:hAnsi="Arial"/>
                <w:sz w:val="11"/>
                <w:szCs w:val="11"/>
                <w:color w:val="auto"/>
              </w:rPr>
              <w:t>First-lien loan ($35,139 par, due 11/2027)</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11/12/2021</w:t>
            </w:r>
          </w:p>
        </w:tc>
        <w:tc>
          <w:tcPr>
            <w:tcW w:w="940" w:type="dxa"/>
            <w:vAlign w:val="bottom"/>
          </w:tcPr>
          <w:p>
            <w:pPr>
              <w:jc w:val="right"/>
              <w:ind w:right="167"/>
              <w:spacing w:after="0"/>
              <w:rPr>
                <w:sz w:val="20"/>
                <w:szCs w:val="20"/>
                <w:color w:val="auto"/>
              </w:rPr>
            </w:pPr>
            <w:r>
              <w:rPr>
                <w:rFonts w:ascii="Arial" w:cs="Arial" w:eastAsia="Arial" w:hAnsi="Arial"/>
                <w:sz w:val="11"/>
                <w:szCs w:val="11"/>
                <w:color w:val="auto"/>
              </w:rPr>
              <w:t>L + 6.25%</w:t>
            </w:r>
          </w:p>
        </w:tc>
        <w:tc>
          <w:tcPr>
            <w:tcW w:w="1060" w:type="dxa"/>
            <w:vAlign w:val="bottom"/>
          </w:tcPr>
          <w:p>
            <w:pPr>
              <w:jc w:val="right"/>
              <w:ind w:right="67"/>
              <w:spacing w:after="0"/>
              <w:rPr>
                <w:sz w:val="20"/>
                <w:szCs w:val="20"/>
                <w:color w:val="auto"/>
              </w:rPr>
            </w:pPr>
            <w:r>
              <w:rPr>
                <w:rFonts w:ascii="Arial" w:cs="Arial" w:eastAsia="Arial" w:hAnsi="Arial"/>
                <w:sz w:val="11"/>
                <w:szCs w:val="11"/>
                <w:color w:val="auto"/>
              </w:rPr>
              <w:t>8.19 %</w:t>
            </w:r>
          </w:p>
        </w:tc>
        <w:tc>
          <w:tcPr>
            <w:tcW w:w="900" w:type="dxa"/>
            <w:vAlign w:val="bottom"/>
          </w:tcPr>
          <w:p>
            <w:pPr>
              <w:jc w:val="right"/>
              <w:spacing w:after="0"/>
              <w:rPr>
                <w:sz w:val="20"/>
                <w:szCs w:val="20"/>
                <w:color w:val="auto"/>
              </w:rPr>
            </w:pPr>
            <w:r>
              <w:rPr>
                <w:rFonts w:ascii="Arial" w:cs="Arial" w:eastAsia="Arial" w:hAnsi="Arial"/>
                <w:sz w:val="11"/>
                <w:szCs w:val="11"/>
                <w:color w:val="auto"/>
              </w:rPr>
              <w:t>33,931</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33,351</w:t>
            </w:r>
          </w:p>
        </w:tc>
        <w:tc>
          <w:tcPr>
            <w:tcW w:w="2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2.7 %</w:t>
            </w:r>
          </w:p>
        </w:tc>
        <w:tc>
          <w:tcPr>
            <w:tcW w:w="0" w:type="dxa"/>
            <w:vAlign w:val="bottom"/>
          </w:tcPr>
          <w:p>
            <w:pPr>
              <w:spacing w:after="0"/>
              <w:rPr>
                <w:sz w:val="1"/>
                <w:szCs w:val="1"/>
                <w:color w:val="auto"/>
              </w:rPr>
            </w:pPr>
          </w:p>
        </w:tc>
      </w:tr>
      <w:tr>
        <w:trPr>
          <w:trHeight w:val="20"/>
        </w:trPr>
        <w:tc>
          <w:tcPr>
            <w:tcW w:w="21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Total Debt Investments</w:t>
            </w:r>
          </w:p>
        </w:tc>
        <w:tc>
          <w:tcPr>
            <w:tcW w:w="3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00" w:type="dxa"/>
            <w:vAlign w:val="bottom"/>
            <w:vMerge w:val="continue"/>
          </w:tcPr>
          <w:p>
            <w:pPr>
              <w:spacing w:after="0"/>
              <w:rPr>
                <w:sz w:val="11"/>
                <w:szCs w:val="11"/>
                <w:color w:val="auto"/>
              </w:rPr>
            </w:pPr>
          </w:p>
        </w:tc>
        <w:tc>
          <w:tcPr>
            <w:tcW w:w="3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2,348,774</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2,347,293</w:t>
            </w:r>
          </w:p>
        </w:tc>
        <w:tc>
          <w:tcPr>
            <w:tcW w:w="20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188.8 %</w:t>
            </w:r>
          </w:p>
        </w:tc>
        <w:tc>
          <w:tcPr>
            <w:tcW w:w="0" w:type="dxa"/>
            <w:vAlign w:val="bottom"/>
          </w:tcPr>
          <w:p>
            <w:pPr>
              <w:spacing w:after="0"/>
              <w:rPr>
                <w:sz w:val="1"/>
                <w:szCs w:val="1"/>
                <w:color w:val="auto"/>
              </w:rPr>
            </w:pPr>
          </w:p>
        </w:tc>
      </w:tr>
      <w:tr>
        <w:trPr>
          <w:trHeight w:val="128"/>
        </w:trPr>
        <w:tc>
          <w:tcPr>
            <w:tcW w:w="2100" w:type="dxa"/>
            <w:vAlign w:val="bottom"/>
            <w:shd w:val="clear" w:color="auto" w:fill="CFF0FC"/>
          </w:tcPr>
          <w:p>
            <w:pPr>
              <w:spacing w:after="0"/>
              <w:rPr>
                <w:sz w:val="11"/>
                <w:szCs w:val="11"/>
                <w:color w:val="auto"/>
              </w:rPr>
            </w:pPr>
          </w:p>
        </w:tc>
        <w:tc>
          <w:tcPr>
            <w:tcW w:w="30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1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Equity and Other Investments</w:t>
            </w:r>
          </w:p>
        </w:tc>
        <w:tc>
          <w:tcPr>
            <w:tcW w:w="3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10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Business Services</w:t>
            </w:r>
          </w:p>
        </w:tc>
        <w:tc>
          <w:tcPr>
            <w:tcW w:w="3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00" w:type="dxa"/>
            <w:vAlign w:val="bottom"/>
          </w:tcPr>
          <w:p>
            <w:pPr>
              <w:ind w:left="20"/>
              <w:spacing w:after="0" w:line="129" w:lineRule="exact"/>
              <w:rPr>
                <w:sz w:val="20"/>
                <w:szCs w:val="20"/>
                <w:color w:val="auto"/>
              </w:rPr>
            </w:pPr>
            <w:r>
              <w:rPr>
                <w:rFonts w:ascii="Arial" w:cs="Arial" w:eastAsia="Arial" w:hAnsi="Arial"/>
                <w:sz w:val="11"/>
                <w:szCs w:val="11"/>
                <w:color w:val="auto"/>
              </w:rPr>
              <w:t xml:space="preserve">Dye &amp; Durham, Ltd. </w:t>
            </w:r>
            <w:r>
              <w:rPr>
                <w:rFonts w:ascii="Arial" w:cs="Arial" w:eastAsia="Arial" w:hAnsi="Arial"/>
                <w:sz w:val="14"/>
                <w:szCs w:val="14"/>
                <w:color w:val="auto"/>
                <w:vertAlign w:val="superscript"/>
              </w:rPr>
              <w:t>(4)(11)(13)</w:t>
            </w:r>
          </w:p>
        </w:tc>
        <w:tc>
          <w:tcPr>
            <w:tcW w:w="3040" w:type="dxa"/>
            <w:vAlign w:val="bottom"/>
          </w:tcPr>
          <w:p>
            <w:pPr>
              <w:ind w:left="500"/>
              <w:spacing w:after="0"/>
              <w:rPr>
                <w:sz w:val="20"/>
                <w:szCs w:val="20"/>
                <w:color w:val="auto"/>
              </w:rPr>
            </w:pPr>
            <w:r>
              <w:rPr>
                <w:rFonts w:ascii="Arial" w:cs="Arial" w:eastAsia="Arial" w:hAnsi="Arial"/>
                <w:sz w:val="11"/>
                <w:szCs w:val="11"/>
                <w:color w:val="auto"/>
              </w:rPr>
              <w:t>Common Shares (126,968 shares)</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12/3/2021</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3,909</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2,159</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0.2 %</w:t>
            </w:r>
          </w:p>
        </w:tc>
        <w:tc>
          <w:tcPr>
            <w:tcW w:w="0" w:type="dxa"/>
            <w:vAlign w:val="bottom"/>
          </w:tcPr>
          <w:p>
            <w:pPr>
              <w:spacing w:after="0"/>
              <w:rPr>
                <w:sz w:val="1"/>
                <w:szCs w:val="1"/>
                <w:color w:val="auto"/>
              </w:rPr>
            </w:pPr>
          </w:p>
        </w:tc>
      </w:tr>
      <w:tr>
        <w:trPr>
          <w:trHeight w:val="135"/>
        </w:trPr>
        <w:tc>
          <w:tcPr>
            <w:tcW w:w="2100" w:type="dxa"/>
            <w:vAlign w:val="bottom"/>
            <w:vMerge w:val="restart"/>
          </w:tcPr>
          <w:p>
            <w:pPr>
              <w:ind w:left="20"/>
              <w:spacing w:after="0"/>
              <w:rPr>
                <w:sz w:val="20"/>
                <w:szCs w:val="20"/>
                <w:color w:val="auto"/>
              </w:rPr>
            </w:pPr>
            <w:r>
              <w:rPr>
                <w:rFonts w:ascii="Arial" w:cs="Arial" w:eastAsia="Arial" w:hAnsi="Arial"/>
                <w:sz w:val="11"/>
                <w:szCs w:val="11"/>
                <w:color w:val="auto"/>
              </w:rPr>
              <w:t xml:space="preserve">Mitnick TA Aggregator, LP </w:t>
            </w:r>
            <w:r>
              <w:rPr>
                <w:rFonts w:ascii="Arial" w:cs="Arial" w:eastAsia="Arial" w:hAnsi="Arial"/>
                <w:sz w:val="14"/>
                <w:szCs w:val="14"/>
                <w:color w:val="auto"/>
                <w:vertAlign w:val="superscript"/>
              </w:rPr>
              <w:t>(12)(13)(14)</w:t>
            </w:r>
          </w:p>
        </w:tc>
        <w:tc>
          <w:tcPr>
            <w:tcW w:w="3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(CAD 2,785)</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100" w:type="dxa"/>
            <w:vAlign w:val="bottom"/>
            <w:vMerge w:val="continue"/>
          </w:tcPr>
          <w:p>
            <w:pPr>
              <w:spacing w:after="0"/>
              <w:rPr>
                <w:sz w:val="9"/>
                <w:szCs w:val="9"/>
                <w:color w:val="auto"/>
              </w:rPr>
            </w:pPr>
          </w:p>
        </w:tc>
        <w:tc>
          <w:tcPr>
            <w:tcW w:w="3040" w:type="dxa"/>
            <w:vAlign w:val="bottom"/>
          </w:tcPr>
          <w:p>
            <w:pPr>
              <w:ind w:left="500"/>
              <w:spacing w:after="0" w:line="115" w:lineRule="exact"/>
              <w:rPr>
                <w:sz w:val="20"/>
                <w:szCs w:val="20"/>
                <w:color w:val="auto"/>
              </w:rPr>
            </w:pPr>
            <w:r>
              <w:rPr>
                <w:rFonts w:ascii="Arial" w:cs="Arial" w:eastAsia="Arial" w:hAnsi="Arial"/>
                <w:sz w:val="11"/>
                <w:szCs w:val="11"/>
                <w:color w:val="auto"/>
              </w:rPr>
              <w:t>Membership Interest (0.29% ownership)</w:t>
            </w:r>
          </w:p>
        </w:tc>
        <w:tc>
          <w:tcPr>
            <w:tcW w:w="1020" w:type="dxa"/>
            <w:vAlign w:val="bottom"/>
          </w:tcPr>
          <w:p>
            <w:pPr>
              <w:jc w:val="right"/>
              <w:ind w:right="147"/>
              <w:spacing w:after="0" w:line="115" w:lineRule="exact"/>
              <w:rPr>
                <w:sz w:val="20"/>
                <w:szCs w:val="20"/>
                <w:color w:val="auto"/>
              </w:rPr>
            </w:pPr>
            <w:r>
              <w:rPr>
                <w:rFonts w:ascii="Arial" w:cs="Arial" w:eastAsia="Arial" w:hAnsi="Arial"/>
                <w:sz w:val="11"/>
                <w:szCs w:val="11"/>
                <w:color w:val="auto"/>
              </w:rPr>
              <w:t>5/2/2022</w:t>
            </w: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00" w:type="dxa"/>
            <w:vAlign w:val="bottom"/>
          </w:tcPr>
          <w:p>
            <w:pPr>
              <w:jc w:val="right"/>
              <w:spacing w:after="0" w:line="115" w:lineRule="exact"/>
              <w:rPr>
                <w:sz w:val="20"/>
                <w:szCs w:val="20"/>
                <w:color w:val="auto"/>
              </w:rPr>
            </w:pPr>
            <w:r>
              <w:rPr>
                <w:rFonts w:ascii="Arial" w:cs="Arial" w:eastAsia="Arial" w:hAnsi="Arial"/>
                <w:sz w:val="11"/>
                <w:szCs w:val="11"/>
                <w:color w:val="auto"/>
              </w:rPr>
              <w:t>5,243</w:t>
            </w:r>
          </w:p>
        </w:tc>
        <w:tc>
          <w:tcPr>
            <w:tcW w:w="10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5,243</w:t>
            </w:r>
          </w:p>
        </w:tc>
        <w:tc>
          <w:tcPr>
            <w:tcW w:w="1140" w:type="dxa"/>
            <w:vAlign w:val="bottom"/>
            <w:gridSpan w:val="3"/>
          </w:tcPr>
          <w:p>
            <w:pPr>
              <w:jc w:val="right"/>
              <w:spacing w:after="0" w:line="115" w:lineRule="exact"/>
              <w:rPr>
                <w:sz w:val="20"/>
                <w:szCs w:val="20"/>
                <w:color w:val="auto"/>
              </w:rPr>
            </w:pPr>
            <w:r>
              <w:rPr>
                <w:rFonts w:ascii="Arial" w:cs="Arial" w:eastAsia="Arial" w:hAnsi="Arial"/>
                <w:sz w:val="11"/>
                <w:szCs w:val="11"/>
                <w:color w:val="auto"/>
              </w:rPr>
              <w:t>0.4 %</w:t>
            </w: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ReliaQuest, LLC </w:t>
            </w:r>
            <w:r>
              <w:rPr>
                <w:rFonts w:ascii="Arial" w:cs="Arial" w:eastAsia="Arial" w:hAnsi="Arial"/>
                <w:sz w:val="14"/>
                <w:szCs w:val="14"/>
                <w:color w:val="auto"/>
                <w:vertAlign w:val="superscript"/>
              </w:rPr>
              <w:t>(12)(13)(14)</w:t>
            </w:r>
          </w:p>
        </w:tc>
        <w:tc>
          <w:tcPr>
            <w:tcW w:w="3040" w:type="dxa"/>
            <w:vAlign w:val="bottom"/>
          </w:tcPr>
          <w:p>
            <w:pPr>
              <w:ind w:left="500"/>
              <w:spacing w:after="0"/>
              <w:rPr>
                <w:sz w:val="20"/>
                <w:szCs w:val="20"/>
                <w:color w:val="auto"/>
              </w:rPr>
            </w:pPr>
            <w:r>
              <w:rPr>
                <w:rFonts w:ascii="Arial" w:cs="Arial" w:eastAsia="Arial" w:hAnsi="Arial"/>
                <w:sz w:val="11"/>
                <w:szCs w:val="11"/>
                <w:color w:val="auto"/>
              </w:rPr>
              <w:t>Class A-1 Units (570,263 units)</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11/23/2021</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1,126</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1,363</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0.1 %</w:t>
            </w: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Sprinklr, Inc. </w:t>
            </w:r>
            <w:r>
              <w:rPr>
                <w:rFonts w:ascii="Arial" w:cs="Arial" w:eastAsia="Arial" w:hAnsi="Arial"/>
                <w:sz w:val="14"/>
                <w:szCs w:val="14"/>
                <w:color w:val="auto"/>
                <w:vertAlign w:val="superscript"/>
              </w:rPr>
              <w:t>(11)(12)</w:t>
            </w:r>
          </w:p>
        </w:tc>
        <w:tc>
          <w:tcPr>
            <w:tcW w:w="3040" w:type="dxa"/>
            <w:vAlign w:val="bottom"/>
          </w:tcPr>
          <w:p>
            <w:pPr>
              <w:ind w:left="500"/>
              <w:spacing w:after="0"/>
              <w:rPr>
                <w:sz w:val="20"/>
                <w:szCs w:val="20"/>
                <w:color w:val="auto"/>
              </w:rPr>
            </w:pPr>
            <w:r>
              <w:rPr>
                <w:rFonts w:ascii="Arial" w:cs="Arial" w:eastAsia="Arial" w:hAnsi="Arial"/>
                <w:sz w:val="11"/>
                <w:szCs w:val="11"/>
                <w:color w:val="auto"/>
              </w:rPr>
              <w:t>Common Shares (484,700 shares)</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6/24/2021</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4,180</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4,900</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0.4 %</w:t>
            </w:r>
          </w:p>
        </w:tc>
        <w:tc>
          <w:tcPr>
            <w:tcW w:w="0" w:type="dxa"/>
            <w:vAlign w:val="bottom"/>
          </w:tcPr>
          <w:p>
            <w:pPr>
              <w:spacing w:after="0"/>
              <w:rPr>
                <w:sz w:val="1"/>
                <w:szCs w:val="1"/>
                <w:color w:val="auto"/>
              </w:rPr>
            </w:pPr>
          </w:p>
        </w:tc>
      </w:tr>
      <w:tr>
        <w:trPr>
          <w:trHeight w:val="165"/>
        </w:trPr>
        <w:tc>
          <w:tcPr>
            <w:tcW w:w="2100" w:type="dxa"/>
            <w:vAlign w:val="bottom"/>
          </w:tcPr>
          <w:p>
            <w:pPr>
              <w:ind w:left="20"/>
              <w:spacing w:after="0"/>
              <w:rPr>
                <w:sz w:val="20"/>
                <w:szCs w:val="20"/>
                <w:color w:val="auto"/>
              </w:rPr>
            </w:pPr>
            <w:r>
              <w:rPr>
                <w:rFonts w:ascii="Arial" w:cs="Arial" w:eastAsia="Arial" w:hAnsi="Arial"/>
                <w:sz w:val="11"/>
                <w:szCs w:val="11"/>
                <w:color w:val="auto"/>
              </w:rPr>
              <w:t xml:space="preserve">WideOrbit, Inc. </w:t>
            </w:r>
            <w:r>
              <w:rPr>
                <w:rFonts w:ascii="Arial" w:cs="Arial" w:eastAsia="Arial" w:hAnsi="Arial"/>
                <w:sz w:val="14"/>
                <w:szCs w:val="14"/>
                <w:color w:val="auto"/>
                <w:vertAlign w:val="superscript"/>
              </w:rPr>
              <w:t>(12)</w:t>
            </w:r>
          </w:p>
        </w:tc>
        <w:tc>
          <w:tcPr>
            <w:tcW w:w="3040" w:type="dxa"/>
            <w:vAlign w:val="bottom"/>
          </w:tcPr>
          <w:p>
            <w:pPr>
              <w:ind w:left="500"/>
              <w:spacing w:after="0"/>
              <w:rPr>
                <w:sz w:val="20"/>
                <w:szCs w:val="20"/>
                <w:color w:val="auto"/>
              </w:rPr>
            </w:pPr>
            <w:r>
              <w:rPr>
                <w:rFonts w:ascii="Arial" w:cs="Arial" w:eastAsia="Arial" w:hAnsi="Arial"/>
                <w:sz w:val="11"/>
                <w:szCs w:val="11"/>
                <w:color w:val="auto"/>
              </w:rPr>
              <w:t>1,567,807 Warrants</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7/8/2020</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327</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2,482</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0.2 %</w:t>
            </w:r>
          </w:p>
        </w:tc>
        <w:tc>
          <w:tcPr>
            <w:tcW w:w="0" w:type="dxa"/>
            <w:vAlign w:val="bottom"/>
          </w:tcPr>
          <w:p>
            <w:pPr>
              <w:spacing w:after="0"/>
              <w:rPr>
                <w:sz w:val="1"/>
                <w:szCs w:val="1"/>
                <w:color w:val="auto"/>
              </w:rPr>
            </w:pPr>
          </w:p>
        </w:tc>
      </w:tr>
      <w:tr>
        <w:trPr>
          <w:trHeight w:val="128"/>
        </w:trPr>
        <w:tc>
          <w:tcPr>
            <w:tcW w:w="2100" w:type="dxa"/>
            <w:vAlign w:val="bottom"/>
            <w:tcBorders>
              <w:bottom w:val="single" w:sz="8" w:color="CFF0FC"/>
            </w:tcBorders>
            <w:shd w:val="clear" w:color="auto" w:fill="CFF0FC"/>
          </w:tcPr>
          <w:p>
            <w:pPr>
              <w:spacing w:after="0"/>
              <w:rPr>
                <w:sz w:val="11"/>
                <w:szCs w:val="11"/>
                <w:color w:val="auto"/>
              </w:rPr>
            </w:pPr>
          </w:p>
        </w:tc>
        <w:tc>
          <w:tcPr>
            <w:tcW w:w="304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106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14,785</w:t>
            </w:r>
          </w:p>
        </w:tc>
        <w:tc>
          <w:tcPr>
            <w:tcW w:w="2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16,147</w:t>
            </w:r>
          </w:p>
        </w:tc>
        <w:tc>
          <w:tcPr>
            <w:tcW w:w="2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1"/>
              </w:rPr>
              <w:t>%</w:t>
            </w:r>
          </w:p>
        </w:tc>
        <w:tc>
          <w:tcPr>
            <w:tcW w:w="0" w:type="dxa"/>
            <w:vAlign w:val="bottom"/>
          </w:tcPr>
          <w:p>
            <w:pPr>
              <w:spacing w:after="0"/>
              <w:rPr>
                <w:sz w:val="1"/>
                <w:szCs w:val="1"/>
                <w:color w:val="auto"/>
              </w:rPr>
            </w:pPr>
          </w:p>
        </w:tc>
      </w:tr>
      <w:tr>
        <w:trPr>
          <w:trHeight w:val="99"/>
        </w:trPr>
        <w:tc>
          <w:tcPr>
            <w:tcW w:w="210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Communications</w:t>
            </w:r>
          </w:p>
        </w:tc>
        <w:tc>
          <w:tcPr>
            <w:tcW w:w="3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Celtra Technologies, Inc. </w:t>
            </w:r>
            <w:r>
              <w:rPr>
                <w:rFonts w:ascii="Arial" w:cs="Arial" w:eastAsia="Arial" w:hAnsi="Arial"/>
                <w:sz w:val="14"/>
                <w:szCs w:val="14"/>
                <w:color w:val="auto"/>
                <w:vertAlign w:val="superscript"/>
              </w:rPr>
              <w:t>(12)(13)</w:t>
            </w:r>
          </w:p>
        </w:tc>
        <w:tc>
          <w:tcPr>
            <w:tcW w:w="3040" w:type="dxa"/>
            <w:vAlign w:val="bottom"/>
          </w:tcPr>
          <w:p>
            <w:pPr>
              <w:ind w:left="500"/>
              <w:spacing w:after="0"/>
              <w:rPr>
                <w:sz w:val="20"/>
                <w:szCs w:val="20"/>
                <w:color w:val="auto"/>
              </w:rPr>
            </w:pPr>
            <w:r>
              <w:rPr>
                <w:rFonts w:ascii="Arial" w:cs="Arial" w:eastAsia="Arial" w:hAnsi="Arial"/>
                <w:sz w:val="11"/>
                <w:szCs w:val="11"/>
                <w:color w:val="auto"/>
              </w:rPr>
              <w:t>Class A Units (1,250,000 units)</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11/19/2021</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1,250</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1,250</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0.1 %</w:t>
            </w:r>
          </w:p>
        </w:tc>
        <w:tc>
          <w:tcPr>
            <w:tcW w:w="0" w:type="dxa"/>
            <w:vAlign w:val="bottom"/>
          </w:tcPr>
          <w:p>
            <w:pPr>
              <w:spacing w:after="0"/>
              <w:rPr>
                <w:sz w:val="1"/>
                <w:szCs w:val="1"/>
                <w:color w:val="auto"/>
              </w:rPr>
            </w:pPr>
          </w:p>
        </w:tc>
      </w:tr>
      <w:tr>
        <w:trPr>
          <w:trHeight w:val="165"/>
        </w:trPr>
        <w:tc>
          <w:tcPr>
            <w:tcW w:w="2100" w:type="dxa"/>
            <w:vAlign w:val="bottom"/>
          </w:tcPr>
          <w:p>
            <w:pPr>
              <w:ind w:left="20"/>
              <w:spacing w:after="0"/>
              <w:rPr>
                <w:sz w:val="20"/>
                <w:szCs w:val="20"/>
                <w:color w:val="auto"/>
              </w:rPr>
            </w:pPr>
            <w:r>
              <w:rPr>
                <w:rFonts w:ascii="Arial" w:cs="Arial" w:eastAsia="Arial" w:hAnsi="Arial"/>
                <w:sz w:val="11"/>
                <w:szCs w:val="11"/>
                <w:color w:val="auto"/>
              </w:rPr>
              <w:t xml:space="preserve">IntelePeer Holdings, Inc. </w:t>
            </w:r>
            <w:r>
              <w:rPr>
                <w:rFonts w:ascii="Arial" w:cs="Arial" w:eastAsia="Arial" w:hAnsi="Arial"/>
                <w:sz w:val="14"/>
                <w:szCs w:val="14"/>
                <w:color w:val="auto"/>
                <w:vertAlign w:val="superscript"/>
              </w:rPr>
              <w:t>(12)</w:t>
            </w:r>
          </w:p>
        </w:tc>
        <w:tc>
          <w:tcPr>
            <w:tcW w:w="3040" w:type="dxa"/>
            <w:vAlign w:val="bottom"/>
          </w:tcPr>
          <w:p>
            <w:pPr>
              <w:ind w:left="500"/>
              <w:spacing w:after="0"/>
              <w:rPr>
                <w:sz w:val="20"/>
                <w:szCs w:val="20"/>
                <w:color w:val="auto"/>
              </w:rPr>
            </w:pPr>
            <w:r>
              <w:rPr>
                <w:rFonts w:ascii="Arial" w:cs="Arial" w:eastAsia="Arial" w:hAnsi="Arial"/>
                <w:sz w:val="11"/>
                <w:szCs w:val="11"/>
                <w:color w:val="auto"/>
              </w:rPr>
              <w:t>Series C Preferred Shares (1,816,295 shares)</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4/8/2021</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1,816</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2,829</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0.2 %</w:t>
            </w:r>
          </w:p>
        </w:tc>
        <w:tc>
          <w:tcPr>
            <w:tcW w:w="0" w:type="dxa"/>
            <w:vAlign w:val="bottom"/>
          </w:tcPr>
          <w:p>
            <w:pPr>
              <w:spacing w:after="0"/>
              <w:rPr>
                <w:sz w:val="1"/>
                <w:szCs w:val="1"/>
                <w:color w:val="auto"/>
              </w:rPr>
            </w:pPr>
          </w:p>
        </w:tc>
      </w:tr>
      <w:tr>
        <w:trPr>
          <w:trHeight w:val="135"/>
        </w:trPr>
        <w:tc>
          <w:tcPr>
            <w:tcW w:w="2100" w:type="dxa"/>
            <w:vAlign w:val="bottom"/>
            <w:shd w:val="clear" w:color="auto" w:fill="CFF0FC"/>
          </w:tcPr>
          <w:p>
            <w:pPr>
              <w:spacing w:after="0"/>
              <w:rPr>
                <w:sz w:val="11"/>
                <w:szCs w:val="11"/>
                <w:color w:val="auto"/>
              </w:rPr>
            </w:pPr>
          </w:p>
        </w:tc>
        <w:tc>
          <w:tcPr>
            <w:tcW w:w="3040" w:type="dxa"/>
            <w:vAlign w:val="bottom"/>
            <w:shd w:val="clear" w:color="auto" w:fill="CFF0FC"/>
          </w:tcPr>
          <w:p>
            <w:pPr>
              <w:ind w:left="500"/>
              <w:spacing w:after="0"/>
              <w:rPr>
                <w:sz w:val="20"/>
                <w:szCs w:val="20"/>
                <w:color w:val="auto"/>
              </w:rPr>
            </w:pPr>
            <w:r>
              <w:rPr>
                <w:rFonts w:ascii="Arial" w:cs="Arial" w:eastAsia="Arial" w:hAnsi="Arial"/>
                <w:sz w:val="11"/>
                <w:szCs w:val="11"/>
                <w:color w:val="auto"/>
              </w:rPr>
              <w:t>Series D Preferred Shares (1,598,874 shares)</w:t>
            </w:r>
          </w:p>
        </w:tc>
        <w:tc>
          <w:tcPr>
            <w:tcW w:w="1020" w:type="dxa"/>
            <w:vAlign w:val="bottom"/>
            <w:shd w:val="clear" w:color="auto" w:fill="CFF0FC"/>
          </w:tcPr>
          <w:p>
            <w:pPr>
              <w:jc w:val="right"/>
              <w:ind w:right="147"/>
              <w:spacing w:after="0"/>
              <w:rPr>
                <w:sz w:val="20"/>
                <w:szCs w:val="20"/>
                <w:color w:val="auto"/>
              </w:rPr>
            </w:pPr>
            <w:r>
              <w:rPr>
                <w:rFonts w:ascii="Arial" w:cs="Arial" w:eastAsia="Arial" w:hAnsi="Arial"/>
                <w:sz w:val="11"/>
                <w:szCs w:val="11"/>
                <w:color w:val="auto"/>
              </w:rPr>
              <w:t>4/8/2021</w:t>
            </w:r>
          </w:p>
        </w:tc>
        <w:tc>
          <w:tcPr>
            <w:tcW w:w="9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2,925</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2,925</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0.2 %</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3040" w:type="dxa"/>
            <w:vAlign w:val="bottom"/>
          </w:tcPr>
          <w:p>
            <w:pPr>
              <w:ind w:left="500"/>
              <w:spacing w:after="0"/>
              <w:rPr>
                <w:sz w:val="20"/>
                <w:szCs w:val="20"/>
                <w:color w:val="auto"/>
              </w:rPr>
            </w:pPr>
            <w:r>
              <w:rPr>
                <w:rFonts w:ascii="Arial" w:cs="Arial" w:eastAsia="Arial" w:hAnsi="Arial"/>
                <w:sz w:val="11"/>
                <w:szCs w:val="11"/>
                <w:color w:val="auto"/>
              </w:rPr>
              <w:t>280,000 Warrants</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2/28/2020</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183</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271</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0.0 %</w:t>
            </w:r>
          </w:p>
        </w:tc>
        <w:tc>
          <w:tcPr>
            <w:tcW w:w="0" w:type="dxa"/>
            <w:vAlign w:val="bottom"/>
          </w:tcPr>
          <w:p>
            <w:pPr>
              <w:spacing w:after="0"/>
              <w:rPr>
                <w:sz w:val="1"/>
                <w:szCs w:val="1"/>
                <w:color w:val="auto"/>
              </w:rPr>
            </w:pPr>
          </w:p>
        </w:tc>
      </w:tr>
      <w:tr>
        <w:trPr>
          <w:trHeight w:val="135"/>
        </w:trPr>
        <w:tc>
          <w:tcPr>
            <w:tcW w:w="2100" w:type="dxa"/>
            <w:vAlign w:val="bottom"/>
            <w:shd w:val="clear" w:color="auto" w:fill="CFF0FC"/>
          </w:tcPr>
          <w:p>
            <w:pPr>
              <w:spacing w:after="0"/>
              <w:rPr>
                <w:sz w:val="11"/>
                <w:szCs w:val="11"/>
                <w:color w:val="auto"/>
              </w:rPr>
            </w:pPr>
          </w:p>
        </w:tc>
        <w:tc>
          <w:tcPr>
            <w:tcW w:w="3040" w:type="dxa"/>
            <w:vAlign w:val="bottom"/>
            <w:shd w:val="clear" w:color="auto" w:fill="CFF0FC"/>
          </w:tcPr>
          <w:p>
            <w:pPr>
              <w:ind w:left="500"/>
              <w:spacing w:after="0"/>
              <w:rPr>
                <w:sz w:val="20"/>
                <w:szCs w:val="20"/>
                <w:color w:val="auto"/>
              </w:rPr>
            </w:pPr>
            <w:r>
              <w:rPr>
                <w:rFonts w:ascii="Arial" w:cs="Arial" w:eastAsia="Arial" w:hAnsi="Arial"/>
                <w:sz w:val="11"/>
                <w:szCs w:val="11"/>
                <w:color w:val="auto"/>
              </w:rPr>
              <w:t>106,592 Warrants</w:t>
            </w:r>
          </w:p>
        </w:tc>
        <w:tc>
          <w:tcPr>
            <w:tcW w:w="1020" w:type="dxa"/>
            <w:vAlign w:val="bottom"/>
            <w:shd w:val="clear" w:color="auto" w:fill="CFF0FC"/>
          </w:tcPr>
          <w:p>
            <w:pPr>
              <w:jc w:val="right"/>
              <w:ind w:right="147"/>
              <w:spacing w:after="0"/>
              <w:rPr>
                <w:sz w:val="20"/>
                <w:szCs w:val="20"/>
                <w:color w:val="auto"/>
              </w:rPr>
            </w:pPr>
            <w:r>
              <w:rPr>
                <w:rFonts w:ascii="Arial" w:cs="Arial" w:eastAsia="Arial" w:hAnsi="Arial"/>
                <w:sz w:val="11"/>
                <w:szCs w:val="11"/>
                <w:color w:val="auto"/>
              </w:rPr>
              <w:t>4/8/2021</w:t>
            </w:r>
          </w:p>
        </w:tc>
        <w:tc>
          <w:tcPr>
            <w:tcW w:w="9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w:t>
            </w:r>
          </w:p>
        </w:tc>
        <w:tc>
          <w:tcPr>
            <w:tcW w:w="2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0.0 %</w:t>
            </w:r>
          </w:p>
        </w:tc>
        <w:tc>
          <w:tcPr>
            <w:tcW w:w="0" w:type="dxa"/>
            <w:vAlign w:val="bottom"/>
          </w:tcPr>
          <w:p>
            <w:pPr>
              <w:spacing w:after="0"/>
              <w:rPr>
                <w:sz w:val="1"/>
                <w:szCs w:val="1"/>
                <w:color w:val="auto"/>
              </w:rPr>
            </w:pPr>
          </w:p>
        </w:tc>
      </w:tr>
      <w:tr>
        <w:trPr>
          <w:trHeight w:val="20"/>
        </w:trPr>
        <w:tc>
          <w:tcPr>
            <w:tcW w:w="2100" w:type="dxa"/>
            <w:vAlign w:val="bottom"/>
            <w:shd w:val="clear" w:color="auto" w:fill="CFF0FC"/>
          </w:tcPr>
          <w:p>
            <w:pPr>
              <w:spacing w:after="0" w:line="20" w:lineRule="exact"/>
              <w:rPr>
                <w:sz w:val="1"/>
                <w:szCs w:val="1"/>
                <w:color w:val="auto"/>
              </w:rPr>
            </w:pPr>
          </w:p>
        </w:tc>
        <w:tc>
          <w:tcPr>
            <w:tcW w:w="304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1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6,174</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7,308</w:t>
            </w:r>
          </w:p>
        </w:tc>
        <w:tc>
          <w:tcPr>
            <w:tcW w:w="20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0.5 %</w:t>
            </w:r>
          </w:p>
        </w:tc>
        <w:tc>
          <w:tcPr>
            <w:tcW w:w="0" w:type="dxa"/>
            <w:vAlign w:val="bottom"/>
          </w:tcPr>
          <w:p>
            <w:pPr>
              <w:spacing w:after="0"/>
              <w:rPr>
                <w:sz w:val="1"/>
                <w:szCs w:val="1"/>
                <w:color w:val="auto"/>
              </w:rPr>
            </w:pPr>
          </w:p>
        </w:tc>
      </w:tr>
      <w:tr>
        <w:trPr>
          <w:trHeight w:val="99"/>
        </w:trPr>
        <w:tc>
          <w:tcPr>
            <w:tcW w:w="210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Education</w:t>
            </w:r>
          </w:p>
        </w:tc>
        <w:tc>
          <w:tcPr>
            <w:tcW w:w="3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Astra 2L Holdings II LLC </w:t>
            </w:r>
            <w:r>
              <w:rPr>
                <w:rFonts w:ascii="Arial" w:cs="Arial" w:eastAsia="Arial" w:hAnsi="Arial"/>
                <w:sz w:val="14"/>
                <w:szCs w:val="14"/>
                <w:color w:val="auto"/>
                <w:vertAlign w:val="superscript"/>
              </w:rPr>
              <w:t>(12)(13)</w:t>
            </w:r>
          </w:p>
        </w:tc>
        <w:tc>
          <w:tcPr>
            <w:tcW w:w="3040" w:type="dxa"/>
            <w:vAlign w:val="bottom"/>
          </w:tcPr>
          <w:p>
            <w:pPr>
              <w:ind w:left="500"/>
              <w:spacing w:after="0"/>
              <w:rPr>
                <w:sz w:val="20"/>
                <w:szCs w:val="20"/>
                <w:color w:val="auto"/>
              </w:rPr>
            </w:pPr>
            <w:r>
              <w:rPr>
                <w:rFonts w:ascii="Arial" w:cs="Arial" w:eastAsia="Arial" w:hAnsi="Arial"/>
                <w:sz w:val="11"/>
                <w:szCs w:val="11"/>
                <w:color w:val="auto"/>
              </w:rPr>
              <w:t>Membership Interest (10.17% ownership)</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1/13/2022</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3,255</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2,995</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0.2 %</w:t>
            </w:r>
          </w:p>
        </w:tc>
        <w:tc>
          <w:tcPr>
            <w:tcW w:w="0" w:type="dxa"/>
            <w:vAlign w:val="bottom"/>
          </w:tcPr>
          <w:p>
            <w:pPr>
              <w:spacing w:after="0"/>
              <w:rPr>
                <w:sz w:val="1"/>
                <w:szCs w:val="1"/>
                <w:color w:val="auto"/>
              </w:rPr>
            </w:pPr>
          </w:p>
        </w:tc>
      </w:tr>
      <w:tr>
        <w:trPr>
          <w:trHeight w:val="155"/>
        </w:trPr>
        <w:tc>
          <w:tcPr>
            <w:tcW w:w="21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EMS Linq, Inc. </w:t>
            </w:r>
            <w:r>
              <w:rPr>
                <w:rFonts w:ascii="Arial" w:cs="Arial" w:eastAsia="Arial" w:hAnsi="Arial"/>
                <w:sz w:val="14"/>
                <w:szCs w:val="14"/>
                <w:color w:val="auto"/>
                <w:vertAlign w:val="superscript"/>
              </w:rPr>
              <w:t>(12)(13)</w:t>
            </w:r>
          </w:p>
        </w:tc>
        <w:tc>
          <w:tcPr>
            <w:tcW w:w="3040" w:type="dxa"/>
            <w:vAlign w:val="bottom"/>
          </w:tcPr>
          <w:p>
            <w:pPr>
              <w:ind w:left="500"/>
              <w:spacing w:after="0"/>
              <w:rPr>
                <w:sz w:val="20"/>
                <w:szCs w:val="20"/>
                <w:color w:val="auto"/>
              </w:rPr>
            </w:pPr>
            <w:r>
              <w:rPr>
                <w:rFonts w:ascii="Arial" w:cs="Arial" w:eastAsia="Arial" w:hAnsi="Arial"/>
                <w:sz w:val="11"/>
                <w:szCs w:val="11"/>
                <w:color w:val="auto"/>
              </w:rPr>
              <w:t>Class B Units (5,522,526 units)</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12/22/2021</w:t>
            </w: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5,523</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5,523</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0.4 %</w:t>
            </w:r>
          </w:p>
        </w:tc>
        <w:tc>
          <w:tcPr>
            <w:tcW w:w="0" w:type="dxa"/>
            <w:vAlign w:val="bottom"/>
          </w:tcPr>
          <w:p>
            <w:pPr>
              <w:spacing w:after="0"/>
              <w:rPr>
                <w:sz w:val="1"/>
                <w:szCs w:val="1"/>
                <w:color w:val="auto"/>
              </w:rPr>
            </w:pPr>
          </w:p>
        </w:tc>
      </w:tr>
      <w:tr>
        <w:trPr>
          <w:trHeight w:val="104"/>
        </w:trPr>
        <w:tc>
          <w:tcPr>
            <w:tcW w:w="2100" w:type="dxa"/>
            <w:vAlign w:val="bottom"/>
          </w:tcPr>
          <w:p>
            <w:pPr>
              <w:ind w:left="20"/>
              <w:spacing w:after="0" w:line="104" w:lineRule="exact"/>
              <w:rPr>
                <w:sz w:val="20"/>
                <w:szCs w:val="20"/>
                <w:color w:val="auto"/>
              </w:rPr>
            </w:pPr>
            <w:r>
              <w:rPr>
                <w:rFonts w:ascii="Arial" w:cs="Arial" w:eastAsia="Arial" w:hAnsi="Arial"/>
                <w:sz w:val="11"/>
                <w:szCs w:val="11"/>
                <w:color w:val="auto"/>
              </w:rPr>
              <w:t>RMCF IV CIV XXXV,</w:t>
            </w:r>
          </w:p>
        </w:tc>
        <w:tc>
          <w:tcPr>
            <w:tcW w:w="3040" w:type="dxa"/>
            <w:vAlign w:val="bottom"/>
          </w:tcPr>
          <w:p>
            <w:pPr>
              <w:ind w:left="500"/>
              <w:spacing w:after="0" w:line="104" w:lineRule="exact"/>
              <w:rPr>
                <w:sz w:val="20"/>
                <w:szCs w:val="20"/>
                <w:color w:val="auto"/>
              </w:rPr>
            </w:pPr>
            <w:r>
              <w:rPr>
                <w:rFonts w:ascii="Arial" w:cs="Arial" w:eastAsia="Arial" w:hAnsi="Arial"/>
                <w:sz w:val="11"/>
                <w:szCs w:val="11"/>
                <w:color w:val="auto"/>
              </w:rPr>
              <w:t>Partnership Interest (11.94% ownership)</w:t>
            </w:r>
          </w:p>
        </w:tc>
        <w:tc>
          <w:tcPr>
            <w:tcW w:w="1020" w:type="dxa"/>
            <w:vAlign w:val="bottom"/>
          </w:tcPr>
          <w:p>
            <w:pPr>
              <w:jc w:val="right"/>
              <w:ind w:right="147"/>
              <w:spacing w:after="0" w:line="104" w:lineRule="exact"/>
              <w:rPr>
                <w:sz w:val="20"/>
                <w:szCs w:val="20"/>
                <w:color w:val="auto"/>
              </w:rPr>
            </w:pPr>
            <w:r>
              <w:rPr>
                <w:rFonts w:ascii="Arial" w:cs="Arial" w:eastAsia="Arial" w:hAnsi="Arial"/>
                <w:sz w:val="11"/>
                <w:szCs w:val="11"/>
                <w:color w:val="auto"/>
              </w:rPr>
              <w:t>6/8/2021</w:t>
            </w: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00" w:type="dxa"/>
            <w:vAlign w:val="bottom"/>
          </w:tcPr>
          <w:p>
            <w:pPr>
              <w:jc w:val="right"/>
              <w:spacing w:after="0" w:line="104" w:lineRule="exact"/>
              <w:rPr>
                <w:sz w:val="20"/>
                <w:szCs w:val="20"/>
                <w:color w:val="auto"/>
              </w:rPr>
            </w:pPr>
            <w:r>
              <w:rPr>
                <w:rFonts w:ascii="Arial" w:cs="Arial" w:eastAsia="Arial" w:hAnsi="Arial"/>
                <w:sz w:val="11"/>
                <w:szCs w:val="11"/>
                <w:color w:val="auto"/>
              </w:rPr>
              <w:t>1,000</w:t>
            </w:r>
          </w:p>
        </w:tc>
        <w:tc>
          <w:tcPr>
            <w:tcW w:w="1040" w:type="dxa"/>
            <w:vAlign w:val="bottom"/>
            <w:gridSpan w:val="2"/>
          </w:tcPr>
          <w:p>
            <w:pPr>
              <w:jc w:val="right"/>
              <w:spacing w:after="0" w:line="104" w:lineRule="exact"/>
              <w:rPr>
                <w:sz w:val="20"/>
                <w:szCs w:val="20"/>
                <w:color w:val="auto"/>
              </w:rPr>
            </w:pPr>
            <w:r>
              <w:rPr>
                <w:rFonts w:ascii="Arial" w:cs="Arial" w:eastAsia="Arial" w:hAnsi="Arial"/>
                <w:sz w:val="11"/>
                <w:szCs w:val="11"/>
                <w:color w:val="auto"/>
              </w:rPr>
              <w:t>1,355</w:t>
            </w:r>
          </w:p>
        </w:tc>
        <w:tc>
          <w:tcPr>
            <w:tcW w:w="1140" w:type="dxa"/>
            <w:vAlign w:val="bottom"/>
            <w:gridSpan w:val="3"/>
          </w:tcPr>
          <w:p>
            <w:pPr>
              <w:jc w:val="right"/>
              <w:spacing w:after="0" w:line="104" w:lineRule="exact"/>
              <w:rPr>
                <w:sz w:val="20"/>
                <w:szCs w:val="20"/>
                <w:color w:val="auto"/>
              </w:rPr>
            </w:pPr>
            <w:r>
              <w:rPr>
                <w:rFonts w:ascii="Arial" w:cs="Arial" w:eastAsia="Arial" w:hAnsi="Arial"/>
                <w:sz w:val="11"/>
                <w:szCs w:val="11"/>
                <w:color w:val="auto"/>
              </w:rPr>
              <w:t>0.1 %</w:t>
            </w:r>
          </w:p>
        </w:tc>
        <w:tc>
          <w:tcPr>
            <w:tcW w:w="0" w:type="dxa"/>
            <w:vAlign w:val="bottom"/>
          </w:tcPr>
          <w:p>
            <w:pPr>
              <w:spacing w:after="0"/>
              <w:rPr>
                <w:sz w:val="1"/>
                <w:szCs w:val="1"/>
                <w:color w:val="auto"/>
              </w:rPr>
            </w:pPr>
          </w:p>
        </w:tc>
      </w:tr>
      <w:tr>
        <w:trPr>
          <w:trHeight w:val="135"/>
        </w:trPr>
        <w:tc>
          <w:tcPr>
            <w:tcW w:w="2100" w:type="dxa"/>
            <w:vAlign w:val="bottom"/>
          </w:tcPr>
          <w:p>
            <w:pPr>
              <w:ind w:left="100"/>
              <w:spacing w:after="0" w:line="135" w:lineRule="exact"/>
              <w:rPr>
                <w:sz w:val="20"/>
                <w:szCs w:val="20"/>
                <w:color w:val="auto"/>
              </w:rPr>
            </w:pPr>
            <w:r>
              <w:rPr>
                <w:rFonts w:ascii="Arial" w:cs="Arial" w:eastAsia="Arial" w:hAnsi="Arial"/>
                <w:sz w:val="15"/>
                <w:szCs w:val="15"/>
                <w:color w:val="auto"/>
                <w:vertAlign w:val="subscript"/>
              </w:rPr>
              <w:t>LP.</w:t>
            </w:r>
            <w:r>
              <w:rPr>
                <w:rFonts w:ascii="Arial" w:cs="Arial" w:eastAsia="Arial" w:hAnsi="Arial"/>
                <w:sz w:val="6"/>
                <w:szCs w:val="6"/>
                <w:color w:val="auto"/>
              </w:rPr>
              <w:t xml:space="preserve"> (12)</w:t>
            </w:r>
          </w:p>
        </w:tc>
        <w:tc>
          <w:tcPr>
            <w:tcW w:w="3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00" w:type="dxa"/>
            <w:vAlign w:val="bottom"/>
            <w:tcBorders>
              <w:bottom w:val="single" w:sz="8" w:color="CFF0FC"/>
            </w:tcBorders>
            <w:shd w:val="clear" w:color="auto" w:fill="CFF0FC"/>
          </w:tcPr>
          <w:p>
            <w:pPr>
              <w:spacing w:after="0"/>
              <w:rPr>
                <w:sz w:val="11"/>
                <w:szCs w:val="11"/>
                <w:color w:val="auto"/>
              </w:rPr>
            </w:pPr>
          </w:p>
        </w:tc>
        <w:tc>
          <w:tcPr>
            <w:tcW w:w="304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spacing w:after="0"/>
              <w:rPr>
                <w:sz w:val="11"/>
                <w:szCs w:val="11"/>
                <w:color w:val="auto"/>
              </w:rPr>
            </w:pPr>
          </w:p>
        </w:tc>
        <w:tc>
          <w:tcPr>
            <w:tcW w:w="106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9,778</w:t>
            </w:r>
          </w:p>
        </w:tc>
        <w:tc>
          <w:tcPr>
            <w:tcW w:w="2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9,873</w:t>
            </w:r>
          </w:p>
        </w:tc>
        <w:tc>
          <w:tcPr>
            <w:tcW w:w="2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0.7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1"/>
              </w:rPr>
              <w:t>%</w:t>
            </w:r>
          </w:p>
        </w:tc>
        <w:tc>
          <w:tcPr>
            <w:tcW w:w="0" w:type="dxa"/>
            <w:vAlign w:val="bottom"/>
          </w:tcPr>
          <w:p>
            <w:pPr>
              <w:spacing w:after="0"/>
              <w:rPr>
                <w:sz w:val="1"/>
                <w:szCs w:val="1"/>
                <w:color w:val="auto"/>
              </w:rPr>
            </w:pPr>
          </w:p>
        </w:tc>
      </w:tr>
      <w:tr>
        <w:trPr>
          <w:trHeight w:val="99"/>
        </w:trPr>
        <w:tc>
          <w:tcPr>
            <w:tcW w:w="210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Financial Services</w:t>
            </w:r>
          </w:p>
        </w:tc>
        <w:tc>
          <w:tcPr>
            <w:tcW w:w="3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AvidXchange, Inc. </w:t>
            </w:r>
            <w:r>
              <w:rPr>
                <w:rFonts w:ascii="Arial" w:cs="Arial" w:eastAsia="Arial" w:hAnsi="Arial"/>
                <w:sz w:val="14"/>
                <w:szCs w:val="14"/>
                <w:color w:val="auto"/>
                <w:vertAlign w:val="superscript"/>
              </w:rPr>
              <w:t>(11)(12)(13)</w:t>
            </w:r>
          </w:p>
        </w:tc>
        <w:tc>
          <w:tcPr>
            <w:tcW w:w="3040" w:type="dxa"/>
            <w:vAlign w:val="bottom"/>
          </w:tcPr>
          <w:p>
            <w:pPr>
              <w:ind w:left="500"/>
              <w:spacing w:after="0"/>
              <w:rPr>
                <w:sz w:val="20"/>
                <w:szCs w:val="20"/>
                <w:color w:val="auto"/>
              </w:rPr>
            </w:pPr>
            <w:r>
              <w:rPr>
                <w:rFonts w:ascii="Arial" w:cs="Arial" w:eastAsia="Arial" w:hAnsi="Arial"/>
                <w:sz w:val="11"/>
                <w:szCs w:val="11"/>
                <w:color w:val="auto"/>
              </w:rPr>
              <w:t>Common Shares (200,721 shares)</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10/15/2021</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1,022</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1,232</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0.1 %</w:t>
            </w:r>
          </w:p>
        </w:tc>
        <w:tc>
          <w:tcPr>
            <w:tcW w:w="0" w:type="dxa"/>
            <w:vAlign w:val="bottom"/>
          </w:tcPr>
          <w:p>
            <w:pPr>
              <w:spacing w:after="0"/>
              <w:rPr>
                <w:sz w:val="1"/>
                <w:szCs w:val="1"/>
                <w:color w:val="auto"/>
              </w:rPr>
            </w:pPr>
          </w:p>
        </w:tc>
      </w:tr>
      <w:tr>
        <w:trPr>
          <w:trHeight w:val="155"/>
        </w:trPr>
        <w:tc>
          <w:tcPr>
            <w:tcW w:w="21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Newport Parent Holdings, LP </w:t>
            </w:r>
            <w:r>
              <w:rPr>
                <w:rFonts w:ascii="Arial" w:cs="Arial" w:eastAsia="Arial" w:hAnsi="Arial"/>
                <w:sz w:val="14"/>
                <w:szCs w:val="14"/>
                <w:color w:val="auto"/>
                <w:vertAlign w:val="superscript"/>
              </w:rPr>
              <w:t>(12)</w:t>
            </w:r>
          </w:p>
        </w:tc>
        <w:tc>
          <w:tcPr>
            <w:tcW w:w="3040" w:type="dxa"/>
            <w:vAlign w:val="bottom"/>
          </w:tcPr>
          <w:p>
            <w:pPr>
              <w:ind w:left="500"/>
              <w:spacing w:after="0"/>
              <w:rPr>
                <w:sz w:val="20"/>
                <w:szCs w:val="20"/>
                <w:color w:val="auto"/>
              </w:rPr>
            </w:pPr>
            <w:r>
              <w:rPr>
                <w:rFonts w:ascii="Arial" w:cs="Arial" w:eastAsia="Arial" w:hAnsi="Arial"/>
                <w:sz w:val="11"/>
                <w:szCs w:val="11"/>
                <w:color w:val="auto"/>
              </w:rPr>
              <w:t>Class A-2 Units (131,569 units)</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12/10/2020</w:t>
            </w: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4,177</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2,099</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0.2 %</w:t>
            </w:r>
          </w:p>
        </w:tc>
        <w:tc>
          <w:tcPr>
            <w:tcW w:w="0" w:type="dxa"/>
            <w:vAlign w:val="bottom"/>
          </w:tcPr>
          <w:p>
            <w:pPr>
              <w:spacing w:after="0"/>
              <w:rPr>
                <w:sz w:val="1"/>
                <w:szCs w:val="1"/>
                <w:color w:val="auto"/>
              </w:rPr>
            </w:pPr>
          </w:p>
        </w:tc>
      </w:tr>
      <w:tr>
        <w:trPr>
          <w:trHeight w:val="104"/>
        </w:trPr>
        <w:tc>
          <w:tcPr>
            <w:tcW w:w="2100" w:type="dxa"/>
            <w:vAlign w:val="bottom"/>
          </w:tcPr>
          <w:p>
            <w:pPr>
              <w:ind w:left="20"/>
              <w:spacing w:after="0" w:line="104" w:lineRule="exact"/>
              <w:rPr>
                <w:sz w:val="20"/>
                <w:szCs w:val="20"/>
                <w:color w:val="auto"/>
              </w:rPr>
            </w:pPr>
            <w:r>
              <w:rPr>
                <w:rFonts w:ascii="Arial" w:cs="Arial" w:eastAsia="Arial" w:hAnsi="Arial"/>
                <w:sz w:val="11"/>
                <w:szCs w:val="11"/>
                <w:color w:val="auto"/>
              </w:rPr>
              <w:t>Oxford Square Capital</w:t>
            </w:r>
          </w:p>
        </w:tc>
        <w:tc>
          <w:tcPr>
            <w:tcW w:w="3040" w:type="dxa"/>
            <w:vAlign w:val="bottom"/>
          </w:tcPr>
          <w:p>
            <w:pPr>
              <w:ind w:left="500"/>
              <w:spacing w:after="0" w:line="104" w:lineRule="exact"/>
              <w:rPr>
                <w:sz w:val="20"/>
                <w:szCs w:val="20"/>
                <w:color w:val="auto"/>
              </w:rPr>
            </w:pPr>
            <w:r>
              <w:rPr>
                <w:rFonts w:ascii="Arial" w:cs="Arial" w:eastAsia="Arial" w:hAnsi="Arial"/>
                <w:sz w:val="11"/>
                <w:szCs w:val="11"/>
                <w:color w:val="auto"/>
              </w:rPr>
              <w:t>Common Shares (1,620 shares)</w:t>
            </w:r>
          </w:p>
        </w:tc>
        <w:tc>
          <w:tcPr>
            <w:tcW w:w="1020" w:type="dxa"/>
            <w:vAlign w:val="bottom"/>
          </w:tcPr>
          <w:p>
            <w:pPr>
              <w:jc w:val="right"/>
              <w:ind w:right="147"/>
              <w:spacing w:after="0" w:line="104" w:lineRule="exact"/>
              <w:rPr>
                <w:sz w:val="20"/>
                <w:szCs w:val="20"/>
                <w:color w:val="auto"/>
              </w:rPr>
            </w:pPr>
            <w:r>
              <w:rPr>
                <w:rFonts w:ascii="Arial" w:cs="Arial" w:eastAsia="Arial" w:hAnsi="Arial"/>
                <w:sz w:val="11"/>
                <w:szCs w:val="11"/>
                <w:color w:val="auto"/>
              </w:rPr>
              <w:t>8/5/2015</w:t>
            </w: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00" w:type="dxa"/>
            <w:vAlign w:val="bottom"/>
          </w:tcPr>
          <w:p>
            <w:pPr>
              <w:jc w:val="right"/>
              <w:spacing w:after="0" w:line="104" w:lineRule="exact"/>
              <w:rPr>
                <w:sz w:val="20"/>
                <w:szCs w:val="20"/>
                <w:color w:val="auto"/>
              </w:rPr>
            </w:pPr>
            <w:r>
              <w:rPr>
                <w:rFonts w:ascii="Arial" w:cs="Arial" w:eastAsia="Arial" w:hAnsi="Arial"/>
                <w:sz w:val="11"/>
                <w:szCs w:val="11"/>
                <w:color w:val="auto"/>
              </w:rPr>
              <w:t>6</w:t>
            </w:r>
          </w:p>
        </w:tc>
        <w:tc>
          <w:tcPr>
            <w:tcW w:w="1040" w:type="dxa"/>
            <w:vAlign w:val="bottom"/>
            <w:gridSpan w:val="2"/>
          </w:tcPr>
          <w:p>
            <w:pPr>
              <w:jc w:val="right"/>
              <w:spacing w:after="0" w:line="104" w:lineRule="exact"/>
              <w:rPr>
                <w:sz w:val="20"/>
                <w:szCs w:val="20"/>
                <w:color w:val="auto"/>
              </w:rPr>
            </w:pPr>
            <w:r>
              <w:rPr>
                <w:rFonts w:ascii="Arial" w:cs="Arial" w:eastAsia="Arial" w:hAnsi="Arial"/>
                <w:sz w:val="11"/>
                <w:szCs w:val="11"/>
                <w:color w:val="auto"/>
              </w:rPr>
              <w:t>6</w:t>
            </w:r>
          </w:p>
        </w:tc>
        <w:tc>
          <w:tcPr>
            <w:tcW w:w="1140" w:type="dxa"/>
            <w:vAlign w:val="bottom"/>
            <w:gridSpan w:val="3"/>
          </w:tcPr>
          <w:p>
            <w:pPr>
              <w:jc w:val="right"/>
              <w:spacing w:after="0" w:line="104" w:lineRule="exact"/>
              <w:rPr>
                <w:sz w:val="20"/>
                <w:szCs w:val="20"/>
                <w:color w:val="auto"/>
              </w:rPr>
            </w:pPr>
            <w:r>
              <w:rPr>
                <w:rFonts w:ascii="Arial" w:cs="Arial" w:eastAsia="Arial" w:hAnsi="Arial"/>
                <w:sz w:val="11"/>
                <w:szCs w:val="11"/>
                <w:color w:val="auto"/>
              </w:rPr>
              <w:t>0.0 %</w:t>
            </w:r>
          </w:p>
        </w:tc>
        <w:tc>
          <w:tcPr>
            <w:tcW w:w="0" w:type="dxa"/>
            <w:vAlign w:val="bottom"/>
          </w:tcPr>
          <w:p>
            <w:pPr>
              <w:spacing w:after="0"/>
              <w:rPr>
                <w:sz w:val="1"/>
                <w:szCs w:val="1"/>
                <w:color w:val="auto"/>
              </w:rPr>
            </w:pPr>
          </w:p>
        </w:tc>
      </w:tr>
      <w:tr>
        <w:trPr>
          <w:trHeight w:val="119"/>
        </w:trPr>
        <w:tc>
          <w:tcPr>
            <w:tcW w:w="2100" w:type="dxa"/>
            <w:vAlign w:val="bottom"/>
          </w:tcPr>
          <w:p>
            <w:pPr>
              <w:ind w:left="100"/>
              <w:spacing w:after="0" w:line="119" w:lineRule="exact"/>
              <w:rPr>
                <w:sz w:val="20"/>
                <w:szCs w:val="20"/>
                <w:color w:val="auto"/>
              </w:rPr>
            </w:pPr>
            <w:r>
              <w:rPr>
                <w:rFonts w:ascii="Arial" w:cs="Arial" w:eastAsia="Arial" w:hAnsi="Arial"/>
                <w:sz w:val="13"/>
                <w:szCs w:val="13"/>
                <w:color w:val="auto"/>
                <w:vertAlign w:val="subscript"/>
              </w:rPr>
              <w:t>Corp.</w:t>
            </w:r>
            <w:r>
              <w:rPr>
                <w:rFonts w:ascii="Arial" w:cs="Arial" w:eastAsia="Arial" w:hAnsi="Arial"/>
                <w:sz w:val="6"/>
                <w:szCs w:val="6"/>
                <w:color w:val="auto"/>
              </w:rPr>
              <w:t xml:space="preserve"> (4)(11)</w:t>
            </w:r>
          </w:p>
        </w:tc>
        <w:tc>
          <w:tcPr>
            <w:tcW w:w="3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Passport Labs, Inc. </w:t>
            </w:r>
            <w:r>
              <w:rPr>
                <w:rFonts w:ascii="Arial" w:cs="Arial" w:eastAsia="Arial" w:hAnsi="Arial"/>
                <w:sz w:val="14"/>
                <w:szCs w:val="14"/>
                <w:color w:val="auto"/>
                <w:vertAlign w:val="superscript"/>
              </w:rPr>
              <w:t>(12)</w:t>
            </w:r>
          </w:p>
        </w:tc>
        <w:tc>
          <w:tcPr>
            <w:tcW w:w="3040" w:type="dxa"/>
            <w:vAlign w:val="bottom"/>
          </w:tcPr>
          <w:p>
            <w:pPr>
              <w:ind w:left="500"/>
              <w:spacing w:after="0"/>
              <w:rPr>
                <w:sz w:val="20"/>
                <w:szCs w:val="20"/>
                <w:color w:val="auto"/>
              </w:rPr>
            </w:pPr>
            <w:r>
              <w:rPr>
                <w:rFonts w:ascii="Arial" w:cs="Arial" w:eastAsia="Arial" w:hAnsi="Arial"/>
                <w:sz w:val="11"/>
                <w:szCs w:val="11"/>
                <w:color w:val="auto"/>
              </w:rPr>
              <w:t>17,534 Warrants</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4/28/2021</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192</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113</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0.0 %</w:t>
            </w:r>
          </w:p>
        </w:tc>
        <w:tc>
          <w:tcPr>
            <w:tcW w:w="0" w:type="dxa"/>
            <w:vAlign w:val="bottom"/>
          </w:tcPr>
          <w:p>
            <w:pPr>
              <w:spacing w:after="0"/>
              <w:rPr>
                <w:sz w:val="1"/>
                <w:szCs w:val="1"/>
                <w:color w:val="auto"/>
              </w:rPr>
            </w:pPr>
          </w:p>
        </w:tc>
      </w:tr>
      <w:tr>
        <w:trPr>
          <w:trHeight w:val="165"/>
        </w:trPr>
        <w:tc>
          <w:tcPr>
            <w:tcW w:w="2100" w:type="dxa"/>
            <w:vAlign w:val="bottom"/>
          </w:tcPr>
          <w:p>
            <w:pPr>
              <w:ind w:left="20"/>
              <w:spacing w:after="0"/>
              <w:rPr>
                <w:sz w:val="20"/>
                <w:szCs w:val="20"/>
                <w:color w:val="auto"/>
              </w:rPr>
            </w:pPr>
            <w:r>
              <w:rPr>
                <w:rFonts w:ascii="Arial" w:cs="Arial" w:eastAsia="Arial" w:hAnsi="Arial"/>
                <w:sz w:val="11"/>
                <w:szCs w:val="11"/>
                <w:color w:val="auto"/>
              </w:rPr>
              <w:t xml:space="preserve">TradingScreen, Inc. </w:t>
            </w:r>
            <w:r>
              <w:rPr>
                <w:rFonts w:ascii="Arial" w:cs="Arial" w:eastAsia="Arial" w:hAnsi="Arial"/>
                <w:sz w:val="14"/>
                <w:szCs w:val="14"/>
                <w:color w:val="auto"/>
                <w:vertAlign w:val="superscript"/>
              </w:rPr>
              <w:t>(12)(14)</w:t>
            </w:r>
          </w:p>
        </w:tc>
        <w:tc>
          <w:tcPr>
            <w:tcW w:w="3040" w:type="dxa"/>
            <w:vAlign w:val="bottom"/>
          </w:tcPr>
          <w:p>
            <w:pPr>
              <w:ind w:left="500"/>
              <w:spacing w:after="0"/>
              <w:rPr>
                <w:sz w:val="20"/>
                <w:szCs w:val="20"/>
                <w:color w:val="auto"/>
              </w:rPr>
            </w:pPr>
            <w:r>
              <w:rPr>
                <w:rFonts w:ascii="Arial" w:cs="Arial" w:eastAsia="Arial" w:hAnsi="Arial"/>
                <w:sz w:val="11"/>
                <w:szCs w:val="11"/>
                <w:color w:val="auto"/>
              </w:rPr>
              <w:t>Class A Units (600,000 units)</w:t>
            </w:r>
          </w:p>
        </w:tc>
        <w:tc>
          <w:tcPr>
            <w:tcW w:w="1020" w:type="dxa"/>
            <w:vAlign w:val="bottom"/>
          </w:tcPr>
          <w:p>
            <w:pPr>
              <w:jc w:val="right"/>
              <w:ind w:right="147"/>
              <w:spacing w:after="0"/>
              <w:rPr>
                <w:sz w:val="20"/>
                <w:szCs w:val="20"/>
                <w:color w:val="auto"/>
              </w:rPr>
            </w:pPr>
            <w:r>
              <w:rPr>
                <w:rFonts w:ascii="Arial" w:cs="Arial" w:eastAsia="Arial" w:hAnsi="Arial"/>
                <w:sz w:val="11"/>
                <w:szCs w:val="11"/>
                <w:color w:val="auto"/>
              </w:rPr>
              <w:t>5/14/2021</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600</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600</w:t>
            </w:r>
          </w:p>
        </w:tc>
        <w:tc>
          <w:tcPr>
            <w:tcW w:w="2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0.0 %</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1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5,997</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4,050</w:t>
            </w:r>
          </w:p>
        </w:tc>
        <w:tc>
          <w:tcPr>
            <w:tcW w:w="20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0.3 %</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-7731760</wp:posOffset>
            </wp:positionV>
            <wp:extent cx="7132320" cy="85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-7491730</wp:posOffset>
            </wp:positionV>
            <wp:extent cx="7132320" cy="85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-7162800</wp:posOffset>
            </wp:positionV>
            <wp:extent cx="6858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-7162800</wp:posOffset>
            </wp:positionV>
            <wp:extent cx="685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-7162800</wp:posOffset>
            </wp:positionV>
            <wp:extent cx="6858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-6762750</wp:posOffset>
            </wp:positionV>
            <wp:extent cx="7132320" cy="85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-6522720</wp:posOffset>
            </wp:positionV>
            <wp:extent cx="7132320" cy="857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-6282690</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-6034405</wp:posOffset>
            </wp:positionV>
            <wp:extent cx="7132320" cy="85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-5862955</wp:posOffset>
            </wp:positionV>
            <wp:extent cx="7132320" cy="857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-5382895</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-4985385</wp:posOffset>
            </wp:positionV>
            <wp:extent cx="6858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-4985385</wp:posOffset>
            </wp:positionV>
            <wp:extent cx="6858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-4985385</wp:posOffset>
            </wp:positionV>
            <wp:extent cx="6858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-4893945</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-4345305</wp:posOffset>
            </wp:positionV>
            <wp:extent cx="7132320" cy="939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-3436620</wp:posOffset>
            </wp:positionV>
            <wp:extent cx="7132320" cy="857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-3265170</wp:posOffset>
            </wp:positionV>
            <wp:extent cx="7132320" cy="85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-2853690</wp:posOffset>
            </wp:positionV>
            <wp:extent cx="7132320" cy="946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-2493645</wp:posOffset>
            </wp:positionV>
            <wp:extent cx="7132320" cy="857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7132320" cy="85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-2082165</wp:posOffset>
            </wp:positionV>
            <wp:extent cx="7132320" cy="857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-1813560</wp:posOffset>
            </wp:positionV>
            <wp:extent cx="6858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-1813560</wp:posOffset>
            </wp:positionV>
            <wp:extent cx="6858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-1813560</wp:posOffset>
            </wp:positionV>
            <wp:extent cx="6858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-1722120</wp:posOffset>
            </wp:positionV>
            <wp:extent cx="7132320" cy="857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-1290955</wp:posOffset>
            </wp:positionV>
            <wp:extent cx="6858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-1290955</wp:posOffset>
            </wp:positionV>
            <wp:extent cx="6858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-1290955</wp:posOffset>
            </wp:positionV>
            <wp:extent cx="6858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-1190625</wp:posOffset>
            </wp:positionV>
            <wp:extent cx="7132320" cy="85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-1019175</wp:posOffset>
            </wp:positionV>
            <wp:extent cx="7132320" cy="857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-690880</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-690880</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-690880</wp:posOffset>
            </wp:positionV>
            <wp:extent cx="685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57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946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32"/>
        </w:trPr>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Healthcare</w:t>
            </w:r>
          </w:p>
        </w:tc>
        <w:tc>
          <w:tcPr>
            <w:tcW w:w="14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60" w:type="dxa"/>
            <w:vAlign w:val="bottom"/>
            <w:gridSpan w:val="2"/>
          </w:tcPr>
          <w:p>
            <w:pPr>
              <w:ind w:left="20"/>
              <w:spacing w:after="0"/>
              <w:rPr>
                <w:sz w:val="20"/>
                <w:szCs w:val="20"/>
                <w:color w:val="auto"/>
              </w:rPr>
            </w:pPr>
            <w:r>
              <w:rPr>
                <w:rFonts w:ascii="Arial" w:cs="Arial" w:eastAsia="Arial" w:hAnsi="Arial"/>
                <w:sz w:val="11"/>
                <w:szCs w:val="11"/>
                <w:color w:val="auto"/>
              </w:rPr>
              <w:t xml:space="preserve">Caris Life Sciences, Inc. </w:t>
            </w:r>
            <w:r>
              <w:rPr>
                <w:rFonts w:ascii="Arial" w:cs="Arial" w:eastAsia="Arial" w:hAnsi="Arial"/>
                <w:sz w:val="14"/>
                <w:szCs w:val="14"/>
                <w:color w:val="auto"/>
                <w:vertAlign w:val="superscript"/>
              </w:rPr>
              <w:t>(12)</w:t>
            </w:r>
          </w:p>
        </w:tc>
        <w:tc>
          <w:tcPr>
            <w:tcW w:w="2760" w:type="dxa"/>
            <w:vAlign w:val="bottom"/>
          </w:tcPr>
          <w:p>
            <w:pPr>
              <w:ind w:left="340"/>
              <w:spacing w:after="0"/>
              <w:rPr>
                <w:sz w:val="20"/>
                <w:szCs w:val="20"/>
                <w:color w:val="auto"/>
              </w:rPr>
            </w:pPr>
            <w:r>
              <w:rPr>
                <w:rFonts w:ascii="Arial" w:cs="Arial" w:eastAsia="Arial" w:hAnsi="Arial"/>
                <w:sz w:val="11"/>
                <w:szCs w:val="11"/>
                <w:color w:val="auto"/>
              </w:rPr>
              <w:t>Series C Preferred Shares (362,319 shares)</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10/13/2020</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1,410</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0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2760" w:type="dxa"/>
            <w:vAlign w:val="bottom"/>
            <w:shd w:val="clear" w:color="auto" w:fill="CFF0FC"/>
          </w:tcPr>
          <w:p>
            <w:pPr>
              <w:ind w:left="340"/>
              <w:spacing w:after="0"/>
              <w:rPr>
                <w:sz w:val="20"/>
                <w:szCs w:val="20"/>
                <w:color w:val="auto"/>
              </w:rPr>
            </w:pPr>
            <w:r>
              <w:rPr>
                <w:rFonts w:ascii="Arial" w:cs="Arial" w:eastAsia="Arial" w:hAnsi="Arial"/>
                <w:sz w:val="11"/>
                <w:szCs w:val="11"/>
                <w:color w:val="auto"/>
              </w:rPr>
              <w:t>Series D Preferred Shares (1,240,740 shares)</w:t>
            </w:r>
          </w:p>
        </w:tc>
        <w:tc>
          <w:tcPr>
            <w:tcW w:w="1180" w:type="dxa"/>
            <w:vAlign w:val="bottom"/>
            <w:shd w:val="clear" w:color="auto" w:fill="CFF0FC"/>
          </w:tcPr>
          <w:p>
            <w:pPr>
              <w:jc w:val="right"/>
              <w:ind w:right="187"/>
              <w:spacing w:after="0"/>
              <w:rPr>
                <w:sz w:val="20"/>
                <w:szCs w:val="20"/>
                <w:color w:val="auto"/>
              </w:rPr>
            </w:pPr>
            <w:r>
              <w:rPr>
                <w:rFonts w:ascii="Arial" w:cs="Arial" w:eastAsia="Arial" w:hAnsi="Arial"/>
                <w:sz w:val="11"/>
                <w:szCs w:val="11"/>
                <w:color w:val="auto"/>
              </w:rPr>
              <w:t>5/11/2021</w:t>
            </w:r>
          </w:p>
        </w:tc>
        <w:tc>
          <w:tcPr>
            <w:tcW w:w="10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10,050</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7,638</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0.6 %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760" w:type="dxa"/>
            <w:vAlign w:val="bottom"/>
          </w:tcPr>
          <w:p>
            <w:pPr>
              <w:ind w:left="340"/>
              <w:spacing w:after="0" w:line="125" w:lineRule="exact"/>
              <w:rPr>
                <w:sz w:val="20"/>
                <w:szCs w:val="20"/>
                <w:color w:val="auto"/>
              </w:rPr>
            </w:pPr>
            <w:r>
              <w:rPr>
                <w:rFonts w:ascii="Arial" w:cs="Arial" w:eastAsia="Arial" w:hAnsi="Arial"/>
                <w:sz w:val="11"/>
                <w:szCs w:val="11"/>
                <w:color w:val="auto"/>
              </w:rPr>
              <w:t>633,376 Warrants</w:t>
            </w:r>
          </w:p>
        </w:tc>
        <w:tc>
          <w:tcPr>
            <w:tcW w:w="1180" w:type="dxa"/>
            <w:vAlign w:val="bottom"/>
          </w:tcPr>
          <w:p>
            <w:pPr>
              <w:jc w:val="right"/>
              <w:ind w:right="187"/>
              <w:spacing w:after="0" w:line="125" w:lineRule="exact"/>
              <w:rPr>
                <w:sz w:val="20"/>
                <w:szCs w:val="20"/>
                <w:color w:val="auto"/>
              </w:rPr>
            </w:pPr>
            <w:r>
              <w:rPr>
                <w:rFonts w:ascii="Arial" w:cs="Arial" w:eastAsia="Arial" w:hAnsi="Arial"/>
                <w:sz w:val="11"/>
                <w:szCs w:val="11"/>
                <w:color w:val="auto"/>
              </w:rPr>
              <w:t>9/21/2018</w:t>
            </w: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192</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1,333</w:t>
            </w:r>
          </w:p>
        </w:tc>
        <w:tc>
          <w:tcPr>
            <w:tcW w:w="1140" w:type="dxa"/>
            <w:vAlign w:val="bottom"/>
            <w:gridSpan w:val="3"/>
          </w:tcPr>
          <w:p>
            <w:pPr>
              <w:jc w:val="right"/>
              <w:spacing w:after="0" w:line="125" w:lineRule="exact"/>
              <w:rPr>
                <w:sz w:val="20"/>
                <w:szCs w:val="20"/>
                <w:color w:val="auto"/>
              </w:rPr>
            </w:pPr>
            <w:r>
              <w:rPr>
                <w:rFonts w:ascii="Arial" w:cs="Arial" w:eastAsia="Arial" w:hAnsi="Arial"/>
                <w:sz w:val="11"/>
                <w:szCs w:val="11"/>
                <w:color w:val="auto"/>
              </w:rPr>
              <w:t>0.1 %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60" w:type="dxa"/>
            <w:vAlign w:val="bottom"/>
            <w:gridSpan w:val="2"/>
            <w:vMerge w:val="restart"/>
          </w:tcPr>
          <w:p>
            <w:pPr>
              <w:ind w:left="20"/>
              <w:spacing w:after="0"/>
              <w:rPr>
                <w:sz w:val="20"/>
                <w:szCs w:val="20"/>
                <w:color w:val="auto"/>
              </w:rPr>
            </w:pPr>
            <w:r>
              <w:rPr>
                <w:rFonts w:ascii="Arial" w:cs="Arial" w:eastAsia="Arial" w:hAnsi="Arial"/>
                <w:sz w:val="21"/>
                <w:szCs w:val="21"/>
                <w:color w:val="auto"/>
                <w:vertAlign w:val="subscript"/>
              </w:rPr>
              <w:t>Merative L.P.</w:t>
            </w:r>
            <w:r>
              <w:rPr>
                <w:rFonts w:ascii="Arial" w:cs="Arial" w:eastAsia="Arial" w:hAnsi="Arial"/>
                <w:sz w:val="7"/>
                <w:szCs w:val="7"/>
                <w:color w:val="auto"/>
              </w:rPr>
              <w:t xml:space="preserve"> (12)(13)(14)</w:t>
            </w:r>
          </w:p>
        </w:tc>
        <w:tc>
          <w:tcPr>
            <w:tcW w:w="2760" w:type="dxa"/>
            <w:vAlign w:val="bottom"/>
          </w:tcPr>
          <w:p>
            <w:pPr>
              <w:ind w:left="340"/>
              <w:spacing w:after="0"/>
              <w:rPr>
                <w:sz w:val="20"/>
                <w:szCs w:val="20"/>
                <w:color w:val="auto"/>
              </w:rPr>
            </w:pPr>
            <w:r>
              <w:rPr>
                <w:rFonts w:ascii="Arial" w:cs="Arial" w:eastAsia="Arial" w:hAnsi="Arial"/>
                <w:sz w:val="11"/>
                <w:szCs w:val="11"/>
                <w:color w:val="auto"/>
              </w:rPr>
              <w:t>569,991 Warrants</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4/2/2020</w:t>
            </w: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250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1,058</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60" w:type="dxa"/>
            <w:vAlign w:val="bottom"/>
            <w:gridSpan w:val="2"/>
            <w:vMerge w:val="continue"/>
          </w:tcPr>
          <w:p>
            <w:pPr>
              <w:spacing w:after="0"/>
              <w:rPr>
                <w:sz w:val="12"/>
                <w:szCs w:val="12"/>
                <w:color w:val="auto"/>
              </w:rPr>
            </w:pPr>
          </w:p>
        </w:tc>
        <w:tc>
          <w:tcPr>
            <w:tcW w:w="2760" w:type="dxa"/>
            <w:vAlign w:val="bottom"/>
          </w:tcPr>
          <w:p>
            <w:pPr>
              <w:ind w:left="340"/>
              <w:spacing w:after="0"/>
              <w:rPr>
                <w:sz w:val="20"/>
                <w:szCs w:val="20"/>
                <w:color w:val="auto"/>
              </w:rPr>
            </w:pPr>
            <w:r>
              <w:rPr>
                <w:rFonts w:ascii="Arial" w:cs="Arial" w:eastAsia="Arial" w:hAnsi="Arial"/>
                <w:sz w:val="11"/>
                <w:szCs w:val="11"/>
                <w:color w:val="auto"/>
              </w:rPr>
              <w:t>989,691 Class A-1 Units</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6/30/2022</w:t>
            </w: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9,897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9,897</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0.8 %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00" w:type="dxa"/>
            <w:vAlign w:val="bottom"/>
            <w:tcBorders>
              <w:bottom w:val="single" w:sz="8" w:color="CFF0FC"/>
            </w:tcBorders>
            <w:shd w:val="clear" w:color="auto" w:fill="CFF0FC"/>
          </w:tcPr>
          <w:p>
            <w:pPr>
              <w:spacing w:after="0"/>
              <w:rPr>
                <w:sz w:val="11"/>
                <w:szCs w:val="11"/>
                <w:color w:val="auto"/>
              </w:rPr>
            </w:pPr>
          </w:p>
        </w:tc>
        <w:tc>
          <w:tcPr>
            <w:tcW w:w="1460" w:type="dxa"/>
            <w:vAlign w:val="bottom"/>
            <w:tcBorders>
              <w:bottom w:val="single" w:sz="8" w:color="CFF0FC"/>
            </w:tcBorders>
            <w:shd w:val="clear" w:color="auto" w:fill="CFF0FC"/>
          </w:tcPr>
          <w:p>
            <w:pPr>
              <w:spacing w:after="0"/>
              <w:rPr>
                <w:sz w:val="11"/>
                <w:szCs w:val="11"/>
                <w:color w:val="auto"/>
              </w:rPr>
            </w:pPr>
          </w:p>
        </w:tc>
        <w:tc>
          <w:tcPr>
            <w:tcW w:w="276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21,389</w:t>
            </w:r>
          </w:p>
        </w:tc>
        <w:tc>
          <w:tcPr>
            <w:tcW w:w="2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top w:val="single" w:sz="8" w:color="auto"/>
              <w:bottom w:val="single" w:sz="8" w:color="auto"/>
            </w:tcBorders>
            <w:shd w:val="clear" w:color="auto" w:fill="CFF0FC"/>
          </w:tcPr>
          <w:p>
            <w:pPr>
              <w:spacing w:after="0"/>
              <w:rPr>
                <w:sz w:val="11"/>
                <w:szCs w:val="1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21,336</w:t>
            </w:r>
          </w:p>
        </w:tc>
        <w:tc>
          <w:tcPr>
            <w:tcW w:w="2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1"/>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260" w:type="dxa"/>
            <w:vAlign w:val="bottom"/>
            <w:gridSpan w:val="2"/>
          </w:tcPr>
          <w:p>
            <w:pPr>
              <w:ind w:left="20"/>
              <w:spacing w:after="0" w:line="99" w:lineRule="exact"/>
              <w:rPr>
                <w:sz w:val="20"/>
                <w:szCs w:val="20"/>
                <w:color w:val="auto"/>
              </w:rPr>
            </w:pPr>
            <w:r>
              <w:rPr>
                <w:rFonts w:ascii="Arial" w:cs="Arial" w:eastAsia="Arial" w:hAnsi="Arial"/>
                <w:sz w:val="11"/>
                <w:szCs w:val="11"/>
                <w:b w:val="1"/>
                <w:bCs w:val="1"/>
                <w:color w:val="auto"/>
              </w:rPr>
              <w:t>Hotel, Gaming and Leisure</w:t>
            </w:r>
          </w:p>
        </w:tc>
        <w:tc>
          <w:tcPr>
            <w:tcW w:w="2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0"/>
              <w:spacing w:after="0" w:line="155" w:lineRule="exact"/>
              <w:rPr>
                <w:sz w:val="20"/>
                <w:szCs w:val="20"/>
                <w:color w:val="auto"/>
              </w:rPr>
            </w:pPr>
            <w:r>
              <w:rPr>
                <w:rFonts w:ascii="Arial" w:cs="Arial" w:eastAsia="Arial" w:hAnsi="Arial"/>
                <w:sz w:val="11"/>
                <w:szCs w:val="11"/>
                <w:color w:val="auto"/>
              </w:rPr>
              <w:t xml:space="preserve">IRGSE Holding Corp. </w:t>
            </w:r>
            <w:r>
              <w:rPr>
                <w:rFonts w:ascii="Arial" w:cs="Arial" w:eastAsia="Arial" w:hAnsi="Arial"/>
                <w:sz w:val="14"/>
                <w:szCs w:val="14"/>
                <w:color w:val="auto"/>
                <w:vertAlign w:val="superscript"/>
              </w:rPr>
              <w:t>(7)(12)</w:t>
            </w:r>
          </w:p>
        </w:tc>
        <w:tc>
          <w:tcPr>
            <w:tcW w:w="2760" w:type="dxa"/>
            <w:vAlign w:val="bottom"/>
          </w:tcPr>
          <w:p>
            <w:pPr>
              <w:ind w:left="340"/>
              <w:spacing w:after="0"/>
              <w:rPr>
                <w:sz w:val="20"/>
                <w:szCs w:val="20"/>
                <w:color w:val="auto"/>
              </w:rPr>
            </w:pPr>
            <w:r>
              <w:rPr>
                <w:rFonts w:ascii="Arial" w:cs="Arial" w:eastAsia="Arial" w:hAnsi="Arial"/>
                <w:sz w:val="11"/>
                <w:szCs w:val="11"/>
                <w:color w:val="auto"/>
              </w:rPr>
              <w:t>Class A Units (33,790,171 units)</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12/21/2018</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21,842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29,651</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2.4 %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760" w:type="dxa"/>
            <w:vAlign w:val="bottom"/>
          </w:tcPr>
          <w:p>
            <w:pPr>
              <w:ind w:left="340"/>
              <w:spacing w:after="0"/>
              <w:rPr>
                <w:sz w:val="20"/>
                <w:szCs w:val="20"/>
                <w:color w:val="auto"/>
              </w:rPr>
            </w:pPr>
            <w:r>
              <w:rPr>
                <w:rFonts w:ascii="Arial" w:cs="Arial" w:eastAsia="Arial" w:hAnsi="Arial"/>
                <w:sz w:val="11"/>
                <w:szCs w:val="11"/>
                <w:color w:val="auto"/>
              </w:rPr>
              <w:t>Class C-1 Units (8,800,000 units)</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12/21/2018</w:t>
            </w: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43</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00" w:type="dxa"/>
            <w:vAlign w:val="bottom"/>
            <w:tcBorders>
              <w:bottom w:val="single" w:sz="8" w:color="CFF0FC"/>
            </w:tcBorders>
            <w:shd w:val="clear" w:color="auto" w:fill="CFF0FC"/>
          </w:tcPr>
          <w:p>
            <w:pPr>
              <w:spacing w:after="0"/>
              <w:rPr>
                <w:sz w:val="11"/>
                <w:szCs w:val="11"/>
                <w:color w:val="auto"/>
              </w:rPr>
            </w:pPr>
          </w:p>
        </w:tc>
        <w:tc>
          <w:tcPr>
            <w:tcW w:w="1460" w:type="dxa"/>
            <w:vAlign w:val="bottom"/>
            <w:tcBorders>
              <w:bottom w:val="single" w:sz="8" w:color="CFF0FC"/>
            </w:tcBorders>
            <w:shd w:val="clear" w:color="auto" w:fill="CFF0FC"/>
          </w:tcPr>
          <w:p>
            <w:pPr>
              <w:spacing w:after="0"/>
              <w:rPr>
                <w:sz w:val="11"/>
                <w:szCs w:val="11"/>
                <w:color w:val="auto"/>
              </w:rPr>
            </w:pPr>
          </w:p>
        </w:tc>
        <w:tc>
          <w:tcPr>
            <w:tcW w:w="276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21,942</w:t>
            </w:r>
          </w:p>
        </w:tc>
        <w:tc>
          <w:tcPr>
            <w:tcW w:w="2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top w:val="single" w:sz="8" w:color="auto"/>
              <w:bottom w:val="single" w:sz="8" w:color="auto"/>
            </w:tcBorders>
            <w:shd w:val="clear" w:color="auto" w:fill="CFF0FC"/>
          </w:tcPr>
          <w:p>
            <w:pPr>
              <w:spacing w:after="0"/>
              <w:rPr>
                <w:sz w:val="11"/>
                <w:szCs w:val="1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29,694</w:t>
            </w:r>
          </w:p>
        </w:tc>
        <w:tc>
          <w:tcPr>
            <w:tcW w:w="2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1"/>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260" w:type="dxa"/>
            <w:vAlign w:val="bottom"/>
            <w:gridSpan w:val="2"/>
          </w:tcPr>
          <w:p>
            <w:pPr>
              <w:ind w:left="20"/>
              <w:spacing w:after="0" w:line="99" w:lineRule="exact"/>
              <w:rPr>
                <w:sz w:val="20"/>
                <w:szCs w:val="20"/>
                <w:color w:val="auto"/>
              </w:rPr>
            </w:pPr>
            <w:r>
              <w:rPr>
                <w:rFonts w:ascii="Arial" w:cs="Arial" w:eastAsia="Arial" w:hAnsi="Arial"/>
                <w:sz w:val="11"/>
                <w:szCs w:val="11"/>
                <w:b w:val="1"/>
                <w:bCs w:val="1"/>
                <w:color w:val="auto"/>
              </w:rPr>
              <w:t>Human Resource Support Services</w:t>
            </w:r>
          </w:p>
        </w:tc>
        <w:tc>
          <w:tcPr>
            <w:tcW w:w="2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Axonify, Inc. </w:t>
            </w:r>
            <w:r>
              <w:rPr>
                <w:rFonts w:ascii="Arial" w:cs="Arial" w:eastAsia="Arial" w:hAnsi="Arial"/>
                <w:sz w:val="14"/>
                <w:szCs w:val="14"/>
                <w:color w:val="auto"/>
                <w:vertAlign w:val="superscript"/>
              </w:rPr>
              <w:t>(4)(12)(14)</w:t>
            </w:r>
          </w:p>
        </w:tc>
        <w:tc>
          <w:tcPr>
            <w:tcW w:w="2760" w:type="dxa"/>
            <w:vAlign w:val="bottom"/>
          </w:tcPr>
          <w:p>
            <w:pPr>
              <w:ind w:left="340"/>
              <w:spacing w:after="0"/>
              <w:rPr>
                <w:sz w:val="20"/>
                <w:szCs w:val="20"/>
                <w:color w:val="auto"/>
              </w:rPr>
            </w:pPr>
            <w:r>
              <w:rPr>
                <w:rFonts w:ascii="Arial" w:cs="Arial" w:eastAsia="Arial" w:hAnsi="Arial"/>
                <w:sz w:val="11"/>
                <w:szCs w:val="11"/>
                <w:color w:val="auto"/>
              </w:rPr>
              <w:t>Class A-1 Units (3,780,000 units)</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5/5/2021</w:t>
            </w: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3,780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3,780</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ClearCompany, LLC </w:t>
            </w:r>
            <w:r>
              <w:rPr>
                <w:rFonts w:ascii="Arial" w:cs="Arial" w:eastAsia="Arial" w:hAnsi="Arial"/>
                <w:sz w:val="14"/>
                <w:szCs w:val="14"/>
                <w:color w:val="auto"/>
                <w:vertAlign w:val="superscript"/>
              </w:rPr>
              <w:t>(12)(14)</w:t>
            </w:r>
          </w:p>
        </w:tc>
        <w:tc>
          <w:tcPr>
            <w:tcW w:w="2760" w:type="dxa"/>
            <w:vAlign w:val="bottom"/>
          </w:tcPr>
          <w:p>
            <w:pPr>
              <w:ind w:left="340"/>
              <w:spacing w:after="0"/>
              <w:rPr>
                <w:sz w:val="20"/>
                <w:szCs w:val="20"/>
                <w:color w:val="auto"/>
              </w:rPr>
            </w:pPr>
            <w:r>
              <w:rPr>
                <w:rFonts w:ascii="Arial" w:cs="Arial" w:eastAsia="Arial" w:hAnsi="Arial"/>
                <w:sz w:val="11"/>
                <w:szCs w:val="11"/>
                <w:color w:val="auto"/>
              </w:rPr>
              <w:t>Series A Preferred Units (1,429,228 units)</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8/24/2018</w:t>
            </w: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2,014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5,322</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0.4 %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0"/>
              <w:spacing w:after="0" w:line="155" w:lineRule="exact"/>
              <w:rPr>
                <w:sz w:val="20"/>
                <w:szCs w:val="20"/>
                <w:color w:val="auto"/>
              </w:rPr>
            </w:pPr>
            <w:r>
              <w:rPr>
                <w:rFonts w:ascii="Arial" w:cs="Arial" w:eastAsia="Arial" w:hAnsi="Arial"/>
                <w:sz w:val="11"/>
                <w:szCs w:val="11"/>
                <w:color w:val="auto"/>
              </w:rPr>
              <w:t xml:space="preserve">DaySmart Holdings, LLC </w:t>
            </w:r>
            <w:r>
              <w:rPr>
                <w:rFonts w:ascii="Arial" w:cs="Arial" w:eastAsia="Arial" w:hAnsi="Arial"/>
                <w:sz w:val="14"/>
                <w:szCs w:val="14"/>
                <w:color w:val="auto"/>
                <w:vertAlign w:val="superscript"/>
              </w:rPr>
              <w:t>(12)(14)</w:t>
            </w:r>
          </w:p>
        </w:tc>
        <w:tc>
          <w:tcPr>
            <w:tcW w:w="2760" w:type="dxa"/>
            <w:vAlign w:val="bottom"/>
          </w:tcPr>
          <w:p>
            <w:pPr>
              <w:ind w:left="340"/>
              <w:spacing w:after="0"/>
              <w:rPr>
                <w:sz w:val="20"/>
                <w:szCs w:val="20"/>
                <w:color w:val="auto"/>
              </w:rPr>
            </w:pPr>
            <w:r>
              <w:rPr>
                <w:rFonts w:ascii="Arial" w:cs="Arial" w:eastAsia="Arial" w:hAnsi="Arial"/>
                <w:sz w:val="11"/>
                <w:szCs w:val="11"/>
                <w:color w:val="auto"/>
              </w:rPr>
              <w:t>Class A Units (166,811 units)</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10/1/2019</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1,347</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2,158</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0.2 %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260" w:type="dxa"/>
            <w:vAlign w:val="bottom"/>
            <w:gridSpan w:val="2"/>
          </w:tcPr>
          <w:p>
            <w:pPr>
              <w:ind w:left="20"/>
              <w:spacing w:after="0" w:line="104" w:lineRule="exact"/>
              <w:rPr>
                <w:sz w:val="20"/>
                <w:szCs w:val="20"/>
                <w:color w:val="auto"/>
              </w:rPr>
            </w:pPr>
            <w:r>
              <w:rPr>
                <w:rFonts w:ascii="Arial" w:cs="Arial" w:eastAsia="Arial" w:hAnsi="Arial"/>
                <w:sz w:val="11"/>
                <w:szCs w:val="11"/>
                <w:color w:val="auto"/>
              </w:rPr>
              <w:t>Employment Hero Holdings Pty</w:t>
            </w:r>
          </w:p>
        </w:tc>
        <w:tc>
          <w:tcPr>
            <w:tcW w:w="2760" w:type="dxa"/>
            <w:vAlign w:val="bottom"/>
          </w:tcPr>
          <w:p>
            <w:pPr>
              <w:ind w:left="340"/>
              <w:spacing w:after="0" w:line="104" w:lineRule="exact"/>
              <w:rPr>
                <w:sz w:val="20"/>
                <w:szCs w:val="20"/>
                <w:color w:val="auto"/>
              </w:rPr>
            </w:pPr>
            <w:r>
              <w:rPr>
                <w:rFonts w:ascii="Arial" w:cs="Arial" w:eastAsia="Arial" w:hAnsi="Arial"/>
                <w:sz w:val="11"/>
                <w:szCs w:val="11"/>
                <w:color w:val="auto"/>
              </w:rPr>
              <w:t>Series E Preferred Shares (113,250 shares)</w:t>
            </w:r>
          </w:p>
        </w:tc>
        <w:tc>
          <w:tcPr>
            <w:tcW w:w="1180" w:type="dxa"/>
            <w:vAlign w:val="bottom"/>
          </w:tcPr>
          <w:p>
            <w:pPr>
              <w:jc w:val="right"/>
              <w:ind w:right="187"/>
              <w:spacing w:after="0" w:line="104" w:lineRule="exact"/>
              <w:rPr>
                <w:sz w:val="20"/>
                <w:szCs w:val="20"/>
                <w:color w:val="auto"/>
              </w:rPr>
            </w:pPr>
            <w:r>
              <w:rPr>
                <w:rFonts w:ascii="Arial" w:cs="Arial" w:eastAsia="Arial" w:hAnsi="Arial"/>
                <w:sz w:val="11"/>
                <w:szCs w:val="11"/>
                <w:color w:val="auto"/>
              </w:rPr>
              <w:t>3/1/2022</w:t>
            </w:r>
          </w:p>
        </w:tc>
        <w:tc>
          <w:tcPr>
            <w:tcW w:w="10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jc w:val="right"/>
              <w:spacing w:after="0" w:line="104" w:lineRule="exact"/>
              <w:rPr>
                <w:sz w:val="20"/>
                <w:szCs w:val="20"/>
                <w:color w:val="auto"/>
              </w:rPr>
            </w:pPr>
            <w:r>
              <w:rPr>
                <w:rFonts w:ascii="Arial" w:cs="Arial" w:eastAsia="Arial" w:hAnsi="Arial"/>
                <w:sz w:val="11"/>
                <w:szCs w:val="11"/>
                <w:color w:val="auto"/>
              </w:rPr>
              <w:t>2,134</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spacing w:after="0" w:line="104" w:lineRule="exact"/>
              <w:rPr>
                <w:sz w:val="20"/>
                <w:szCs w:val="20"/>
                <w:color w:val="auto"/>
              </w:rPr>
            </w:pPr>
            <w:r>
              <w:rPr>
                <w:rFonts w:ascii="Arial" w:cs="Arial" w:eastAsia="Arial" w:hAnsi="Arial"/>
                <w:sz w:val="11"/>
                <w:szCs w:val="11"/>
                <w:color w:val="auto"/>
              </w:rPr>
              <w:t>2,063</w:t>
            </w:r>
          </w:p>
        </w:tc>
        <w:tc>
          <w:tcPr>
            <w:tcW w:w="1140" w:type="dxa"/>
            <w:vAlign w:val="bottom"/>
            <w:gridSpan w:val="3"/>
          </w:tcPr>
          <w:p>
            <w:pPr>
              <w:jc w:val="right"/>
              <w:spacing w:after="0" w:line="104" w:lineRule="exact"/>
              <w:rPr>
                <w:sz w:val="20"/>
                <w:szCs w:val="20"/>
                <w:color w:val="auto"/>
              </w:rPr>
            </w:pPr>
            <w:r>
              <w:rPr>
                <w:rFonts w:ascii="Arial" w:cs="Arial" w:eastAsia="Arial" w:hAnsi="Arial"/>
                <w:sz w:val="11"/>
                <w:szCs w:val="11"/>
                <w:color w:val="auto"/>
              </w:rPr>
              <w:t>0.2 %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00" w:type="dxa"/>
            <w:vAlign w:val="bottom"/>
          </w:tcPr>
          <w:p>
            <w:pPr>
              <w:ind w:left="100"/>
              <w:spacing w:after="0" w:line="149" w:lineRule="exact"/>
              <w:rPr>
                <w:sz w:val="20"/>
                <w:szCs w:val="20"/>
                <w:color w:val="auto"/>
              </w:rPr>
            </w:pPr>
            <w:r>
              <w:rPr>
                <w:rFonts w:ascii="Arial" w:cs="Arial" w:eastAsia="Arial" w:hAnsi="Arial"/>
                <w:sz w:val="17"/>
                <w:szCs w:val="17"/>
                <w:color w:val="auto"/>
                <w:vertAlign w:val="subscript"/>
              </w:rPr>
              <w:t>Ltd.</w:t>
            </w:r>
            <w:r>
              <w:rPr>
                <w:rFonts w:ascii="Arial" w:cs="Arial" w:eastAsia="Arial" w:hAnsi="Arial"/>
                <w:sz w:val="6"/>
                <w:szCs w:val="6"/>
                <w:color w:val="auto"/>
              </w:rPr>
              <w:t xml:space="preserve"> (4)(12)(13)</w:t>
            </w:r>
          </w:p>
        </w:tc>
        <w:tc>
          <w:tcPr>
            <w:tcW w:w="14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(AUD 3,000)</w:t>
            </w:r>
          </w:p>
        </w:tc>
        <w:tc>
          <w:tcPr>
            <w:tcW w:w="2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00" w:type="dxa"/>
            <w:vAlign w:val="bottom"/>
            <w:tcBorders>
              <w:bottom w:val="single" w:sz="8" w:color="CFF0FC"/>
            </w:tcBorders>
            <w:shd w:val="clear" w:color="auto" w:fill="CFF0FC"/>
          </w:tcPr>
          <w:p>
            <w:pPr>
              <w:spacing w:after="0"/>
              <w:rPr>
                <w:sz w:val="11"/>
                <w:szCs w:val="11"/>
                <w:color w:val="auto"/>
              </w:rPr>
            </w:pPr>
          </w:p>
        </w:tc>
        <w:tc>
          <w:tcPr>
            <w:tcW w:w="1460" w:type="dxa"/>
            <w:vAlign w:val="bottom"/>
            <w:tcBorders>
              <w:bottom w:val="single" w:sz="8" w:color="CFF0FC"/>
            </w:tcBorders>
            <w:shd w:val="clear" w:color="auto" w:fill="CFF0FC"/>
          </w:tcPr>
          <w:p>
            <w:pPr>
              <w:spacing w:after="0"/>
              <w:rPr>
                <w:sz w:val="11"/>
                <w:szCs w:val="11"/>
                <w:color w:val="auto"/>
              </w:rPr>
            </w:pPr>
          </w:p>
        </w:tc>
        <w:tc>
          <w:tcPr>
            <w:tcW w:w="276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9,275</w:t>
            </w:r>
          </w:p>
        </w:tc>
        <w:tc>
          <w:tcPr>
            <w:tcW w:w="2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13,323</w:t>
            </w:r>
          </w:p>
        </w:tc>
        <w:tc>
          <w:tcPr>
            <w:tcW w:w="2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1"/>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800" w:type="dxa"/>
            <w:vAlign w:val="bottom"/>
          </w:tcPr>
          <w:p>
            <w:pPr>
              <w:ind w:left="20"/>
              <w:spacing w:after="0" w:line="119" w:lineRule="exact"/>
              <w:rPr>
                <w:sz w:val="20"/>
                <w:szCs w:val="20"/>
                <w:color w:val="auto"/>
              </w:rPr>
            </w:pPr>
            <w:r>
              <w:rPr>
                <w:rFonts w:ascii="Arial" w:cs="Arial" w:eastAsia="Arial" w:hAnsi="Arial"/>
                <w:sz w:val="11"/>
                <w:szCs w:val="11"/>
                <w:b w:val="1"/>
                <w:bCs w:val="1"/>
                <w:color w:val="auto"/>
                <w:w w:val="85"/>
              </w:rPr>
              <w:t>Internet Services</w:t>
            </w:r>
          </w:p>
        </w:tc>
        <w:tc>
          <w:tcPr>
            <w:tcW w:w="14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260" w:type="dxa"/>
            <w:vAlign w:val="bottom"/>
            <w:gridSpan w:val="2"/>
          </w:tcPr>
          <w:p>
            <w:pPr>
              <w:ind w:left="20"/>
              <w:spacing w:after="0" w:line="104" w:lineRule="exact"/>
              <w:rPr>
                <w:sz w:val="20"/>
                <w:szCs w:val="20"/>
                <w:color w:val="auto"/>
              </w:rPr>
            </w:pPr>
            <w:r>
              <w:rPr>
                <w:rFonts w:ascii="Arial" w:cs="Arial" w:eastAsia="Arial" w:hAnsi="Arial"/>
                <w:sz w:val="11"/>
                <w:szCs w:val="11"/>
                <w:color w:val="auto"/>
              </w:rPr>
              <w:t>Bayshore Intermediate #2,</w:t>
            </w:r>
          </w:p>
        </w:tc>
        <w:tc>
          <w:tcPr>
            <w:tcW w:w="2760" w:type="dxa"/>
            <w:vAlign w:val="bottom"/>
          </w:tcPr>
          <w:p>
            <w:pPr>
              <w:ind w:left="340"/>
              <w:spacing w:after="0" w:line="104" w:lineRule="exact"/>
              <w:rPr>
                <w:sz w:val="20"/>
                <w:szCs w:val="20"/>
                <w:color w:val="auto"/>
              </w:rPr>
            </w:pPr>
            <w:r>
              <w:rPr>
                <w:rFonts w:ascii="Arial" w:cs="Arial" w:eastAsia="Arial" w:hAnsi="Arial"/>
                <w:sz w:val="11"/>
                <w:szCs w:val="11"/>
                <w:color w:val="auto"/>
              </w:rPr>
              <w:t>Common Units (12,330,709 units)</w:t>
            </w:r>
          </w:p>
        </w:tc>
        <w:tc>
          <w:tcPr>
            <w:tcW w:w="1180" w:type="dxa"/>
            <w:vAlign w:val="bottom"/>
          </w:tcPr>
          <w:p>
            <w:pPr>
              <w:jc w:val="right"/>
              <w:ind w:right="187"/>
              <w:spacing w:after="0" w:line="104" w:lineRule="exact"/>
              <w:rPr>
                <w:sz w:val="20"/>
                <w:szCs w:val="20"/>
                <w:color w:val="auto"/>
              </w:rPr>
            </w:pPr>
            <w:r>
              <w:rPr>
                <w:rFonts w:ascii="Arial" w:cs="Arial" w:eastAsia="Arial" w:hAnsi="Arial"/>
                <w:sz w:val="11"/>
                <w:szCs w:val="11"/>
                <w:color w:val="auto"/>
              </w:rPr>
              <w:t>10/1/2021</w:t>
            </w:r>
          </w:p>
        </w:tc>
        <w:tc>
          <w:tcPr>
            <w:tcW w:w="10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jc w:val="right"/>
              <w:spacing w:after="0" w:line="104" w:lineRule="exact"/>
              <w:rPr>
                <w:sz w:val="20"/>
                <w:szCs w:val="20"/>
                <w:color w:val="auto"/>
              </w:rPr>
            </w:pPr>
            <w:r>
              <w:rPr>
                <w:rFonts w:ascii="Arial" w:cs="Arial" w:eastAsia="Arial" w:hAnsi="Arial"/>
                <w:sz w:val="11"/>
                <w:szCs w:val="11"/>
                <w:color w:val="auto"/>
              </w:rPr>
              <w:t>12,331</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spacing w:after="0" w:line="104" w:lineRule="exact"/>
              <w:rPr>
                <w:sz w:val="20"/>
                <w:szCs w:val="20"/>
                <w:color w:val="auto"/>
              </w:rPr>
            </w:pPr>
            <w:r>
              <w:rPr>
                <w:rFonts w:ascii="Arial" w:cs="Arial" w:eastAsia="Arial" w:hAnsi="Arial"/>
                <w:sz w:val="11"/>
                <w:szCs w:val="11"/>
                <w:color w:val="auto"/>
              </w:rPr>
              <w:t>12,331</w:t>
            </w:r>
          </w:p>
        </w:tc>
        <w:tc>
          <w:tcPr>
            <w:tcW w:w="1140" w:type="dxa"/>
            <w:vAlign w:val="bottom"/>
            <w:gridSpan w:val="3"/>
          </w:tcPr>
          <w:p>
            <w:pPr>
              <w:jc w:val="right"/>
              <w:spacing w:after="0" w:line="104" w:lineRule="exact"/>
              <w:rPr>
                <w:sz w:val="20"/>
                <w:szCs w:val="20"/>
                <w:color w:val="auto"/>
              </w:rPr>
            </w:pPr>
            <w:r>
              <w:rPr>
                <w:rFonts w:ascii="Arial" w:cs="Arial" w:eastAsia="Arial" w:hAnsi="Arial"/>
                <w:sz w:val="11"/>
                <w:szCs w:val="11"/>
                <w:color w:val="auto"/>
              </w:rPr>
              <w:t>1.0 %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800" w:type="dxa"/>
            <w:vAlign w:val="bottom"/>
          </w:tcPr>
          <w:p>
            <w:pPr>
              <w:ind w:left="100"/>
              <w:spacing w:after="0" w:line="119" w:lineRule="exact"/>
              <w:rPr>
                <w:sz w:val="20"/>
                <w:szCs w:val="20"/>
                <w:color w:val="auto"/>
              </w:rPr>
            </w:pPr>
            <w:r>
              <w:rPr>
                <w:rFonts w:ascii="Arial" w:cs="Arial" w:eastAsia="Arial" w:hAnsi="Arial"/>
                <w:sz w:val="13"/>
                <w:szCs w:val="13"/>
                <w:color w:val="auto"/>
                <w:vertAlign w:val="subscript"/>
              </w:rPr>
              <w:t>L.P.</w:t>
            </w:r>
            <w:r>
              <w:rPr>
                <w:rFonts w:ascii="Arial" w:cs="Arial" w:eastAsia="Arial" w:hAnsi="Arial"/>
                <w:sz w:val="6"/>
                <w:szCs w:val="6"/>
                <w:color w:val="auto"/>
              </w:rPr>
              <w:t xml:space="preserve"> (12)(13)(14)</w:t>
            </w:r>
          </w:p>
        </w:tc>
        <w:tc>
          <w:tcPr>
            <w:tcW w:w="14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Lucidworks, Inc. </w:t>
            </w:r>
            <w:r>
              <w:rPr>
                <w:rFonts w:ascii="Arial" w:cs="Arial" w:eastAsia="Arial" w:hAnsi="Arial"/>
                <w:sz w:val="14"/>
                <w:szCs w:val="14"/>
                <w:color w:val="auto"/>
                <w:vertAlign w:val="superscript"/>
              </w:rPr>
              <w:t>(12)</w:t>
            </w:r>
          </w:p>
        </w:tc>
        <w:tc>
          <w:tcPr>
            <w:tcW w:w="2760" w:type="dxa"/>
            <w:vAlign w:val="bottom"/>
          </w:tcPr>
          <w:p>
            <w:pPr>
              <w:ind w:left="340"/>
              <w:spacing w:after="0"/>
              <w:rPr>
                <w:sz w:val="20"/>
                <w:szCs w:val="20"/>
                <w:color w:val="auto"/>
              </w:rPr>
            </w:pPr>
            <w:r>
              <w:rPr>
                <w:rFonts w:ascii="Arial" w:cs="Arial" w:eastAsia="Arial" w:hAnsi="Arial"/>
                <w:sz w:val="11"/>
                <w:szCs w:val="11"/>
                <w:color w:val="auto"/>
              </w:rPr>
              <w:t>Series F Preferred Shares (199,054 shares)</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8/2/2019</w:t>
            </w: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800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892</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60" w:type="dxa"/>
            <w:vAlign w:val="bottom"/>
            <w:gridSpan w:val="2"/>
          </w:tcPr>
          <w:p>
            <w:pPr>
              <w:ind w:left="20"/>
              <w:spacing w:after="0"/>
              <w:rPr>
                <w:sz w:val="20"/>
                <w:szCs w:val="20"/>
                <w:color w:val="auto"/>
              </w:rPr>
            </w:pPr>
            <w:r>
              <w:rPr>
                <w:rFonts w:ascii="Arial" w:cs="Arial" w:eastAsia="Arial" w:hAnsi="Arial"/>
                <w:sz w:val="11"/>
                <w:szCs w:val="11"/>
                <w:color w:val="auto"/>
              </w:rPr>
              <w:t xml:space="preserve">Piano Software, Inc. </w:t>
            </w:r>
            <w:r>
              <w:rPr>
                <w:rFonts w:ascii="Arial" w:cs="Arial" w:eastAsia="Arial" w:hAnsi="Arial"/>
                <w:sz w:val="14"/>
                <w:szCs w:val="14"/>
                <w:color w:val="auto"/>
                <w:vertAlign w:val="superscript"/>
              </w:rPr>
              <w:t>(12)(13)</w:t>
            </w:r>
          </w:p>
        </w:tc>
        <w:tc>
          <w:tcPr>
            <w:tcW w:w="2760" w:type="dxa"/>
            <w:vAlign w:val="bottom"/>
          </w:tcPr>
          <w:p>
            <w:pPr>
              <w:ind w:left="340"/>
              <w:spacing w:after="0"/>
              <w:rPr>
                <w:sz w:val="20"/>
                <w:szCs w:val="20"/>
                <w:color w:val="auto"/>
              </w:rPr>
            </w:pPr>
            <w:r>
              <w:rPr>
                <w:rFonts w:ascii="Arial" w:cs="Arial" w:eastAsia="Arial" w:hAnsi="Arial"/>
                <w:sz w:val="11"/>
                <w:szCs w:val="11"/>
                <w:color w:val="auto"/>
              </w:rPr>
              <w:t>Series C-1 Preferred Shares (418,527 shares)</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12/22/2021</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3,000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3,000</w:t>
            </w:r>
          </w:p>
        </w:tc>
        <w:tc>
          <w:tcPr>
            <w:tcW w:w="2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0.2 %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16,131</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16,223</w:t>
            </w:r>
          </w:p>
        </w:tc>
        <w:tc>
          <w:tcPr>
            <w:tcW w:w="20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260" w:type="dxa"/>
            <w:vAlign w:val="bottom"/>
            <w:gridSpan w:val="2"/>
          </w:tcPr>
          <w:p>
            <w:pPr>
              <w:ind w:left="20"/>
              <w:spacing w:after="0" w:line="99" w:lineRule="exact"/>
              <w:rPr>
                <w:sz w:val="20"/>
                <w:szCs w:val="20"/>
                <w:color w:val="auto"/>
              </w:rPr>
            </w:pPr>
            <w:r>
              <w:rPr>
                <w:rFonts w:ascii="Arial" w:cs="Arial" w:eastAsia="Arial" w:hAnsi="Arial"/>
                <w:sz w:val="11"/>
                <w:szCs w:val="11"/>
                <w:b w:val="1"/>
                <w:bCs w:val="1"/>
                <w:color w:val="auto"/>
              </w:rPr>
              <w:t>Marketing Services</w:t>
            </w:r>
          </w:p>
        </w:tc>
        <w:tc>
          <w:tcPr>
            <w:tcW w:w="2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800" w:type="dxa"/>
            <w:vAlign w:val="bottom"/>
          </w:tcPr>
          <w:p>
            <w:pPr>
              <w:ind w:left="20"/>
              <w:spacing w:after="0" w:line="151" w:lineRule="exact"/>
              <w:rPr>
                <w:sz w:val="20"/>
                <w:szCs w:val="20"/>
                <w:color w:val="auto"/>
              </w:rPr>
            </w:pPr>
            <w:r>
              <w:rPr>
                <w:rFonts w:ascii="Arial" w:cs="Arial" w:eastAsia="Arial" w:hAnsi="Arial"/>
                <w:sz w:val="11"/>
                <w:szCs w:val="11"/>
                <w:color w:val="auto"/>
                <w:w w:val="96"/>
              </w:rPr>
              <w:t xml:space="preserve">Validity, Inc. </w:t>
            </w:r>
            <w:r>
              <w:rPr>
                <w:rFonts w:ascii="Arial" w:cs="Arial" w:eastAsia="Arial" w:hAnsi="Arial"/>
                <w:sz w:val="14"/>
                <w:szCs w:val="14"/>
                <w:color w:val="auto"/>
                <w:w w:val="96"/>
                <w:vertAlign w:val="superscript"/>
              </w:rPr>
              <w:t>(12)</w:t>
            </w:r>
          </w:p>
        </w:tc>
        <w:tc>
          <w:tcPr>
            <w:tcW w:w="1460" w:type="dxa"/>
            <w:vAlign w:val="bottom"/>
          </w:tcPr>
          <w:p>
            <w:pPr>
              <w:spacing w:after="0"/>
              <w:rPr>
                <w:sz w:val="13"/>
                <w:szCs w:val="13"/>
                <w:color w:val="auto"/>
              </w:rPr>
            </w:pPr>
          </w:p>
        </w:tc>
        <w:tc>
          <w:tcPr>
            <w:tcW w:w="2760" w:type="dxa"/>
            <w:vAlign w:val="bottom"/>
          </w:tcPr>
          <w:p>
            <w:pPr>
              <w:ind w:left="340"/>
              <w:spacing w:after="0"/>
              <w:rPr>
                <w:sz w:val="20"/>
                <w:szCs w:val="20"/>
                <w:color w:val="auto"/>
              </w:rPr>
            </w:pPr>
            <w:r>
              <w:rPr>
                <w:rFonts w:ascii="Arial" w:cs="Arial" w:eastAsia="Arial" w:hAnsi="Arial"/>
                <w:sz w:val="11"/>
                <w:szCs w:val="11"/>
                <w:color w:val="auto"/>
              </w:rPr>
              <w:t>Series A Preferred Shares (3,840,000 shares)</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5/31/2018</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3,840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11,520</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0.9 %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2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Oil, Gas and Consumable Fuels</w:t>
            </w:r>
          </w:p>
        </w:tc>
        <w:tc>
          <w:tcPr>
            <w:tcW w:w="2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260" w:type="dxa"/>
            <w:vAlign w:val="bottom"/>
            <w:gridSpan w:val="2"/>
          </w:tcPr>
          <w:p>
            <w:pPr>
              <w:ind w:left="20"/>
              <w:spacing w:after="0" w:line="151" w:lineRule="exact"/>
              <w:rPr>
                <w:sz w:val="20"/>
                <w:szCs w:val="20"/>
                <w:color w:val="auto"/>
              </w:rPr>
            </w:pPr>
            <w:r>
              <w:rPr>
                <w:rFonts w:ascii="Arial" w:cs="Arial" w:eastAsia="Arial" w:hAnsi="Arial"/>
                <w:sz w:val="11"/>
                <w:szCs w:val="11"/>
                <w:color w:val="auto"/>
              </w:rPr>
              <w:t xml:space="preserve">Murchison Oil and Gas, LLC </w:t>
            </w:r>
            <w:r>
              <w:rPr>
                <w:rFonts w:ascii="Arial" w:cs="Arial" w:eastAsia="Arial" w:hAnsi="Arial"/>
                <w:sz w:val="14"/>
                <w:szCs w:val="14"/>
                <w:color w:val="auto"/>
                <w:vertAlign w:val="superscript"/>
              </w:rPr>
              <w:t>(13)(14)</w:t>
            </w:r>
          </w:p>
        </w:tc>
        <w:tc>
          <w:tcPr>
            <w:tcW w:w="2760" w:type="dxa"/>
            <w:vAlign w:val="bottom"/>
          </w:tcPr>
          <w:p>
            <w:pPr>
              <w:ind w:left="340"/>
              <w:spacing w:after="0"/>
              <w:rPr>
                <w:sz w:val="20"/>
                <w:szCs w:val="20"/>
                <w:color w:val="auto"/>
              </w:rPr>
            </w:pPr>
            <w:r>
              <w:rPr>
                <w:rFonts w:ascii="Arial" w:cs="Arial" w:eastAsia="Arial" w:hAnsi="Arial"/>
                <w:sz w:val="11"/>
                <w:szCs w:val="11"/>
                <w:color w:val="auto"/>
              </w:rPr>
              <w:t>13,355 Preferred Units</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6/30/2022</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13,355</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13,355</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1.1 %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800" w:type="dxa"/>
            <w:vAlign w:val="bottom"/>
          </w:tcPr>
          <w:p>
            <w:pPr>
              <w:ind w:left="20"/>
              <w:spacing w:after="0" w:line="119" w:lineRule="exact"/>
              <w:rPr>
                <w:sz w:val="20"/>
                <w:szCs w:val="20"/>
                <w:color w:val="auto"/>
              </w:rPr>
            </w:pPr>
            <w:r>
              <w:rPr>
                <w:rFonts w:ascii="Arial" w:cs="Arial" w:eastAsia="Arial" w:hAnsi="Arial"/>
                <w:sz w:val="11"/>
                <w:szCs w:val="11"/>
                <w:b w:val="1"/>
                <w:bCs w:val="1"/>
                <w:color w:val="auto"/>
                <w:w w:val="86"/>
              </w:rPr>
              <w:t>Pharmaceuticals</w:t>
            </w:r>
          </w:p>
        </w:tc>
        <w:tc>
          <w:tcPr>
            <w:tcW w:w="14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260" w:type="dxa"/>
            <w:vAlign w:val="bottom"/>
            <w:gridSpan w:val="2"/>
          </w:tcPr>
          <w:p>
            <w:pPr>
              <w:ind w:left="20"/>
              <w:spacing w:after="0" w:line="151" w:lineRule="exact"/>
              <w:rPr>
                <w:sz w:val="20"/>
                <w:szCs w:val="20"/>
                <w:color w:val="auto"/>
              </w:rPr>
            </w:pPr>
            <w:r>
              <w:rPr>
                <w:rFonts w:ascii="Arial" w:cs="Arial" w:eastAsia="Arial" w:hAnsi="Arial"/>
                <w:sz w:val="11"/>
                <w:szCs w:val="11"/>
                <w:color w:val="auto"/>
              </w:rPr>
              <w:t xml:space="preserve">TherapeuticsMD, Inc. </w:t>
            </w:r>
            <w:r>
              <w:rPr>
                <w:rFonts w:ascii="Arial" w:cs="Arial" w:eastAsia="Arial" w:hAnsi="Arial"/>
                <w:sz w:val="14"/>
                <w:szCs w:val="14"/>
                <w:color w:val="auto"/>
                <w:vertAlign w:val="superscript"/>
              </w:rPr>
              <w:t>(12)</w:t>
            </w:r>
          </w:p>
        </w:tc>
        <w:tc>
          <w:tcPr>
            <w:tcW w:w="2760" w:type="dxa"/>
            <w:vAlign w:val="bottom"/>
          </w:tcPr>
          <w:p>
            <w:pPr>
              <w:ind w:left="340"/>
              <w:spacing w:after="0"/>
              <w:rPr>
                <w:sz w:val="20"/>
                <w:szCs w:val="20"/>
                <w:color w:val="auto"/>
              </w:rPr>
            </w:pPr>
            <w:r>
              <w:rPr>
                <w:rFonts w:ascii="Arial" w:cs="Arial" w:eastAsia="Arial" w:hAnsi="Arial"/>
                <w:sz w:val="11"/>
                <w:szCs w:val="11"/>
                <w:color w:val="auto"/>
              </w:rPr>
              <w:t>712,817 Warrants</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8/5/2020</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1,029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2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Retail and Consumer Products</w:t>
            </w:r>
          </w:p>
        </w:tc>
        <w:tc>
          <w:tcPr>
            <w:tcW w:w="2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American Achievement, Corp. </w:t>
            </w:r>
            <w:r>
              <w:rPr>
                <w:rFonts w:ascii="Arial" w:cs="Arial" w:eastAsia="Arial" w:hAnsi="Arial"/>
                <w:sz w:val="14"/>
                <w:szCs w:val="14"/>
                <w:color w:val="auto"/>
                <w:vertAlign w:val="superscript"/>
              </w:rPr>
              <w:t>(12)</w:t>
            </w:r>
          </w:p>
        </w:tc>
        <w:tc>
          <w:tcPr>
            <w:tcW w:w="2760" w:type="dxa"/>
            <w:vAlign w:val="bottom"/>
          </w:tcPr>
          <w:p>
            <w:pPr>
              <w:ind w:left="340"/>
              <w:spacing w:after="0"/>
              <w:rPr>
                <w:sz w:val="20"/>
                <w:szCs w:val="20"/>
                <w:color w:val="auto"/>
              </w:rPr>
            </w:pPr>
            <w:r>
              <w:rPr>
                <w:rFonts w:ascii="Arial" w:cs="Arial" w:eastAsia="Arial" w:hAnsi="Arial"/>
                <w:sz w:val="11"/>
                <w:szCs w:val="11"/>
                <w:color w:val="auto"/>
              </w:rPr>
              <w:t>Class A Units (687 units)</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3/16/2021</w:t>
            </w: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50</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0.0 %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0"/>
              <w:spacing w:after="0" w:line="155" w:lineRule="exact"/>
              <w:rPr>
                <w:sz w:val="20"/>
                <w:szCs w:val="20"/>
                <w:color w:val="auto"/>
              </w:rPr>
            </w:pPr>
            <w:r>
              <w:rPr>
                <w:rFonts w:ascii="Arial" w:cs="Arial" w:eastAsia="Arial" w:hAnsi="Arial"/>
                <w:sz w:val="11"/>
                <w:szCs w:val="11"/>
                <w:color w:val="auto"/>
              </w:rPr>
              <w:t xml:space="preserve">Copper Bidco, LLC </w:t>
            </w:r>
            <w:r>
              <w:rPr>
                <w:rFonts w:ascii="Arial" w:cs="Arial" w:eastAsia="Arial" w:hAnsi="Arial"/>
                <w:sz w:val="14"/>
                <w:szCs w:val="14"/>
                <w:color w:val="auto"/>
                <w:vertAlign w:val="superscript"/>
              </w:rPr>
              <w:t>(10)</w:t>
            </w:r>
          </w:p>
        </w:tc>
        <w:tc>
          <w:tcPr>
            <w:tcW w:w="2760" w:type="dxa"/>
            <w:vAlign w:val="bottom"/>
          </w:tcPr>
          <w:p>
            <w:pPr>
              <w:ind w:left="340"/>
              <w:spacing w:after="0"/>
              <w:rPr>
                <w:sz w:val="20"/>
                <w:szCs w:val="20"/>
                <w:color w:val="auto"/>
              </w:rPr>
            </w:pPr>
            <w:r>
              <w:rPr>
                <w:rFonts w:ascii="Arial" w:cs="Arial" w:eastAsia="Arial" w:hAnsi="Arial"/>
                <w:sz w:val="11"/>
                <w:szCs w:val="11"/>
                <w:color w:val="auto"/>
              </w:rPr>
              <w:t>Trust Certificates (132,928 Certificates)</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12/7/2020</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493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731</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0.1 %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60" w:type="dxa"/>
            <w:vAlign w:val="bottom"/>
            <w:gridSpan w:val="2"/>
            <w:vMerge w:val="restart"/>
          </w:tcPr>
          <w:p>
            <w:pPr>
              <w:ind w:left="20"/>
              <w:spacing w:after="0"/>
              <w:rPr>
                <w:sz w:val="20"/>
                <w:szCs w:val="20"/>
                <w:color w:val="auto"/>
              </w:rPr>
            </w:pPr>
            <w:r>
              <w:rPr>
                <w:rFonts w:ascii="Arial" w:cs="Arial" w:eastAsia="Arial" w:hAnsi="Arial"/>
                <w:sz w:val="11"/>
                <w:szCs w:val="11"/>
                <w:color w:val="auto"/>
              </w:rPr>
              <w:t xml:space="preserve">Neuintel, LLC </w:t>
            </w:r>
            <w:r>
              <w:rPr>
                <w:rFonts w:ascii="Arial" w:cs="Arial" w:eastAsia="Arial" w:hAnsi="Arial"/>
                <w:sz w:val="14"/>
                <w:szCs w:val="14"/>
                <w:color w:val="auto"/>
                <w:vertAlign w:val="superscript"/>
              </w:rPr>
              <w:t>(12)(13)(14)</w:t>
            </w:r>
          </w:p>
        </w:tc>
        <w:tc>
          <w:tcPr>
            <w:tcW w:w="2760" w:type="dxa"/>
            <w:vAlign w:val="bottom"/>
          </w:tcPr>
          <w:p>
            <w:pPr>
              <w:ind w:left="340"/>
              <w:spacing w:after="0"/>
              <w:rPr>
                <w:sz w:val="20"/>
                <w:szCs w:val="20"/>
                <w:color w:val="auto"/>
              </w:rPr>
            </w:pPr>
            <w:r>
              <w:rPr>
                <w:rFonts w:ascii="Arial" w:cs="Arial" w:eastAsia="Arial" w:hAnsi="Arial"/>
                <w:sz w:val="11"/>
                <w:szCs w:val="11"/>
                <w:color w:val="auto"/>
              </w:rPr>
              <w:t>Trust Certificates (996,958 Certificates)</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1/30/2021</w:t>
            </w: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4,586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12,292</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1.0 %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60" w:type="dxa"/>
            <w:vAlign w:val="bottom"/>
            <w:gridSpan w:val="2"/>
            <w:vMerge w:val="continue"/>
          </w:tcPr>
          <w:p>
            <w:pPr>
              <w:spacing w:after="0"/>
              <w:rPr>
                <w:sz w:val="12"/>
                <w:szCs w:val="12"/>
                <w:color w:val="auto"/>
              </w:rPr>
            </w:pPr>
          </w:p>
        </w:tc>
        <w:tc>
          <w:tcPr>
            <w:tcW w:w="2760" w:type="dxa"/>
            <w:vAlign w:val="bottom"/>
          </w:tcPr>
          <w:p>
            <w:pPr>
              <w:ind w:left="340"/>
              <w:spacing w:after="0"/>
              <w:rPr>
                <w:sz w:val="20"/>
                <w:szCs w:val="20"/>
                <w:color w:val="auto"/>
              </w:rPr>
            </w:pPr>
            <w:r>
              <w:rPr>
                <w:rFonts w:ascii="Arial" w:cs="Arial" w:eastAsia="Arial" w:hAnsi="Arial"/>
                <w:sz w:val="11"/>
                <w:szCs w:val="11"/>
                <w:color w:val="auto"/>
              </w:rPr>
              <w:t>Class A Units (1,176,494 units)</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12/21/2021</w:t>
            </w: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3,000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3,000</w:t>
            </w:r>
          </w:p>
        </w:tc>
        <w:tc>
          <w:tcPr>
            <w:tcW w:w="20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0.2 %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8,079</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16,073</w:t>
            </w:r>
          </w:p>
        </w:tc>
        <w:tc>
          <w:tcPr>
            <w:tcW w:w="20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60" w:type="dxa"/>
            <w:vAlign w:val="bottom"/>
            <w:gridSpan w:val="2"/>
            <w:shd w:val="clear" w:color="auto" w:fill="CFF0FC"/>
          </w:tcPr>
          <w:p>
            <w:pPr>
              <w:spacing w:after="0"/>
              <w:rPr>
                <w:sz w:val="11"/>
                <w:szCs w:val="11"/>
                <w:color w:val="auto"/>
              </w:rPr>
            </w:pPr>
          </w:p>
        </w:tc>
        <w:tc>
          <w:tcPr>
            <w:tcW w:w="27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ind w:left="20"/>
              <w:spacing w:after="0"/>
              <w:rPr>
                <w:sz w:val="20"/>
                <w:szCs w:val="20"/>
                <w:color w:val="auto"/>
              </w:rPr>
            </w:pPr>
            <w:r>
              <w:rPr>
                <w:rFonts w:ascii="Arial" w:cs="Arial" w:eastAsia="Arial" w:hAnsi="Arial"/>
                <w:sz w:val="11"/>
                <w:szCs w:val="11"/>
                <w:b w:val="1"/>
                <w:bCs w:val="1"/>
                <w:color w:val="auto"/>
              </w:rPr>
              <w:t>Structured Products</w:t>
            </w:r>
          </w:p>
        </w:tc>
        <w:tc>
          <w:tcPr>
            <w:tcW w:w="2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00" w:type="dxa"/>
            <w:vAlign w:val="bottom"/>
            <w:shd w:val="clear" w:color="auto" w:fill="CFF0FC"/>
          </w:tcPr>
          <w:p>
            <w:pPr>
              <w:ind w:left="20"/>
              <w:spacing w:after="0" w:line="99" w:lineRule="exact"/>
              <w:rPr>
                <w:sz w:val="20"/>
                <w:szCs w:val="20"/>
                <w:color w:val="auto"/>
              </w:rPr>
            </w:pPr>
            <w:r>
              <w:rPr>
                <w:rFonts w:ascii="Arial" w:cs="Arial" w:eastAsia="Arial" w:hAnsi="Arial"/>
                <w:sz w:val="11"/>
                <w:szCs w:val="11"/>
                <w:color w:val="auto"/>
                <w:w w:val="93"/>
              </w:rPr>
              <w:t>Allegro CLO Ltd,</w:t>
            </w:r>
          </w:p>
        </w:tc>
        <w:tc>
          <w:tcPr>
            <w:tcW w:w="1460" w:type="dxa"/>
            <w:vAlign w:val="bottom"/>
            <w:vMerge w:val="restart"/>
            <w:shd w:val="clear" w:color="auto" w:fill="CFF0FC"/>
          </w:tcPr>
          <w:p>
            <w:pPr>
              <w:jc w:val="right"/>
              <w:ind w:right="1104"/>
              <w:spacing w:after="0"/>
              <w:rPr>
                <w:sz w:val="20"/>
                <w:szCs w:val="20"/>
                <w:color w:val="auto"/>
              </w:rPr>
            </w:pPr>
            <w:r>
              <w:rPr>
                <w:rFonts w:ascii="Arial" w:cs="Arial" w:eastAsia="Arial" w:hAnsi="Arial"/>
                <w:sz w:val="7"/>
                <w:szCs w:val="7"/>
                <w:color w:val="auto"/>
              </w:rPr>
              <w:t>(3)(4)(10)</w:t>
            </w:r>
          </w:p>
        </w:tc>
        <w:tc>
          <w:tcPr>
            <w:tcW w:w="2760" w:type="dxa"/>
            <w:vAlign w:val="bottom"/>
            <w:shd w:val="clear" w:color="auto" w:fill="CFF0FC"/>
          </w:tcPr>
          <w:p>
            <w:pPr>
              <w:ind w:left="340"/>
              <w:spacing w:after="0" w:line="99" w:lineRule="exact"/>
              <w:rPr>
                <w:sz w:val="20"/>
                <w:szCs w:val="20"/>
                <w:color w:val="auto"/>
              </w:rPr>
            </w:pPr>
            <w:r>
              <w:rPr>
                <w:rFonts w:ascii="Arial" w:cs="Arial" w:eastAsia="Arial" w:hAnsi="Arial"/>
                <w:sz w:val="11"/>
                <w:szCs w:val="11"/>
                <w:color w:val="auto"/>
              </w:rPr>
              <w:t>Structured Product ($1,000 par, due 6/2031)</w:t>
            </w:r>
          </w:p>
        </w:tc>
        <w:tc>
          <w:tcPr>
            <w:tcW w:w="1180" w:type="dxa"/>
            <w:vAlign w:val="bottom"/>
            <w:shd w:val="clear" w:color="auto" w:fill="CFF0FC"/>
          </w:tcPr>
          <w:p>
            <w:pPr>
              <w:jc w:val="right"/>
              <w:ind w:right="187"/>
              <w:spacing w:after="0" w:line="99" w:lineRule="exact"/>
              <w:rPr>
                <w:sz w:val="20"/>
                <w:szCs w:val="20"/>
                <w:color w:val="auto"/>
              </w:rPr>
            </w:pPr>
            <w:r>
              <w:rPr>
                <w:rFonts w:ascii="Arial" w:cs="Arial" w:eastAsia="Arial" w:hAnsi="Arial"/>
                <w:sz w:val="11"/>
                <w:szCs w:val="11"/>
                <w:color w:val="auto"/>
              </w:rPr>
              <w:t>5/26/2022</w:t>
            </w:r>
          </w:p>
        </w:tc>
        <w:tc>
          <w:tcPr>
            <w:tcW w:w="1080" w:type="dxa"/>
            <w:vAlign w:val="bottom"/>
            <w:shd w:val="clear" w:color="auto" w:fill="CFF0FC"/>
          </w:tcPr>
          <w:p>
            <w:pPr>
              <w:ind w:left="220"/>
              <w:spacing w:after="0" w:line="99" w:lineRule="exact"/>
              <w:rPr>
                <w:sz w:val="20"/>
                <w:szCs w:val="20"/>
                <w:color w:val="auto"/>
              </w:rPr>
            </w:pPr>
            <w:r>
              <w:rPr>
                <w:rFonts w:ascii="Arial" w:cs="Arial" w:eastAsia="Arial" w:hAnsi="Arial"/>
                <w:sz w:val="11"/>
                <w:szCs w:val="11"/>
                <w:color w:val="auto"/>
              </w:rPr>
              <w:t>L + 2.85%</w:t>
            </w:r>
          </w:p>
        </w:tc>
        <w:tc>
          <w:tcPr>
            <w:tcW w:w="880" w:type="dxa"/>
            <w:vAlign w:val="bottom"/>
            <w:shd w:val="clear" w:color="auto" w:fill="CFF0FC"/>
          </w:tcPr>
          <w:p>
            <w:pPr>
              <w:jc w:val="right"/>
              <w:ind w:right="68"/>
              <w:spacing w:after="0" w:line="99" w:lineRule="exact"/>
              <w:rPr>
                <w:sz w:val="20"/>
                <w:szCs w:val="20"/>
                <w:color w:val="auto"/>
              </w:rPr>
            </w:pPr>
            <w:r>
              <w:rPr>
                <w:rFonts w:ascii="Arial" w:cs="Arial" w:eastAsia="Arial" w:hAnsi="Arial"/>
                <w:sz w:val="11"/>
                <w:szCs w:val="11"/>
                <w:color w:val="auto"/>
              </w:rPr>
              <w:t>3.89 %</w:t>
            </w:r>
          </w:p>
        </w:tc>
        <w:tc>
          <w:tcPr>
            <w:tcW w:w="260" w:type="dxa"/>
            <w:vAlign w:val="bottom"/>
            <w:shd w:val="clear" w:color="auto" w:fill="CFF0FC"/>
          </w:tcPr>
          <w:p>
            <w:pPr>
              <w:spacing w:after="0"/>
              <w:rPr>
                <w:sz w:val="8"/>
                <w:szCs w:val="8"/>
                <w:color w:val="auto"/>
              </w:rPr>
            </w:pPr>
          </w:p>
        </w:tc>
        <w:tc>
          <w:tcPr>
            <w:tcW w:w="640" w:type="dxa"/>
            <w:vAlign w:val="bottom"/>
            <w:shd w:val="clear" w:color="auto" w:fill="CFF0FC"/>
          </w:tcPr>
          <w:p>
            <w:pPr>
              <w:jc w:val="right"/>
              <w:spacing w:after="0" w:line="99" w:lineRule="exact"/>
              <w:rPr>
                <w:sz w:val="20"/>
                <w:szCs w:val="20"/>
                <w:color w:val="auto"/>
              </w:rPr>
            </w:pPr>
            <w:r>
              <w:rPr>
                <w:rFonts w:ascii="Arial" w:cs="Arial" w:eastAsia="Arial" w:hAnsi="Arial"/>
                <w:sz w:val="11"/>
                <w:szCs w:val="11"/>
                <w:color w:val="auto"/>
              </w:rPr>
              <w:t>895</w:t>
            </w:r>
          </w:p>
        </w:tc>
        <w:tc>
          <w:tcPr>
            <w:tcW w:w="2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80" w:type="dxa"/>
            <w:vAlign w:val="bottom"/>
            <w:shd w:val="clear" w:color="auto" w:fill="CFF0FC"/>
          </w:tcPr>
          <w:p>
            <w:pPr>
              <w:jc w:val="right"/>
              <w:spacing w:after="0" w:line="99" w:lineRule="exact"/>
              <w:rPr>
                <w:sz w:val="20"/>
                <w:szCs w:val="20"/>
                <w:color w:val="auto"/>
              </w:rPr>
            </w:pPr>
            <w:r>
              <w:rPr>
                <w:rFonts w:ascii="Arial" w:cs="Arial" w:eastAsia="Arial" w:hAnsi="Arial"/>
                <w:sz w:val="11"/>
                <w:szCs w:val="11"/>
                <w:color w:val="auto"/>
              </w:rPr>
              <w:t>863</w:t>
            </w:r>
          </w:p>
        </w:tc>
        <w:tc>
          <w:tcPr>
            <w:tcW w:w="1140" w:type="dxa"/>
            <w:vAlign w:val="bottom"/>
            <w:gridSpan w:val="3"/>
            <w:shd w:val="clear" w:color="auto" w:fill="CFF0FC"/>
          </w:tcPr>
          <w:p>
            <w:pPr>
              <w:jc w:val="right"/>
              <w:spacing w:after="0" w:line="99" w:lineRule="exact"/>
              <w:rPr>
                <w:sz w:val="20"/>
                <w:szCs w:val="20"/>
                <w:color w:val="auto"/>
              </w:rPr>
            </w:pPr>
            <w:r>
              <w:rPr>
                <w:rFonts w:ascii="Arial" w:cs="Arial" w:eastAsia="Arial" w:hAnsi="Arial"/>
                <w:sz w:val="11"/>
                <w:szCs w:val="11"/>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800" w:type="dxa"/>
            <w:vAlign w:val="bottom"/>
            <w:shd w:val="clear" w:color="auto" w:fill="CFF0FC"/>
          </w:tcPr>
          <w:p>
            <w:pPr>
              <w:ind w:left="100"/>
              <w:spacing w:after="0"/>
              <w:rPr>
                <w:sz w:val="20"/>
                <w:szCs w:val="20"/>
                <w:color w:val="auto"/>
              </w:rPr>
            </w:pPr>
            <w:r>
              <w:rPr>
                <w:rFonts w:ascii="Arial" w:cs="Arial" w:eastAsia="Arial" w:hAnsi="Arial"/>
                <w:sz w:val="11"/>
                <w:szCs w:val="11"/>
                <w:color w:val="auto"/>
                <w:w w:val="86"/>
              </w:rPr>
              <w:t>Series 2018-1A,</w:t>
            </w:r>
          </w:p>
        </w:tc>
        <w:tc>
          <w:tcPr>
            <w:tcW w:w="1460" w:type="dxa"/>
            <w:vAlign w:val="bottom"/>
            <w:vMerge w:val="continue"/>
            <w:shd w:val="clear" w:color="auto" w:fill="CFF0FC"/>
          </w:tcPr>
          <w:p>
            <w:pPr>
              <w:spacing w:after="0"/>
              <w:rPr>
                <w:sz w:val="12"/>
                <w:szCs w:val="12"/>
                <w:color w:val="auto"/>
              </w:rPr>
            </w:pPr>
          </w:p>
        </w:tc>
        <w:tc>
          <w:tcPr>
            <w:tcW w:w="27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260" w:type="dxa"/>
            <w:vAlign w:val="bottom"/>
            <w:gridSpan w:val="2"/>
          </w:tcPr>
          <w:p>
            <w:pPr>
              <w:ind w:left="20"/>
              <w:spacing w:after="0" w:line="99" w:lineRule="exact"/>
              <w:rPr>
                <w:sz w:val="20"/>
                <w:szCs w:val="20"/>
                <w:color w:val="auto"/>
              </w:rPr>
            </w:pPr>
            <w:r>
              <w:rPr>
                <w:rFonts w:ascii="Arial" w:cs="Arial" w:eastAsia="Arial" w:hAnsi="Arial"/>
                <w:sz w:val="11"/>
                <w:szCs w:val="11"/>
                <w:color w:val="auto"/>
              </w:rPr>
              <w:t>American Money Management Corp</w:t>
            </w:r>
          </w:p>
        </w:tc>
        <w:tc>
          <w:tcPr>
            <w:tcW w:w="2760" w:type="dxa"/>
            <w:vAlign w:val="bottom"/>
          </w:tcPr>
          <w:p>
            <w:pPr>
              <w:ind w:left="340"/>
              <w:spacing w:after="0" w:line="99" w:lineRule="exact"/>
              <w:rPr>
                <w:sz w:val="20"/>
                <w:szCs w:val="20"/>
                <w:color w:val="auto"/>
              </w:rPr>
            </w:pPr>
            <w:r>
              <w:rPr>
                <w:rFonts w:ascii="Arial" w:cs="Arial" w:eastAsia="Arial" w:hAnsi="Arial"/>
                <w:sz w:val="11"/>
                <w:szCs w:val="11"/>
                <w:color w:val="auto"/>
              </w:rPr>
              <w:t>Structured Product ($1,500 par, due 5/2031)</w:t>
            </w:r>
          </w:p>
        </w:tc>
        <w:tc>
          <w:tcPr>
            <w:tcW w:w="1180" w:type="dxa"/>
            <w:vAlign w:val="bottom"/>
          </w:tcPr>
          <w:p>
            <w:pPr>
              <w:jc w:val="right"/>
              <w:ind w:right="187"/>
              <w:spacing w:after="0" w:line="99" w:lineRule="exact"/>
              <w:rPr>
                <w:sz w:val="20"/>
                <w:szCs w:val="20"/>
                <w:color w:val="auto"/>
              </w:rPr>
            </w:pPr>
            <w:r>
              <w:rPr>
                <w:rFonts w:ascii="Arial" w:cs="Arial" w:eastAsia="Arial" w:hAnsi="Arial"/>
                <w:sz w:val="11"/>
                <w:szCs w:val="11"/>
                <w:color w:val="auto"/>
              </w:rPr>
              <w:t>6/22/2022</w:t>
            </w:r>
          </w:p>
        </w:tc>
        <w:tc>
          <w:tcPr>
            <w:tcW w:w="1080" w:type="dxa"/>
            <w:vAlign w:val="bottom"/>
          </w:tcPr>
          <w:p>
            <w:pPr>
              <w:ind w:left="220"/>
              <w:spacing w:after="0" w:line="99" w:lineRule="exact"/>
              <w:rPr>
                <w:sz w:val="20"/>
                <w:szCs w:val="20"/>
                <w:color w:val="auto"/>
              </w:rPr>
            </w:pPr>
            <w:r>
              <w:rPr>
                <w:rFonts w:ascii="Arial" w:cs="Arial" w:eastAsia="Arial" w:hAnsi="Arial"/>
                <w:sz w:val="11"/>
                <w:szCs w:val="11"/>
                <w:color w:val="auto"/>
              </w:rPr>
              <w:t>L + 3.05%</w:t>
            </w:r>
          </w:p>
        </w:tc>
        <w:tc>
          <w:tcPr>
            <w:tcW w:w="880" w:type="dxa"/>
            <w:vAlign w:val="bottom"/>
          </w:tcPr>
          <w:p>
            <w:pPr>
              <w:jc w:val="right"/>
              <w:ind w:right="68"/>
              <w:spacing w:after="0" w:line="99" w:lineRule="exact"/>
              <w:rPr>
                <w:sz w:val="20"/>
                <w:szCs w:val="20"/>
                <w:color w:val="auto"/>
              </w:rPr>
            </w:pPr>
            <w:r>
              <w:rPr>
                <w:rFonts w:ascii="Arial" w:cs="Arial" w:eastAsia="Arial" w:hAnsi="Arial"/>
                <w:sz w:val="11"/>
                <w:szCs w:val="11"/>
                <w:color w:val="auto"/>
              </w:rPr>
              <w:t>4.58 %</w:t>
            </w:r>
          </w:p>
        </w:tc>
        <w:tc>
          <w:tcPr>
            <w:tcW w:w="26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Arial" w:cs="Arial" w:eastAsia="Arial" w:hAnsi="Arial"/>
                <w:sz w:val="11"/>
                <w:szCs w:val="11"/>
                <w:color w:val="auto"/>
              </w:rPr>
              <w:t>1,341</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Arial" w:cs="Arial" w:eastAsia="Arial" w:hAnsi="Arial"/>
                <w:sz w:val="11"/>
                <w:szCs w:val="11"/>
                <w:color w:val="auto"/>
              </w:rPr>
              <w:t>1,335</w:t>
            </w:r>
          </w:p>
        </w:tc>
        <w:tc>
          <w:tcPr>
            <w:tcW w:w="1140" w:type="dxa"/>
            <w:vAlign w:val="bottom"/>
            <w:gridSpan w:val="3"/>
          </w:tcPr>
          <w:p>
            <w:pPr>
              <w:jc w:val="right"/>
              <w:spacing w:after="0" w:line="99" w:lineRule="exact"/>
              <w:rPr>
                <w:sz w:val="20"/>
                <w:szCs w:val="20"/>
                <w:color w:val="auto"/>
              </w:rPr>
            </w:pPr>
            <w:r>
              <w:rPr>
                <w:rFonts w:ascii="Arial" w:cs="Arial" w:eastAsia="Arial" w:hAnsi="Arial"/>
                <w:sz w:val="11"/>
                <w:szCs w:val="11"/>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260" w:type="dxa"/>
            <w:vAlign w:val="bottom"/>
            <w:gridSpan w:val="2"/>
          </w:tcPr>
          <w:p>
            <w:pPr>
              <w:ind w:left="100"/>
              <w:spacing w:after="0" w:line="104" w:lineRule="exact"/>
              <w:rPr>
                <w:sz w:val="20"/>
                <w:szCs w:val="20"/>
                <w:color w:val="auto"/>
              </w:rPr>
            </w:pPr>
            <w:r>
              <w:rPr>
                <w:rFonts w:ascii="Arial" w:cs="Arial" w:eastAsia="Arial" w:hAnsi="Arial"/>
                <w:sz w:val="11"/>
                <w:szCs w:val="11"/>
                <w:color w:val="auto"/>
              </w:rPr>
              <w:t>CLO Ltd, Series 2016-18A</w:t>
            </w:r>
          </w:p>
        </w:tc>
        <w:tc>
          <w:tcPr>
            <w:tcW w:w="2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rPr>
                <w:sz w:val="20"/>
                <w:szCs w:val="20"/>
                <w:color w:val="auto"/>
              </w:rPr>
            </w:pPr>
            <w:r>
              <w:rPr>
                <w:rFonts w:ascii="Arial" w:cs="Arial" w:eastAsia="Arial" w:hAnsi="Arial"/>
                <w:sz w:val="7"/>
                <w:szCs w:val="7"/>
                <w:color w:val="auto"/>
              </w:rPr>
              <w:t>(3)(4)(10)</w:t>
            </w:r>
          </w:p>
        </w:tc>
        <w:tc>
          <w:tcPr>
            <w:tcW w:w="146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260" w:type="dxa"/>
            <w:vAlign w:val="bottom"/>
            <w:gridSpan w:val="2"/>
          </w:tcPr>
          <w:p>
            <w:pPr>
              <w:ind w:left="20"/>
              <w:spacing w:after="0"/>
              <w:rPr>
                <w:sz w:val="20"/>
                <w:szCs w:val="20"/>
                <w:color w:val="auto"/>
              </w:rPr>
            </w:pPr>
            <w:r>
              <w:rPr>
                <w:rFonts w:ascii="Arial" w:cs="Arial" w:eastAsia="Arial" w:hAnsi="Arial"/>
                <w:sz w:val="11"/>
                <w:szCs w:val="11"/>
                <w:color w:val="auto"/>
              </w:rPr>
              <w:t xml:space="preserve">Ares CLO Ltd, Series 2021-59A </w:t>
            </w:r>
            <w:r>
              <w:rPr>
                <w:rFonts w:ascii="Arial" w:cs="Arial" w:eastAsia="Arial" w:hAnsi="Arial"/>
                <w:sz w:val="14"/>
                <w:szCs w:val="14"/>
                <w:color w:val="auto"/>
                <w:vertAlign w:val="superscript"/>
              </w:rPr>
              <w:t>(3)(4)(10)</w:t>
            </w:r>
          </w:p>
        </w:tc>
        <w:tc>
          <w:tcPr>
            <w:tcW w:w="2760" w:type="dxa"/>
            <w:vAlign w:val="bottom"/>
          </w:tcPr>
          <w:p>
            <w:pPr>
              <w:ind w:left="340"/>
              <w:spacing w:after="0"/>
              <w:rPr>
                <w:sz w:val="20"/>
                <w:szCs w:val="20"/>
                <w:color w:val="auto"/>
              </w:rPr>
            </w:pPr>
            <w:r>
              <w:rPr>
                <w:rFonts w:ascii="Arial" w:cs="Arial" w:eastAsia="Arial" w:hAnsi="Arial"/>
                <w:sz w:val="11"/>
                <w:szCs w:val="11"/>
                <w:color w:val="auto"/>
              </w:rPr>
              <w:t>Structured Product ($1,000 par, due 4/2034)</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6/23/2022</w:t>
            </w:r>
          </w:p>
        </w:tc>
        <w:tc>
          <w:tcPr>
            <w:tcW w:w="1080" w:type="dxa"/>
            <w:vAlign w:val="bottom"/>
          </w:tcPr>
          <w:p>
            <w:pPr>
              <w:ind w:left="220"/>
              <w:spacing w:after="0"/>
              <w:rPr>
                <w:sz w:val="20"/>
                <w:szCs w:val="20"/>
                <w:color w:val="auto"/>
              </w:rPr>
            </w:pPr>
            <w:r>
              <w:rPr>
                <w:rFonts w:ascii="Arial" w:cs="Arial" w:eastAsia="Arial" w:hAnsi="Arial"/>
                <w:sz w:val="11"/>
                <w:szCs w:val="11"/>
                <w:color w:val="auto"/>
              </w:rPr>
              <w:t>L + 6.25%</w:t>
            </w:r>
          </w:p>
        </w:tc>
        <w:tc>
          <w:tcPr>
            <w:tcW w:w="880" w:type="dxa"/>
            <w:vAlign w:val="bottom"/>
          </w:tcPr>
          <w:p>
            <w:pPr>
              <w:jc w:val="right"/>
              <w:ind w:right="68"/>
              <w:spacing w:after="0"/>
              <w:rPr>
                <w:sz w:val="20"/>
                <w:szCs w:val="20"/>
                <w:color w:val="auto"/>
              </w:rPr>
            </w:pPr>
            <w:r>
              <w:rPr>
                <w:rFonts w:ascii="Arial" w:cs="Arial" w:eastAsia="Arial" w:hAnsi="Arial"/>
                <w:sz w:val="11"/>
                <w:szCs w:val="11"/>
                <w:color w:val="auto"/>
              </w:rPr>
              <w:t>7.43 %</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892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879</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260" w:type="dxa"/>
            <w:vAlign w:val="bottom"/>
            <w:gridSpan w:val="2"/>
          </w:tcPr>
          <w:p>
            <w:pPr>
              <w:ind w:left="20"/>
              <w:spacing w:after="0" w:line="104" w:lineRule="exact"/>
              <w:rPr>
                <w:sz w:val="20"/>
                <w:szCs w:val="20"/>
                <w:color w:val="auto"/>
              </w:rPr>
            </w:pPr>
            <w:r>
              <w:rPr>
                <w:rFonts w:ascii="Arial" w:cs="Arial" w:eastAsia="Arial" w:hAnsi="Arial"/>
                <w:sz w:val="11"/>
                <w:szCs w:val="11"/>
                <w:color w:val="auto"/>
              </w:rPr>
              <w:t>Ares Loan Funding I Ltd,</w:t>
            </w:r>
          </w:p>
        </w:tc>
        <w:tc>
          <w:tcPr>
            <w:tcW w:w="2760" w:type="dxa"/>
            <w:vAlign w:val="bottom"/>
          </w:tcPr>
          <w:p>
            <w:pPr>
              <w:ind w:left="340"/>
              <w:spacing w:after="0" w:line="104" w:lineRule="exact"/>
              <w:rPr>
                <w:sz w:val="20"/>
                <w:szCs w:val="20"/>
                <w:color w:val="auto"/>
              </w:rPr>
            </w:pPr>
            <w:r>
              <w:rPr>
                <w:rFonts w:ascii="Arial" w:cs="Arial" w:eastAsia="Arial" w:hAnsi="Arial"/>
                <w:sz w:val="11"/>
                <w:szCs w:val="11"/>
                <w:color w:val="auto"/>
              </w:rPr>
              <w:t>Structured Product ($1,000 par, due 10/2034)</w:t>
            </w:r>
          </w:p>
        </w:tc>
        <w:tc>
          <w:tcPr>
            <w:tcW w:w="1180" w:type="dxa"/>
            <w:vAlign w:val="bottom"/>
          </w:tcPr>
          <w:p>
            <w:pPr>
              <w:jc w:val="right"/>
              <w:ind w:right="187"/>
              <w:spacing w:after="0" w:line="104" w:lineRule="exact"/>
              <w:rPr>
                <w:sz w:val="20"/>
                <w:szCs w:val="20"/>
                <w:color w:val="auto"/>
              </w:rPr>
            </w:pPr>
            <w:r>
              <w:rPr>
                <w:rFonts w:ascii="Arial" w:cs="Arial" w:eastAsia="Arial" w:hAnsi="Arial"/>
                <w:sz w:val="11"/>
                <w:szCs w:val="11"/>
                <w:color w:val="auto"/>
              </w:rPr>
              <w:t>6/24/2022</w:t>
            </w:r>
          </w:p>
        </w:tc>
        <w:tc>
          <w:tcPr>
            <w:tcW w:w="1080" w:type="dxa"/>
            <w:vAlign w:val="bottom"/>
          </w:tcPr>
          <w:p>
            <w:pPr>
              <w:ind w:left="220"/>
              <w:spacing w:after="0" w:line="104" w:lineRule="exact"/>
              <w:rPr>
                <w:sz w:val="20"/>
                <w:szCs w:val="20"/>
                <w:color w:val="auto"/>
              </w:rPr>
            </w:pPr>
            <w:r>
              <w:rPr>
                <w:rFonts w:ascii="Arial" w:cs="Arial" w:eastAsia="Arial" w:hAnsi="Arial"/>
                <w:sz w:val="11"/>
                <w:szCs w:val="11"/>
                <w:color w:val="auto"/>
              </w:rPr>
              <w:t>L + 6.70%</w:t>
            </w:r>
          </w:p>
        </w:tc>
        <w:tc>
          <w:tcPr>
            <w:tcW w:w="880" w:type="dxa"/>
            <w:vAlign w:val="bottom"/>
          </w:tcPr>
          <w:p>
            <w:pPr>
              <w:jc w:val="right"/>
              <w:ind w:right="68"/>
              <w:spacing w:after="0" w:line="104" w:lineRule="exact"/>
              <w:rPr>
                <w:sz w:val="20"/>
                <w:szCs w:val="20"/>
                <w:color w:val="auto"/>
              </w:rPr>
            </w:pPr>
            <w:r>
              <w:rPr>
                <w:rFonts w:ascii="Arial" w:cs="Arial" w:eastAsia="Arial" w:hAnsi="Arial"/>
                <w:sz w:val="11"/>
                <w:szCs w:val="11"/>
                <w:color w:val="auto"/>
              </w:rPr>
              <w:t>7.74 %</w:t>
            </w:r>
          </w:p>
        </w:tc>
        <w:tc>
          <w:tcPr>
            <w:tcW w:w="260" w:type="dxa"/>
            <w:vAlign w:val="bottom"/>
          </w:tcPr>
          <w:p>
            <w:pPr>
              <w:spacing w:after="0"/>
              <w:rPr>
                <w:sz w:val="9"/>
                <w:szCs w:val="9"/>
                <w:color w:val="auto"/>
              </w:rPr>
            </w:pPr>
          </w:p>
        </w:tc>
        <w:tc>
          <w:tcPr>
            <w:tcW w:w="640" w:type="dxa"/>
            <w:vAlign w:val="bottom"/>
          </w:tcPr>
          <w:p>
            <w:pPr>
              <w:jc w:val="right"/>
              <w:spacing w:after="0" w:line="104" w:lineRule="exact"/>
              <w:rPr>
                <w:sz w:val="20"/>
                <w:szCs w:val="20"/>
                <w:color w:val="auto"/>
              </w:rPr>
            </w:pPr>
            <w:r>
              <w:rPr>
                <w:rFonts w:ascii="Arial" w:cs="Arial" w:eastAsia="Arial" w:hAnsi="Arial"/>
                <w:sz w:val="11"/>
                <w:szCs w:val="11"/>
                <w:color w:val="auto"/>
              </w:rPr>
              <w:t>907</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spacing w:after="0" w:line="104" w:lineRule="exact"/>
              <w:rPr>
                <w:sz w:val="20"/>
                <w:szCs w:val="20"/>
                <w:color w:val="auto"/>
              </w:rPr>
            </w:pPr>
            <w:r>
              <w:rPr>
                <w:rFonts w:ascii="Arial" w:cs="Arial" w:eastAsia="Arial" w:hAnsi="Arial"/>
                <w:sz w:val="11"/>
                <w:szCs w:val="11"/>
                <w:color w:val="auto"/>
              </w:rPr>
              <w:t>907</w:t>
            </w:r>
          </w:p>
        </w:tc>
        <w:tc>
          <w:tcPr>
            <w:tcW w:w="1140" w:type="dxa"/>
            <w:vAlign w:val="bottom"/>
            <w:gridSpan w:val="3"/>
          </w:tcPr>
          <w:p>
            <w:pPr>
              <w:jc w:val="right"/>
              <w:spacing w:after="0" w:line="104" w:lineRule="exact"/>
              <w:rPr>
                <w:sz w:val="20"/>
                <w:szCs w:val="20"/>
                <w:color w:val="auto"/>
              </w:rPr>
            </w:pPr>
            <w:r>
              <w:rPr>
                <w:rFonts w:ascii="Arial" w:cs="Arial" w:eastAsia="Arial" w:hAnsi="Arial"/>
                <w:sz w:val="11"/>
                <w:szCs w:val="11"/>
                <w:color w:val="auto"/>
              </w:rPr>
              <w:t>0.1 %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00"/>
              <w:spacing w:after="0" w:line="149" w:lineRule="exact"/>
              <w:rPr>
                <w:sz w:val="20"/>
                <w:szCs w:val="20"/>
                <w:color w:val="auto"/>
              </w:rPr>
            </w:pPr>
            <w:r>
              <w:rPr>
                <w:rFonts w:ascii="Arial" w:cs="Arial" w:eastAsia="Arial" w:hAnsi="Arial"/>
                <w:sz w:val="11"/>
                <w:szCs w:val="11"/>
                <w:color w:val="auto"/>
              </w:rPr>
              <w:t xml:space="preserve">Series 2021-ALFA, Class E </w:t>
            </w:r>
            <w:r>
              <w:rPr>
                <w:rFonts w:ascii="Arial" w:cs="Arial" w:eastAsia="Arial" w:hAnsi="Arial"/>
                <w:sz w:val="14"/>
                <w:szCs w:val="14"/>
                <w:color w:val="auto"/>
                <w:vertAlign w:val="superscript"/>
              </w:rPr>
              <w:t>(3)(4)(10)</w:t>
            </w:r>
          </w:p>
        </w:tc>
        <w:tc>
          <w:tcPr>
            <w:tcW w:w="2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260" w:type="dxa"/>
            <w:vAlign w:val="bottom"/>
            <w:gridSpan w:val="2"/>
            <w:shd w:val="clear" w:color="auto" w:fill="CFF0FC"/>
          </w:tcPr>
          <w:p>
            <w:pPr>
              <w:ind w:left="20"/>
              <w:spacing w:after="0" w:line="95" w:lineRule="exact"/>
              <w:rPr>
                <w:sz w:val="20"/>
                <w:szCs w:val="20"/>
                <w:color w:val="auto"/>
              </w:rPr>
            </w:pPr>
            <w:r>
              <w:rPr>
                <w:rFonts w:ascii="Arial" w:cs="Arial" w:eastAsia="Arial" w:hAnsi="Arial"/>
                <w:sz w:val="10"/>
                <w:szCs w:val="10"/>
                <w:color w:val="auto"/>
              </w:rPr>
              <w:t>Bain Capital Credit CLO Ltd,</w:t>
            </w:r>
          </w:p>
        </w:tc>
        <w:tc>
          <w:tcPr>
            <w:tcW w:w="2760" w:type="dxa"/>
            <w:vAlign w:val="bottom"/>
            <w:shd w:val="clear" w:color="auto" w:fill="CFF0FC"/>
          </w:tcPr>
          <w:p>
            <w:pPr>
              <w:ind w:left="340"/>
              <w:spacing w:after="0" w:line="95" w:lineRule="exact"/>
              <w:rPr>
                <w:sz w:val="20"/>
                <w:szCs w:val="20"/>
                <w:color w:val="auto"/>
              </w:rPr>
            </w:pPr>
            <w:r>
              <w:rPr>
                <w:rFonts w:ascii="Arial" w:cs="Arial" w:eastAsia="Arial" w:hAnsi="Arial"/>
                <w:sz w:val="10"/>
                <w:szCs w:val="10"/>
                <w:color w:val="auto"/>
              </w:rPr>
              <w:t>Structured Product ($500 par, due 4/2031)</w:t>
            </w:r>
          </w:p>
        </w:tc>
        <w:tc>
          <w:tcPr>
            <w:tcW w:w="1180" w:type="dxa"/>
            <w:vAlign w:val="bottom"/>
            <w:shd w:val="clear" w:color="auto" w:fill="CFF0FC"/>
          </w:tcPr>
          <w:p>
            <w:pPr>
              <w:jc w:val="right"/>
              <w:ind w:right="187"/>
              <w:spacing w:after="0" w:line="95" w:lineRule="exact"/>
              <w:rPr>
                <w:sz w:val="20"/>
                <w:szCs w:val="20"/>
                <w:color w:val="auto"/>
              </w:rPr>
            </w:pPr>
            <w:r>
              <w:rPr>
                <w:rFonts w:ascii="Arial" w:cs="Arial" w:eastAsia="Arial" w:hAnsi="Arial"/>
                <w:sz w:val="10"/>
                <w:szCs w:val="10"/>
                <w:color w:val="auto"/>
              </w:rPr>
              <w:t>10/15/2020</w:t>
            </w:r>
          </w:p>
        </w:tc>
        <w:tc>
          <w:tcPr>
            <w:tcW w:w="1080" w:type="dxa"/>
            <w:vAlign w:val="bottom"/>
            <w:shd w:val="clear" w:color="auto" w:fill="CFF0FC"/>
          </w:tcPr>
          <w:p>
            <w:pPr>
              <w:ind w:left="220"/>
              <w:spacing w:after="0" w:line="95" w:lineRule="exact"/>
              <w:rPr>
                <w:sz w:val="20"/>
                <w:szCs w:val="20"/>
                <w:color w:val="auto"/>
              </w:rPr>
            </w:pPr>
            <w:r>
              <w:rPr>
                <w:rFonts w:ascii="Arial" w:cs="Arial" w:eastAsia="Arial" w:hAnsi="Arial"/>
                <w:sz w:val="10"/>
                <w:szCs w:val="10"/>
                <w:color w:val="auto"/>
              </w:rPr>
              <w:t>L + 5.35%</w:t>
            </w:r>
          </w:p>
        </w:tc>
        <w:tc>
          <w:tcPr>
            <w:tcW w:w="880" w:type="dxa"/>
            <w:vAlign w:val="bottom"/>
            <w:shd w:val="clear" w:color="auto" w:fill="CFF0FC"/>
          </w:tcPr>
          <w:p>
            <w:pPr>
              <w:jc w:val="right"/>
              <w:ind w:right="68"/>
              <w:spacing w:after="0" w:line="95" w:lineRule="exact"/>
              <w:rPr>
                <w:sz w:val="20"/>
                <w:szCs w:val="20"/>
                <w:color w:val="auto"/>
              </w:rPr>
            </w:pPr>
            <w:r>
              <w:rPr>
                <w:rFonts w:ascii="Arial" w:cs="Arial" w:eastAsia="Arial" w:hAnsi="Arial"/>
                <w:sz w:val="10"/>
                <w:szCs w:val="10"/>
                <w:color w:val="auto"/>
              </w:rPr>
              <w:t>6.53 %</w:t>
            </w:r>
          </w:p>
        </w:tc>
        <w:tc>
          <w:tcPr>
            <w:tcW w:w="260" w:type="dxa"/>
            <w:vAlign w:val="bottom"/>
            <w:shd w:val="clear" w:color="auto" w:fill="CFF0FC"/>
          </w:tcPr>
          <w:p>
            <w:pPr>
              <w:spacing w:after="0"/>
              <w:rPr>
                <w:sz w:val="8"/>
                <w:szCs w:val="8"/>
                <w:color w:val="auto"/>
              </w:rPr>
            </w:pPr>
          </w:p>
        </w:tc>
        <w:tc>
          <w:tcPr>
            <w:tcW w:w="640" w:type="dxa"/>
            <w:vAlign w:val="bottom"/>
            <w:shd w:val="clear" w:color="auto" w:fill="CFF0FC"/>
          </w:tcPr>
          <w:p>
            <w:pPr>
              <w:jc w:val="right"/>
              <w:spacing w:after="0" w:line="95" w:lineRule="exact"/>
              <w:rPr>
                <w:sz w:val="20"/>
                <w:szCs w:val="20"/>
                <w:color w:val="auto"/>
              </w:rPr>
            </w:pPr>
            <w:r>
              <w:rPr>
                <w:rFonts w:ascii="Arial" w:cs="Arial" w:eastAsia="Arial" w:hAnsi="Arial"/>
                <w:sz w:val="10"/>
                <w:szCs w:val="10"/>
                <w:color w:val="auto"/>
              </w:rPr>
              <w:t>420</w:t>
            </w:r>
          </w:p>
        </w:tc>
        <w:tc>
          <w:tcPr>
            <w:tcW w:w="2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80" w:type="dxa"/>
            <w:vAlign w:val="bottom"/>
            <w:shd w:val="clear" w:color="auto" w:fill="CFF0FC"/>
          </w:tcPr>
          <w:p>
            <w:pPr>
              <w:jc w:val="right"/>
              <w:spacing w:after="0" w:line="95" w:lineRule="exact"/>
              <w:rPr>
                <w:sz w:val="20"/>
                <w:szCs w:val="20"/>
                <w:color w:val="auto"/>
              </w:rPr>
            </w:pPr>
            <w:r>
              <w:rPr>
                <w:rFonts w:ascii="Arial" w:cs="Arial" w:eastAsia="Arial" w:hAnsi="Arial"/>
                <w:sz w:val="10"/>
                <w:szCs w:val="10"/>
                <w:color w:val="auto"/>
              </w:rPr>
              <w:t>414</w:t>
            </w:r>
          </w:p>
        </w:tc>
        <w:tc>
          <w:tcPr>
            <w:tcW w:w="1140" w:type="dxa"/>
            <w:vAlign w:val="bottom"/>
            <w:gridSpan w:val="3"/>
            <w:shd w:val="clear" w:color="auto" w:fill="CFF0FC"/>
          </w:tcPr>
          <w:p>
            <w:pPr>
              <w:jc w:val="right"/>
              <w:spacing w:after="0" w:line="95" w:lineRule="exact"/>
              <w:rPr>
                <w:sz w:val="20"/>
                <w:szCs w:val="20"/>
                <w:color w:val="auto"/>
              </w:rPr>
            </w:pPr>
            <w:r>
              <w:rPr>
                <w:rFonts w:ascii="Arial" w:cs="Arial" w:eastAsia="Arial" w:hAnsi="Arial"/>
                <w:sz w:val="10"/>
                <w:szCs w:val="10"/>
                <w:color w:val="auto"/>
              </w:rPr>
              <w:t>0.0 %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00" w:type="dxa"/>
            <w:vAlign w:val="bottom"/>
            <w:shd w:val="clear" w:color="auto" w:fill="CFF0FC"/>
          </w:tcPr>
          <w:p>
            <w:pPr>
              <w:ind w:left="100"/>
              <w:spacing w:after="0"/>
              <w:rPr>
                <w:sz w:val="20"/>
                <w:szCs w:val="20"/>
                <w:color w:val="auto"/>
              </w:rPr>
            </w:pPr>
            <w:r>
              <w:rPr>
                <w:rFonts w:ascii="Arial" w:cs="Arial" w:eastAsia="Arial" w:hAnsi="Arial"/>
                <w:sz w:val="11"/>
                <w:szCs w:val="11"/>
                <w:color w:val="auto"/>
                <w:w w:val="89"/>
              </w:rPr>
              <w:t>Series 2018-1A</w:t>
            </w:r>
          </w:p>
        </w:tc>
        <w:tc>
          <w:tcPr>
            <w:tcW w:w="1460" w:type="dxa"/>
            <w:vAlign w:val="bottom"/>
            <w:shd w:val="clear" w:color="auto" w:fill="CFF0FC"/>
          </w:tcPr>
          <w:p>
            <w:pPr>
              <w:jc w:val="right"/>
              <w:ind w:right="1124"/>
              <w:spacing w:after="0"/>
              <w:rPr>
                <w:sz w:val="20"/>
                <w:szCs w:val="20"/>
                <w:color w:val="auto"/>
              </w:rPr>
            </w:pPr>
            <w:r>
              <w:rPr>
                <w:rFonts w:ascii="Arial" w:cs="Arial" w:eastAsia="Arial" w:hAnsi="Arial"/>
                <w:sz w:val="7"/>
                <w:szCs w:val="7"/>
                <w:color w:val="auto"/>
                <w:w w:val="94"/>
              </w:rPr>
              <w:t>(3)(4)(10)</w:t>
            </w:r>
          </w:p>
        </w:tc>
        <w:tc>
          <w:tcPr>
            <w:tcW w:w="27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260" w:type="dxa"/>
            <w:vAlign w:val="bottom"/>
            <w:gridSpan w:val="2"/>
          </w:tcPr>
          <w:p>
            <w:pPr>
              <w:ind w:left="20"/>
              <w:spacing w:after="0" w:line="99" w:lineRule="exact"/>
              <w:rPr>
                <w:sz w:val="20"/>
                <w:szCs w:val="20"/>
                <w:color w:val="auto"/>
              </w:rPr>
            </w:pPr>
            <w:r>
              <w:rPr>
                <w:rFonts w:ascii="Arial" w:cs="Arial" w:eastAsia="Arial" w:hAnsi="Arial"/>
                <w:sz w:val="11"/>
                <w:szCs w:val="11"/>
                <w:color w:val="auto"/>
              </w:rPr>
              <w:t>Carlyle Global Market Strategies</w:t>
            </w:r>
          </w:p>
        </w:tc>
        <w:tc>
          <w:tcPr>
            <w:tcW w:w="2760" w:type="dxa"/>
            <w:vAlign w:val="bottom"/>
          </w:tcPr>
          <w:p>
            <w:pPr>
              <w:ind w:left="340"/>
              <w:spacing w:after="0" w:line="99" w:lineRule="exact"/>
              <w:rPr>
                <w:sz w:val="20"/>
                <w:szCs w:val="20"/>
                <w:color w:val="auto"/>
              </w:rPr>
            </w:pPr>
            <w:r>
              <w:rPr>
                <w:rFonts w:ascii="Arial" w:cs="Arial" w:eastAsia="Arial" w:hAnsi="Arial"/>
                <w:sz w:val="11"/>
                <w:szCs w:val="11"/>
                <w:color w:val="auto"/>
              </w:rPr>
              <w:t>Structured Product ($1,000 par, due 7/2030)</w:t>
            </w:r>
          </w:p>
        </w:tc>
        <w:tc>
          <w:tcPr>
            <w:tcW w:w="1180" w:type="dxa"/>
            <w:vAlign w:val="bottom"/>
          </w:tcPr>
          <w:p>
            <w:pPr>
              <w:jc w:val="right"/>
              <w:ind w:right="187"/>
              <w:spacing w:after="0" w:line="99" w:lineRule="exact"/>
              <w:rPr>
                <w:sz w:val="20"/>
                <w:szCs w:val="20"/>
                <w:color w:val="auto"/>
              </w:rPr>
            </w:pPr>
            <w:r>
              <w:rPr>
                <w:rFonts w:ascii="Arial" w:cs="Arial" w:eastAsia="Arial" w:hAnsi="Arial"/>
                <w:sz w:val="11"/>
                <w:szCs w:val="11"/>
                <w:color w:val="auto"/>
              </w:rPr>
              <w:t>5/26/2022</w:t>
            </w:r>
          </w:p>
        </w:tc>
        <w:tc>
          <w:tcPr>
            <w:tcW w:w="1080" w:type="dxa"/>
            <w:vAlign w:val="bottom"/>
          </w:tcPr>
          <w:p>
            <w:pPr>
              <w:ind w:left="220"/>
              <w:spacing w:after="0" w:line="99" w:lineRule="exact"/>
              <w:rPr>
                <w:sz w:val="20"/>
                <w:szCs w:val="20"/>
                <w:color w:val="auto"/>
              </w:rPr>
            </w:pPr>
            <w:r>
              <w:rPr>
                <w:rFonts w:ascii="Arial" w:cs="Arial" w:eastAsia="Arial" w:hAnsi="Arial"/>
                <w:sz w:val="11"/>
                <w:szCs w:val="11"/>
                <w:color w:val="auto"/>
              </w:rPr>
              <w:t>L + 2.90%</w:t>
            </w:r>
          </w:p>
        </w:tc>
        <w:tc>
          <w:tcPr>
            <w:tcW w:w="880" w:type="dxa"/>
            <w:vAlign w:val="bottom"/>
          </w:tcPr>
          <w:p>
            <w:pPr>
              <w:jc w:val="right"/>
              <w:ind w:right="68"/>
              <w:spacing w:after="0" w:line="99" w:lineRule="exact"/>
              <w:rPr>
                <w:sz w:val="20"/>
                <w:szCs w:val="20"/>
                <w:color w:val="auto"/>
              </w:rPr>
            </w:pPr>
            <w:r>
              <w:rPr>
                <w:rFonts w:ascii="Arial" w:cs="Arial" w:eastAsia="Arial" w:hAnsi="Arial"/>
                <w:sz w:val="11"/>
                <w:szCs w:val="11"/>
                <w:color w:val="auto"/>
              </w:rPr>
              <w:t>3.94 %</w:t>
            </w:r>
          </w:p>
        </w:tc>
        <w:tc>
          <w:tcPr>
            <w:tcW w:w="26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Arial" w:cs="Arial" w:eastAsia="Arial" w:hAnsi="Arial"/>
                <w:sz w:val="11"/>
                <w:szCs w:val="11"/>
                <w:color w:val="auto"/>
              </w:rPr>
              <w:t>883</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Arial" w:cs="Arial" w:eastAsia="Arial" w:hAnsi="Arial"/>
                <w:sz w:val="11"/>
                <w:szCs w:val="11"/>
                <w:color w:val="auto"/>
              </w:rPr>
              <w:t>832</w:t>
            </w:r>
          </w:p>
        </w:tc>
        <w:tc>
          <w:tcPr>
            <w:tcW w:w="1140" w:type="dxa"/>
            <w:vAlign w:val="bottom"/>
            <w:gridSpan w:val="3"/>
          </w:tcPr>
          <w:p>
            <w:pPr>
              <w:jc w:val="right"/>
              <w:spacing w:after="0" w:line="99" w:lineRule="exact"/>
              <w:rPr>
                <w:sz w:val="20"/>
                <w:szCs w:val="20"/>
                <w:color w:val="auto"/>
              </w:rPr>
            </w:pPr>
            <w:r>
              <w:rPr>
                <w:rFonts w:ascii="Arial" w:cs="Arial" w:eastAsia="Arial" w:hAnsi="Arial"/>
                <w:sz w:val="11"/>
                <w:szCs w:val="11"/>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260" w:type="dxa"/>
            <w:vAlign w:val="bottom"/>
            <w:gridSpan w:val="2"/>
          </w:tcPr>
          <w:p>
            <w:pPr>
              <w:ind w:left="100"/>
              <w:spacing w:after="0" w:line="104" w:lineRule="exact"/>
              <w:rPr>
                <w:sz w:val="20"/>
                <w:szCs w:val="20"/>
                <w:color w:val="auto"/>
              </w:rPr>
            </w:pPr>
            <w:r>
              <w:rPr>
                <w:rFonts w:ascii="Arial" w:cs="Arial" w:eastAsia="Arial" w:hAnsi="Arial"/>
                <w:sz w:val="11"/>
                <w:szCs w:val="11"/>
                <w:color w:val="auto"/>
              </w:rPr>
              <w:t>CLO Ltd, Series 2014-4RA</w:t>
            </w:r>
          </w:p>
        </w:tc>
        <w:tc>
          <w:tcPr>
            <w:tcW w:w="2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rPr>
                <w:sz w:val="20"/>
                <w:szCs w:val="20"/>
                <w:color w:val="auto"/>
              </w:rPr>
            </w:pPr>
            <w:r>
              <w:rPr>
                <w:rFonts w:ascii="Arial" w:cs="Arial" w:eastAsia="Arial" w:hAnsi="Arial"/>
                <w:sz w:val="7"/>
                <w:szCs w:val="7"/>
                <w:color w:val="auto"/>
              </w:rPr>
              <w:t>(3)(4)(10)</w:t>
            </w:r>
          </w:p>
        </w:tc>
        <w:tc>
          <w:tcPr>
            <w:tcW w:w="146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260" w:type="dxa"/>
            <w:vAlign w:val="bottom"/>
            <w:gridSpan w:val="2"/>
          </w:tcPr>
          <w:p>
            <w:pPr>
              <w:spacing w:after="0"/>
              <w:rPr>
                <w:sz w:val="5"/>
                <w:szCs w:val="5"/>
                <w:color w:val="auto"/>
              </w:rPr>
            </w:pPr>
          </w:p>
        </w:tc>
        <w:tc>
          <w:tcPr>
            <w:tcW w:w="2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260" w:type="dxa"/>
            <w:vAlign w:val="bottom"/>
            <w:gridSpan w:val="2"/>
            <w:shd w:val="clear" w:color="auto" w:fill="CFF0FC"/>
          </w:tcPr>
          <w:p>
            <w:pPr>
              <w:ind w:left="20"/>
              <w:spacing w:after="0" w:line="99" w:lineRule="exact"/>
              <w:rPr>
                <w:sz w:val="20"/>
                <w:szCs w:val="20"/>
                <w:color w:val="auto"/>
              </w:rPr>
            </w:pPr>
            <w:r>
              <w:rPr>
                <w:rFonts w:ascii="Arial" w:cs="Arial" w:eastAsia="Arial" w:hAnsi="Arial"/>
                <w:sz w:val="11"/>
                <w:szCs w:val="11"/>
                <w:color w:val="auto"/>
              </w:rPr>
              <w:t>Carlyle Global Market Strategies</w:t>
            </w:r>
          </w:p>
        </w:tc>
        <w:tc>
          <w:tcPr>
            <w:tcW w:w="2760" w:type="dxa"/>
            <w:vAlign w:val="bottom"/>
            <w:shd w:val="clear" w:color="auto" w:fill="CFF0FC"/>
          </w:tcPr>
          <w:p>
            <w:pPr>
              <w:ind w:left="340"/>
              <w:spacing w:after="0" w:line="99" w:lineRule="exact"/>
              <w:rPr>
                <w:sz w:val="20"/>
                <w:szCs w:val="20"/>
                <w:color w:val="auto"/>
              </w:rPr>
            </w:pPr>
            <w:r>
              <w:rPr>
                <w:rFonts w:ascii="Arial" w:cs="Arial" w:eastAsia="Arial" w:hAnsi="Arial"/>
                <w:sz w:val="11"/>
                <w:szCs w:val="11"/>
                <w:color w:val="auto"/>
              </w:rPr>
              <w:t>Structured Product ($1,550 par, due 4/2031)</w:t>
            </w:r>
          </w:p>
        </w:tc>
        <w:tc>
          <w:tcPr>
            <w:tcW w:w="1180" w:type="dxa"/>
            <w:vAlign w:val="bottom"/>
            <w:shd w:val="clear" w:color="auto" w:fill="CFF0FC"/>
          </w:tcPr>
          <w:p>
            <w:pPr>
              <w:jc w:val="right"/>
              <w:ind w:right="187"/>
              <w:spacing w:after="0" w:line="99" w:lineRule="exact"/>
              <w:rPr>
                <w:sz w:val="20"/>
                <w:szCs w:val="20"/>
                <w:color w:val="auto"/>
              </w:rPr>
            </w:pPr>
            <w:r>
              <w:rPr>
                <w:rFonts w:ascii="Arial" w:cs="Arial" w:eastAsia="Arial" w:hAnsi="Arial"/>
                <w:sz w:val="11"/>
                <w:szCs w:val="11"/>
                <w:color w:val="auto"/>
              </w:rPr>
              <w:t>8/11/2020</w:t>
            </w:r>
          </w:p>
        </w:tc>
        <w:tc>
          <w:tcPr>
            <w:tcW w:w="1080" w:type="dxa"/>
            <w:vAlign w:val="bottom"/>
            <w:shd w:val="clear" w:color="auto" w:fill="CFF0FC"/>
          </w:tcPr>
          <w:p>
            <w:pPr>
              <w:ind w:left="220"/>
              <w:spacing w:after="0" w:line="99" w:lineRule="exact"/>
              <w:rPr>
                <w:sz w:val="20"/>
                <w:szCs w:val="20"/>
                <w:color w:val="auto"/>
              </w:rPr>
            </w:pPr>
            <w:r>
              <w:rPr>
                <w:rFonts w:ascii="Arial" w:cs="Arial" w:eastAsia="Arial" w:hAnsi="Arial"/>
                <w:sz w:val="11"/>
                <w:szCs w:val="11"/>
                <w:color w:val="auto"/>
              </w:rPr>
              <w:t>L + 5.75%</w:t>
            </w:r>
          </w:p>
        </w:tc>
        <w:tc>
          <w:tcPr>
            <w:tcW w:w="880" w:type="dxa"/>
            <w:vAlign w:val="bottom"/>
            <w:shd w:val="clear" w:color="auto" w:fill="CFF0FC"/>
          </w:tcPr>
          <w:p>
            <w:pPr>
              <w:jc w:val="right"/>
              <w:ind w:right="68"/>
              <w:spacing w:after="0" w:line="99" w:lineRule="exact"/>
              <w:rPr>
                <w:sz w:val="20"/>
                <w:szCs w:val="20"/>
                <w:color w:val="auto"/>
              </w:rPr>
            </w:pPr>
            <w:r>
              <w:rPr>
                <w:rFonts w:ascii="Arial" w:cs="Arial" w:eastAsia="Arial" w:hAnsi="Arial"/>
                <w:sz w:val="11"/>
                <w:szCs w:val="11"/>
                <w:color w:val="auto"/>
              </w:rPr>
              <w:t>6.81 %</w:t>
            </w:r>
          </w:p>
        </w:tc>
        <w:tc>
          <w:tcPr>
            <w:tcW w:w="260" w:type="dxa"/>
            <w:vAlign w:val="bottom"/>
            <w:shd w:val="clear" w:color="auto" w:fill="CFF0FC"/>
          </w:tcPr>
          <w:p>
            <w:pPr>
              <w:spacing w:after="0"/>
              <w:rPr>
                <w:sz w:val="8"/>
                <w:szCs w:val="8"/>
                <w:color w:val="auto"/>
              </w:rPr>
            </w:pPr>
          </w:p>
        </w:tc>
        <w:tc>
          <w:tcPr>
            <w:tcW w:w="640" w:type="dxa"/>
            <w:vAlign w:val="bottom"/>
            <w:shd w:val="clear" w:color="auto" w:fill="CFF0FC"/>
          </w:tcPr>
          <w:p>
            <w:pPr>
              <w:jc w:val="right"/>
              <w:spacing w:after="0" w:line="99" w:lineRule="exact"/>
              <w:rPr>
                <w:sz w:val="20"/>
                <w:szCs w:val="20"/>
                <w:color w:val="auto"/>
              </w:rPr>
            </w:pPr>
            <w:r>
              <w:rPr>
                <w:rFonts w:ascii="Arial" w:cs="Arial" w:eastAsia="Arial" w:hAnsi="Arial"/>
                <w:sz w:val="11"/>
                <w:szCs w:val="11"/>
                <w:color w:val="auto"/>
              </w:rPr>
              <w:t>1,235</w:t>
            </w:r>
          </w:p>
        </w:tc>
        <w:tc>
          <w:tcPr>
            <w:tcW w:w="2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80" w:type="dxa"/>
            <w:vAlign w:val="bottom"/>
            <w:shd w:val="clear" w:color="auto" w:fill="CFF0FC"/>
          </w:tcPr>
          <w:p>
            <w:pPr>
              <w:jc w:val="right"/>
              <w:spacing w:after="0" w:line="99" w:lineRule="exact"/>
              <w:rPr>
                <w:sz w:val="20"/>
                <w:szCs w:val="20"/>
                <w:color w:val="auto"/>
              </w:rPr>
            </w:pPr>
            <w:r>
              <w:rPr>
                <w:rFonts w:ascii="Arial" w:cs="Arial" w:eastAsia="Arial" w:hAnsi="Arial"/>
                <w:sz w:val="11"/>
                <w:szCs w:val="11"/>
                <w:color w:val="auto"/>
              </w:rPr>
              <w:t>1,299</w:t>
            </w:r>
          </w:p>
        </w:tc>
        <w:tc>
          <w:tcPr>
            <w:tcW w:w="1140" w:type="dxa"/>
            <w:vAlign w:val="bottom"/>
            <w:gridSpan w:val="3"/>
            <w:shd w:val="clear" w:color="auto" w:fill="CFF0FC"/>
          </w:tcPr>
          <w:p>
            <w:pPr>
              <w:jc w:val="right"/>
              <w:spacing w:after="0" w:line="99" w:lineRule="exact"/>
              <w:rPr>
                <w:sz w:val="20"/>
                <w:szCs w:val="20"/>
                <w:color w:val="auto"/>
              </w:rPr>
            </w:pPr>
            <w:r>
              <w:rPr>
                <w:rFonts w:ascii="Arial" w:cs="Arial" w:eastAsia="Arial" w:hAnsi="Arial"/>
                <w:sz w:val="11"/>
                <w:szCs w:val="11"/>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260" w:type="dxa"/>
            <w:vAlign w:val="bottom"/>
            <w:gridSpan w:val="2"/>
            <w:shd w:val="clear" w:color="auto" w:fill="CFF0FC"/>
          </w:tcPr>
          <w:p>
            <w:pPr>
              <w:ind w:left="100"/>
              <w:spacing w:after="0" w:line="104" w:lineRule="exact"/>
              <w:rPr>
                <w:sz w:val="20"/>
                <w:szCs w:val="20"/>
                <w:color w:val="auto"/>
              </w:rPr>
            </w:pPr>
            <w:r>
              <w:rPr>
                <w:rFonts w:ascii="Arial" w:cs="Arial" w:eastAsia="Arial" w:hAnsi="Arial"/>
                <w:sz w:val="11"/>
                <w:szCs w:val="11"/>
                <w:color w:val="auto"/>
              </w:rPr>
              <w:t>CLO Ltd, Series 2018-1A</w:t>
            </w:r>
          </w:p>
        </w:tc>
        <w:tc>
          <w:tcPr>
            <w:tcW w:w="276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7"/>
                <w:szCs w:val="7"/>
                <w:color w:val="auto"/>
              </w:rPr>
              <w:t>(3)(4)(10)</w:t>
            </w:r>
          </w:p>
        </w:tc>
        <w:tc>
          <w:tcPr>
            <w:tcW w:w="1460" w:type="dxa"/>
            <w:vAlign w:val="bottom"/>
            <w:tcBorders>
              <w:bottom w:val="single" w:sz="8" w:color="CFF0FC"/>
            </w:tcBorders>
            <w:shd w:val="clear" w:color="auto" w:fill="CFF0FC"/>
          </w:tcPr>
          <w:p>
            <w:pPr>
              <w:spacing w:after="0"/>
              <w:rPr>
                <w:sz w:val="11"/>
                <w:szCs w:val="11"/>
                <w:color w:val="auto"/>
              </w:rPr>
            </w:pPr>
          </w:p>
        </w:tc>
        <w:tc>
          <w:tcPr>
            <w:tcW w:w="276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260" w:type="dxa"/>
            <w:vAlign w:val="bottom"/>
            <w:gridSpan w:val="2"/>
          </w:tcPr>
          <w:p>
            <w:pPr>
              <w:ind w:left="20"/>
              <w:spacing w:after="0" w:line="99" w:lineRule="exact"/>
              <w:rPr>
                <w:sz w:val="20"/>
                <w:szCs w:val="20"/>
                <w:color w:val="auto"/>
              </w:rPr>
            </w:pPr>
            <w:r>
              <w:rPr>
                <w:rFonts w:ascii="Arial" w:cs="Arial" w:eastAsia="Arial" w:hAnsi="Arial"/>
                <w:sz w:val="11"/>
                <w:szCs w:val="11"/>
                <w:color w:val="auto"/>
              </w:rPr>
              <w:t>Carlyle Global Market Strategies</w:t>
            </w:r>
          </w:p>
        </w:tc>
        <w:tc>
          <w:tcPr>
            <w:tcW w:w="2760" w:type="dxa"/>
            <w:vAlign w:val="bottom"/>
          </w:tcPr>
          <w:p>
            <w:pPr>
              <w:ind w:left="340"/>
              <w:spacing w:after="0" w:line="99" w:lineRule="exact"/>
              <w:rPr>
                <w:sz w:val="20"/>
                <w:szCs w:val="20"/>
                <w:color w:val="auto"/>
              </w:rPr>
            </w:pPr>
            <w:r>
              <w:rPr>
                <w:rFonts w:ascii="Arial" w:cs="Arial" w:eastAsia="Arial" w:hAnsi="Arial"/>
                <w:sz w:val="11"/>
                <w:szCs w:val="11"/>
                <w:color w:val="auto"/>
              </w:rPr>
              <w:t>Structured Product ($4,150 par, due 1/2030)</w:t>
            </w:r>
          </w:p>
        </w:tc>
        <w:tc>
          <w:tcPr>
            <w:tcW w:w="1180" w:type="dxa"/>
            <w:vAlign w:val="bottom"/>
          </w:tcPr>
          <w:p>
            <w:pPr>
              <w:jc w:val="right"/>
              <w:ind w:right="187"/>
              <w:spacing w:after="0" w:line="99" w:lineRule="exact"/>
              <w:rPr>
                <w:sz w:val="20"/>
                <w:szCs w:val="20"/>
                <w:color w:val="auto"/>
              </w:rPr>
            </w:pPr>
            <w:r>
              <w:rPr>
                <w:rFonts w:ascii="Arial" w:cs="Arial" w:eastAsia="Arial" w:hAnsi="Arial"/>
                <w:sz w:val="11"/>
                <w:szCs w:val="11"/>
                <w:color w:val="auto"/>
              </w:rPr>
              <w:t>9/3/2020</w:t>
            </w:r>
          </w:p>
        </w:tc>
        <w:tc>
          <w:tcPr>
            <w:tcW w:w="1080" w:type="dxa"/>
            <w:vAlign w:val="bottom"/>
          </w:tcPr>
          <w:p>
            <w:pPr>
              <w:ind w:left="220"/>
              <w:spacing w:after="0" w:line="99" w:lineRule="exact"/>
              <w:rPr>
                <w:sz w:val="20"/>
                <w:szCs w:val="20"/>
                <w:color w:val="auto"/>
              </w:rPr>
            </w:pPr>
            <w:r>
              <w:rPr>
                <w:rFonts w:ascii="Arial" w:cs="Arial" w:eastAsia="Arial" w:hAnsi="Arial"/>
                <w:sz w:val="11"/>
                <w:szCs w:val="11"/>
                <w:color w:val="auto"/>
              </w:rPr>
              <w:t>L + 6.15%</w:t>
            </w:r>
          </w:p>
        </w:tc>
        <w:tc>
          <w:tcPr>
            <w:tcW w:w="880" w:type="dxa"/>
            <w:vAlign w:val="bottom"/>
          </w:tcPr>
          <w:p>
            <w:pPr>
              <w:jc w:val="right"/>
              <w:ind w:right="68"/>
              <w:spacing w:after="0" w:line="99" w:lineRule="exact"/>
              <w:rPr>
                <w:sz w:val="20"/>
                <w:szCs w:val="20"/>
                <w:color w:val="auto"/>
              </w:rPr>
            </w:pPr>
            <w:r>
              <w:rPr>
                <w:rFonts w:ascii="Arial" w:cs="Arial" w:eastAsia="Arial" w:hAnsi="Arial"/>
                <w:sz w:val="11"/>
                <w:szCs w:val="11"/>
                <w:color w:val="auto"/>
              </w:rPr>
              <w:t>7.19 %</w:t>
            </w:r>
          </w:p>
        </w:tc>
        <w:tc>
          <w:tcPr>
            <w:tcW w:w="26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Arial" w:cs="Arial" w:eastAsia="Arial" w:hAnsi="Arial"/>
                <w:sz w:val="11"/>
                <w:szCs w:val="11"/>
                <w:color w:val="auto"/>
              </w:rPr>
              <w:t>3,485</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Arial" w:cs="Arial" w:eastAsia="Arial" w:hAnsi="Arial"/>
                <w:sz w:val="11"/>
                <w:szCs w:val="11"/>
                <w:color w:val="auto"/>
              </w:rPr>
              <w:t>3,474</w:t>
            </w:r>
          </w:p>
        </w:tc>
        <w:tc>
          <w:tcPr>
            <w:tcW w:w="1140" w:type="dxa"/>
            <w:vAlign w:val="bottom"/>
            <w:gridSpan w:val="3"/>
          </w:tcPr>
          <w:p>
            <w:pPr>
              <w:jc w:val="right"/>
              <w:spacing w:after="0" w:line="99" w:lineRule="exact"/>
              <w:rPr>
                <w:sz w:val="20"/>
                <w:szCs w:val="20"/>
                <w:color w:val="auto"/>
              </w:rPr>
            </w:pPr>
            <w:r>
              <w:rPr>
                <w:rFonts w:ascii="Arial" w:cs="Arial" w:eastAsia="Arial" w:hAnsi="Arial"/>
                <w:sz w:val="11"/>
                <w:szCs w:val="11"/>
                <w:color w:val="auto"/>
              </w:rPr>
              <w:t>0.3 %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260" w:type="dxa"/>
            <w:vAlign w:val="bottom"/>
            <w:gridSpan w:val="2"/>
          </w:tcPr>
          <w:p>
            <w:pPr>
              <w:ind w:left="100"/>
              <w:spacing w:after="0" w:line="104" w:lineRule="exact"/>
              <w:rPr>
                <w:sz w:val="20"/>
                <w:szCs w:val="20"/>
                <w:color w:val="auto"/>
              </w:rPr>
            </w:pPr>
            <w:r>
              <w:rPr>
                <w:rFonts w:ascii="Arial" w:cs="Arial" w:eastAsia="Arial" w:hAnsi="Arial"/>
                <w:sz w:val="11"/>
                <w:szCs w:val="11"/>
                <w:color w:val="auto"/>
              </w:rPr>
              <w:t>CLO Ltd, Series 2017-4A</w:t>
            </w:r>
          </w:p>
        </w:tc>
        <w:tc>
          <w:tcPr>
            <w:tcW w:w="2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00" w:type="dxa"/>
            <w:vAlign w:val="bottom"/>
          </w:tcPr>
          <w:p>
            <w:pPr>
              <w:ind w:left="100"/>
              <w:spacing w:after="0"/>
              <w:rPr>
                <w:sz w:val="20"/>
                <w:szCs w:val="20"/>
                <w:color w:val="auto"/>
              </w:rPr>
            </w:pPr>
            <w:r>
              <w:rPr>
                <w:rFonts w:ascii="Arial" w:cs="Arial" w:eastAsia="Arial" w:hAnsi="Arial"/>
                <w:sz w:val="7"/>
                <w:szCs w:val="7"/>
                <w:color w:val="auto"/>
              </w:rPr>
              <w:t>(3)(4)(10)</w:t>
            </w:r>
          </w:p>
        </w:tc>
        <w:tc>
          <w:tcPr>
            <w:tcW w:w="146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260" w:type="dxa"/>
            <w:vAlign w:val="bottom"/>
            <w:gridSpan w:val="2"/>
          </w:tcPr>
          <w:p>
            <w:pPr>
              <w:ind w:left="20"/>
              <w:spacing w:after="0"/>
              <w:rPr>
                <w:sz w:val="20"/>
                <w:szCs w:val="20"/>
                <w:color w:val="auto"/>
              </w:rPr>
            </w:pPr>
            <w:r>
              <w:rPr>
                <w:rFonts w:ascii="Arial" w:cs="Arial" w:eastAsia="Arial" w:hAnsi="Arial"/>
                <w:sz w:val="11"/>
                <w:szCs w:val="11"/>
                <w:color w:val="auto"/>
              </w:rPr>
              <w:t xml:space="preserve">CarVal CLO III Ltd, Series 2019-2A </w:t>
            </w:r>
            <w:r>
              <w:rPr>
                <w:rFonts w:ascii="Arial" w:cs="Arial" w:eastAsia="Arial" w:hAnsi="Arial"/>
                <w:sz w:val="14"/>
                <w:szCs w:val="14"/>
                <w:color w:val="auto"/>
                <w:vertAlign w:val="superscript"/>
              </w:rPr>
              <w:t>(3)(4)(10)</w:t>
            </w:r>
          </w:p>
        </w:tc>
        <w:tc>
          <w:tcPr>
            <w:tcW w:w="2760" w:type="dxa"/>
            <w:vAlign w:val="bottom"/>
          </w:tcPr>
          <w:p>
            <w:pPr>
              <w:ind w:left="340"/>
              <w:spacing w:after="0"/>
              <w:rPr>
                <w:sz w:val="20"/>
                <w:szCs w:val="20"/>
                <w:color w:val="auto"/>
              </w:rPr>
            </w:pPr>
            <w:r>
              <w:rPr>
                <w:rFonts w:ascii="Arial" w:cs="Arial" w:eastAsia="Arial" w:hAnsi="Arial"/>
                <w:sz w:val="11"/>
                <w:szCs w:val="11"/>
                <w:color w:val="auto"/>
              </w:rPr>
              <w:t>Structured Product ($1,000 par, due 7/2032)</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6/30/2022</w:t>
            </w:r>
          </w:p>
        </w:tc>
        <w:tc>
          <w:tcPr>
            <w:tcW w:w="1080" w:type="dxa"/>
            <w:vAlign w:val="bottom"/>
          </w:tcPr>
          <w:p>
            <w:pPr>
              <w:ind w:left="220"/>
              <w:spacing w:after="0"/>
              <w:rPr>
                <w:sz w:val="20"/>
                <w:szCs w:val="20"/>
                <w:color w:val="auto"/>
              </w:rPr>
            </w:pPr>
            <w:r>
              <w:rPr>
                <w:rFonts w:ascii="Arial" w:cs="Arial" w:eastAsia="Arial" w:hAnsi="Arial"/>
                <w:sz w:val="11"/>
                <w:szCs w:val="11"/>
                <w:color w:val="auto"/>
              </w:rPr>
              <w:t>L + 6.44%</w:t>
            </w:r>
          </w:p>
        </w:tc>
        <w:tc>
          <w:tcPr>
            <w:tcW w:w="880" w:type="dxa"/>
            <w:vAlign w:val="bottom"/>
          </w:tcPr>
          <w:p>
            <w:pPr>
              <w:jc w:val="right"/>
              <w:ind w:right="68"/>
              <w:spacing w:after="0"/>
              <w:rPr>
                <w:sz w:val="20"/>
                <w:szCs w:val="20"/>
                <w:color w:val="auto"/>
              </w:rPr>
            </w:pPr>
            <w:r>
              <w:rPr>
                <w:rFonts w:ascii="Arial" w:cs="Arial" w:eastAsia="Arial" w:hAnsi="Arial"/>
                <w:sz w:val="11"/>
                <w:szCs w:val="11"/>
                <w:color w:val="auto"/>
              </w:rPr>
              <w:t>7.50 %</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879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876</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20"/>
              <w:spacing w:after="0" w:line="155" w:lineRule="exact"/>
              <w:rPr>
                <w:sz w:val="20"/>
                <w:szCs w:val="20"/>
                <w:color w:val="auto"/>
              </w:rPr>
            </w:pPr>
            <w:r>
              <w:rPr>
                <w:rFonts w:ascii="Arial" w:cs="Arial" w:eastAsia="Arial" w:hAnsi="Arial"/>
                <w:sz w:val="11"/>
                <w:szCs w:val="11"/>
                <w:color w:val="auto"/>
              </w:rPr>
              <w:t xml:space="preserve">CIFC CLO Ltd, Series 2018-3A </w:t>
            </w:r>
            <w:r>
              <w:rPr>
                <w:rFonts w:ascii="Arial" w:cs="Arial" w:eastAsia="Arial" w:hAnsi="Arial"/>
                <w:sz w:val="14"/>
                <w:szCs w:val="14"/>
                <w:color w:val="auto"/>
                <w:vertAlign w:val="superscript"/>
              </w:rPr>
              <w:t>(3)(4)(10)</w:t>
            </w:r>
          </w:p>
        </w:tc>
        <w:tc>
          <w:tcPr>
            <w:tcW w:w="2760" w:type="dxa"/>
            <w:vAlign w:val="bottom"/>
          </w:tcPr>
          <w:p>
            <w:pPr>
              <w:ind w:left="340"/>
              <w:spacing w:after="0"/>
              <w:rPr>
                <w:sz w:val="20"/>
                <w:szCs w:val="20"/>
                <w:color w:val="auto"/>
              </w:rPr>
            </w:pPr>
            <w:r>
              <w:rPr>
                <w:rFonts w:ascii="Arial" w:cs="Arial" w:eastAsia="Arial" w:hAnsi="Arial"/>
                <w:sz w:val="11"/>
                <w:szCs w:val="11"/>
                <w:color w:val="auto"/>
              </w:rPr>
              <w:t>Structured Product ($1,000 par, due 7/2031)</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6/16/2022</w:t>
            </w:r>
          </w:p>
        </w:tc>
        <w:tc>
          <w:tcPr>
            <w:tcW w:w="1080" w:type="dxa"/>
            <w:vAlign w:val="bottom"/>
          </w:tcPr>
          <w:p>
            <w:pPr>
              <w:ind w:left="220"/>
              <w:spacing w:after="0"/>
              <w:rPr>
                <w:sz w:val="20"/>
                <w:szCs w:val="20"/>
                <w:color w:val="auto"/>
              </w:rPr>
            </w:pPr>
            <w:r>
              <w:rPr>
                <w:rFonts w:ascii="Arial" w:cs="Arial" w:eastAsia="Arial" w:hAnsi="Arial"/>
                <w:sz w:val="11"/>
                <w:szCs w:val="11"/>
                <w:color w:val="auto"/>
              </w:rPr>
              <w:t>L + 5.50%</w:t>
            </w:r>
          </w:p>
        </w:tc>
        <w:tc>
          <w:tcPr>
            <w:tcW w:w="880" w:type="dxa"/>
            <w:vAlign w:val="bottom"/>
          </w:tcPr>
          <w:p>
            <w:pPr>
              <w:jc w:val="right"/>
              <w:ind w:right="68"/>
              <w:spacing w:after="0"/>
              <w:rPr>
                <w:sz w:val="20"/>
                <w:szCs w:val="20"/>
                <w:color w:val="auto"/>
              </w:rPr>
            </w:pPr>
            <w:r>
              <w:rPr>
                <w:rFonts w:ascii="Arial" w:cs="Arial" w:eastAsia="Arial" w:hAnsi="Arial"/>
                <w:sz w:val="11"/>
                <w:szCs w:val="11"/>
                <w:color w:val="auto"/>
              </w:rPr>
              <w:t>6.54 %</w:t>
            </w: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893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868</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0.1 %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260" w:type="dxa"/>
            <w:vAlign w:val="bottom"/>
            <w:gridSpan w:val="2"/>
          </w:tcPr>
          <w:p>
            <w:pPr>
              <w:ind w:left="20"/>
              <w:spacing w:after="0" w:line="104" w:lineRule="exact"/>
              <w:rPr>
                <w:sz w:val="20"/>
                <w:szCs w:val="20"/>
                <w:color w:val="auto"/>
              </w:rPr>
            </w:pPr>
            <w:r>
              <w:rPr>
                <w:rFonts w:ascii="Arial" w:cs="Arial" w:eastAsia="Arial" w:hAnsi="Arial"/>
                <w:sz w:val="11"/>
                <w:szCs w:val="11"/>
                <w:color w:val="auto"/>
              </w:rPr>
              <w:t>Crown Point CLO Ltd,</w:t>
            </w:r>
          </w:p>
        </w:tc>
        <w:tc>
          <w:tcPr>
            <w:tcW w:w="2760" w:type="dxa"/>
            <w:vAlign w:val="bottom"/>
          </w:tcPr>
          <w:p>
            <w:pPr>
              <w:ind w:left="340"/>
              <w:spacing w:after="0" w:line="104" w:lineRule="exact"/>
              <w:rPr>
                <w:sz w:val="20"/>
                <w:szCs w:val="20"/>
                <w:color w:val="auto"/>
              </w:rPr>
            </w:pPr>
            <w:r>
              <w:rPr>
                <w:rFonts w:ascii="Arial" w:cs="Arial" w:eastAsia="Arial" w:hAnsi="Arial"/>
                <w:sz w:val="11"/>
                <w:szCs w:val="11"/>
                <w:color w:val="auto"/>
              </w:rPr>
              <w:t>Structured Product ($1,000 par, due 7/2034)</w:t>
            </w:r>
          </w:p>
        </w:tc>
        <w:tc>
          <w:tcPr>
            <w:tcW w:w="1180" w:type="dxa"/>
            <w:vAlign w:val="bottom"/>
          </w:tcPr>
          <w:p>
            <w:pPr>
              <w:jc w:val="right"/>
              <w:ind w:right="187"/>
              <w:spacing w:after="0" w:line="104" w:lineRule="exact"/>
              <w:rPr>
                <w:sz w:val="20"/>
                <w:szCs w:val="20"/>
                <w:color w:val="auto"/>
              </w:rPr>
            </w:pPr>
            <w:r>
              <w:rPr>
                <w:rFonts w:ascii="Arial" w:cs="Arial" w:eastAsia="Arial" w:hAnsi="Arial"/>
                <w:sz w:val="11"/>
                <w:szCs w:val="11"/>
                <w:color w:val="auto"/>
              </w:rPr>
              <w:t>6/14/2022</w:t>
            </w:r>
          </w:p>
        </w:tc>
        <w:tc>
          <w:tcPr>
            <w:tcW w:w="1080" w:type="dxa"/>
            <w:vAlign w:val="bottom"/>
          </w:tcPr>
          <w:p>
            <w:pPr>
              <w:ind w:left="220"/>
              <w:spacing w:after="0" w:line="104" w:lineRule="exact"/>
              <w:rPr>
                <w:sz w:val="20"/>
                <w:szCs w:val="20"/>
                <w:color w:val="auto"/>
              </w:rPr>
            </w:pPr>
            <w:r>
              <w:rPr>
                <w:rFonts w:ascii="Arial" w:cs="Arial" w:eastAsia="Arial" w:hAnsi="Arial"/>
                <w:sz w:val="11"/>
                <w:szCs w:val="11"/>
                <w:color w:val="auto"/>
              </w:rPr>
              <w:t>L + 6.85%</w:t>
            </w:r>
          </w:p>
        </w:tc>
        <w:tc>
          <w:tcPr>
            <w:tcW w:w="880" w:type="dxa"/>
            <w:vAlign w:val="bottom"/>
          </w:tcPr>
          <w:p>
            <w:pPr>
              <w:jc w:val="right"/>
              <w:ind w:right="68"/>
              <w:spacing w:after="0" w:line="104" w:lineRule="exact"/>
              <w:rPr>
                <w:sz w:val="20"/>
                <w:szCs w:val="20"/>
                <w:color w:val="auto"/>
              </w:rPr>
            </w:pPr>
            <w:r>
              <w:rPr>
                <w:rFonts w:ascii="Arial" w:cs="Arial" w:eastAsia="Arial" w:hAnsi="Arial"/>
                <w:sz w:val="11"/>
                <w:szCs w:val="11"/>
                <w:color w:val="auto"/>
              </w:rPr>
              <w:t>7.91 %</w:t>
            </w:r>
          </w:p>
        </w:tc>
        <w:tc>
          <w:tcPr>
            <w:tcW w:w="260" w:type="dxa"/>
            <w:vAlign w:val="bottom"/>
          </w:tcPr>
          <w:p>
            <w:pPr>
              <w:spacing w:after="0"/>
              <w:rPr>
                <w:sz w:val="9"/>
                <w:szCs w:val="9"/>
                <w:color w:val="auto"/>
              </w:rPr>
            </w:pPr>
          </w:p>
        </w:tc>
        <w:tc>
          <w:tcPr>
            <w:tcW w:w="640" w:type="dxa"/>
            <w:vAlign w:val="bottom"/>
          </w:tcPr>
          <w:p>
            <w:pPr>
              <w:jc w:val="right"/>
              <w:spacing w:after="0" w:line="104" w:lineRule="exact"/>
              <w:rPr>
                <w:sz w:val="20"/>
                <w:szCs w:val="20"/>
                <w:color w:val="auto"/>
              </w:rPr>
            </w:pPr>
            <w:r>
              <w:rPr>
                <w:rFonts w:ascii="Arial" w:cs="Arial" w:eastAsia="Arial" w:hAnsi="Arial"/>
                <w:sz w:val="11"/>
                <w:szCs w:val="11"/>
                <w:color w:val="auto"/>
              </w:rPr>
              <w:t>897</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spacing w:after="0" w:line="104" w:lineRule="exact"/>
              <w:rPr>
                <w:sz w:val="20"/>
                <w:szCs w:val="20"/>
                <w:color w:val="auto"/>
              </w:rPr>
            </w:pPr>
            <w:r>
              <w:rPr>
                <w:rFonts w:ascii="Arial" w:cs="Arial" w:eastAsia="Arial" w:hAnsi="Arial"/>
                <w:sz w:val="11"/>
                <w:szCs w:val="11"/>
                <w:color w:val="auto"/>
              </w:rPr>
              <w:t>888</w:t>
            </w:r>
          </w:p>
        </w:tc>
        <w:tc>
          <w:tcPr>
            <w:tcW w:w="1140" w:type="dxa"/>
            <w:vAlign w:val="bottom"/>
            <w:gridSpan w:val="3"/>
          </w:tcPr>
          <w:p>
            <w:pPr>
              <w:jc w:val="right"/>
              <w:spacing w:after="0" w:line="104" w:lineRule="exact"/>
              <w:rPr>
                <w:sz w:val="20"/>
                <w:szCs w:val="20"/>
                <w:color w:val="auto"/>
              </w:rPr>
            </w:pPr>
            <w:r>
              <w:rPr>
                <w:rFonts w:ascii="Arial" w:cs="Arial" w:eastAsia="Arial" w:hAnsi="Arial"/>
                <w:sz w:val="11"/>
                <w:szCs w:val="11"/>
                <w:color w:val="auto"/>
              </w:rPr>
              <w:t>0.1 %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260" w:type="dxa"/>
            <w:vAlign w:val="bottom"/>
            <w:gridSpan w:val="2"/>
          </w:tcPr>
          <w:p>
            <w:pPr>
              <w:ind w:left="100"/>
              <w:spacing w:after="0" w:line="119" w:lineRule="exact"/>
              <w:rPr>
                <w:sz w:val="20"/>
                <w:szCs w:val="20"/>
                <w:color w:val="auto"/>
              </w:rPr>
            </w:pPr>
            <w:r>
              <w:rPr>
                <w:rFonts w:ascii="Arial" w:cs="Arial" w:eastAsia="Arial" w:hAnsi="Arial"/>
                <w:sz w:val="10"/>
                <w:szCs w:val="10"/>
                <w:color w:val="auto"/>
              </w:rPr>
              <w:t xml:space="preserve">Series 2021-10A </w:t>
            </w:r>
            <w:r>
              <w:rPr>
                <w:rFonts w:ascii="Arial" w:cs="Arial" w:eastAsia="Arial" w:hAnsi="Arial"/>
                <w:sz w:val="13"/>
                <w:szCs w:val="13"/>
                <w:color w:val="auto"/>
                <w:vertAlign w:val="superscript"/>
              </w:rPr>
              <w:t>(3)(4)(10)</w:t>
            </w:r>
          </w:p>
        </w:tc>
        <w:tc>
          <w:tcPr>
            <w:tcW w:w="2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260" w:type="dxa"/>
            <w:vAlign w:val="bottom"/>
            <w:gridSpan w:val="2"/>
          </w:tcPr>
          <w:p>
            <w:pPr>
              <w:ind w:left="20"/>
              <w:spacing w:after="0"/>
              <w:rPr>
                <w:sz w:val="20"/>
                <w:szCs w:val="20"/>
                <w:color w:val="auto"/>
              </w:rPr>
            </w:pPr>
            <w:r>
              <w:rPr>
                <w:rFonts w:ascii="Arial" w:cs="Arial" w:eastAsia="Arial" w:hAnsi="Arial"/>
                <w:sz w:val="11"/>
                <w:szCs w:val="11"/>
                <w:color w:val="auto"/>
              </w:rPr>
              <w:t xml:space="preserve">Eaton CLO Ltd, Series 2015-1A </w:t>
            </w:r>
            <w:r>
              <w:rPr>
                <w:rFonts w:ascii="Arial" w:cs="Arial" w:eastAsia="Arial" w:hAnsi="Arial"/>
                <w:sz w:val="14"/>
                <w:szCs w:val="14"/>
                <w:color w:val="auto"/>
                <w:vertAlign w:val="superscript"/>
              </w:rPr>
              <w:t>(3)(4)(10)</w:t>
            </w:r>
          </w:p>
        </w:tc>
        <w:tc>
          <w:tcPr>
            <w:tcW w:w="2760" w:type="dxa"/>
            <w:vAlign w:val="bottom"/>
          </w:tcPr>
          <w:p>
            <w:pPr>
              <w:ind w:left="340"/>
              <w:spacing w:after="0"/>
              <w:rPr>
                <w:sz w:val="20"/>
                <w:szCs w:val="20"/>
                <w:color w:val="auto"/>
              </w:rPr>
            </w:pPr>
            <w:r>
              <w:rPr>
                <w:rFonts w:ascii="Arial" w:cs="Arial" w:eastAsia="Arial" w:hAnsi="Arial"/>
                <w:sz w:val="11"/>
                <w:szCs w:val="11"/>
                <w:color w:val="auto"/>
              </w:rPr>
              <w:t>Structured Product ($2,500 par, due 1/2030)</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6/23/2022</w:t>
            </w:r>
          </w:p>
        </w:tc>
        <w:tc>
          <w:tcPr>
            <w:tcW w:w="1080" w:type="dxa"/>
            <w:vAlign w:val="bottom"/>
          </w:tcPr>
          <w:p>
            <w:pPr>
              <w:ind w:left="220"/>
              <w:spacing w:after="0"/>
              <w:rPr>
                <w:sz w:val="20"/>
                <w:szCs w:val="20"/>
                <w:color w:val="auto"/>
              </w:rPr>
            </w:pPr>
            <w:r>
              <w:rPr>
                <w:rFonts w:ascii="Arial" w:cs="Arial" w:eastAsia="Arial" w:hAnsi="Arial"/>
                <w:sz w:val="11"/>
                <w:szCs w:val="11"/>
                <w:color w:val="auto"/>
              </w:rPr>
              <w:t>L + 2.50%</w:t>
            </w:r>
          </w:p>
        </w:tc>
        <w:tc>
          <w:tcPr>
            <w:tcW w:w="880" w:type="dxa"/>
            <w:vAlign w:val="bottom"/>
          </w:tcPr>
          <w:p>
            <w:pPr>
              <w:jc w:val="right"/>
              <w:ind w:right="68"/>
              <w:spacing w:after="0"/>
              <w:rPr>
                <w:sz w:val="20"/>
                <w:szCs w:val="20"/>
                <w:color w:val="auto"/>
              </w:rPr>
            </w:pPr>
            <w:r>
              <w:rPr>
                <w:rFonts w:ascii="Arial" w:cs="Arial" w:eastAsia="Arial" w:hAnsi="Arial"/>
                <w:sz w:val="11"/>
                <w:szCs w:val="11"/>
                <w:color w:val="auto"/>
              </w:rPr>
              <w:t>3.56 %</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2,167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2,192</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260" w:type="dxa"/>
            <w:vAlign w:val="bottom"/>
            <w:gridSpan w:val="2"/>
            <w:shd w:val="clear" w:color="auto" w:fill="CFF0FC"/>
          </w:tcPr>
          <w:p>
            <w:pPr>
              <w:ind w:left="20"/>
              <w:spacing w:after="0" w:line="95" w:lineRule="exact"/>
              <w:rPr>
                <w:sz w:val="20"/>
                <w:szCs w:val="20"/>
                <w:color w:val="auto"/>
              </w:rPr>
            </w:pPr>
            <w:r>
              <w:rPr>
                <w:rFonts w:ascii="Arial" w:cs="Arial" w:eastAsia="Arial" w:hAnsi="Arial"/>
                <w:sz w:val="10"/>
                <w:szCs w:val="10"/>
                <w:color w:val="auto"/>
              </w:rPr>
              <w:t>GoldenTree CLO Ltd,</w:t>
            </w:r>
          </w:p>
        </w:tc>
        <w:tc>
          <w:tcPr>
            <w:tcW w:w="2760" w:type="dxa"/>
            <w:vAlign w:val="bottom"/>
            <w:shd w:val="clear" w:color="auto" w:fill="CFF0FC"/>
          </w:tcPr>
          <w:p>
            <w:pPr>
              <w:ind w:left="340"/>
              <w:spacing w:after="0" w:line="95" w:lineRule="exact"/>
              <w:rPr>
                <w:sz w:val="20"/>
                <w:szCs w:val="20"/>
                <w:color w:val="auto"/>
              </w:rPr>
            </w:pPr>
            <w:r>
              <w:rPr>
                <w:rFonts w:ascii="Arial" w:cs="Arial" w:eastAsia="Arial" w:hAnsi="Arial"/>
                <w:sz w:val="10"/>
                <w:szCs w:val="10"/>
                <w:color w:val="auto"/>
              </w:rPr>
              <w:t>Structured Product ($1,000 par, due 4/2034)</w:t>
            </w:r>
          </w:p>
        </w:tc>
        <w:tc>
          <w:tcPr>
            <w:tcW w:w="1180" w:type="dxa"/>
            <w:vAlign w:val="bottom"/>
            <w:shd w:val="clear" w:color="auto" w:fill="CFF0FC"/>
          </w:tcPr>
          <w:p>
            <w:pPr>
              <w:jc w:val="right"/>
              <w:ind w:right="187"/>
              <w:spacing w:after="0" w:line="95" w:lineRule="exact"/>
              <w:rPr>
                <w:sz w:val="20"/>
                <w:szCs w:val="20"/>
                <w:color w:val="auto"/>
              </w:rPr>
            </w:pPr>
            <w:r>
              <w:rPr>
                <w:rFonts w:ascii="Arial" w:cs="Arial" w:eastAsia="Arial" w:hAnsi="Arial"/>
                <w:sz w:val="10"/>
                <w:szCs w:val="10"/>
                <w:color w:val="auto"/>
              </w:rPr>
              <w:t>6/17/2022</w:t>
            </w:r>
          </w:p>
        </w:tc>
        <w:tc>
          <w:tcPr>
            <w:tcW w:w="1080" w:type="dxa"/>
            <w:vAlign w:val="bottom"/>
            <w:shd w:val="clear" w:color="auto" w:fill="CFF0FC"/>
          </w:tcPr>
          <w:p>
            <w:pPr>
              <w:ind w:left="220"/>
              <w:spacing w:after="0" w:line="95" w:lineRule="exact"/>
              <w:rPr>
                <w:sz w:val="20"/>
                <w:szCs w:val="20"/>
                <w:color w:val="auto"/>
              </w:rPr>
            </w:pPr>
            <w:r>
              <w:rPr>
                <w:rFonts w:ascii="Arial" w:cs="Arial" w:eastAsia="Arial" w:hAnsi="Arial"/>
                <w:sz w:val="10"/>
                <w:szCs w:val="10"/>
                <w:color w:val="auto"/>
              </w:rPr>
              <w:t>L + 6.50%</w:t>
            </w:r>
          </w:p>
        </w:tc>
        <w:tc>
          <w:tcPr>
            <w:tcW w:w="880" w:type="dxa"/>
            <w:vAlign w:val="bottom"/>
            <w:shd w:val="clear" w:color="auto" w:fill="CFF0FC"/>
          </w:tcPr>
          <w:p>
            <w:pPr>
              <w:jc w:val="right"/>
              <w:ind w:right="68"/>
              <w:spacing w:after="0" w:line="95" w:lineRule="exact"/>
              <w:rPr>
                <w:sz w:val="20"/>
                <w:szCs w:val="20"/>
                <w:color w:val="auto"/>
              </w:rPr>
            </w:pPr>
            <w:r>
              <w:rPr>
                <w:rFonts w:ascii="Arial" w:cs="Arial" w:eastAsia="Arial" w:hAnsi="Arial"/>
                <w:sz w:val="10"/>
                <w:szCs w:val="10"/>
                <w:color w:val="auto"/>
              </w:rPr>
              <w:t>7.56 %</w:t>
            </w:r>
          </w:p>
        </w:tc>
        <w:tc>
          <w:tcPr>
            <w:tcW w:w="260" w:type="dxa"/>
            <w:vAlign w:val="bottom"/>
            <w:shd w:val="clear" w:color="auto" w:fill="CFF0FC"/>
          </w:tcPr>
          <w:p>
            <w:pPr>
              <w:spacing w:after="0"/>
              <w:rPr>
                <w:sz w:val="8"/>
                <w:szCs w:val="8"/>
                <w:color w:val="auto"/>
              </w:rPr>
            </w:pPr>
          </w:p>
        </w:tc>
        <w:tc>
          <w:tcPr>
            <w:tcW w:w="640" w:type="dxa"/>
            <w:vAlign w:val="bottom"/>
            <w:shd w:val="clear" w:color="auto" w:fill="CFF0FC"/>
          </w:tcPr>
          <w:p>
            <w:pPr>
              <w:jc w:val="right"/>
              <w:spacing w:after="0" w:line="95" w:lineRule="exact"/>
              <w:rPr>
                <w:sz w:val="20"/>
                <w:szCs w:val="20"/>
                <w:color w:val="auto"/>
              </w:rPr>
            </w:pPr>
            <w:r>
              <w:rPr>
                <w:rFonts w:ascii="Arial" w:cs="Arial" w:eastAsia="Arial" w:hAnsi="Arial"/>
                <w:sz w:val="10"/>
                <w:szCs w:val="10"/>
                <w:color w:val="auto"/>
              </w:rPr>
              <w:t>913</w:t>
            </w:r>
          </w:p>
        </w:tc>
        <w:tc>
          <w:tcPr>
            <w:tcW w:w="2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80" w:type="dxa"/>
            <w:vAlign w:val="bottom"/>
            <w:shd w:val="clear" w:color="auto" w:fill="CFF0FC"/>
          </w:tcPr>
          <w:p>
            <w:pPr>
              <w:jc w:val="right"/>
              <w:spacing w:after="0" w:line="95" w:lineRule="exact"/>
              <w:rPr>
                <w:sz w:val="20"/>
                <w:szCs w:val="20"/>
                <w:color w:val="auto"/>
              </w:rPr>
            </w:pPr>
            <w:r>
              <w:rPr>
                <w:rFonts w:ascii="Arial" w:cs="Arial" w:eastAsia="Arial" w:hAnsi="Arial"/>
                <w:sz w:val="10"/>
                <w:szCs w:val="10"/>
                <w:color w:val="auto"/>
              </w:rPr>
              <w:t>890</w:t>
            </w:r>
          </w:p>
        </w:tc>
        <w:tc>
          <w:tcPr>
            <w:tcW w:w="1140" w:type="dxa"/>
            <w:vAlign w:val="bottom"/>
            <w:gridSpan w:val="3"/>
            <w:shd w:val="clear" w:color="auto" w:fill="CFF0FC"/>
          </w:tcPr>
          <w:p>
            <w:pPr>
              <w:jc w:val="right"/>
              <w:spacing w:after="0" w:line="95" w:lineRule="exact"/>
              <w:rPr>
                <w:sz w:val="20"/>
                <w:szCs w:val="20"/>
                <w:color w:val="auto"/>
              </w:rPr>
            </w:pPr>
            <w:r>
              <w:rPr>
                <w:rFonts w:ascii="Arial" w:cs="Arial" w:eastAsia="Arial" w:hAnsi="Arial"/>
                <w:sz w:val="10"/>
                <w:szCs w:val="10"/>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00" w:type="dxa"/>
            <w:vAlign w:val="bottom"/>
            <w:shd w:val="clear" w:color="auto" w:fill="CFF0FC"/>
          </w:tcPr>
          <w:p>
            <w:pPr>
              <w:ind w:left="100"/>
              <w:spacing w:after="0"/>
              <w:rPr>
                <w:sz w:val="20"/>
                <w:szCs w:val="20"/>
                <w:color w:val="auto"/>
              </w:rPr>
            </w:pPr>
            <w:r>
              <w:rPr>
                <w:rFonts w:ascii="Arial" w:cs="Arial" w:eastAsia="Arial" w:hAnsi="Arial"/>
                <w:sz w:val="11"/>
                <w:szCs w:val="11"/>
                <w:color w:val="auto"/>
                <w:w w:val="89"/>
              </w:rPr>
              <w:t>Series 2020-7A</w:t>
            </w:r>
          </w:p>
        </w:tc>
        <w:tc>
          <w:tcPr>
            <w:tcW w:w="1460" w:type="dxa"/>
            <w:vAlign w:val="bottom"/>
            <w:shd w:val="clear" w:color="auto" w:fill="CFF0FC"/>
          </w:tcPr>
          <w:p>
            <w:pPr>
              <w:jc w:val="right"/>
              <w:ind w:right="1124"/>
              <w:spacing w:after="0"/>
              <w:rPr>
                <w:sz w:val="20"/>
                <w:szCs w:val="20"/>
                <w:color w:val="auto"/>
              </w:rPr>
            </w:pPr>
            <w:r>
              <w:rPr>
                <w:rFonts w:ascii="Arial" w:cs="Arial" w:eastAsia="Arial" w:hAnsi="Arial"/>
                <w:sz w:val="7"/>
                <w:szCs w:val="7"/>
                <w:color w:val="auto"/>
                <w:w w:val="94"/>
              </w:rPr>
              <w:t>(3)(4)(10)</w:t>
            </w:r>
          </w:p>
        </w:tc>
        <w:tc>
          <w:tcPr>
            <w:tcW w:w="27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260" w:type="dxa"/>
            <w:vAlign w:val="bottom"/>
            <w:gridSpan w:val="2"/>
          </w:tcPr>
          <w:p>
            <w:pPr>
              <w:ind w:left="20"/>
              <w:spacing w:after="0" w:line="95" w:lineRule="exact"/>
              <w:rPr>
                <w:sz w:val="20"/>
                <w:szCs w:val="20"/>
                <w:color w:val="auto"/>
              </w:rPr>
            </w:pPr>
            <w:r>
              <w:rPr>
                <w:rFonts w:ascii="Arial" w:cs="Arial" w:eastAsia="Arial" w:hAnsi="Arial"/>
                <w:sz w:val="10"/>
                <w:szCs w:val="10"/>
                <w:color w:val="auto"/>
              </w:rPr>
              <w:t>Gulf Stream Meridian,</w:t>
            </w:r>
          </w:p>
        </w:tc>
        <w:tc>
          <w:tcPr>
            <w:tcW w:w="2760" w:type="dxa"/>
            <w:vAlign w:val="bottom"/>
          </w:tcPr>
          <w:p>
            <w:pPr>
              <w:ind w:left="340"/>
              <w:spacing w:after="0" w:line="95" w:lineRule="exact"/>
              <w:rPr>
                <w:sz w:val="20"/>
                <w:szCs w:val="20"/>
                <w:color w:val="auto"/>
              </w:rPr>
            </w:pPr>
            <w:r>
              <w:rPr>
                <w:rFonts w:ascii="Arial" w:cs="Arial" w:eastAsia="Arial" w:hAnsi="Arial"/>
                <w:sz w:val="10"/>
                <w:szCs w:val="10"/>
                <w:color w:val="auto"/>
              </w:rPr>
              <w:t>Structured Product ($1,015 par, due 7/2036)</w:t>
            </w:r>
          </w:p>
        </w:tc>
        <w:tc>
          <w:tcPr>
            <w:tcW w:w="1180" w:type="dxa"/>
            <w:vAlign w:val="bottom"/>
          </w:tcPr>
          <w:p>
            <w:pPr>
              <w:jc w:val="right"/>
              <w:ind w:right="187"/>
              <w:spacing w:after="0" w:line="95" w:lineRule="exact"/>
              <w:rPr>
                <w:sz w:val="20"/>
                <w:szCs w:val="20"/>
                <w:color w:val="auto"/>
              </w:rPr>
            </w:pPr>
            <w:r>
              <w:rPr>
                <w:rFonts w:ascii="Arial" w:cs="Arial" w:eastAsia="Arial" w:hAnsi="Arial"/>
                <w:sz w:val="10"/>
                <w:szCs w:val="10"/>
                <w:color w:val="auto"/>
              </w:rPr>
              <w:t>6/3/2022</w:t>
            </w:r>
          </w:p>
        </w:tc>
        <w:tc>
          <w:tcPr>
            <w:tcW w:w="1080" w:type="dxa"/>
            <w:vAlign w:val="bottom"/>
          </w:tcPr>
          <w:p>
            <w:pPr>
              <w:ind w:left="220"/>
              <w:spacing w:after="0" w:line="95" w:lineRule="exact"/>
              <w:rPr>
                <w:sz w:val="20"/>
                <w:szCs w:val="20"/>
                <w:color w:val="auto"/>
              </w:rPr>
            </w:pPr>
            <w:r>
              <w:rPr>
                <w:rFonts w:ascii="Arial" w:cs="Arial" w:eastAsia="Arial" w:hAnsi="Arial"/>
                <w:sz w:val="10"/>
                <w:szCs w:val="10"/>
                <w:color w:val="auto"/>
              </w:rPr>
              <w:t>L + 6.35%</w:t>
            </w:r>
          </w:p>
        </w:tc>
        <w:tc>
          <w:tcPr>
            <w:tcW w:w="880" w:type="dxa"/>
            <w:vAlign w:val="bottom"/>
          </w:tcPr>
          <w:p>
            <w:pPr>
              <w:jc w:val="right"/>
              <w:ind w:right="68"/>
              <w:spacing w:after="0" w:line="95" w:lineRule="exact"/>
              <w:rPr>
                <w:sz w:val="20"/>
                <w:szCs w:val="20"/>
                <w:color w:val="auto"/>
              </w:rPr>
            </w:pPr>
            <w:r>
              <w:rPr>
                <w:rFonts w:ascii="Arial" w:cs="Arial" w:eastAsia="Arial" w:hAnsi="Arial"/>
                <w:sz w:val="10"/>
                <w:szCs w:val="10"/>
                <w:color w:val="auto"/>
              </w:rPr>
              <w:t>7.39 %</w:t>
            </w:r>
          </w:p>
        </w:tc>
        <w:tc>
          <w:tcPr>
            <w:tcW w:w="260" w:type="dxa"/>
            <w:vAlign w:val="bottom"/>
          </w:tcPr>
          <w:p>
            <w:pPr>
              <w:spacing w:after="0"/>
              <w:rPr>
                <w:sz w:val="8"/>
                <w:szCs w:val="8"/>
                <w:color w:val="auto"/>
              </w:rPr>
            </w:pPr>
          </w:p>
        </w:tc>
        <w:tc>
          <w:tcPr>
            <w:tcW w:w="640" w:type="dxa"/>
            <w:vAlign w:val="bottom"/>
          </w:tcPr>
          <w:p>
            <w:pPr>
              <w:jc w:val="right"/>
              <w:spacing w:after="0" w:line="95" w:lineRule="exact"/>
              <w:rPr>
                <w:sz w:val="20"/>
                <w:szCs w:val="20"/>
                <w:color w:val="auto"/>
              </w:rPr>
            </w:pPr>
            <w:r>
              <w:rPr>
                <w:rFonts w:ascii="Arial" w:cs="Arial" w:eastAsia="Arial" w:hAnsi="Arial"/>
                <w:sz w:val="10"/>
                <w:szCs w:val="10"/>
                <w:color w:val="auto"/>
              </w:rPr>
              <w:t>931</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Arial" w:cs="Arial" w:eastAsia="Arial" w:hAnsi="Arial"/>
                <w:sz w:val="10"/>
                <w:szCs w:val="10"/>
                <w:color w:val="auto"/>
              </w:rPr>
              <w:t>894</w:t>
            </w:r>
          </w:p>
        </w:tc>
        <w:tc>
          <w:tcPr>
            <w:tcW w:w="1140" w:type="dxa"/>
            <w:vAlign w:val="bottom"/>
            <w:gridSpan w:val="3"/>
          </w:tcPr>
          <w:p>
            <w:pPr>
              <w:jc w:val="right"/>
              <w:spacing w:after="0" w:line="95" w:lineRule="exact"/>
              <w:rPr>
                <w:sz w:val="20"/>
                <w:szCs w:val="20"/>
                <w:color w:val="auto"/>
              </w:rPr>
            </w:pPr>
            <w:r>
              <w:rPr>
                <w:rFonts w:ascii="Arial" w:cs="Arial" w:eastAsia="Arial" w:hAnsi="Arial"/>
                <w:sz w:val="10"/>
                <w:szCs w:val="10"/>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800" w:type="dxa"/>
            <w:vAlign w:val="bottom"/>
          </w:tcPr>
          <w:p>
            <w:pPr>
              <w:ind w:left="100"/>
              <w:spacing w:after="0"/>
              <w:rPr>
                <w:sz w:val="20"/>
                <w:szCs w:val="20"/>
                <w:color w:val="auto"/>
              </w:rPr>
            </w:pPr>
            <w:r>
              <w:rPr>
                <w:rFonts w:ascii="Arial" w:cs="Arial" w:eastAsia="Arial" w:hAnsi="Arial"/>
                <w:sz w:val="11"/>
                <w:szCs w:val="11"/>
                <w:color w:val="auto"/>
                <w:w w:val="89"/>
              </w:rPr>
              <w:t>Series 2021-4A</w:t>
            </w:r>
          </w:p>
        </w:tc>
        <w:tc>
          <w:tcPr>
            <w:tcW w:w="1460" w:type="dxa"/>
            <w:vAlign w:val="bottom"/>
          </w:tcPr>
          <w:p>
            <w:pPr>
              <w:jc w:val="right"/>
              <w:ind w:right="1124"/>
              <w:spacing w:after="0"/>
              <w:rPr>
                <w:sz w:val="20"/>
                <w:szCs w:val="20"/>
                <w:color w:val="auto"/>
              </w:rPr>
            </w:pPr>
            <w:r>
              <w:rPr>
                <w:rFonts w:ascii="Arial" w:cs="Arial" w:eastAsia="Arial" w:hAnsi="Arial"/>
                <w:sz w:val="7"/>
                <w:szCs w:val="7"/>
                <w:color w:val="auto"/>
                <w:w w:val="94"/>
              </w:rPr>
              <w:t>(3)(4)(10)</w:t>
            </w:r>
          </w:p>
        </w:tc>
        <w:tc>
          <w:tcPr>
            <w:tcW w:w="2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260" w:type="dxa"/>
            <w:vAlign w:val="bottom"/>
            <w:gridSpan w:val="2"/>
          </w:tcPr>
          <w:p>
            <w:pPr>
              <w:ind w:left="20"/>
              <w:spacing w:after="0" w:line="104" w:lineRule="exact"/>
              <w:rPr>
                <w:sz w:val="20"/>
                <w:szCs w:val="20"/>
                <w:color w:val="auto"/>
              </w:rPr>
            </w:pPr>
            <w:r>
              <w:rPr>
                <w:rFonts w:ascii="Arial" w:cs="Arial" w:eastAsia="Arial" w:hAnsi="Arial"/>
                <w:sz w:val="11"/>
                <w:szCs w:val="11"/>
                <w:color w:val="auto"/>
              </w:rPr>
              <w:t>Jefferson Mill CLO Ltd,</w:t>
            </w:r>
          </w:p>
        </w:tc>
        <w:tc>
          <w:tcPr>
            <w:tcW w:w="2760" w:type="dxa"/>
            <w:vAlign w:val="bottom"/>
          </w:tcPr>
          <w:p>
            <w:pPr>
              <w:ind w:left="340"/>
              <w:spacing w:after="0" w:line="104" w:lineRule="exact"/>
              <w:rPr>
                <w:sz w:val="20"/>
                <w:szCs w:val="20"/>
                <w:color w:val="auto"/>
              </w:rPr>
            </w:pPr>
            <w:r>
              <w:rPr>
                <w:rFonts w:ascii="Arial" w:cs="Arial" w:eastAsia="Arial" w:hAnsi="Arial"/>
                <w:sz w:val="11"/>
                <w:szCs w:val="11"/>
                <w:color w:val="auto"/>
              </w:rPr>
              <w:t>Structured Product ($1,000 par, due 10/2031)</w:t>
            </w:r>
          </w:p>
        </w:tc>
        <w:tc>
          <w:tcPr>
            <w:tcW w:w="1180" w:type="dxa"/>
            <w:vAlign w:val="bottom"/>
          </w:tcPr>
          <w:p>
            <w:pPr>
              <w:jc w:val="right"/>
              <w:ind w:right="187"/>
              <w:spacing w:after="0" w:line="104" w:lineRule="exact"/>
              <w:rPr>
                <w:sz w:val="20"/>
                <w:szCs w:val="20"/>
                <w:color w:val="auto"/>
              </w:rPr>
            </w:pPr>
            <w:r>
              <w:rPr>
                <w:rFonts w:ascii="Arial" w:cs="Arial" w:eastAsia="Arial" w:hAnsi="Arial"/>
                <w:sz w:val="11"/>
                <w:szCs w:val="11"/>
                <w:color w:val="auto"/>
              </w:rPr>
              <w:t>5/23/2022</w:t>
            </w:r>
          </w:p>
        </w:tc>
        <w:tc>
          <w:tcPr>
            <w:tcW w:w="1080" w:type="dxa"/>
            <w:vAlign w:val="bottom"/>
          </w:tcPr>
          <w:p>
            <w:pPr>
              <w:ind w:left="220"/>
              <w:spacing w:after="0" w:line="104" w:lineRule="exact"/>
              <w:rPr>
                <w:sz w:val="20"/>
                <w:szCs w:val="20"/>
                <w:color w:val="auto"/>
              </w:rPr>
            </w:pPr>
            <w:r>
              <w:rPr>
                <w:rFonts w:ascii="Arial" w:cs="Arial" w:eastAsia="Arial" w:hAnsi="Arial"/>
                <w:sz w:val="11"/>
                <w:szCs w:val="11"/>
                <w:color w:val="auto"/>
              </w:rPr>
              <w:t>L + 3.55%</w:t>
            </w:r>
          </w:p>
        </w:tc>
        <w:tc>
          <w:tcPr>
            <w:tcW w:w="880" w:type="dxa"/>
            <w:vAlign w:val="bottom"/>
          </w:tcPr>
          <w:p>
            <w:pPr>
              <w:jc w:val="right"/>
              <w:ind w:right="68"/>
              <w:spacing w:after="0" w:line="104" w:lineRule="exact"/>
              <w:rPr>
                <w:sz w:val="20"/>
                <w:szCs w:val="20"/>
                <w:color w:val="auto"/>
              </w:rPr>
            </w:pPr>
            <w:r>
              <w:rPr>
                <w:rFonts w:ascii="Arial" w:cs="Arial" w:eastAsia="Arial" w:hAnsi="Arial"/>
                <w:sz w:val="11"/>
                <w:szCs w:val="11"/>
                <w:color w:val="auto"/>
              </w:rPr>
              <w:t>4.61 %</w:t>
            </w:r>
          </w:p>
        </w:tc>
        <w:tc>
          <w:tcPr>
            <w:tcW w:w="260" w:type="dxa"/>
            <w:vAlign w:val="bottom"/>
          </w:tcPr>
          <w:p>
            <w:pPr>
              <w:spacing w:after="0"/>
              <w:rPr>
                <w:sz w:val="9"/>
                <w:szCs w:val="9"/>
                <w:color w:val="auto"/>
              </w:rPr>
            </w:pPr>
          </w:p>
        </w:tc>
        <w:tc>
          <w:tcPr>
            <w:tcW w:w="640" w:type="dxa"/>
            <w:vAlign w:val="bottom"/>
          </w:tcPr>
          <w:p>
            <w:pPr>
              <w:jc w:val="right"/>
              <w:spacing w:after="0" w:line="104" w:lineRule="exact"/>
              <w:rPr>
                <w:sz w:val="20"/>
                <w:szCs w:val="20"/>
                <w:color w:val="auto"/>
              </w:rPr>
            </w:pPr>
            <w:r>
              <w:rPr>
                <w:rFonts w:ascii="Arial" w:cs="Arial" w:eastAsia="Arial" w:hAnsi="Arial"/>
                <w:sz w:val="11"/>
                <w:szCs w:val="11"/>
                <w:color w:val="auto"/>
              </w:rPr>
              <w:t>892</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spacing w:after="0" w:line="104" w:lineRule="exact"/>
              <w:rPr>
                <w:sz w:val="20"/>
                <w:szCs w:val="20"/>
                <w:color w:val="auto"/>
              </w:rPr>
            </w:pPr>
            <w:r>
              <w:rPr>
                <w:rFonts w:ascii="Arial" w:cs="Arial" w:eastAsia="Arial" w:hAnsi="Arial"/>
                <w:sz w:val="11"/>
                <w:szCs w:val="11"/>
                <w:color w:val="auto"/>
              </w:rPr>
              <w:t>869</w:t>
            </w:r>
          </w:p>
        </w:tc>
        <w:tc>
          <w:tcPr>
            <w:tcW w:w="1140" w:type="dxa"/>
            <w:vAlign w:val="bottom"/>
            <w:gridSpan w:val="3"/>
          </w:tcPr>
          <w:p>
            <w:pPr>
              <w:jc w:val="right"/>
              <w:spacing w:after="0" w:line="104" w:lineRule="exact"/>
              <w:rPr>
                <w:sz w:val="20"/>
                <w:szCs w:val="20"/>
                <w:color w:val="auto"/>
              </w:rPr>
            </w:pPr>
            <w:r>
              <w:rPr>
                <w:rFonts w:ascii="Arial" w:cs="Arial" w:eastAsia="Arial" w:hAnsi="Arial"/>
                <w:sz w:val="11"/>
                <w:szCs w:val="11"/>
                <w:color w:val="auto"/>
              </w:rPr>
              <w:t>0.1 %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800" w:type="dxa"/>
            <w:vAlign w:val="bottom"/>
          </w:tcPr>
          <w:p>
            <w:pPr>
              <w:ind w:left="100"/>
              <w:spacing w:after="0" w:line="119" w:lineRule="exact"/>
              <w:rPr>
                <w:sz w:val="20"/>
                <w:szCs w:val="20"/>
                <w:color w:val="auto"/>
              </w:rPr>
            </w:pPr>
            <w:r>
              <w:rPr>
                <w:rFonts w:ascii="Arial" w:cs="Arial" w:eastAsia="Arial" w:hAnsi="Arial"/>
                <w:sz w:val="11"/>
                <w:szCs w:val="11"/>
                <w:color w:val="auto"/>
                <w:w w:val="89"/>
              </w:rPr>
              <w:t>Series 2015-1A</w:t>
            </w:r>
          </w:p>
        </w:tc>
        <w:tc>
          <w:tcPr>
            <w:tcW w:w="1460" w:type="dxa"/>
            <w:vAlign w:val="bottom"/>
          </w:tcPr>
          <w:p>
            <w:pPr>
              <w:jc w:val="right"/>
              <w:ind w:right="1124"/>
              <w:spacing w:after="0"/>
              <w:rPr>
                <w:sz w:val="20"/>
                <w:szCs w:val="20"/>
                <w:color w:val="auto"/>
              </w:rPr>
            </w:pPr>
            <w:r>
              <w:rPr>
                <w:rFonts w:ascii="Arial" w:cs="Arial" w:eastAsia="Arial" w:hAnsi="Arial"/>
                <w:sz w:val="7"/>
                <w:szCs w:val="7"/>
                <w:color w:val="auto"/>
                <w:w w:val="94"/>
              </w:rPr>
              <w:t>(3)(4)(10)</w:t>
            </w:r>
          </w:p>
        </w:tc>
        <w:tc>
          <w:tcPr>
            <w:tcW w:w="2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260" w:type="dxa"/>
            <w:vAlign w:val="bottom"/>
            <w:gridSpan w:val="2"/>
          </w:tcPr>
          <w:p>
            <w:pPr>
              <w:ind w:left="20"/>
              <w:spacing w:after="0"/>
              <w:rPr>
                <w:sz w:val="20"/>
                <w:szCs w:val="20"/>
                <w:color w:val="auto"/>
              </w:rPr>
            </w:pPr>
            <w:r>
              <w:rPr>
                <w:rFonts w:ascii="Arial" w:cs="Arial" w:eastAsia="Arial" w:hAnsi="Arial"/>
                <w:sz w:val="11"/>
                <w:szCs w:val="11"/>
                <w:color w:val="auto"/>
              </w:rPr>
              <w:t xml:space="preserve">KKR CLO Ltd, 49A </w:t>
            </w:r>
            <w:r>
              <w:rPr>
                <w:rFonts w:ascii="Arial" w:cs="Arial" w:eastAsia="Arial" w:hAnsi="Arial"/>
                <w:sz w:val="14"/>
                <w:szCs w:val="14"/>
                <w:color w:val="auto"/>
                <w:vertAlign w:val="superscript"/>
              </w:rPr>
              <w:t>(3)(4)(10)</w:t>
            </w:r>
          </w:p>
        </w:tc>
        <w:tc>
          <w:tcPr>
            <w:tcW w:w="2760" w:type="dxa"/>
            <w:vAlign w:val="bottom"/>
          </w:tcPr>
          <w:p>
            <w:pPr>
              <w:ind w:left="340"/>
              <w:spacing w:after="0"/>
              <w:rPr>
                <w:sz w:val="20"/>
                <w:szCs w:val="20"/>
                <w:color w:val="auto"/>
              </w:rPr>
            </w:pPr>
            <w:r>
              <w:rPr>
                <w:rFonts w:ascii="Arial" w:cs="Arial" w:eastAsia="Arial" w:hAnsi="Arial"/>
                <w:sz w:val="11"/>
                <w:szCs w:val="11"/>
                <w:color w:val="auto"/>
              </w:rPr>
              <w:t>Structured Product ($1,000 par, due 7/2035)</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6/2/2022</w:t>
            </w:r>
          </w:p>
        </w:tc>
        <w:tc>
          <w:tcPr>
            <w:tcW w:w="1080" w:type="dxa"/>
            <w:vAlign w:val="bottom"/>
          </w:tcPr>
          <w:p>
            <w:pPr>
              <w:ind w:left="220"/>
              <w:spacing w:after="0"/>
              <w:rPr>
                <w:sz w:val="20"/>
                <w:szCs w:val="20"/>
                <w:color w:val="auto"/>
              </w:rPr>
            </w:pPr>
            <w:r>
              <w:rPr>
                <w:rFonts w:ascii="Arial" w:cs="Arial" w:eastAsia="Arial" w:hAnsi="Arial"/>
                <w:sz w:val="11"/>
                <w:szCs w:val="11"/>
                <w:color w:val="auto"/>
              </w:rPr>
              <w:t>L + 8.00%</w:t>
            </w:r>
          </w:p>
        </w:tc>
        <w:tc>
          <w:tcPr>
            <w:tcW w:w="880" w:type="dxa"/>
            <w:vAlign w:val="bottom"/>
          </w:tcPr>
          <w:p>
            <w:pPr>
              <w:jc w:val="right"/>
              <w:ind w:right="68"/>
              <w:spacing w:after="0"/>
              <w:rPr>
                <w:sz w:val="20"/>
                <w:szCs w:val="20"/>
                <w:color w:val="auto"/>
              </w:rPr>
            </w:pPr>
            <w:r>
              <w:rPr>
                <w:rFonts w:ascii="Arial" w:cs="Arial" w:eastAsia="Arial" w:hAnsi="Arial"/>
                <w:sz w:val="11"/>
                <w:szCs w:val="11"/>
                <w:color w:val="auto"/>
              </w:rPr>
              <w:t>10.17 %</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960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949</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260" w:type="dxa"/>
            <w:vAlign w:val="bottom"/>
            <w:gridSpan w:val="2"/>
            <w:shd w:val="clear" w:color="auto" w:fill="CFF0FC"/>
          </w:tcPr>
          <w:p>
            <w:pPr>
              <w:ind w:left="20"/>
              <w:spacing w:after="0" w:line="95" w:lineRule="exact"/>
              <w:rPr>
                <w:sz w:val="20"/>
                <w:szCs w:val="20"/>
                <w:color w:val="auto"/>
              </w:rPr>
            </w:pPr>
            <w:r>
              <w:rPr>
                <w:rFonts w:ascii="Arial" w:cs="Arial" w:eastAsia="Arial" w:hAnsi="Arial"/>
                <w:sz w:val="10"/>
                <w:szCs w:val="10"/>
                <w:color w:val="auto"/>
              </w:rPr>
              <w:t>Madison Park CLO,</w:t>
            </w:r>
          </w:p>
        </w:tc>
        <w:tc>
          <w:tcPr>
            <w:tcW w:w="2760" w:type="dxa"/>
            <w:vAlign w:val="bottom"/>
            <w:shd w:val="clear" w:color="auto" w:fill="CFF0FC"/>
          </w:tcPr>
          <w:p>
            <w:pPr>
              <w:ind w:left="340"/>
              <w:spacing w:after="0" w:line="95" w:lineRule="exact"/>
              <w:rPr>
                <w:sz w:val="20"/>
                <w:szCs w:val="20"/>
                <w:color w:val="auto"/>
              </w:rPr>
            </w:pPr>
            <w:r>
              <w:rPr>
                <w:rFonts w:ascii="Arial" w:cs="Arial" w:eastAsia="Arial" w:hAnsi="Arial"/>
                <w:sz w:val="10"/>
                <w:szCs w:val="10"/>
                <w:color w:val="auto"/>
              </w:rPr>
              <w:t>Structured Product ($1,000 par, due 7/2030)</w:t>
            </w:r>
          </w:p>
        </w:tc>
        <w:tc>
          <w:tcPr>
            <w:tcW w:w="1180" w:type="dxa"/>
            <w:vAlign w:val="bottom"/>
            <w:shd w:val="clear" w:color="auto" w:fill="CFF0FC"/>
          </w:tcPr>
          <w:p>
            <w:pPr>
              <w:jc w:val="right"/>
              <w:ind w:right="187"/>
              <w:spacing w:after="0" w:line="95" w:lineRule="exact"/>
              <w:rPr>
                <w:sz w:val="20"/>
                <w:szCs w:val="20"/>
                <w:color w:val="auto"/>
              </w:rPr>
            </w:pPr>
            <w:r>
              <w:rPr>
                <w:rFonts w:ascii="Arial" w:cs="Arial" w:eastAsia="Arial" w:hAnsi="Arial"/>
                <w:sz w:val="10"/>
                <w:szCs w:val="10"/>
                <w:color w:val="auto"/>
              </w:rPr>
              <w:t>6/28/2022</w:t>
            </w:r>
          </w:p>
        </w:tc>
        <w:tc>
          <w:tcPr>
            <w:tcW w:w="1080" w:type="dxa"/>
            <w:vAlign w:val="bottom"/>
            <w:shd w:val="clear" w:color="auto" w:fill="CFF0FC"/>
          </w:tcPr>
          <w:p>
            <w:pPr>
              <w:ind w:left="220"/>
              <w:spacing w:after="0" w:line="95" w:lineRule="exact"/>
              <w:rPr>
                <w:sz w:val="20"/>
                <w:szCs w:val="20"/>
                <w:color w:val="auto"/>
              </w:rPr>
            </w:pPr>
            <w:r>
              <w:rPr>
                <w:rFonts w:ascii="Arial" w:cs="Arial" w:eastAsia="Arial" w:hAnsi="Arial"/>
                <w:sz w:val="10"/>
                <w:szCs w:val="10"/>
                <w:color w:val="auto"/>
              </w:rPr>
              <w:t>L + 5.25%</w:t>
            </w:r>
          </w:p>
        </w:tc>
        <w:tc>
          <w:tcPr>
            <w:tcW w:w="880" w:type="dxa"/>
            <w:vAlign w:val="bottom"/>
            <w:shd w:val="clear" w:color="auto" w:fill="CFF0FC"/>
          </w:tcPr>
          <w:p>
            <w:pPr>
              <w:jc w:val="right"/>
              <w:ind w:right="68"/>
              <w:spacing w:after="0" w:line="95" w:lineRule="exact"/>
              <w:rPr>
                <w:sz w:val="20"/>
                <w:szCs w:val="20"/>
                <w:color w:val="auto"/>
              </w:rPr>
            </w:pPr>
            <w:r>
              <w:rPr>
                <w:rFonts w:ascii="Arial" w:cs="Arial" w:eastAsia="Arial" w:hAnsi="Arial"/>
                <w:sz w:val="10"/>
                <w:szCs w:val="10"/>
                <w:color w:val="auto"/>
              </w:rPr>
              <w:t>6.29 %</w:t>
            </w:r>
          </w:p>
        </w:tc>
        <w:tc>
          <w:tcPr>
            <w:tcW w:w="260" w:type="dxa"/>
            <w:vAlign w:val="bottom"/>
            <w:shd w:val="clear" w:color="auto" w:fill="CFF0FC"/>
          </w:tcPr>
          <w:p>
            <w:pPr>
              <w:spacing w:after="0"/>
              <w:rPr>
                <w:sz w:val="8"/>
                <w:szCs w:val="8"/>
                <w:color w:val="auto"/>
              </w:rPr>
            </w:pPr>
          </w:p>
        </w:tc>
        <w:tc>
          <w:tcPr>
            <w:tcW w:w="640" w:type="dxa"/>
            <w:vAlign w:val="bottom"/>
            <w:shd w:val="clear" w:color="auto" w:fill="CFF0FC"/>
          </w:tcPr>
          <w:p>
            <w:pPr>
              <w:jc w:val="right"/>
              <w:spacing w:after="0" w:line="95" w:lineRule="exact"/>
              <w:rPr>
                <w:sz w:val="20"/>
                <w:szCs w:val="20"/>
                <w:color w:val="auto"/>
              </w:rPr>
            </w:pPr>
            <w:r>
              <w:rPr>
                <w:rFonts w:ascii="Arial" w:cs="Arial" w:eastAsia="Arial" w:hAnsi="Arial"/>
                <w:sz w:val="10"/>
                <w:szCs w:val="10"/>
                <w:color w:val="auto"/>
              </w:rPr>
              <w:t>867</w:t>
            </w:r>
          </w:p>
        </w:tc>
        <w:tc>
          <w:tcPr>
            <w:tcW w:w="2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80" w:type="dxa"/>
            <w:vAlign w:val="bottom"/>
            <w:shd w:val="clear" w:color="auto" w:fill="CFF0FC"/>
          </w:tcPr>
          <w:p>
            <w:pPr>
              <w:jc w:val="right"/>
              <w:spacing w:after="0" w:line="95" w:lineRule="exact"/>
              <w:rPr>
                <w:sz w:val="20"/>
                <w:szCs w:val="20"/>
                <w:color w:val="auto"/>
              </w:rPr>
            </w:pPr>
            <w:r>
              <w:rPr>
                <w:rFonts w:ascii="Arial" w:cs="Arial" w:eastAsia="Arial" w:hAnsi="Arial"/>
                <w:sz w:val="10"/>
                <w:szCs w:val="10"/>
                <w:color w:val="auto"/>
              </w:rPr>
              <w:t>860</w:t>
            </w:r>
          </w:p>
        </w:tc>
        <w:tc>
          <w:tcPr>
            <w:tcW w:w="1140" w:type="dxa"/>
            <w:vAlign w:val="bottom"/>
            <w:gridSpan w:val="3"/>
            <w:shd w:val="clear" w:color="auto" w:fill="CFF0FC"/>
          </w:tcPr>
          <w:p>
            <w:pPr>
              <w:jc w:val="right"/>
              <w:spacing w:after="0" w:line="95" w:lineRule="exact"/>
              <w:rPr>
                <w:sz w:val="20"/>
                <w:szCs w:val="20"/>
                <w:color w:val="auto"/>
              </w:rPr>
            </w:pPr>
            <w:r>
              <w:rPr>
                <w:rFonts w:ascii="Arial" w:cs="Arial" w:eastAsia="Arial" w:hAnsi="Arial"/>
                <w:sz w:val="10"/>
                <w:szCs w:val="10"/>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FF0FC"/>
          </w:tcPr>
          <w:p>
            <w:pPr>
              <w:ind w:left="100"/>
              <w:spacing w:after="0" w:line="149" w:lineRule="exact"/>
              <w:rPr>
                <w:sz w:val="20"/>
                <w:szCs w:val="20"/>
                <w:color w:val="auto"/>
              </w:rPr>
            </w:pPr>
            <w:r>
              <w:rPr>
                <w:rFonts w:ascii="Arial" w:cs="Arial" w:eastAsia="Arial" w:hAnsi="Arial"/>
                <w:sz w:val="11"/>
                <w:szCs w:val="11"/>
                <w:color w:val="auto"/>
              </w:rPr>
              <w:t xml:space="preserve">Series 2018-28A </w:t>
            </w:r>
            <w:r>
              <w:rPr>
                <w:rFonts w:ascii="Arial" w:cs="Arial" w:eastAsia="Arial" w:hAnsi="Arial"/>
                <w:sz w:val="14"/>
                <w:szCs w:val="14"/>
                <w:color w:val="auto"/>
                <w:vertAlign w:val="superscript"/>
              </w:rPr>
              <w:t>(3)(4)(10)</w:t>
            </w:r>
          </w:p>
        </w:tc>
        <w:tc>
          <w:tcPr>
            <w:tcW w:w="27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260" w:type="dxa"/>
            <w:vAlign w:val="bottom"/>
            <w:gridSpan w:val="2"/>
          </w:tcPr>
          <w:p>
            <w:pPr>
              <w:ind w:left="20"/>
              <w:spacing w:after="0" w:line="95" w:lineRule="exact"/>
              <w:rPr>
                <w:sz w:val="20"/>
                <w:szCs w:val="20"/>
                <w:color w:val="auto"/>
              </w:rPr>
            </w:pPr>
            <w:r>
              <w:rPr>
                <w:rFonts w:ascii="Arial" w:cs="Arial" w:eastAsia="Arial" w:hAnsi="Arial"/>
                <w:sz w:val="10"/>
                <w:szCs w:val="10"/>
                <w:color w:val="auto"/>
              </w:rPr>
              <w:t>Magnetite CLO Ltd,</w:t>
            </w:r>
          </w:p>
        </w:tc>
        <w:tc>
          <w:tcPr>
            <w:tcW w:w="2760" w:type="dxa"/>
            <w:vAlign w:val="bottom"/>
          </w:tcPr>
          <w:p>
            <w:pPr>
              <w:ind w:left="340"/>
              <w:spacing w:after="0" w:line="95" w:lineRule="exact"/>
              <w:rPr>
                <w:sz w:val="20"/>
                <w:szCs w:val="20"/>
                <w:color w:val="auto"/>
              </w:rPr>
            </w:pPr>
            <w:r>
              <w:rPr>
                <w:rFonts w:ascii="Arial" w:cs="Arial" w:eastAsia="Arial" w:hAnsi="Arial"/>
                <w:sz w:val="10"/>
                <w:szCs w:val="10"/>
                <w:color w:val="auto"/>
              </w:rPr>
              <w:t>Structured Product ($1,000 par, due 10/2034)</w:t>
            </w:r>
          </w:p>
        </w:tc>
        <w:tc>
          <w:tcPr>
            <w:tcW w:w="1180" w:type="dxa"/>
            <w:vAlign w:val="bottom"/>
          </w:tcPr>
          <w:p>
            <w:pPr>
              <w:jc w:val="right"/>
              <w:ind w:right="187"/>
              <w:spacing w:after="0" w:line="95" w:lineRule="exact"/>
              <w:rPr>
                <w:sz w:val="20"/>
                <w:szCs w:val="20"/>
                <w:color w:val="auto"/>
              </w:rPr>
            </w:pPr>
            <w:r>
              <w:rPr>
                <w:rFonts w:ascii="Arial" w:cs="Arial" w:eastAsia="Arial" w:hAnsi="Arial"/>
                <w:sz w:val="10"/>
                <w:szCs w:val="10"/>
                <w:color w:val="auto"/>
              </w:rPr>
              <w:t>6/13/2022</w:t>
            </w:r>
          </w:p>
        </w:tc>
        <w:tc>
          <w:tcPr>
            <w:tcW w:w="1080" w:type="dxa"/>
            <w:vAlign w:val="bottom"/>
          </w:tcPr>
          <w:p>
            <w:pPr>
              <w:ind w:left="220"/>
              <w:spacing w:after="0" w:line="95" w:lineRule="exact"/>
              <w:rPr>
                <w:sz w:val="20"/>
                <w:szCs w:val="20"/>
                <w:color w:val="auto"/>
              </w:rPr>
            </w:pPr>
            <w:r>
              <w:rPr>
                <w:rFonts w:ascii="Arial" w:cs="Arial" w:eastAsia="Arial" w:hAnsi="Arial"/>
                <w:sz w:val="10"/>
                <w:szCs w:val="10"/>
                <w:color w:val="auto"/>
              </w:rPr>
              <w:t>L + 6.20%</w:t>
            </w:r>
          </w:p>
        </w:tc>
        <w:tc>
          <w:tcPr>
            <w:tcW w:w="880" w:type="dxa"/>
            <w:vAlign w:val="bottom"/>
          </w:tcPr>
          <w:p>
            <w:pPr>
              <w:jc w:val="right"/>
              <w:ind w:right="68"/>
              <w:spacing w:after="0" w:line="95" w:lineRule="exact"/>
              <w:rPr>
                <w:sz w:val="20"/>
                <w:szCs w:val="20"/>
                <w:color w:val="auto"/>
              </w:rPr>
            </w:pPr>
            <w:r>
              <w:rPr>
                <w:rFonts w:ascii="Arial" w:cs="Arial" w:eastAsia="Arial" w:hAnsi="Arial"/>
                <w:sz w:val="10"/>
                <w:szCs w:val="10"/>
                <w:color w:val="auto"/>
              </w:rPr>
              <w:t>7.38 %</w:t>
            </w:r>
          </w:p>
        </w:tc>
        <w:tc>
          <w:tcPr>
            <w:tcW w:w="260" w:type="dxa"/>
            <w:vAlign w:val="bottom"/>
          </w:tcPr>
          <w:p>
            <w:pPr>
              <w:spacing w:after="0"/>
              <w:rPr>
                <w:sz w:val="8"/>
                <w:szCs w:val="8"/>
                <w:color w:val="auto"/>
              </w:rPr>
            </w:pPr>
          </w:p>
        </w:tc>
        <w:tc>
          <w:tcPr>
            <w:tcW w:w="640" w:type="dxa"/>
            <w:vAlign w:val="bottom"/>
          </w:tcPr>
          <w:p>
            <w:pPr>
              <w:jc w:val="right"/>
              <w:spacing w:after="0" w:line="95" w:lineRule="exact"/>
              <w:rPr>
                <w:sz w:val="20"/>
                <w:szCs w:val="20"/>
                <w:color w:val="auto"/>
              </w:rPr>
            </w:pPr>
            <w:r>
              <w:rPr>
                <w:rFonts w:ascii="Arial" w:cs="Arial" w:eastAsia="Arial" w:hAnsi="Arial"/>
                <w:sz w:val="10"/>
                <w:szCs w:val="10"/>
                <w:color w:val="auto"/>
              </w:rPr>
              <w:t>914</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Arial" w:cs="Arial" w:eastAsia="Arial" w:hAnsi="Arial"/>
                <w:sz w:val="10"/>
                <w:szCs w:val="10"/>
                <w:color w:val="auto"/>
              </w:rPr>
              <w:t>881</w:t>
            </w:r>
          </w:p>
        </w:tc>
        <w:tc>
          <w:tcPr>
            <w:tcW w:w="1140" w:type="dxa"/>
            <w:vAlign w:val="bottom"/>
            <w:gridSpan w:val="3"/>
          </w:tcPr>
          <w:p>
            <w:pPr>
              <w:jc w:val="right"/>
              <w:spacing w:after="0" w:line="95" w:lineRule="exact"/>
              <w:rPr>
                <w:sz w:val="20"/>
                <w:szCs w:val="20"/>
                <w:color w:val="auto"/>
              </w:rPr>
            </w:pPr>
            <w:r>
              <w:rPr>
                <w:rFonts w:ascii="Arial" w:cs="Arial" w:eastAsia="Arial" w:hAnsi="Arial"/>
                <w:sz w:val="10"/>
                <w:szCs w:val="10"/>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00"/>
              <w:spacing w:after="0" w:line="149" w:lineRule="exact"/>
              <w:rPr>
                <w:sz w:val="20"/>
                <w:szCs w:val="20"/>
                <w:color w:val="auto"/>
              </w:rPr>
            </w:pPr>
            <w:r>
              <w:rPr>
                <w:rFonts w:ascii="Arial" w:cs="Arial" w:eastAsia="Arial" w:hAnsi="Arial"/>
                <w:sz w:val="11"/>
                <w:szCs w:val="11"/>
                <w:color w:val="auto"/>
              </w:rPr>
              <w:t xml:space="preserve">Series 2021-30A </w:t>
            </w:r>
            <w:r>
              <w:rPr>
                <w:rFonts w:ascii="Arial" w:cs="Arial" w:eastAsia="Arial" w:hAnsi="Arial"/>
                <w:sz w:val="14"/>
                <w:szCs w:val="14"/>
                <w:color w:val="auto"/>
                <w:vertAlign w:val="superscript"/>
              </w:rPr>
              <w:t>(3)(4)(10)</w:t>
            </w:r>
          </w:p>
        </w:tc>
        <w:tc>
          <w:tcPr>
            <w:tcW w:w="2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260" w:type="dxa"/>
            <w:vAlign w:val="bottom"/>
            <w:gridSpan w:val="2"/>
            <w:shd w:val="clear" w:color="auto" w:fill="CFF0FC"/>
          </w:tcPr>
          <w:p>
            <w:pPr>
              <w:ind w:left="20"/>
              <w:spacing w:after="0" w:line="95" w:lineRule="exact"/>
              <w:rPr>
                <w:sz w:val="20"/>
                <w:szCs w:val="20"/>
                <w:color w:val="auto"/>
              </w:rPr>
            </w:pPr>
            <w:r>
              <w:rPr>
                <w:rFonts w:ascii="Arial" w:cs="Arial" w:eastAsia="Arial" w:hAnsi="Arial"/>
                <w:sz w:val="10"/>
                <w:szCs w:val="10"/>
                <w:color w:val="auto"/>
              </w:rPr>
              <w:t>MidOcean Credit CLO Ltd,</w:t>
            </w:r>
          </w:p>
        </w:tc>
        <w:tc>
          <w:tcPr>
            <w:tcW w:w="2760" w:type="dxa"/>
            <w:vAlign w:val="bottom"/>
            <w:shd w:val="clear" w:color="auto" w:fill="CFF0FC"/>
          </w:tcPr>
          <w:p>
            <w:pPr>
              <w:ind w:left="340"/>
              <w:spacing w:after="0" w:line="95" w:lineRule="exact"/>
              <w:rPr>
                <w:sz w:val="20"/>
                <w:szCs w:val="20"/>
                <w:color w:val="auto"/>
              </w:rPr>
            </w:pPr>
            <w:r>
              <w:rPr>
                <w:rFonts w:ascii="Arial" w:cs="Arial" w:eastAsia="Arial" w:hAnsi="Arial"/>
                <w:sz w:val="10"/>
                <w:szCs w:val="10"/>
                <w:color w:val="auto"/>
              </w:rPr>
              <w:t>Structured Product ($3,500 par, due 4/2033)</w:t>
            </w:r>
          </w:p>
        </w:tc>
        <w:tc>
          <w:tcPr>
            <w:tcW w:w="1180" w:type="dxa"/>
            <w:vAlign w:val="bottom"/>
            <w:shd w:val="clear" w:color="auto" w:fill="CFF0FC"/>
          </w:tcPr>
          <w:p>
            <w:pPr>
              <w:jc w:val="right"/>
              <w:ind w:right="187"/>
              <w:spacing w:after="0" w:line="95" w:lineRule="exact"/>
              <w:rPr>
                <w:sz w:val="20"/>
                <w:szCs w:val="20"/>
                <w:color w:val="auto"/>
              </w:rPr>
            </w:pPr>
            <w:r>
              <w:rPr>
                <w:rFonts w:ascii="Arial" w:cs="Arial" w:eastAsia="Arial" w:hAnsi="Arial"/>
                <w:sz w:val="10"/>
                <w:szCs w:val="10"/>
                <w:color w:val="auto"/>
              </w:rPr>
              <w:t>5/23/2022</w:t>
            </w:r>
          </w:p>
        </w:tc>
        <w:tc>
          <w:tcPr>
            <w:tcW w:w="1080" w:type="dxa"/>
            <w:vAlign w:val="bottom"/>
            <w:shd w:val="clear" w:color="auto" w:fill="CFF0FC"/>
          </w:tcPr>
          <w:p>
            <w:pPr>
              <w:ind w:left="220"/>
              <w:spacing w:after="0" w:line="95" w:lineRule="exact"/>
              <w:rPr>
                <w:sz w:val="20"/>
                <w:szCs w:val="20"/>
                <w:color w:val="auto"/>
              </w:rPr>
            </w:pPr>
            <w:r>
              <w:rPr>
                <w:rFonts w:ascii="Arial" w:cs="Arial" w:eastAsia="Arial" w:hAnsi="Arial"/>
                <w:sz w:val="10"/>
                <w:szCs w:val="10"/>
                <w:color w:val="auto"/>
              </w:rPr>
              <w:t>L + 3.52%</w:t>
            </w:r>
          </w:p>
        </w:tc>
        <w:tc>
          <w:tcPr>
            <w:tcW w:w="880" w:type="dxa"/>
            <w:vAlign w:val="bottom"/>
            <w:shd w:val="clear" w:color="auto" w:fill="CFF0FC"/>
          </w:tcPr>
          <w:p>
            <w:pPr>
              <w:jc w:val="right"/>
              <w:ind w:right="68"/>
              <w:spacing w:after="0" w:line="95" w:lineRule="exact"/>
              <w:rPr>
                <w:sz w:val="20"/>
                <w:szCs w:val="20"/>
                <w:color w:val="auto"/>
              </w:rPr>
            </w:pPr>
            <w:r>
              <w:rPr>
                <w:rFonts w:ascii="Arial" w:cs="Arial" w:eastAsia="Arial" w:hAnsi="Arial"/>
                <w:sz w:val="10"/>
                <w:szCs w:val="10"/>
                <w:color w:val="auto"/>
              </w:rPr>
              <w:t>4.58 %</w:t>
            </w:r>
          </w:p>
        </w:tc>
        <w:tc>
          <w:tcPr>
            <w:tcW w:w="260" w:type="dxa"/>
            <w:vAlign w:val="bottom"/>
            <w:shd w:val="clear" w:color="auto" w:fill="CFF0FC"/>
          </w:tcPr>
          <w:p>
            <w:pPr>
              <w:spacing w:after="0"/>
              <w:rPr>
                <w:sz w:val="8"/>
                <w:szCs w:val="8"/>
                <w:color w:val="auto"/>
              </w:rPr>
            </w:pPr>
          </w:p>
        </w:tc>
        <w:tc>
          <w:tcPr>
            <w:tcW w:w="640" w:type="dxa"/>
            <w:vAlign w:val="bottom"/>
            <w:shd w:val="clear" w:color="auto" w:fill="CFF0FC"/>
          </w:tcPr>
          <w:p>
            <w:pPr>
              <w:jc w:val="right"/>
              <w:spacing w:after="0" w:line="95" w:lineRule="exact"/>
              <w:rPr>
                <w:sz w:val="20"/>
                <w:szCs w:val="20"/>
                <w:color w:val="auto"/>
              </w:rPr>
            </w:pPr>
            <w:r>
              <w:rPr>
                <w:rFonts w:ascii="Arial" w:cs="Arial" w:eastAsia="Arial" w:hAnsi="Arial"/>
                <w:sz w:val="10"/>
                <w:szCs w:val="10"/>
                <w:color w:val="auto"/>
              </w:rPr>
              <w:t>3,139</w:t>
            </w:r>
          </w:p>
        </w:tc>
        <w:tc>
          <w:tcPr>
            <w:tcW w:w="2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80" w:type="dxa"/>
            <w:vAlign w:val="bottom"/>
            <w:shd w:val="clear" w:color="auto" w:fill="CFF0FC"/>
          </w:tcPr>
          <w:p>
            <w:pPr>
              <w:jc w:val="right"/>
              <w:spacing w:after="0" w:line="95" w:lineRule="exact"/>
              <w:rPr>
                <w:sz w:val="20"/>
                <w:szCs w:val="20"/>
                <w:color w:val="auto"/>
              </w:rPr>
            </w:pPr>
            <w:r>
              <w:rPr>
                <w:rFonts w:ascii="Arial" w:cs="Arial" w:eastAsia="Arial" w:hAnsi="Arial"/>
                <w:sz w:val="10"/>
                <w:szCs w:val="10"/>
                <w:color w:val="auto"/>
              </w:rPr>
              <w:t>3,024</w:t>
            </w:r>
          </w:p>
        </w:tc>
        <w:tc>
          <w:tcPr>
            <w:tcW w:w="1140" w:type="dxa"/>
            <w:vAlign w:val="bottom"/>
            <w:gridSpan w:val="3"/>
            <w:shd w:val="clear" w:color="auto" w:fill="CFF0FC"/>
          </w:tcPr>
          <w:p>
            <w:pPr>
              <w:jc w:val="right"/>
              <w:spacing w:after="0" w:line="95" w:lineRule="exact"/>
              <w:rPr>
                <w:sz w:val="20"/>
                <w:szCs w:val="20"/>
                <w:color w:val="auto"/>
              </w:rPr>
            </w:pPr>
            <w:r>
              <w:rPr>
                <w:rFonts w:ascii="Arial" w:cs="Arial" w:eastAsia="Arial" w:hAnsi="Arial"/>
                <w:sz w:val="10"/>
                <w:szCs w:val="10"/>
                <w:color w:val="auto"/>
              </w:rPr>
              <w:t>0.2 %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00" w:type="dxa"/>
            <w:vAlign w:val="bottom"/>
            <w:shd w:val="clear" w:color="auto" w:fill="CFF0FC"/>
          </w:tcPr>
          <w:p>
            <w:pPr>
              <w:ind w:left="100"/>
              <w:spacing w:after="0"/>
              <w:rPr>
                <w:sz w:val="20"/>
                <w:szCs w:val="20"/>
                <w:color w:val="auto"/>
              </w:rPr>
            </w:pPr>
            <w:r>
              <w:rPr>
                <w:rFonts w:ascii="Arial" w:cs="Arial" w:eastAsia="Arial" w:hAnsi="Arial"/>
                <w:sz w:val="11"/>
                <w:szCs w:val="11"/>
                <w:color w:val="auto"/>
                <w:w w:val="89"/>
              </w:rPr>
              <w:t>Series 2016-6A</w:t>
            </w:r>
          </w:p>
        </w:tc>
        <w:tc>
          <w:tcPr>
            <w:tcW w:w="1460" w:type="dxa"/>
            <w:vAlign w:val="bottom"/>
            <w:shd w:val="clear" w:color="auto" w:fill="CFF0FC"/>
          </w:tcPr>
          <w:p>
            <w:pPr>
              <w:jc w:val="right"/>
              <w:ind w:right="1124"/>
              <w:spacing w:after="0"/>
              <w:rPr>
                <w:sz w:val="20"/>
                <w:szCs w:val="20"/>
                <w:color w:val="auto"/>
              </w:rPr>
            </w:pPr>
            <w:r>
              <w:rPr>
                <w:rFonts w:ascii="Arial" w:cs="Arial" w:eastAsia="Arial" w:hAnsi="Arial"/>
                <w:sz w:val="7"/>
                <w:szCs w:val="7"/>
                <w:color w:val="auto"/>
                <w:w w:val="94"/>
              </w:rPr>
              <w:t>(3)(4)(10)</w:t>
            </w:r>
          </w:p>
        </w:tc>
        <w:tc>
          <w:tcPr>
            <w:tcW w:w="27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260" w:type="dxa"/>
            <w:vAlign w:val="bottom"/>
            <w:gridSpan w:val="2"/>
          </w:tcPr>
          <w:p>
            <w:pPr>
              <w:ind w:left="20"/>
              <w:spacing w:after="0" w:line="95" w:lineRule="exact"/>
              <w:rPr>
                <w:sz w:val="20"/>
                <w:szCs w:val="20"/>
                <w:color w:val="auto"/>
              </w:rPr>
            </w:pPr>
            <w:r>
              <w:rPr>
                <w:rFonts w:ascii="Arial" w:cs="Arial" w:eastAsia="Arial" w:hAnsi="Arial"/>
                <w:sz w:val="10"/>
                <w:szCs w:val="10"/>
                <w:color w:val="auto"/>
              </w:rPr>
              <w:t>MidOcean Credit CLO Ltd,</w:t>
            </w:r>
          </w:p>
        </w:tc>
        <w:tc>
          <w:tcPr>
            <w:tcW w:w="2760" w:type="dxa"/>
            <w:vAlign w:val="bottom"/>
          </w:tcPr>
          <w:p>
            <w:pPr>
              <w:ind w:left="340"/>
              <w:spacing w:after="0" w:line="95" w:lineRule="exact"/>
              <w:rPr>
                <w:sz w:val="20"/>
                <w:szCs w:val="20"/>
                <w:color w:val="auto"/>
              </w:rPr>
            </w:pPr>
            <w:r>
              <w:rPr>
                <w:rFonts w:ascii="Arial" w:cs="Arial" w:eastAsia="Arial" w:hAnsi="Arial"/>
                <w:sz w:val="10"/>
                <w:szCs w:val="10"/>
                <w:color w:val="auto"/>
              </w:rPr>
              <w:t>Structured Product ($1,000 par, due 7/2031)</w:t>
            </w:r>
          </w:p>
        </w:tc>
        <w:tc>
          <w:tcPr>
            <w:tcW w:w="1180" w:type="dxa"/>
            <w:vAlign w:val="bottom"/>
          </w:tcPr>
          <w:p>
            <w:pPr>
              <w:jc w:val="right"/>
              <w:ind w:right="187"/>
              <w:spacing w:after="0" w:line="95" w:lineRule="exact"/>
              <w:rPr>
                <w:sz w:val="20"/>
                <w:szCs w:val="20"/>
                <w:color w:val="auto"/>
              </w:rPr>
            </w:pPr>
            <w:r>
              <w:rPr>
                <w:rFonts w:ascii="Arial" w:cs="Arial" w:eastAsia="Arial" w:hAnsi="Arial"/>
                <w:sz w:val="10"/>
                <w:szCs w:val="10"/>
                <w:color w:val="auto"/>
              </w:rPr>
              <w:t>6/1/2022</w:t>
            </w:r>
          </w:p>
        </w:tc>
        <w:tc>
          <w:tcPr>
            <w:tcW w:w="1080" w:type="dxa"/>
            <w:vAlign w:val="bottom"/>
          </w:tcPr>
          <w:p>
            <w:pPr>
              <w:ind w:left="220"/>
              <w:spacing w:after="0" w:line="95" w:lineRule="exact"/>
              <w:rPr>
                <w:sz w:val="20"/>
                <w:szCs w:val="20"/>
                <w:color w:val="auto"/>
              </w:rPr>
            </w:pPr>
            <w:r>
              <w:rPr>
                <w:rFonts w:ascii="Arial" w:cs="Arial" w:eastAsia="Arial" w:hAnsi="Arial"/>
                <w:sz w:val="10"/>
                <w:szCs w:val="10"/>
                <w:color w:val="auto"/>
              </w:rPr>
              <w:t>L + 6.05%</w:t>
            </w:r>
          </w:p>
        </w:tc>
        <w:tc>
          <w:tcPr>
            <w:tcW w:w="880" w:type="dxa"/>
            <w:vAlign w:val="bottom"/>
          </w:tcPr>
          <w:p>
            <w:pPr>
              <w:jc w:val="right"/>
              <w:ind w:right="68"/>
              <w:spacing w:after="0" w:line="95" w:lineRule="exact"/>
              <w:rPr>
                <w:sz w:val="20"/>
                <w:szCs w:val="20"/>
                <w:color w:val="auto"/>
              </w:rPr>
            </w:pPr>
            <w:r>
              <w:rPr>
                <w:rFonts w:ascii="Arial" w:cs="Arial" w:eastAsia="Arial" w:hAnsi="Arial"/>
                <w:sz w:val="10"/>
                <w:szCs w:val="10"/>
                <w:color w:val="auto"/>
              </w:rPr>
              <w:t>7.11 %</w:t>
            </w:r>
          </w:p>
        </w:tc>
        <w:tc>
          <w:tcPr>
            <w:tcW w:w="260" w:type="dxa"/>
            <w:vAlign w:val="bottom"/>
          </w:tcPr>
          <w:p>
            <w:pPr>
              <w:spacing w:after="0"/>
              <w:rPr>
                <w:sz w:val="8"/>
                <w:szCs w:val="8"/>
                <w:color w:val="auto"/>
              </w:rPr>
            </w:pPr>
          </w:p>
        </w:tc>
        <w:tc>
          <w:tcPr>
            <w:tcW w:w="640" w:type="dxa"/>
            <w:vAlign w:val="bottom"/>
          </w:tcPr>
          <w:p>
            <w:pPr>
              <w:jc w:val="right"/>
              <w:spacing w:after="0" w:line="95" w:lineRule="exact"/>
              <w:rPr>
                <w:sz w:val="20"/>
                <w:szCs w:val="20"/>
                <w:color w:val="auto"/>
              </w:rPr>
            </w:pPr>
            <w:r>
              <w:rPr>
                <w:rFonts w:ascii="Arial" w:cs="Arial" w:eastAsia="Arial" w:hAnsi="Arial"/>
                <w:sz w:val="10"/>
                <w:szCs w:val="10"/>
                <w:color w:val="auto"/>
              </w:rPr>
              <w:t>877</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Arial" w:cs="Arial" w:eastAsia="Arial" w:hAnsi="Arial"/>
                <w:sz w:val="10"/>
                <w:szCs w:val="10"/>
                <w:color w:val="auto"/>
              </w:rPr>
              <w:t>826</w:t>
            </w:r>
          </w:p>
        </w:tc>
        <w:tc>
          <w:tcPr>
            <w:tcW w:w="1140" w:type="dxa"/>
            <w:vAlign w:val="bottom"/>
            <w:gridSpan w:val="3"/>
          </w:tcPr>
          <w:p>
            <w:pPr>
              <w:jc w:val="right"/>
              <w:spacing w:after="0" w:line="95" w:lineRule="exact"/>
              <w:rPr>
                <w:sz w:val="20"/>
                <w:szCs w:val="20"/>
                <w:color w:val="auto"/>
              </w:rPr>
            </w:pPr>
            <w:r>
              <w:rPr>
                <w:rFonts w:ascii="Arial" w:cs="Arial" w:eastAsia="Arial" w:hAnsi="Arial"/>
                <w:sz w:val="10"/>
                <w:szCs w:val="10"/>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800" w:type="dxa"/>
            <w:vAlign w:val="bottom"/>
          </w:tcPr>
          <w:p>
            <w:pPr>
              <w:ind w:left="100"/>
              <w:spacing w:after="0"/>
              <w:rPr>
                <w:sz w:val="20"/>
                <w:szCs w:val="20"/>
                <w:color w:val="auto"/>
              </w:rPr>
            </w:pPr>
            <w:r>
              <w:rPr>
                <w:rFonts w:ascii="Arial" w:cs="Arial" w:eastAsia="Arial" w:hAnsi="Arial"/>
                <w:sz w:val="11"/>
                <w:szCs w:val="11"/>
                <w:color w:val="auto"/>
                <w:w w:val="89"/>
              </w:rPr>
              <w:t>Series 2018-9A</w:t>
            </w:r>
          </w:p>
        </w:tc>
        <w:tc>
          <w:tcPr>
            <w:tcW w:w="1460" w:type="dxa"/>
            <w:vAlign w:val="bottom"/>
          </w:tcPr>
          <w:p>
            <w:pPr>
              <w:jc w:val="right"/>
              <w:ind w:right="1124"/>
              <w:spacing w:after="0"/>
              <w:rPr>
                <w:sz w:val="20"/>
                <w:szCs w:val="20"/>
                <w:color w:val="auto"/>
              </w:rPr>
            </w:pPr>
            <w:r>
              <w:rPr>
                <w:rFonts w:ascii="Arial" w:cs="Arial" w:eastAsia="Arial" w:hAnsi="Arial"/>
                <w:sz w:val="7"/>
                <w:szCs w:val="7"/>
                <w:color w:val="auto"/>
                <w:w w:val="94"/>
              </w:rPr>
              <w:t>(3)(4)(10)</w:t>
            </w:r>
          </w:p>
        </w:tc>
        <w:tc>
          <w:tcPr>
            <w:tcW w:w="2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80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w w:val="91"/>
              </w:rPr>
              <w:t>Octagon 57 LLC,</w:t>
            </w:r>
          </w:p>
        </w:tc>
        <w:tc>
          <w:tcPr>
            <w:tcW w:w="1460" w:type="dxa"/>
            <w:vAlign w:val="bottom"/>
            <w:vMerge w:val="restart"/>
            <w:shd w:val="clear" w:color="auto" w:fill="CFF0FC"/>
          </w:tcPr>
          <w:p>
            <w:pPr>
              <w:jc w:val="right"/>
              <w:ind w:right="1124"/>
              <w:spacing w:after="0"/>
              <w:rPr>
                <w:sz w:val="20"/>
                <w:szCs w:val="20"/>
                <w:color w:val="auto"/>
              </w:rPr>
            </w:pPr>
            <w:r>
              <w:rPr>
                <w:rFonts w:ascii="Arial" w:cs="Arial" w:eastAsia="Arial" w:hAnsi="Arial"/>
                <w:sz w:val="7"/>
                <w:szCs w:val="7"/>
                <w:color w:val="auto"/>
                <w:w w:val="94"/>
              </w:rPr>
              <w:t>(3)(4)(10)</w:t>
            </w:r>
          </w:p>
        </w:tc>
        <w:tc>
          <w:tcPr>
            <w:tcW w:w="2760" w:type="dxa"/>
            <w:vAlign w:val="bottom"/>
            <w:shd w:val="clear" w:color="auto" w:fill="CFF0FC"/>
          </w:tcPr>
          <w:p>
            <w:pPr>
              <w:ind w:left="340"/>
              <w:spacing w:after="0" w:line="103" w:lineRule="exact"/>
              <w:rPr>
                <w:sz w:val="20"/>
                <w:szCs w:val="20"/>
                <w:color w:val="auto"/>
              </w:rPr>
            </w:pPr>
            <w:r>
              <w:rPr>
                <w:rFonts w:ascii="Arial" w:cs="Arial" w:eastAsia="Arial" w:hAnsi="Arial"/>
                <w:sz w:val="11"/>
                <w:szCs w:val="11"/>
                <w:color w:val="auto"/>
              </w:rPr>
              <w:t>Structured Product ($1,000 par, due 10/2034)</w:t>
            </w:r>
          </w:p>
        </w:tc>
        <w:tc>
          <w:tcPr>
            <w:tcW w:w="1180" w:type="dxa"/>
            <w:vAlign w:val="bottom"/>
            <w:shd w:val="clear" w:color="auto" w:fill="CFF0FC"/>
          </w:tcPr>
          <w:p>
            <w:pPr>
              <w:jc w:val="right"/>
              <w:ind w:right="187"/>
              <w:spacing w:after="0" w:line="103" w:lineRule="exact"/>
              <w:rPr>
                <w:sz w:val="20"/>
                <w:szCs w:val="20"/>
                <w:color w:val="auto"/>
              </w:rPr>
            </w:pPr>
            <w:r>
              <w:rPr>
                <w:rFonts w:ascii="Arial" w:cs="Arial" w:eastAsia="Arial" w:hAnsi="Arial"/>
                <w:sz w:val="11"/>
                <w:szCs w:val="11"/>
                <w:color w:val="auto"/>
              </w:rPr>
              <w:t>5/24/2022</w:t>
            </w:r>
          </w:p>
        </w:tc>
        <w:tc>
          <w:tcPr>
            <w:tcW w:w="1080" w:type="dxa"/>
            <w:vAlign w:val="bottom"/>
            <w:shd w:val="clear" w:color="auto" w:fill="CFF0FC"/>
          </w:tcPr>
          <w:p>
            <w:pPr>
              <w:ind w:left="220"/>
              <w:spacing w:after="0" w:line="103" w:lineRule="exact"/>
              <w:rPr>
                <w:sz w:val="20"/>
                <w:szCs w:val="20"/>
                <w:color w:val="auto"/>
              </w:rPr>
            </w:pPr>
            <w:r>
              <w:rPr>
                <w:rFonts w:ascii="Arial" w:cs="Arial" w:eastAsia="Arial" w:hAnsi="Arial"/>
                <w:sz w:val="11"/>
                <w:szCs w:val="11"/>
                <w:color w:val="auto"/>
              </w:rPr>
              <w:t>L + 6.60%</w:t>
            </w:r>
          </w:p>
        </w:tc>
        <w:tc>
          <w:tcPr>
            <w:tcW w:w="880" w:type="dxa"/>
            <w:vAlign w:val="bottom"/>
            <w:shd w:val="clear" w:color="auto" w:fill="CFF0FC"/>
          </w:tcPr>
          <w:p>
            <w:pPr>
              <w:jc w:val="right"/>
              <w:ind w:right="68"/>
              <w:spacing w:after="0" w:line="103" w:lineRule="exact"/>
              <w:rPr>
                <w:sz w:val="20"/>
                <w:szCs w:val="20"/>
                <w:color w:val="auto"/>
              </w:rPr>
            </w:pPr>
            <w:r>
              <w:rPr>
                <w:rFonts w:ascii="Arial" w:cs="Arial" w:eastAsia="Arial" w:hAnsi="Arial"/>
                <w:sz w:val="11"/>
                <w:szCs w:val="11"/>
                <w:color w:val="auto"/>
              </w:rPr>
              <w:t>7.64 %</w:t>
            </w:r>
          </w:p>
        </w:tc>
        <w:tc>
          <w:tcPr>
            <w:tcW w:w="260" w:type="dxa"/>
            <w:vAlign w:val="bottom"/>
            <w:shd w:val="clear" w:color="auto" w:fill="CFF0FC"/>
          </w:tcPr>
          <w:p>
            <w:pPr>
              <w:spacing w:after="0"/>
              <w:rPr>
                <w:sz w:val="8"/>
                <w:szCs w:val="8"/>
                <w:color w:val="auto"/>
              </w:rPr>
            </w:pPr>
          </w:p>
        </w:tc>
        <w:tc>
          <w:tcPr>
            <w:tcW w:w="640" w:type="dxa"/>
            <w:vAlign w:val="bottom"/>
            <w:shd w:val="clear" w:color="auto" w:fill="CFF0FC"/>
          </w:tcPr>
          <w:p>
            <w:pPr>
              <w:jc w:val="right"/>
              <w:spacing w:after="0" w:line="103" w:lineRule="exact"/>
              <w:rPr>
                <w:sz w:val="20"/>
                <w:szCs w:val="20"/>
                <w:color w:val="auto"/>
              </w:rPr>
            </w:pPr>
            <w:r>
              <w:rPr>
                <w:rFonts w:ascii="Arial" w:cs="Arial" w:eastAsia="Arial" w:hAnsi="Arial"/>
                <w:sz w:val="11"/>
                <w:szCs w:val="11"/>
                <w:color w:val="auto"/>
              </w:rPr>
              <w:t>906</w:t>
            </w:r>
          </w:p>
        </w:tc>
        <w:tc>
          <w:tcPr>
            <w:tcW w:w="2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80" w:type="dxa"/>
            <w:vAlign w:val="bottom"/>
            <w:shd w:val="clear" w:color="auto" w:fill="CFF0FC"/>
          </w:tcPr>
          <w:p>
            <w:pPr>
              <w:jc w:val="right"/>
              <w:spacing w:after="0" w:line="103" w:lineRule="exact"/>
              <w:rPr>
                <w:sz w:val="20"/>
                <w:szCs w:val="20"/>
                <w:color w:val="auto"/>
              </w:rPr>
            </w:pPr>
            <w:r>
              <w:rPr>
                <w:rFonts w:ascii="Arial" w:cs="Arial" w:eastAsia="Arial" w:hAnsi="Arial"/>
                <w:sz w:val="11"/>
                <w:szCs w:val="11"/>
                <w:color w:val="auto"/>
              </w:rPr>
              <w:t>871</w:t>
            </w:r>
          </w:p>
        </w:tc>
        <w:tc>
          <w:tcPr>
            <w:tcW w:w="1140" w:type="dxa"/>
            <w:vAlign w:val="bottom"/>
            <w:gridSpan w:val="3"/>
            <w:shd w:val="clear" w:color="auto" w:fill="CFF0FC"/>
          </w:tcPr>
          <w:p>
            <w:pPr>
              <w:jc w:val="right"/>
              <w:spacing w:after="0" w:line="103" w:lineRule="exact"/>
              <w:rPr>
                <w:sz w:val="20"/>
                <w:szCs w:val="20"/>
                <w:color w:val="auto"/>
              </w:rPr>
            </w:pPr>
            <w:r>
              <w:rPr>
                <w:rFonts w:ascii="Arial" w:cs="Arial" w:eastAsia="Arial" w:hAnsi="Arial"/>
                <w:sz w:val="11"/>
                <w:szCs w:val="11"/>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800" w:type="dxa"/>
            <w:vAlign w:val="bottom"/>
            <w:shd w:val="clear" w:color="auto" w:fill="CFF0FC"/>
          </w:tcPr>
          <w:p>
            <w:pPr>
              <w:ind w:left="100"/>
              <w:spacing w:after="0"/>
              <w:rPr>
                <w:sz w:val="20"/>
                <w:szCs w:val="20"/>
                <w:color w:val="auto"/>
              </w:rPr>
            </w:pPr>
            <w:r>
              <w:rPr>
                <w:rFonts w:ascii="Arial" w:cs="Arial" w:eastAsia="Arial" w:hAnsi="Arial"/>
                <w:sz w:val="11"/>
                <w:szCs w:val="11"/>
                <w:color w:val="auto"/>
                <w:w w:val="89"/>
              </w:rPr>
              <w:t>Series 2021-1A</w:t>
            </w:r>
          </w:p>
        </w:tc>
        <w:tc>
          <w:tcPr>
            <w:tcW w:w="1460" w:type="dxa"/>
            <w:vAlign w:val="bottom"/>
            <w:vMerge w:val="continue"/>
            <w:shd w:val="clear" w:color="auto" w:fill="CFF0FC"/>
          </w:tcPr>
          <w:p>
            <w:pPr>
              <w:spacing w:after="0"/>
              <w:rPr>
                <w:sz w:val="12"/>
                <w:szCs w:val="12"/>
                <w:color w:val="auto"/>
              </w:rPr>
            </w:pPr>
          </w:p>
        </w:tc>
        <w:tc>
          <w:tcPr>
            <w:tcW w:w="27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260" w:type="dxa"/>
            <w:vAlign w:val="bottom"/>
            <w:gridSpan w:val="2"/>
          </w:tcPr>
          <w:p>
            <w:pPr>
              <w:ind w:left="20"/>
              <w:spacing w:after="0" w:line="95" w:lineRule="exact"/>
              <w:rPr>
                <w:sz w:val="20"/>
                <w:szCs w:val="20"/>
                <w:color w:val="auto"/>
              </w:rPr>
            </w:pPr>
            <w:r>
              <w:rPr>
                <w:rFonts w:ascii="Arial" w:cs="Arial" w:eastAsia="Arial" w:hAnsi="Arial"/>
                <w:sz w:val="10"/>
                <w:szCs w:val="10"/>
                <w:color w:val="auto"/>
              </w:rPr>
              <w:t>Shackelton CLO Ltd,</w:t>
            </w:r>
          </w:p>
        </w:tc>
        <w:tc>
          <w:tcPr>
            <w:tcW w:w="2760" w:type="dxa"/>
            <w:vAlign w:val="bottom"/>
          </w:tcPr>
          <w:p>
            <w:pPr>
              <w:ind w:left="340"/>
              <w:spacing w:after="0" w:line="95" w:lineRule="exact"/>
              <w:rPr>
                <w:sz w:val="20"/>
                <w:szCs w:val="20"/>
                <w:color w:val="auto"/>
              </w:rPr>
            </w:pPr>
            <w:r>
              <w:rPr>
                <w:rFonts w:ascii="Arial" w:cs="Arial" w:eastAsia="Arial" w:hAnsi="Arial"/>
                <w:sz w:val="10"/>
                <w:szCs w:val="10"/>
                <w:color w:val="auto"/>
              </w:rPr>
              <w:t>Structured Product ($1,000 par, due 7/2031)</w:t>
            </w:r>
          </w:p>
        </w:tc>
        <w:tc>
          <w:tcPr>
            <w:tcW w:w="1180" w:type="dxa"/>
            <w:vAlign w:val="bottom"/>
          </w:tcPr>
          <w:p>
            <w:pPr>
              <w:jc w:val="right"/>
              <w:ind w:right="187"/>
              <w:spacing w:after="0" w:line="95" w:lineRule="exact"/>
              <w:rPr>
                <w:sz w:val="20"/>
                <w:szCs w:val="20"/>
                <w:color w:val="auto"/>
              </w:rPr>
            </w:pPr>
            <w:r>
              <w:rPr>
                <w:rFonts w:ascii="Arial" w:cs="Arial" w:eastAsia="Arial" w:hAnsi="Arial"/>
                <w:sz w:val="10"/>
                <w:szCs w:val="10"/>
                <w:color w:val="auto"/>
              </w:rPr>
              <w:t>5/23/2022</w:t>
            </w:r>
          </w:p>
        </w:tc>
        <w:tc>
          <w:tcPr>
            <w:tcW w:w="1080" w:type="dxa"/>
            <w:vAlign w:val="bottom"/>
          </w:tcPr>
          <w:p>
            <w:pPr>
              <w:ind w:left="220"/>
              <w:spacing w:after="0" w:line="95" w:lineRule="exact"/>
              <w:rPr>
                <w:sz w:val="20"/>
                <w:szCs w:val="20"/>
                <w:color w:val="auto"/>
              </w:rPr>
            </w:pPr>
            <w:r>
              <w:rPr>
                <w:rFonts w:ascii="Arial" w:cs="Arial" w:eastAsia="Arial" w:hAnsi="Arial"/>
                <w:sz w:val="10"/>
                <w:szCs w:val="10"/>
                <w:color w:val="auto"/>
              </w:rPr>
              <w:t>L + 3.33%</w:t>
            </w:r>
          </w:p>
        </w:tc>
        <w:tc>
          <w:tcPr>
            <w:tcW w:w="880" w:type="dxa"/>
            <w:vAlign w:val="bottom"/>
          </w:tcPr>
          <w:p>
            <w:pPr>
              <w:jc w:val="right"/>
              <w:ind w:right="68"/>
              <w:spacing w:after="0" w:line="95" w:lineRule="exact"/>
              <w:rPr>
                <w:sz w:val="20"/>
                <w:szCs w:val="20"/>
                <w:color w:val="auto"/>
              </w:rPr>
            </w:pPr>
            <w:r>
              <w:rPr>
                <w:rFonts w:ascii="Arial" w:cs="Arial" w:eastAsia="Arial" w:hAnsi="Arial"/>
                <w:sz w:val="10"/>
                <w:szCs w:val="10"/>
                <w:color w:val="auto"/>
              </w:rPr>
              <w:t>4.37 %</w:t>
            </w:r>
          </w:p>
        </w:tc>
        <w:tc>
          <w:tcPr>
            <w:tcW w:w="260" w:type="dxa"/>
            <w:vAlign w:val="bottom"/>
          </w:tcPr>
          <w:p>
            <w:pPr>
              <w:spacing w:after="0"/>
              <w:rPr>
                <w:sz w:val="8"/>
                <w:szCs w:val="8"/>
                <w:color w:val="auto"/>
              </w:rPr>
            </w:pPr>
          </w:p>
        </w:tc>
        <w:tc>
          <w:tcPr>
            <w:tcW w:w="640" w:type="dxa"/>
            <w:vAlign w:val="bottom"/>
          </w:tcPr>
          <w:p>
            <w:pPr>
              <w:jc w:val="right"/>
              <w:spacing w:after="0" w:line="95" w:lineRule="exact"/>
              <w:rPr>
                <w:sz w:val="20"/>
                <w:szCs w:val="20"/>
                <w:color w:val="auto"/>
              </w:rPr>
            </w:pPr>
            <w:r>
              <w:rPr>
                <w:rFonts w:ascii="Arial" w:cs="Arial" w:eastAsia="Arial" w:hAnsi="Arial"/>
                <w:sz w:val="10"/>
                <w:szCs w:val="10"/>
                <w:color w:val="auto"/>
              </w:rPr>
              <w:t>887</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jc w:val="right"/>
              <w:spacing w:after="0" w:line="95" w:lineRule="exact"/>
              <w:rPr>
                <w:sz w:val="20"/>
                <w:szCs w:val="20"/>
                <w:color w:val="auto"/>
              </w:rPr>
            </w:pPr>
            <w:r>
              <w:rPr>
                <w:rFonts w:ascii="Arial" w:cs="Arial" w:eastAsia="Arial" w:hAnsi="Arial"/>
                <w:sz w:val="10"/>
                <w:szCs w:val="10"/>
                <w:color w:val="auto"/>
              </w:rPr>
              <w:t>876</w:t>
            </w:r>
          </w:p>
        </w:tc>
        <w:tc>
          <w:tcPr>
            <w:tcW w:w="1140" w:type="dxa"/>
            <w:vAlign w:val="bottom"/>
            <w:gridSpan w:val="3"/>
          </w:tcPr>
          <w:p>
            <w:pPr>
              <w:jc w:val="right"/>
              <w:spacing w:after="0" w:line="95" w:lineRule="exact"/>
              <w:rPr>
                <w:sz w:val="20"/>
                <w:szCs w:val="20"/>
                <w:color w:val="auto"/>
              </w:rPr>
            </w:pPr>
            <w:r>
              <w:rPr>
                <w:rFonts w:ascii="Arial" w:cs="Arial" w:eastAsia="Arial" w:hAnsi="Arial"/>
                <w:sz w:val="10"/>
                <w:szCs w:val="10"/>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260" w:type="dxa"/>
            <w:vAlign w:val="bottom"/>
            <w:gridSpan w:val="2"/>
          </w:tcPr>
          <w:p>
            <w:pPr>
              <w:ind w:left="100"/>
              <w:spacing w:after="0" w:line="139" w:lineRule="exact"/>
              <w:rPr>
                <w:sz w:val="20"/>
                <w:szCs w:val="20"/>
                <w:color w:val="auto"/>
              </w:rPr>
            </w:pPr>
            <w:r>
              <w:rPr>
                <w:rFonts w:ascii="Arial" w:cs="Arial" w:eastAsia="Arial" w:hAnsi="Arial"/>
                <w:sz w:val="11"/>
                <w:szCs w:val="11"/>
                <w:color w:val="auto"/>
              </w:rPr>
              <w:t xml:space="preserve">Series 2015-7RA </w:t>
            </w:r>
            <w:r>
              <w:rPr>
                <w:rFonts w:ascii="Arial" w:cs="Arial" w:eastAsia="Arial" w:hAnsi="Arial"/>
                <w:sz w:val="14"/>
                <w:szCs w:val="14"/>
                <w:color w:val="auto"/>
                <w:vertAlign w:val="superscript"/>
              </w:rPr>
              <w:t>(3)(4)(10)</w:t>
            </w:r>
          </w:p>
        </w:tc>
        <w:tc>
          <w:tcPr>
            <w:tcW w:w="2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260" w:type="dxa"/>
            <w:vAlign w:val="bottom"/>
            <w:gridSpan w:val="2"/>
          </w:tcPr>
          <w:p>
            <w:pPr>
              <w:ind w:left="20"/>
              <w:spacing w:after="0" w:line="104" w:lineRule="exact"/>
              <w:rPr>
                <w:sz w:val="20"/>
                <w:szCs w:val="20"/>
                <w:color w:val="auto"/>
              </w:rPr>
            </w:pPr>
            <w:r>
              <w:rPr>
                <w:rFonts w:ascii="Arial" w:cs="Arial" w:eastAsia="Arial" w:hAnsi="Arial"/>
                <w:sz w:val="11"/>
                <w:szCs w:val="11"/>
                <w:color w:val="auto"/>
              </w:rPr>
              <w:t>Southwick Park CLO Ltd,</w:t>
            </w:r>
          </w:p>
        </w:tc>
        <w:tc>
          <w:tcPr>
            <w:tcW w:w="2760" w:type="dxa"/>
            <w:vAlign w:val="bottom"/>
          </w:tcPr>
          <w:p>
            <w:pPr>
              <w:ind w:left="340"/>
              <w:spacing w:after="0" w:line="104" w:lineRule="exact"/>
              <w:rPr>
                <w:sz w:val="20"/>
                <w:szCs w:val="20"/>
                <w:color w:val="auto"/>
              </w:rPr>
            </w:pPr>
            <w:r>
              <w:rPr>
                <w:rFonts w:ascii="Arial" w:cs="Arial" w:eastAsia="Arial" w:hAnsi="Arial"/>
                <w:sz w:val="11"/>
                <w:szCs w:val="11"/>
                <w:color w:val="auto"/>
              </w:rPr>
              <w:t>Structured Product ($1,000 par, due 7/2032)</w:t>
            </w:r>
          </w:p>
        </w:tc>
        <w:tc>
          <w:tcPr>
            <w:tcW w:w="1180" w:type="dxa"/>
            <w:vAlign w:val="bottom"/>
          </w:tcPr>
          <w:p>
            <w:pPr>
              <w:jc w:val="right"/>
              <w:ind w:right="187"/>
              <w:spacing w:after="0" w:line="104" w:lineRule="exact"/>
              <w:rPr>
                <w:sz w:val="20"/>
                <w:szCs w:val="20"/>
                <w:color w:val="auto"/>
              </w:rPr>
            </w:pPr>
            <w:r>
              <w:rPr>
                <w:rFonts w:ascii="Arial" w:cs="Arial" w:eastAsia="Arial" w:hAnsi="Arial"/>
                <w:sz w:val="11"/>
                <w:szCs w:val="11"/>
                <w:color w:val="auto"/>
              </w:rPr>
              <w:t>5/25/2022</w:t>
            </w:r>
          </w:p>
        </w:tc>
        <w:tc>
          <w:tcPr>
            <w:tcW w:w="1080" w:type="dxa"/>
            <w:vAlign w:val="bottom"/>
          </w:tcPr>
          <w:p>
            <w:pPr>
              <w:ind w:left="220"/>
              <w:spacing w:after="0" w:line="104" w:lineRule="exact"/>
              <w:rPr>
                <w:sz w:val="20"/>
                <w:szCs w:val="20"/>
                <w:color w:val="auto"/>
              </w:rPr>
            </w:pPr>
            <w:r>
              <w:rPr>
                <w:rFonts w:ascii="Arial" w:cs="Arial" w:eastAsia="Arial" w:hAnsi="Arial"/>
                <w:sz w:val="11"/>
                <w:szCs w:val="11"/>
                <w:color w:val="auto"/>
              </w:rPr>
              <w:t>L + 6.25%</w:t>
            </w:r>
          </w:p>
        </w:tc>
        <w:tc>
          <w:tcPr>
            <w:tcW w:w="880" w:type="dxa"/>
            <w:vAlign w:val="bottom"/>
          </w:tcPr>
          <w:p>
            <w:pPr>
              <w:jc w:val="right"/>
              <w:ind w:right="68"/>
              <w:spacing w:after="0" w:line="104" w:lineRule="exact"/>
              <w:rPr>
                <w:sz w:val="20"/>
                <w:szCs w:val="20"/>
                <w:color w:val="auto"/>
              </w:rPr>
            </w:pPr>
            <w:r>
              <w:rPr>
                <w:rFonts w:ascii="Arial" w:cs="Arial" w:eastAsia="Arial" w:hAnsi="Arial"/>
                <w:sz w:val="11"/>
                <w:szCs w:val="11"/>
                <w:color w:val="auto"/>
              </w:rPr>
              <w:t>7.31 %</w:t>
            </w:r>
          </w:p>
        </w:tc>
        <w:tc>
          <w:tcPr>
            <w:tcW w:w="260" w:type="dxa"/>
            <w:vAlign w:val="bottom"/>
          </w:tcPr>
          <w:p>
            <w:pPr>
              <w:spacing w:after="0"/>
              <w:rPr>
                <w:sz w:val="9"/>
                <w:szCs w:val="9"/>
                <w:color w:val="auto"/>
              </w:rPr>
            </w:pPr>
          </w:p>
        </w:tc>
        <w:tc>
          <w:tcPr>
            <w:tcW w:w="640" w:type="dxa"/>
            <w:vAlign w:val="bottom"/>
          </w:tcPr>
          <w:p>
            <w:pPr>
              <w:jc w:val="right"/>
              <w:spacing w:after="0" w:line="104" w:lineRule="exact"/>
              <w:rPr>
                <w:sz w:val="20"/>
                <w:szCs w:val="20"/>
                <w:color w:val="auto"/>
              </w:rPr>
            </w:pPr>
            <w:r>
              <w:rPr>
                <w:rFonts w:ascii="Arial" w:cs="Arial" w:eastAsia="Arial" w:hAnsi="Arial"/>
                <w:sz w:val="11"/>
                <w:szCs w:val="11"/>
                <w:color w:val="auto"/>
              </w:rPr>
              <w:t>925</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spacing w:after="0" w:line="104" w:lineRule="exact"/>
              <w:rPr>
                <w:sz w:val="20"/>
                <w:szCs w:val="20"/>
                <w:color w:val="auto"/>
              </w:rPr>
            </w:pPr>
            <w:r>
              <w:rPr>
                <w:rFonts w:ascii="Arial" w:cs="Arial" w:eastAsia="Arial" w:hAnsi="Arial"/>
                <w:sz w:val="11"/>
                <w:szCs w:val="11"/>
                <w:color w:val="auto"/>
              </w:rPr>
              <w:t>892</w:t>
            </w:r>
          </w:p>
        </w:tc>
        <w:tc>
          <w:tcPr>
            <w:tcW w:w="1140" w:type="dxa"/>
            <w:vAlign w:val="bottom"/>
            <w:gridSpan w:val="3"/>
          </w:tcPr>
          <w:p>
            <w:pPr>
              <w:jc w:val="right"/>
              <w:spacing w:after="0" w:line="104" w:lineRule="exact"/>
              <w:rPr>
                <w:sz w:val="20"/>
                <w:szCs w:val="20"/>
                <w:color w:val="auto"/>
              </w:rPr>
            </w:pPr>
            <w:r>
              <w:rPr>
                <w:rFonts w:ascii="Arial" w:cs="Arial" w:eastAsia="Arial" w:hAnsi="Arial"/>
                <w:sz w:val="11"/>
                <w:szCs w:val="11"/>
                <w:color w:val="auto"/>
              </w:rPr>
              <w:t>0.1 %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800" w:type="dxa"/>
            <w:vAlign w:val="bottom"/>
          </w:tcPr>
          <w:p>
            <w:pPr>
              <w:ind w:left="100"/>
              <w:spacing w:after="0" w:line="119" w:lineRule="exact"/>
              <w:rPr>
                <w:sz w:val="20"/>
                <w:szCs w:val="20"/>
                <w:color w:val="auto"/>
              </w:rPr>
            </w:pPr>
            <w:r>
              <w:rPr>
                <w:rFonts w:ascii="Arial" w:cs="Arial" w:eastAsia="Arial" w:hAnsi="Arial"/>
                <w:sz w:val="11"/>
                <w:szCs w:val="11"/>
                <w:color w:val="auto"/>
                <w:w w:val="89"/>
              </w:rPr>
              <w:t>Series 2019-4A</w:t>
            </w:r>
          </w:p>
        </w:tc>
        <w:tc>
          <w:tcPr>
            <w:tcW w:w="1460" w:type="dxa"/>
            <w:vAlign w:val="bottom"/>
          </w:tcPr>
          <w:p>
            <w:pPr>
              <w:jc w:val="right"/>
              <w:ind w:right="1124"/>
              <w:spacing w:after="0"/>
              <w:rPr>
                <w:sz w:val="20"/>
                <w:szCs w:val="20"/>
                <w:color w:val="auto"/>
              </w:rPr>
            </w:pPr>
            <w:r>
              <w:rPr>
                <w:rFonts w:ascii="Arial" w:cs="Arial" w:eastAsia="Arial" w:hAnsi="Arial"/>
                <w:sz w:val="7"/>
                <w:szCs w:val="7"/>
                <w:color w:val="auto"/>
                <w:w w:val="94"/>
              </w:rPr>
              <w:t>(3)(4)(10)</w:t>
            </w:r>
          </w:p>
        </w:tc>
        <w:tc>
          <w:tcPr>
            <w:tcW w:w="2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260" w:type="dxa"/>
            <w:vAlign w:val="bottom"/>
            <w:gridSpan w:val="2"/>
          </w:tcPr>
          <w:p>
            <w:pPr>
              <w:ind w:left="20"/>
              <w:spacing w:after="0"/>
              <w:rPr>
                <w:sz w:val="20"/>
                <w:szCs w:val="20"/>
                <w:color w:val="auto"/>
              </w:rPr>
            </w:pPr>
            <w:r>
              <w:rPr>
                <w:rFonts w:ascii="Arial" w:cs="Arial" w:eastAsia="Arial" w:hAnsi="Arial"/>
                <w:sz w:val="11"/>
                <w:szCs w:val="11"/>
                <w:color w:val="auto"/>
              </w:rPr>
              <w:t xml:space="preserve">Voya CLO Ltd, Series 2018-3A </w:t>
            </w:r>
            <w:r>
              <w:rPr>
                <w:rFonts w:ascii="Arial" w:cs="Arial" w:eastAsia="Arial" w:hAnsi="Arial"/>
                <w:sz w:val="14"/>
                <w:szCs w:val="14"/>
                <w:color w:val="auto"/>
                <w:vertAlign w:val="superscript"/>
              </w:rPr>
              <w:t>(3)(4)(10)</w:t>
            </w:r>
          </w:p>
        </w:tc>
        <w:tc>
          <w:tcPr>
            <w:tcW w:w="2760" w:type="dxa"/>
            <w:vAlign w:val="bottom"/>
          </w:tcPr>
          <w:p>
            <w:pPr>
              <w:ind w:left="340"/>
              <w:spacing w:after="0"/>
              <w:rPr>
                <w:sz w:val="20"/>
                <w:szCs w:val="20"/>
                <w:color w:val="auto"/>
              </w:rPr>
            </w:pPr>
            <w:r>
              <w:rPr>
                <w:rFonts w:ascii="Arial" w:cs="Arial" w:eastAsia="Arial" w:hAnsi="Arial"/>
                <w:sz w:val="11"/>
                <w:szCs w:val="11"/>
                <w:color w:val="auto"/>
              </w:rPr>
              <w:t>Structured Product ($2,750 par, due 10/2031)</w:t>
            </w:r>
          </w:p>
        </w:tc>
        <w:tc>
          <w:tcPr>
            <w:tcW w:w="1180" w:type="dxa"/>
            <w:vAlign w:val="bottom"/>
          </w:tcPr>
          <w:p>
            <w:pPr>
              <w:jc w:val="right"/>
              <w:ind w:right="187"/>
              <w:spacing w:after="0"/>
              <w:rPr>
                <w:sz w:val="20"/>
                <w:szCs w:val="20"/>
                <w:color w:val="auto"/>
              </w:rPr>
            </w:pPr>
            <w:r>
              <w:rPr>
                <w:rFonts w:ascii="Arial" w:cs="Arial" w:eastAsia="Arial" w:hAnsi="Arial"/>
                <w:sz w:val="11"/>
                <w:szCs w:val="11"/>
                <w:color w:val="auto"/>
              </w:rPr>
              <w:t>6/22/2022</w:t>
            </w:r>
          </w:p>
        </w:tc>
        <w:tc>
          <w:tcPr>
            <w:tcW w:w="1080" w:type="dxa"/>
            <w:vAlign w:val="bottom"/>
          </w:tcPr>
          <w:p>
            <w:pPr>
              <w:ind w:left="220"/>
              <w:spacing w:after="0"/>
              <w:rPr>
                <w:sz w:val="20"/>
                <w:szCs w:val="20"/>
                <w:color w:val="auto"/>
              </w:rPr>
            </w:pPr>
            <w:r>
              <w:rPr>
                <w:rFonts w:ascii="Arial" w:cs="Arial" w:eastAsia="Arial" w:hAnsi="Arial"/>
                <w:sz w:val="11"/>
                <w:szCs w:val="11"/>
                <w:color w:val="auto"/>
              </w:rPr>
              <w:t>L + 5.75%</w:t>
            </w:r>
          </w:p>
        </w:tc>
        <w:tc>
          <w:tcPr>
            <w:tcW w:w="880" w:type="dxa"/>
            <w:vAlign w:val="bottom"/>
          </w:tcPr>
          <w:p>
            <w:pPr>
              <w:jc w:val="right"/>
              <w:ind w:right="68"/>
              <w:spacing w:after="0"/>
              <w:rPr>
                <w:sz w:val="20"/>
                <w:szCs w:val="20"/>
                <w:color w:val="auto"/>
              </w:rPr>
            </w:pPr>
            <w:r>
              <w:rPr>
                <w:rFonts w:ascii="Arial" w:cs="Arial" w:eastAsia="Arial" w:hAnsi="Arial"/>
                <w:sz w:val="11"/>
                <w:szCs w:val="11"/>
                <w:color w:val="auto"/>
              </w:rPr>
              <w:t>6.79 %</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2,357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2,197</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0.1 %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260" w:type="dxa"/>
            <w:vAlign w:val="bottom"/>
            <w:gridSpan w:val="2"/>
            <w:shd w:val="clear" w:color="auto" w:fill="CFF0FC"/>
          </w:tcPr>
          <w:p>
            <w:pPr>
              <w:ind w:left="20"/>
              <w:spacing w:after="0" w:line="95" w:lineRule="exact"/>
              <w:rPr>
                <w:sz w:val="20"/>
                <w:szCs w:val="20"/>
                <w:color w:val="auto"/>
              </w:rPr>
            </w:pPr>
            <w:r>
              <w:rPr>
                <w:rFonts w:ascii="Arial" w:cs="Arial" w:eastAsia="Arial" w:hAnsi="Arial"/>
                <w:sz w:val="10"/>
                <w:szCs w:val="10"/>
                <w:color w:val="auto"/>
              </w:rPr>
              <w:t>Wind River CLO Ltd,</w:t>
            </w:r>
          </w:p>
        </w:tc>
        <w:tc>
          <w:tcPr>
            <w:tcW w:w="2760" w:type="dxa"/>
            <w:vAlign w:val="bottom"/>
            <w:shd w:val="clear" w:color="auto" w:fill="CFF0FC"/>
          </w:tcPr>
          <w:p>
            <w:pPr>
              <w:ind w:left="340"/>
              <w:spacing w:after="0" w:line="95" w:lineRule="exact"/>
              <w:rPr>
                <w:sz w:val="20"/>
                <w:szCs w:val="20"/>
                <w:color w:val="auto"/>
              </w:rPr>
            </w:pPr>
            <w:r>
              <w:rPr>
                <w:rFonts w:ascii="Arial" w:cs="Arial" w:eastAsia="Arial" w:hAnsi="Arial"/>
                <w:sz w:val="10"/>
                <w:szCs w:val="10"/>
                <w:color w:val="auto"/>
              </w:rPr>
              <w:t>Structured Product ($1,500 par, due 1/2031)</w:t>
            </w:r>
          </w:p>
        </w:tc>
        <w:tc>
          <w:tcPr>
            <w:tcW w:w="1180" w:type="dxa"/>
            <w:vAlign w:val="bottom"/>
            <w:shd w:val="clear" w:color="auto" w:fill="CFF0FC"/>
          </w:tcPr>
          <w:p>
            <w:pPr>
              <w:jc w:val="right"/>
              <w:ind w:right="187"/>
              <w:spacing w:after="0" w:line="95" w:lineRule="exact"/>
              <w:rPr>
                <w:sz w:val="20"/>
                <w:szCs w:val="20"/>
                <w:color w:val="auto"/>
              </w:rPr>
            </w:pPr>
            <w:r>
              <w:rPr>
                <w:rFonts w:ascii="Arial" w:cs="Arial" w:eastAsia="Arial" w:hAnsi="Arial"/>
                <w:sz w:val="10"/>
                <w:szCs w:val="10"/>
                <w:color w:val="auto"/>
              </w:rPr>
              <w:t>6/23/2022</w:t>
            </w:r>
          </w:p>
        </w:tc>
        <w:tc>
          <w:tcPr>
            <w:tcW w:w="1080" w:type="dxa"/>
            <w:vAlign w:val="bottom"/>
            <w:shd w:val="clear" w:color="auto" w:fill="CFF0FC"/>
          </w:tcPr>
          <w:p>
            <w:pPr>
              <w:ind w:left="220"/>
              <w:spacing w:after="0" w:line="95" w:lineRule="exact"/>
              <w:rPr>
                <w:sz w:val="20"/>
                <w:szCs w:val="20"/>
                <w:color w:val="auto"/>
              </w:rPr>
            </w:pPr>
            <w:r>
              <w:rPr>
                <w:rFonts w:ascii="Arial" w:cs="Arial" w:eastAsia="Arial" w:hAnsi="Arial"/>
                <w:sz w:val="10"/>
                <w:szCs w:val="10"/>
                <w:color w:val="auto"/>
              </w:rPr>
              <w:t>L + 2.90%</w:t>
            </w:r>
          </w:p>
        </w:tc>
        <w:tc>
          <w:tcPr>
            <w:tcW w:w="880" w:type="dxa"/>
            <w:vAlign w:val="bottom"/>
            <w:shd w:val="clear" w:color="auto" w:fill="CFF0FC"/>
          </w:tcPr>
          <w:p>
            <w:pPr>
              <w:jc w:val="right"/>
              <w:ind w:right="68"/>
              <w:spacing w:after="0" w:line="95" w:lineRule="exact"/>
              <w:rPr>
                <w:sz w:val="20"/>
                <w:szCs w:val="20"/>
                <w:color w:val="auto"/>
              </w:rPr>
            </w:pPr>
            <w:r>
              <w:rPr>
                <w:rFonts w:ascii="Arial" w:cs="Arial" w:eastAsia="Arial" w:hAnsi="Arial"/>
                <w:sz w:val="10"/>
                <w:szCs w:val="10"/>
                <w:color w:val="auto"/>
              </w:rPr>
              <w:t>3.94 %</w:t>
            </w:r>
          </w:p>
        </w:tc>
        <w:tc>
          <w:tcPr>
            <w:tcW w:w="260" w:type="dxa"/>
            <w:vAlign w:val="bottom"/>
            <w:shd w:val="clear" w:color="auto" w:fill="CFF0FC"/>
          </w:tcPr>
          <w:p>
            <w:pPr>
              <w:spacing w:after="0"/>
              <w:rPr>
                <w:sz w:val="8"/>
                <w:szCs w:val="8"/>
                <w:color w:val="auto"/>
              </w:rPr>
            </w:pPr>
          </w:p>
        </w:tc>
        <w:tc>
          <w:tcPr>
            <w:tcW w:w="640" w:type="dxa"/>
            <w:vAlign w:val="bottom"/>
            <w:shd w:val="clear" w:color="auto" w:fill="CFF0FC"/>
          </w:tcPr>
          <w:p>
            <w:pPr>
              <w:jc w:val="right"/>
              <w:spacing w:after="0" w:line="95" w:lineRule="exact"/>
              <w:rPr>
                <w:sz w:val="20"/>
                <w:szCs w:val="20"/>
                <w:color w:val="auto"/>
              </w:rPr>
            </w:pPr>
            <w:r>
              <w:rPr>
                <w:rFonts w:ascii="Arial" w:cs="Arial" w:eastAsia="Arial" w:hAnsi="Arial"/>
                <w:sz w:val="10"/>
                <w:szCs w:val="10"/>
                <w:color w:val="auto"/>
              </w:rPr>
              <w:t>1,323</w:t>
            </w:r>
          </w:p>
        </w:tc>
        <w:tc>
          <w:tcPr>
            <w:tcW w:w="2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80" w:type="dxa"/>
            <w:vAlign w:val="bottom"/>
            <w:shd w:val="clear" w:color="auto" w:fill="CFF0FC"/>
          </w:tcPr>
          <w:p>
            <w:pPr>
              <w:jc w:val="right"/>
              <w:spacing w:after="0" w:line="95" w:lineRule="exact"/>
              <w:rPr>
                <w:sz w:val="20"/>
                <w:szCs w:val="20"/>
                <w:color w:val="auto"/>
              </w:rPr>
            </w:pPr>
            <w:r>
              <w:rPr>
                <w:rFonts w:ascii="Arial" w:cs="Arial" w:eastAsia="Arial" w:hAnsi="Arial"/>
                <w:sz w:val="10"/>
                <w:szCs w:val="10"/>
                <w:color w:val="auto"/>
              </w:rPr>
              <w:t>1,339</w:t>
            </w:r>
          </w:p>
        </w:tc>
        <w:tc>
          <w:tcPr>
            <w:tcW w:w="1140" w:type="dxa"/>
            <w:vAlign w:val="bottom"/>
            <w:gridSpan w:val="3"/>
            <w:shd w:val="clear" w:color="auto" w:fill="CFF0FC"/>
          </w:tcPr>
          <w:p>
            <w:pPr>
              <w:jc w:val="right"/>
              <w:spacing w:after="0" w:line="95" w:lineRule="exact"/>
              <w:rPr>
                <w:sz w:val="20"/>
                <w:szCs w:val="20"/>
                <w:color w:val="auto"/>
              </w:rPr>
            </w:pPr>
            <w:r>
              <w:rPr>
                <w:rFonts w:ascii="Arial" w:cs="Arial" w:eastAsia="Arial" w:hAnsi="Arial"/>
                <w:sz w:val="10"/>
                <w:szCs w:val="10"/>
                <w:color w:val="auto"/>
              </w:rPr>
              <w:t>0.1 %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8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1"/>
                <w:szCs w:val="11"/>
                <w:color w:val="auto"/>
                <w:w w:val="89"/>
              </w:rPr>
              <w:t>Series 2014-2A</w:t>
            </w:r>
          </w:p>
        </w:tc>
        <w:tc>
          <w:tcPr>
            <w:tcW w:w="1460" w:type="dxa"/>
            <w:vAlign w:val="bottom"/>
            <w:tcBorders>
              <w:bottom w:val="single" w:sz="8" w:color="CFF0FC"/>
            </w:tcBorders>
            <w:shd w:val="clear" w:color="auto" w:fill="CFF0FC"/>
          </w:tcPr>
          <w:p>
            <w:pPr>
              <w:jc w:val="right"/>
              <w:ind w:right="1124"/>
              <w:spacing w:after="0"/>
              <w:rPr>
                <w:sz w:val="20"/>
                <w:szCs w:val="20"/>
                <w:color w:val="auto"/>
              </w:rPr>
            </w:pPr>
            <w:r>
              <w:rPr>
                <w:rFonts w:ascii="Arial" w:cs="Arial" w:eastAsia="Arial" w:hAnsi="Arial"/>
                <w:sz w:val="7"/>
                <w:szCs w:val="7"/>
                <w:color w:val="auto"/>
                <w:w w:val="94"/>
              </w:rPr>
              <w:t>(3)(4)(10)</w:t>
            </w:r>
          </w:p>
        </w:tc>
        <w:tc>
          <w:tcPr>
            <w:tcW w:w="276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30,785</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30,195</w:t>
            </w:r>
          </w:p>
        </w:tc>
        <w:tc>
          <w:tcPr>
            <w:tcW w:w="1140" w:type="dxa"/>
            <w:vAlign w:val="bottom"/>
            <w:gridSpan w:val="3"/>
          </w:tcPr>
          <w:p>
            <w:pPr>
              <w:jc w:val="right"/>
              <w:spacing w:after="0"/>
              <w:rPr>
                <w:sz w:val="20"/>
                <w:szCs w:val="20"/>
                <w:color w:val="auto"/>
              </w:rPr>
            </w:pPr>
            <w:r>
              <w:rPr>
                <w:rFonts w:ascii="Arial" w:cs="Arial" w:eastAsia="Arial" w:hAnsi="Arial"/>
                <w:sz w:val="11"/>
                <w:szCs w:val="11"/>
                <w:color w:val="auto"/>
              </w:rPr>
              <w:t>2.8 %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260" w:type="dxa"/>
            <w:vAlign w:val="bottom"/>
            <w:gridSpan w:val="2"/>
            <w:shd w:val="clear" w:color="auto" w:fill="CFF0FC"/>
          </w:tcPr>
          <w:p>
            <w:pPr>
              <w:ind w:left="20"/>
              <w:spacing w:after="0" w:line="88" w:lineRule="exact"/>
              <w:rPr>
                <w:sz w:val="20"/>
                <w:szCs w:val="20"/>
                <w:color w:val="auto"/>
              </w:rPr>
            </w:pPr>
            <w:r>
              <w:rPr>
                <w:rFonts w:ascii="Arial" w:cs="Arial" w:eastAsia="Arial" w:hAnsi="Arial"/>
                <w:sz w:val="10"/>
                <w:szCs w:val="10"/>
                <w:b w:val="1"/>
                <w:bCs w:val="1"/>
                <w:color w:val="auto"/>
              </w:rPr>
              <w:t>Total Equity and Other</w:t>
            </w:r>
          </w:p>
        </w:tc>
        <w:tc>
          <w:tcPr>
            <w:tcW w:w="276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108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260" w:type="dxa"/>
            <w:vAlign w:val="bottom"/>
            <w:tcBorders>
              <w:top w:val="single" w:sz="8" w:color="auto"/>
            </w:tcBorders>
            <w:shd w:val="clear" w:color="auto" w:fill="CFF0FC"/>
          </w:tcPr>
          <w:p>
            <w:pPr>
              <w:spacing w:after="0"/>
              <w:rPr>
                <w:sz w:val="7"/>
                <w:szCs w:val="7"/>
                <w:color w:val="auto"/>
              </w:rPr>
            </w:pPr>
          </w:p>
        </w:tc>
        <w:tc>
          <w:tcPr>
            <w:tcW w:w="640" w:type="dxa"/>
            <w:vAlign w:val="bottom"/>
            <w:tcBorders>
              <w:top w:val="single" w:sz="8" w:color="auto"/>
            </w:tcBorders>
            <w:shd w:val="clear" w:color="auto" w:fill="CFF0FC"/>
          </w:tcPr>
          <w:p>
            <w:pPr>
              <w:jc w:val="right"/>
              <w:spacing w:after="0" w:line="88" w:lineRule="exact"/>
              <w:rPr>
                <w:sz w:val="20"/>
                <w:szCs w:val="20"/>
                <w:color w:val="auto"/>
              </w:rPr>
            </w:pPr>
            <w:r>
              <w:rPr>
                <w:rFonts w:ascii="Arial" w:cs="Arial" w:eastAsia="Arial" w:hAnsi="Arial"/>
                <w:sz w:val="10"/>
                <w:szCs w:val="10"/>
                <w:color w:val="auto"/>
              </w:rPr>
              <w:t>162,559</w:t>
            </w:r>
          </w:p>
        </w:tc>
        <w:tc>
          <w:tcPr>
            <w:tcW w:w="200" w:type="dxa"/>
            <w:vAlign w:val="bottom"/>
            <w:shd w:val="clear" w:color="auto" w:fill="CFF0FC"/>
          </w:tcPr>
          <w:p>
            <w:pPr>
              <w:spacing w:after="0"/>
              <w:rPr>
                <w:sz w:val="7"/>
                <w:szCs w:val="7"/>
                <w:color w:val="auto"/>
              </w:rPr>
            </w:pPr>
          </w:p>
        </w:tc>
        <w:tc>
          <w:tcPr>
            <w:tcW w:w="160" w:type="dxa"/>
            <w:vAlign w:val="bottom"/>
            <w:tcBorders>
              <w:top w:val="single" w:sz="8" w:color="auto"/>
            </w:tcBorders>
            <w:shd w:val="clear" w:color="auto" w:fill="CFF0FC"/>
          </w:tcPr>
          <w:p>
            <w:pPr>
              <w:spacing w:after="0"/>
              <w:rPr>
                <w:sz w:val="7"/>
                <w:szCs w:val="7"/>
                <w:color w:val="auto"/>
              </w:rPr>
            </w:pPr>
          </w:p>
        </w:tc>
        <w:tc>
          <w:tcPr>
            <w:tcW w:w="680" w:type="dxa"/>
            <w:vAlign w:val="bottom"/>
            <w:tcBorders>
              <w:top w:val="single" w:sz="8" w:color="auto"/>
            </w:tcBorders>
            <w:shd w:val="clear" w:color="auto" w:fill="CFF0FC"/>
          </w:tcPr>
          <w:p>
            <w:pPr>
              <w:jc w:val="right"/>
              <w:spacing w:after="0" w:line="88" w:lineRule="exact"/>
              <w:rPr>
                <w:sz w:val="20"/>
                <w:szCs w:val="20"/>
                <w:color w:val="auto"/>
              </w:rPr>
            </w:pPr>
            <w:r>
              <w:rPr>
                <w:rFonts w:ascii="Arial" w:cs="Arial" w:eastAsia="Arial" w:hAnsi="Arial"/>
                <w:sz w:val="10"/>
                <w:szCs w:val="10"/>
                <w:color w:val="auto"/>
              </w:rPr>
              <w:t>189,097</w:t>
            </w:r>
          </w:p>
        </w:tc>
        <w:tc>
          <w:tcPr>
            <w:tcW w:w="200" w:type="dxa"/>
            <w:vAlign w:val="bottom"/>
            <w:shd w:val="clear" w:color="auto" w:fill="CFF0FC"/>
          </w:tcPr>
          <w:p>
            <w:pPr>
              <w:spacing w:after="0"/>
              <w:rPr>
                <w:sz w:val="7"/>
                <w:szCs w:val="7"/>
                <w:color w:val="auto"/>
              </w:rPr>
            </w:pPr>
          </w:p>
        </w:tc>
        <w:tc>
          <w:tcPr>
            <w:tcW w:w="840" w:type="dxa"/>
            <w:vAlign w:val="bottom"/>
            <w:tcBorders>
              <w:top w:val="single" w:sz="8" w:color="auto"/>
            </w:tcBorders>
            <w:shd w:val="clear" w:color="auto" w:fill="CFF0FC"/>
          </w:tcPr>
          <w:p>
            <w:pPr>
              <w:jc w:val="right"/>
              <w:spacing w:after="0" w:line="88" w:lineRule="exact"/>
              <w:rPr>
                <w:sz w:val="20"/>
                <w:szCs w:val="20"/>
                <w:color w:val="auto"/>
              </w:rPr>
            </w:pPr>
            <w:r>
              <w:rPr>
                <w:rFonts w:ascii="Arial" w:cs="Arial" w:eastAsia="Arial" w:hAnsi="Arial"/>
                <w:sz w:val="10"/>
                <w:szCs w:val="10"/>
                <w:color w:val="auto"/>
              </w:rPr>
              <w:t>15.4</w:t>
            </w:r>
          </w:p>
        </w:tc>
        <w:tc>
          <w:tcPr>
            <w:tcW w:w="100" w:type="dxa"/>
            <w:vAlign w:val="bottom"/>
            <w:shd w:val="clear" w:color="auto" w:fill="CFF0FC"/>
          </w:tcPr>
          <w:p>
            <w:pPr>
              <w:jc w:val="right"/>
              <w:spacing w:after="0" w:line="88" w:lineRule="exact"/>
              <w:rPr>
                <w:sz w:val="20"/>
                <w:szCs w:val="20"/>
                <w:color w:val="auto"/>
              </w:rPr>
            </w:pPr>
            <w:r>
              <w:rPr>
                <w:rFonts w:ascii="Arial" w:cs="Arial" w:eastAsia="Arial" w:hAnsi="Arial"/>
                <w:sz w:val="10"/>
                <w:szCs w:val="10"/>
                <w:color w:val="auto"/>
                <w:w w:val="89"/>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1"/>
                <w:szCs w:val="11"/>
                <w:b w:val="1"/>
                <w:bCs w:val="1"/>
                <w:color w:val="auto"/>
              </w:rPr>
              <w:t>Investments</w:t>
            </w:r>
          </w:p>
        </w:tc>
        <w:tc>
          <w:tcPr>
            <w:tcW w:w="1460" w:type="dxa"/>
            <w:vAlign w:val="bottom"/>
            <w:tcBorders>
              <w:bottom w:val="single" w:sz="8" w:color="CFF0FC"/>
            </w:tcBorders>
            <w:shd w:val="clear" w:color="auto" w:fill="CFF0FC"/>
          </w:tcPr>
          <w:p>
            <w:pPr>
              <w:spacing w:after="0"/>
              <w:rPr>
                <w:sz w:val="11"/>
                <w:szCs w:val="11"/>
                <w:color w:val="auto"/>
              </w:rPr>
            </w:pPr>
          </w:p>
        </w:tc>
        <w:tc>
          <w:tcPr>
            <w:tcW w:w="276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6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Investments</w:t>
            </w:r>
          </w:p>
        </w:tc>
        <w:tc>
          <w:tcPr>
            <w:tcW w:w="2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2,511,333</w:t>
            </w:r>
          </w:p>
        </w:tc>
        <w:tc>
          <w:tcPr>
            <w:tcW w:w="36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2,536,390</w:t>
            </w:r>
          </w:p>
        </w:tc>
        <w:tc>
          <w:tcPr>
            <w:tcW w:w="1140" w:type="dxa"/>
            <w:vAlign w:val="bottom"/>
            <w:gridSpan w:val="3"/>
          </w:tcPr>
          <w:p>
            <w:pPr>
              <w:jc w:val="right"/>
              <w:spacing w:after="0"/>
              <w:rPr>
                <w:sz w:val="20"/>
                <w:szCs w:val="20"/>
                <w:color w:val="auto"/>
              </w:rPr>
            </w:pPr>
            <w:r>
              <w:rPr>
                <w:rFonts w:ascii="Arial" w:cs="Arial" w:eastAsia="Arial" w:hAnsi="Arial"/>
                <w:sz w:val="11"/>
                <w:szCs w:val="11"/>
                <w:b w:val="1"/>
                <w:bCs w:val="1"/>
                <w:color w:val="auto"/>
              </w:rPr>
              <w:t>204.2 %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-7397115</wp:posOffset>
            </wp:positionV>
            <wp:extent cx="7132320" cy="939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-7045960</wp:posOffset>
            </wp:positionV>
            <wp:extent cx="7132320" cy="857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-6777355</wp:posOffset>
            </wp:positionV>
            <wp:extent cx="6858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-6777355</wp:posOffset>
            </wp:positionV>
            <wp:extent cx="685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-6777355</wp:posOffset>
            </wp:positionV>
            <wp:extent cx="685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-6685915</wp:posOffset>
            </wp:positionV>
            <wp:extent cx="7132320" cy="857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-6417310</wp:posOffset>
            </wp:positionV>
            <wp:extent cx="685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-6417310</wp:posOffset>
            </wp:positionV>
            <wp:extent cx="685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-6417310</wp:posOffset>
            </wp:positionV>
            <wp:extent cx="6858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-6325870</wp:posOffset>
            </wp:positionV>
            <wp:extent cx="7132320" cy="857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-6154420</wp:posOffset>
            </wp:positionV>
            <wp:extent cx="7132320" cy="857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-5817235</wp:posOffset>
            </wp:positionV>
            <wp:extent cx="685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-5817235</wp:posOffset>
            </wp:positionV>
            <wp:extent cx="6858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-5817235</wp:posOffset>
            </wp:positionV>
            <wp:extent cx="685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-5725795</wp:posOffset>
            </wp:positionV>
            <wp:extent cx="713232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-5485765</wp:posOffset>
            </wp:positionV>
            <wp:extent cx="7132320" cy="946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-5297170</wp:posOffset>
            </wp:positionV>
            <wp:extent cx="7132320" cy="857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-5125720</wp:posOffset>
            </wp:positionV>
            <wp:extent cx="7132320" cy="857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-4954270</wp:posOffset>
            </wp:positionV>
            <wp:extent cx="7132320" cy="857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-4782820</wp:posOffset>
            </wp:positionV>
            <wp:extent cx="7132320" cy="857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-4611370</wp:posOffset>
            </wp:positionV>
            <wp:extent cx="7132320" cy="857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-4439920</wp:posOffset>
            </wp:positionV>
            <wp:extent cx="7132320" cy="946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-3702685</wp:posOffset>
            </wp:positionV>
            <wp:extent cx="7132320" cy="857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7132320" cy="857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-365125</wp:posOffset>
            </wp:positionV>
            <wp:extent cx="685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-365125</wp:posOffset>
            </wp:positionV>
            <wp:extent cx="685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-116205</wp:posOffset>
            </wp:positionV>
            <wp:extent cx="6858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-116205</wp:posOffset>
            </wp:positionV>
            <wp:extent cx="6858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-116205</wp:posOffset>
            </wp:positionV>
            <wp:extent cx="6858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08"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5"/>
        </w:trPr>
        <w:tc>
          <w:tcPr>
            <w:tcW w:w="2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8"/>
          </w:tcPr>
          <w:p>
            <w:pPr>
              <w:jc w:val="center"/>
              <w:ind w:right="141"/>
              <w:spacing w:after="0"/>
              <w:rPr>
                <w:sz w:val="20"/>
                <w:szCs w:val="20"/>
                <w:color w:val="auto"/>
              </w:rPr>
            </w:pPr>
            <w:r>
              <w:rPr>
                <w:rFonts w:ascii="Arial" w:cs="Arial" w:eastAsia="Arial" w:hAnsi="Arial"/>
                <w:sz w:val="14"/>
                <w:szCs w:val="14"/>
                <w:b w:val="1"/>
                <w:bCs w:val="1"/>
                <w:color w:val="auto"/>
                <w:w w:val="91"/>
              </w:rPr>
              <w:t>Interest Rate Swaps as of June 30, 2022</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10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140" w:type="dxa"/>
            <w:vAlign w:val="bottom"/>
          </w:tcPr>
          <w:p>
            <w:pPr>
              <w:spacing w:after="0"/>
              <w:rPr>
                <w:sz w:val="11"/>
                <w:szCs w:val="11"/>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92"/>
              </w:rPr>
              <w:t>Notional</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41"/>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900" w:type="dxa"/>
            <w:vAlign w:val="bottom"/>
          </w:tcPr>
          <w:p>
            <w:pPr>
              <w:jc w:val="center"/>
              <w:ind w:right="33"/>
              <w:spacing w:after="0" w:line="133" w:lineRule="exact"/>
              <w:rPr>
                <w:sz w:val="20"/>
                <w:szCs w:val="20"/>
                <w:color w:val="auto"/>
              </w:rPr>
            </w:pPr>
            <w:r>
              <w:rPr>
                <w:rFonts w:ascii="Arial" w:cs="Arial" w:eastAsia="Arial" w:hAnsi="Arial"/>
                <w:sz w:val="14"/>
                <w:szCs w:val="14"/>
                <w:b w:val="1"/>
                <w:bCs w:val="1"/>
                <w:color w:val="auto"/>
                <w:w w:val="98"/>
              </w:rPr>
              <w:t>Upfront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33"/>
              <w:spacing w:after="0" w:line="133" w:lineRule="exact"/>
              <w:rPr>
                <w:sz w:val="20"/>
                <w:szCs w:val="20"/>
                <w:color w:val="auto"/>
              </w:rPr>
            </w:pPr>
            <w:r>
              <w:rPr>
                <w:rFonts w:ascii="Arial" w:cs="Arial" w:eastAsia="Arial" w:hAnsi="Arial"/>
                <w:sz w:val="14"/>
                <w:szCs w:val="14"/>
                <w:b w:val="1"/>
                <w:bCs w:val="1"/>
                <w:color w:val="auto"/>
                <w:w w:val="94"/>
              </w:rPr>
              <w:t>Change in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vMerge w:val="restart"/>
          </w:tcPr>
          <w:p>
            <w:pPr>
              <w:jc w:val="right"/>
              <w:ind w:right="390"/>
              <w:spacing w:after="0"/>
              <w:rPr>
                <w:sz w:val="20"/>
                <w:szCs w:val="20"/>
                <w:color w:val="auto"/>
              </w:rPr>
            </w:pPr>
            <w:r>
              <w:rPr>
                <w:rFonts w:ascii="Arial" w:cs="Arial" w:eastAsia="Arial" w:hAnsi="Arial"/>
                <w:sz w:val="14"/>
                <w:szCs w:val="14"/>
                <w:b w:val="1"/>
                <w:bCs w:val="1"/>
                <w:color w:val="auto"/>
              </w:rPr>
              <w:t>Maturity Date</w:t>
            </w: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41"/>
              <w:spacing w:after="0" w:line="149" w:lineRule="exact"/>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90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3"/>
              </w:rPr>
              <w:t>(Payments) /</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41"/>
              <w:spacing w:after="0" w:line="149"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85"/>
        </w:trPr>
        <w:tc>
          <w:tcPr>
            <w:tcW w:w="2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5"/>
              </w:rPr>
              <w:t>Receives</w:t>
            </w:r>
          </w:p>
        </w:tc>
        <w:tc>
          <w:tcPr>
            <w:tcW w:w="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Pays</w:t>
            </w:r>
          </w:p>
        </w:tc>
        <w:tc>
          <w:tcPr>
            <w:tcW w:w="12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900" w:type="dxa"/>
            <w:vAlign w:val="bottom"/>
          </w:tcPr>
          <w:p>
            <w:pPr>
              <w:jc w:val="center"/>
              <w:ind w:right="112"/>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90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Receipts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88"/>
              </w:rPr>
              <w:t>Gains / (Losses)</w:t>
            </w:r>
          </w:p>
        </w:tc>
        <w:tc>
          <w:tcPr>
            <w:tcW w:w="0" w:type="dxa"/>
            <w:vAlign w:val="bottom"/>
          </w:tcPr>
          <w:p>
            <w:pPr>
              <w:spacing w:after="0"/>
              <w:rPr>
                <w:sz w:val="1"/>
                <w:szCs w:val="1"/>
                <w:color w:val="auto"/>
              </w:rPr>
            </w:pPr>
          </w:p>
        </w:tc>
      </w:tr>
      <w:tr>
        <w:trPr>
          <w:trHeight w:val="196"/>
        </w:trPr>
        <w:tc>
          <w:tcPr>
            <w:tcW w:w="210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2"/>
                <w:szCs w:val="22"/>
                <w:color w:val="auto"/>
                <w:vertAlign w:val="superscript"/>
              </w:rPr>
              <w:t>(a)</w:t>
            </w:r>
          </w:p>
        </w:tc>
        <w:tc>
          <w:tcPr>
            <w:tcW w:w="118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0"/>
              </w:rPr>
              <w:t>4.50%</w:t>
            </w:r>
          </w:p>
        </w:tc>
        <w:tc>
          <w:tcPr>
            <w:tcW w:w="14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3"/>
              </w:rPr>
              <w:t>L + 2.37%</w:t>
            </w:r>
          </w:p>
        </w:tc>
        <w:tc>
          <w:tcPr>
            <w:tcW w:w="1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115,000</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0"/>
              </w:rPr>
              <w:t>4.50%</w:t>
            </w:r>
          </w:p>
        </w:tc>
        <w:tc>
          <w:tcPr>
            <w:tcW w:w="1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3"/>
              </w:rPr>
              <w:t>L + 1.59%</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(701 )</w:t>
            </w: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w:t>
            </w:r>
          </w:p>
        </w:tc>
        <w:tc>
          <w:tcPr>
            <w:tcW w:w="11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4.50%</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3"/>
              </w:rPr>
              <w:t>L + 1.60%</w:t>
            </w: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7,500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3"/>
              </w:rPr>
              <w:t>L + 2.11%</w:t>
            </w:r>
          </w:p>
        </w:tc>
        <w:tc>
          <w:tcPr>
            <w:tcW w:w="1340" w:type="dxa"/>
            <w:vAlign w:val="bottom"/>
            <w:gridSpan w:val="2"/>
          </w:tcPr>
          <w:p>
            <w:pPr>
              <w:jc w:val="center"/>
              <w:ind w:left="30"/>
              <w:spacing w:after="0" w:line="202" w:lineRule="exact"/>
              <w:rPr>
                <w:sz w:val="20"/>
                <w:szCs w:val="20"/>
                <w:color w:val="auto"/>
              </w:rPr>
            </w:pPr>
            <w:r>
              <w:rPr>
                <w:rFonts w:ascii="Arial" w:cs="Arial" w:eastAsia="Arial" w:hAnsi="Arial"/>
                <w:sz w:val="18"/>
                <w:szCs w:val="18"/>
                <w:color w:val="auto"/>
                <w:w w:val="90"/>
              </w:rPr>
              <w:t>4.50%</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27,531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(16 )</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1,252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w:t>
            </w:r>
          </w:p>
        </w:tc>
        <w:tc>
          <w:tcPr>
            <w:tcW w:w="11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3"/>
              </w:rPr>
              <w:t>L + 2.11%</w:t>
            </w:r>
          </w:p>
        </w:tc>
        <w:tc>
          <w:tcPr>
            <w:tcW w:w="1340" w:type="dxa"/>
            <w:vAlign w:val="bottom"/>
            <w:gridSpan w:val="2"/>
            <w:shd w:val="clear" w:color="auto" w:fill="CFF0FC"/>
          </w:tcPr>
          <w:p>
            <w:pPr>
              <w:jc w:val="center"/>
              <w:ind w:left="30"/>
              <w:spacing w:after="0" w:line="202" w:lineRule="exact"/>
              <w:rPr>
                <w:sz w:val="20"/>
                <w:szCs w:val="20"/>
                <w:color w:val="auto"/>
              </w:rPr>
            </w:pPr>
            <w:r>
              <w:rPr>
                <w:rFonts w:ascii="Arial" w:cs="Arial" w:eastAsia="Arial" w:hAnsi="Arial"/>
                <w:sz w:val="18"/>
                <w:szCs w:val="18"/>
                <w:color w:val="auto"/>
                <w:w w:val="90"/>
              </w:rPr>
              <w:t>4.50%</w:t>
            </w: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3"/>
              </w:rPr>
              <w:t>L + 2.11%</w:t>
            </w:r>
          </w:p>
        </w:tc>
        <w:tc>
          <w:tcPr>
            <w:tcW w:w="1340" w:type="dxa"/>
            <w:vAlign w:val="bottom"/>
            <w:gridSpan w:val="2"/>
          </w:tcPr>
          <w:p>
            <w:pPr>
              <w:jc w:val="center"/>
              <w:ind w:left="30"/>
              <w:spacing w:after="0" w:line="202" w:lineRule="exact"/>
              <w:rPr>
                <w:sz w:val="20"/>
                <w:szCs w:val="20"/>
                <w:color w:val="auto"/>
              </w:rPr>
            </w:pPr>
            <w:r>
              <w:rPr>
                <w:rFonts w:ascii="Arial" w:cs="Arial" w:eastAsia="Arial" w:hAnsi="Arial"/>
                <w:sz w:val="18"/>
                <w:szCs w:val="18"/>
                <w:color w:val="auto"/>
                <w:w w:val="90"/>
              </w:rPr>
              <w:t>4.50%</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42,819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(22 )</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904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w:t>
            </w:r>
          </w:p>
        </w:tc>
        <w:tc>
          <w:tcPr>
            <w:tcW w:w="11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4.50%</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3"/>
              </w:rPr>
              <w:t>L + 1.99%</w:t>
            </w: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1/22/2023</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(379 )</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(3,440 )</w:t>
            </w: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(a)(e)</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3"/>
              </w:rPr>
              <w:t>L + 2.28%</w:t>
            </w:r>
          </w:p>
        </w:tc>
        <w:tc>
          <w:tcPr>
            <w:tcW w:w="134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1"/>
              </w:rPr>
              <w:t>3.875%</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11/1/2024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(a)(b)</w:t>
            </w:r>
          </w:p>
        </w:tc>
        <w:tc>
          <w:tcPr>
            <w:tcW w:w="11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L</w:t>
            </w:r>
          </w:p>
        </w:tc>
        <w:tc>
          <w:tcPr>
            <w:tcW w:w="1340" w:type="dxa"/>
            <w:vAlign w:val="bottom"/>
            <w:gridSpan w:val="2"/>
            <w:shd w:val="clear" w:color="auto" w:fill="CFF0FC"/>
          </w:tcPr>
          <w:p>
            <w:pPr>
              <w:jc w:val="center"/>
              <w:ind w:left="30"/>
              <w:spacing w:after="0" w:line="202" w:lineRule="exact"/>
              <w:rPr>
                <w:sz w:val="20"/>
                <w:szCs w:val="20"/>
                <w:color w:val="auto"/>
              </w:rPr>
            </w:pPr>
            <w:r>
              <w:rPr>
                <w:rFonts w:ascii="Arial" w:cs="Arial" w:eastAsia="Arial" w:hAnsi="Arial"/>
                <w:sz w:val="18"/>
                <w:szCs w:val="18"/>
                <w:color w:val="auto"/>
                <w:w w:val="90"/>
              </w:rPr>
              <w:t>0.16%</w:t>
            </w: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7/30/2022</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210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397,510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(329 )</w:t>
            </w: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2,380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(4,594 )</w:t>
            </w: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(a)(c)(d)</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1"/>
              </w:rPr>
              <w:t>3.875%</w:t>
            </w:r>
          </w:p>
        </w:tc>
        <w:tc>
          <w:tcPr>
            <w:tcW w:w="1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3"/>
              </w:rPr>
              <w:t>L + 2.25%</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11/1/2024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(10,524 )</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(14,520 )</w:t>
            </w: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(a)(c)(d)</w:t>
            </w:r>
          </w:p>
        </w:tc>
        <w:tc>
          <w:tcPr>
            <w:tcW w:w="11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3.875%</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3"/>
              </w:rPr>
              <w:t>L + 2.46%</w:t>
            </w: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(1,992 )</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(2,369 )</w:t>
            </w: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(a)(c)</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0"/>
              </w:rPr>
              <w:t>2.50%</w:t>
            </w:r>
          </w:p>
        </w:tc>
        <w:tc>
          <w:tcPr>
            <w:tcW w:w="1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3"/>
              </w:rPr>
              <w:t>L + 1.91%</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8/1/2026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(28,614 )</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(18,375 )</w:t>
            </w:r>
          </w:p>
        </w:tc>
        <w:tc>
          <w:tcPr>
            <w:tcW w:w="0" w:type="dxa"/>
            <w:vAlign w:val="bottom"/>
          </w:tcPr>
          <w:p>
            <w:pPr>
              <w:spacing w:after="0"/>
              <w:rPr>
                <w:sz w:val="1"/>
                <w:szCs w:val="1"/>
                <w:color w:val="auto"/>
              </w:rPr>
            </w:pPr>
          </w:p>
        </w:tc>
      </w:tr>
      <w:tr>
        <w:trPr>
          <w:trHeight w:val="196"/>
        </w:trPr>
        <w:tc>
          <w:tcPr>
            <w:tcW w:w="2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650,000</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(41,130</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(35,264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line="202" w:lineRule="exact"/>
              <w:rPr>
                <w:sz w:val="20"/>
                <w:szCs w:val="20"/>
                <w:color w:val="auto"/>
              </w:rPr>
            </w:pPr>
            <w:r>
              <w:rPr>
                <w:rFonts w:ascii="Arial" w:cs="Arial" w:eastAsia="Arial" w:hAnsi="Arial"/>
                <w:sz w:val="18"/>
                <w:szCs w:val="18"/>
                <w:color w:val="auto"/>
              </w:rPr>
              <w:t>Cash collateral</w:t>
            </w: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48,790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1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Total derivatives</w:t>
            </w:r>
          </w:p>
        </w:tc>
        <w:tc>
          <w:tcPr>
            <w:tcW w:w="1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CFF0FC"/>
            </w:tcBorders>
            <w:gridSpan w:val="3"/>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1,047,510</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7,331</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2,380</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(39,858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-1076325</wp:posOffset>
            </wp:positionV>
            <wp:extent cx="7683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-1076325</wp:posOffset>
            </wp:positionV>
            <wp:extent cx="6858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-1076325</wp:posOffset>
            </wp:positionV>
            <wp:extent cx="685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-1076325</wp:posOffset>
            </wp:positionV>
            <wp:extent cx="6858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9" w:lineRule="exact"/>
        <w:rPr>
          <w:sz w:val="20"/>
          <w:szCs w:val="20"/>
          <w:color w:val="auto"/>
        </w:rPr>
      </w:pPr>
    </w:p>
    <w:p>
      <w:pPr>
        <w:ind w:left="1020" w:hanging="503"/>
        <w:spacing w:after="0"/>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ind w:left="1020" w:hanging="503"/>
        <w:spacing w:after="0" w:line="219" w:lineRule="auto"/>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Interest rate swap was terminated or matured during the period.</w:t>
      </w:r>
    </w:p>
    <w:p>
      <w:pPr>
        <w:ind w:left="1020" w:right="180" w:hanging="503"/>
        <w:spacing w:after="0" w:line="219" w:lineRule="auto"/>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Instrument is used in a hedge accounting relationship. The associated change in fair value is recorded along with the change in fair value of the hedged item within interest expense.</w:t>
      </w:r>
    </w:p>
    <w:p>
      <w:pPr>
        <w:ind w:left="1020" w:right="160" w:hanging="503"/>
        <w:spacing w:after="0" w:line="219" w:lineRule="auto"/>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$2.5 million in aggregate notional value of these instruments is no longer designated as instruments in a hedge accounting relationship. The associated change in fair value of the de-designated portion is recorded within unrealized gain/(loss).</w:t>
      </w:r>
    </w:p>
    <w:p>
      <w:pPr>
        <w:ind w:left="1020" w:hanging="503"/>
        <w:spacing w:after="0" w:line="233" w:lineRule="auto"/>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fair market value of this instrument is presented net with the $2.5 million in aggregate notional value of instruments no longer designated as instruments in a hedge accounting relationship.</w:t>
      </w:r>
    </w:p>
    <w:p>
      <w:pPr>
        <w:spacing w:after="0" w:line="81"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103" w:lineRule="exact"/>
        <w:rPr>
          <w:rFonts w:ascii="Arial" w:cs="Arial" w:eastAsia="Arial" w:hAnsi="Arial"/>
          <w:sz w:val="18"/>
          <w:szCs w:val="18"/>
          <w:color w:val="auto"/>
        </w:rPr>
      </w:pPr>
    </w:p>
    <w:p>
      <w:pPr>
        <w:ind w:left="520" w:hanging="512"/>
        <w:spacing w:after="0" w:line="261"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62" w:lineRule="exact"/>
        <w:rPr>
          <w:rFonts w:ascii="Arial" w:cs="Arial" w:eastAsia="Arial" w:hAnsi="Arial"/>
          <w:sz w:val="18"/>
          <w:szCs w:val="18"/>
          <w:color w:val="auto"/>
        </w:rPr>
      </w:pPr>
    </w:p>
    <w:p>
      <w:pPr>
        <w:ind w:left="520" w:right="80" w:hanging="512"/>
        <w:spacing w:after="0" w:line="255"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Investment contains a variable rate structure, subject to an interest rate floor. Variable rate investments bear interest at a rate that may be determined by reference to either London Interbank Offered Rate (“LIBOR” or “L”),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June 30, 2022.</w:t>
      </w:r>
    </w:p>
    <w:p>
      <w:pPr>
        <w:spacing w:after="0" w:line="71" w:lineRule="exact"/>
        <w:rPr>
          <w:rFonts w:ascii="Arial" w:cs="Arial" w:eastAsia="Arial" w:hAnsi="Arial"/>
          <w:sz w:val="17"/>
          <w:szCs w:val="17"/>
          <w:color w:val="auto"/>
        </w:rPr>
      </w:pPr>
    </w:p>
    <w:p>
      <w:pPr>
        <w:ind w:left="520" w:right="20" w:hanging="512"/>
        <w:spacing w:after="0" w:line="248"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13.0% of total assets as of June 30, 2022.</w:t>
      </w:r>
    </w:p>
    <w:p>
      <w:pPr>
        <w:spacing w:after="0" w:line="73" w:lineRule="exact"/>
        <w:rPr>
          <w:rFonts w:ascii="Arial" w:cs="Arial" w:eastAsia="Arial" w:hAnsi="Arial"/>
          <w:sz w:val="18"/>
          <w:szCs w:val="18"/>
          <w:color w:val="auto"/>
        </w:rPr>
      </w:pPr>
    </w:p>
    <w:p>
      <w:pPr>
        <w:ind w:left="520" w:right="40" w:hanging="512"/>
        <w:spacing w:after="0" w:line="262"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64" w:lineRule="exact"/>
        <w:rPr>
          <w:rFonts w:ascii="Arial" w:cs="Arial" w:eastAsia="Arial" w:hAnsi="Arial"/>
          <w:sz w:val="17"/>
          <w:szCs w:val="17"/>
          <w:color w:val="auto"/>
        </w:rPr>
      </w:pPr>
    </w:p>
    <w:p>
      <w:pPr>
        <w:ind w:left="520" w:right="40" w:hanging="512"/>
        <w:spacing w:after="0" w:line="248"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a portfolio company, as the Company owns more than 5% of a portfolio company’s outstanding voting securities. Transactions during the six months ended June 30, 2022 in which the Company was an Affiliated Person of a portfolio company are as follows: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Non-controlled, Affiliated Investments during the six months ended June 30,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7"/>
              <w:spacing w:after="0"/>
              <w:rPr>
                <w:sz w:val="20"/>
                <w:szCs w:val="20"/>
                <w:color w:val="auto"/>
              </w:rPr>
            </w:pPr>
            <w:r>
              <w:rPr>
                <w:rFonts w:ascii="Arial" w:cs="Arial" w:eastAsia="Arial" w:hAnsi="Arial"/>
                <w:sz w:val="13"/>
                <w:szCs w:val="13"/>
                <w:b w:val="1"/>
                <w:bCs w:val="1"/>
                <w:color w:val="auto"/>
                <w:w w:val="92"/>
              </w:rPr>
              <w:t>Fair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8"/>
              </w:rPr>
              <w:t>Net Change</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Fair</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8"/>
              </w:rPr>
              <w:t>Value at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79"/>
              </w:rPr>
              <w:t>Gross</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5"/>
              </w:rPr>
              <w:t>Gross</w:t>
            </w: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w w:val="98"/>
              </w:rPr>
              <w:t>Realized</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8"/>
              </w:rPr>
              <w:t>Value at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0"/>
              </w:rPr>
              <w:t>Dividend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w w:val="85"/>
              </w:rPr>
              <w:t>Interest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40" w:type="dxa"/>
            <w:vAlign w:val="bottom"/>
            <w:vMerge w:val="restart"/>
          </w:tcPr>
          <w:p>
            <w:pPr>
              <w:ind w:left="760"/>
              <w:spacing w:after="0"/>
              <w:rPr>
                <w:sz w:val="20"/>
                <w:szCs w:val="20"/>
                <w:color w:val="auto"/>
              </w:rPr>
            </w:pPr>
            <w:r>
              <w:rPr>
                <w:rFonts w:ascii="Arial" w:cs="Arial" w:eastAsia="Arial" w:hAnsi="Arial"/>
                <w:sz w:val="13"/>
                <w:szCs w:val="13"/>
                <w:b w:val="1"/>
                <w:bCs w:val="1"/>
                <w:color w:val="auto"/>
              </w:rPr>
              <w:t>Company</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7"/>
              </w:rPr>
              <w:t>December 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1"/>
              </w:rPr>
              <w:t>In Unrealized</w:t>
            </w: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Transfers</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8"/>
              </w:rPr>
              <w:t>June 30,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2021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Additions (a)</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7"/>
              </w:rPr>
              <w:t>Reductions (b)</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Gain/(Loss)</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6"/>
              </w:rPr>
              <w:t>Gain/(Loss)</w:t>
            </w:r>
          </w:p>
        </w:tc>
        <w:tc>
          <w:tcPr>
            <w:tcW w:w="20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2022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7"/>
              </w:rPr>
              <w:t>Income</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3"/>
              </w:rPr>
              <w:t>Income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40" w:type="dxa"/>
            <w:vAlign w:val="bottom"/>
            <w:shd w:val="clear" w:color="auto" w:fill="CFF0FC"/>
          </w:tcPr>
          <w:p>
            <w:pPr>
              <w:ind w:left="20"/>
              <w:spacing w:after="0" w:line="102" w:lineRule="exact"/>
              <w:rPr>
                <w:sz w:val="20"/>
                <w:szCs w:val="20"/>
                <w:color w:val="auto"/>
              </w:rPr>
            </w:pPr>
            <w:r>
              <w:rPr>
                <w:rFonts w:ascii="Arial" w:cs="Arial" w:eastAsia="Arial" w:hAnsi="Arial"/>
                <w:sz w:val="10"/>
                <w:szCs w:val="10"/>
                <w:color w:val="auto"/>
              </w:rPr>
              <w:t>MD America Energy,</w:t>
            </w:r>
          </w:p>
        </w:tc>
        <w:tc>
          <w:tcPr>
            <w:tcW w:w="100" w:type="dxa"/>
            <w:vAlign w:val="bottom"/>
            <w:vMerge w:val="restart"/>
            <w:shd w:val="clear" w:color="auto" w:fill="CFF0FC"/>
          </w:tcPr>
          <w:p>
            <w:pPr>
              <w:spacing w:after="0"/>
              <w:rPr>
                <w:sz w:val="8"/>
                <w:szCs w:val="8"/>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27,017</w:t>
            </w:r>
          </w:p>
        </w:tc>
        <w:tc>
          <w:tcPr>
            <w:tcW w:w="220" w:type="dxa"/>
            <w:vAlign w:val="bottom"/>
            <w:vMerge w:val="restart"/>
            <w:shd w:val="clear" w:color="auto" w:fill="CFF0FC"/>
          </w:tcPr>
          <w:p>
            <w:pPr>
              <w:spacing w:after="0"/>
              <w:rPr>
                <w:sz w:val="8"/>
                <w:szCs w:val="8"/>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CFF0FC"/>
          </w:tcPr>
          <w:p>
            <w:pPr>
              <w:ind w:left="740"/>
              <w:spacing w:after="0"/>
              <w:rPr>
                <w:sz w:val="20"/>
                <w:szCs w:val="20"/>
                <w:color w:val="auto"/>
              </w:rPr>
            </w:pPr>
            <w:r>
              <w:rPr>
                <w:rFonts w:ascii="Arial" w:cs="Arial" w:eastAsia="Arial" w:hAnsi="Arial"/>
                <w:sz w:val="13"/>
                <w:szCs w:val="13"/>
                <w:color w:val="auto"/>
                <w:w w:val="91"/>
              </w:rPr>
              <w:t>—</w:t>
            </w:r>
          </w:p>
        </w:tc>
        <w:tc>
          <w:tcPr>
            <w:tcW w:w="220" w:type="dxa"/>
            <w:vAlign w:val="bottom"/>
            <w:vMerge w:val="restart"/>
            <w:shd w:val="clear" w:color="auto" w:fill="CFF0FC"/>
          </w:tcPr>
          <w:p>
            <w:pPr>
              <w:spacing w:after="0"/>
              <w:rPr>
                <w:sz w:val="8"/>
                <w:szCs w:val="8"/>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(12,667 )</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(14,350 )</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13,673</w:t>
            </w:r>
          </w:p>
        </w:tc>
        <w:tc>
          <w:tcPr>
            <w:tcW w:w="860" w:type="dxa"/>
            <w:vAlign w:val="bottom"/>
            <w:gridSpan w:val="2"/>
            <w:vMerge w:val="restart"/>
            <w:shd w:val="clear" w:color="auto" w:fill="CFF0FC"/>
          </w:tcPr>
          <w:p>
            <w:pPr>
              <w:jc w:val="right"/>
              <w:ind w:right="517"/>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FF0FC"/>
          </w:tcPr>
          <w:p>
            <w:pPr>
              <w:spacing w:after="0"/>
              <w:rPr>
                <w:sz w:val="20"/>
                <w:szCs w:val="20"/>
                <w:color w:val="auto"/>
              </w:rPr>
            </w:pPr>
            <w:r>
              <w:rPr>
                <w:rFonts w:ascii="Arial" w:cs="Arial" w:eastAsia="Arial" w:hAnsi="Arial"/>
                <w:sz w:val="13"/>
                <w:szCs w:val="13"/>
                <w:color w:val="auto"/>
                <w:w w:val="91"/>
              </w:rPr>
              <w:t>—</w:t>
            </w:r>
          </w:p>
        </w:tc>
        <w:tc>
          <w:tcPr>
            <w:tcW w:w="3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3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120"/>
              <w:spacing w:after="0" w:line="148" w:lineRule="exact"/>
              <w:rPr>
                <w:sz w:val="20"/>
                <w:szCs w:val="20"/>
                <w:color w:val="auto"/>
              </w:rPr>
            </w:pPr>
            <w:r>
              <w:rPr>
                <w:rFonts w:ascii="Arial" w:cs="Arial" w:eastAsia="Arial" w:hAnsi="Arial"/>
                <w:sz w:val="13"/>
                <w:szCs w:val="13"/>
                <w:color w:val="auto"/>
              </w:rPr>
              <w:t xml:space="preserve">LLC </w:t>
            </w:r>
            <w:r>
              <w:rPr>
                <w:rFonts w:ascii="Arial" w:cs="Arial" w:eastAsia="Arial" w:hAnsi="Arial"/>
                <w:sz w:val="16"/>
                <w:szCs w:val="16"/>
                <w:color w:val="auto"/>
                <w:vertAlign w:val="superscript"/>
              </w:rPr>
              <w:t>(c)</w:t>
            </w:r>
          </w:p>
        </w:tc>
        <w:tc>
          <w:tcPr>
            <w:tcW w:w="100" w:type="dxa"/>
            <w:vAlign w:val="bottom"/>
            <w:vMerge w:val="continue"/>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880" w:type="dxa"/>
            <w:vAlign w:val="bottom"/>
            <w:vMerge w:val="continue"/>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1100" w:type="dxa"/>
            <w:vAlign w:val="bottom"/>
            <w:gridSpan w:val="2"/>
            <w:vMerge w:val="continue"/>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1040" w:type="dxa"/>
            <w:vAlign w:val="bottom"/>
            <w:gridSpan w:val="2"/>
            <w:vMerge w:val="continue"/>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860" w:type="dxa"/>
            <w:vAlign w:val="bottom"/>
            <w:gridSpan w:val="2"/>
            <w:vMerge w:val="continue"/>
            <w:shd w:val="clear" w:color="auto" w:fill="CFF0FC"/>
          </w:tcPr>
          <w:p>
            <w:pPr>
              <w:spacing w:after="0"/>
              <w:rPr>
                <w:sz w:val="12"/>
                <w:szCs w:val="12"/>
                <w:color w:val="auto"/>
              </w:rPr>
            </w:pPr>
          </w:p>
        </w:tc>
        <w:tc>
          <w:tcPr>
            <w:tcW w:w="140" w:type="dxa"/>
            <w:vAlign w:val="bottom"/>
            <w:vMerge w:val="continue"/>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5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4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c>
          <w:tcPr>
            <w:tcW w:w="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8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27,017</w:t>
            </w:r>
          </w:p>
        </w:tc>
        <w:tc>
          <w:tcPr>
            <w:tcW w:w="220" w:type="dxa"/>
            <w:vAlign w:val="bottom"/>
          </w:tcPr>
          <w:p>
            <w:pPr>
              <w:spacing w:after="0"/>
              <w:rPr>
                <w:sz w:val="12"/>
                <w:szCs w:val="12"/>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Pr>
          <w:p>
            <w:pPr>
              <w:ind w:left="740"/>
              <w:spacing w:after="0" w:line="129" w:lineRule="exact"/>
              <w:rPr>
                <w:sz w:val="20"/>
                <w:szCs w:val="20"/>
                <w:color w:val="auto"/>
              </w:rPr>
            </w:pPr>
            <w:r>
              <w:rPr>
                <w:rFonts w:ascii="Arial" w:cs="Arial" w:eastAsia="Arial" w:hAnsi="Arial"/>
                <w:sz w:val="13"/>
                <w:szCs w:val="13"/>
                <w:b w:val="1"/>
                <w:bCs w:val="1"/>
                <w:color w:val="auto"/>
                <w:w w:val="91"/>
              </w:rPr>
              <w:t>—</w:t>
            </w:r>
          </w:p>
        </w:tc>
        <w:tc>
          <w:tcPr>
            <w:tcW w:w="220" w:type="dxa"/>
            <w:vAlign w:val="bottom"/>
          </w:tcPr>
          <w:p>
            <w:pPr>
              <w:spacing w:after="0"/>
              <w:rPr>
                <w:sz w:val="12"/>
                <w:szCs w:val="12"/>
                <w:color w:val="auto"/>
              </w:rPr>
            </w:pPr>
          </w:p>
        </w:tc>
        <w:tc>
          <w:tcPr>
            <w:tcW w:w="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1100" w:type="dxa"/>
            <w:vAlign w:val="bottom"/>
            <w:gridSpan w:val="2"/>
          </w:tcPr>
          <w:p>
            <w:pPr>
              <w:jc w:val="right"/>
              <w:ind w:right="160"/>
              <w:spacing w:after="0" w:line="129" w:lineRule="exact"/>
              <w:rPr>
                <w:sz w:val="20"/>
                <w:szCs w:val="20"/>
                <w:color w:val="auto"/>
              </w:rPr>
            </w:pPr>
            <w:r>
              <w:rPr>
                <w:rFonts w:ascii="Arial" w:cs="Arial" w:eastAsia="Arial" w:hAnsi="Arial"/>
                <w:sz w:val="13"/>
                <w:szCs w:val="13"/>
                <w:b w:val="1"/>
                <w:bCs w:val="1"/>
                <w:color w:val="auto"/>
              </w:rPr>
              <w:t>(12,667 )</w:t>
            </w:r>
          </w:p>
        </w:tc>
        <w:tc>
          <w:tcPr>
            <w:tcW w:w="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1040" w:type="dxa"/>
            <w:vAlign w:val="bottom"/>
            <w:gridSpan w:val="2"/>
          </w:tcPr>
          <w:p>
            <w:pPr>
              <w:jc w:val="right"/>
              <w:ind w:right="140"/>
              <w:spacing w:after="0" w:line="129" w:lineRule="exact"/>
              <w:rPr>
                <w:sz w:val="20"/>
                <w:szCs w:val="20"/>
                <w:color w:val="auto"/>
              </w:rPr>
            </w:pPr>
            <w:r>
              <w:rPr>
                <w:rFonts w:ascii="Arial" w:cs="Arial" w:eastAsia="Arial" w:hAnsi="Arial"/>
                <w:sz w:val="13"/>
                <w:szCs w:val="13"/>
                <w:b w:val="1"/>
                <w:bCs w:val="1"/>
                <w:color w:val="auto"/>
              </w:rPr>
              <w:t>(14,350 )</w:t>
            </w:r>
          </w:p>
        </w:tc>
        <w:tc>
          <w:tcPr>
            <w:tcW w:w="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7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13,673</w:t>
            </w:r>
          </w:p>
        </w:tc>
        <w:tc>
          <w:tcPr>
            <w:tcW w:w="860" w:type="dxa"/>
            <w:vAlign w:val="bottom"/>
            <w:gridSpan w:val="2"/>
          </w:tcPr>
          <w:p>
            <w:pPr>
              <w:jc w:val="right"/>
              <w:ind w:right="517"/>
              <w:spacing w:after="0" w:line="12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line="129" w:lineRule="exact"/>
              <w:rPr>
                <w:sz w:val="20"/>
                <w:szCs w:val="20"/>
                <w:color w:val="auto"/>
              </w:rPr>
            </w:pPr>
            <w:r>
              <w:rPr>
                <w:rFonts w:ascii="Arial" w:cs="Arial" w:eastAsia="Arial" w:hAnsi="Arial"/>
                <w:sz w:val="13"/>
                <w:szCs w:val="13"/>
                <w:b w:val="1"/>
                <w:bCs w:val="1"/>
                <w:color w:val="auto"/>
                <w:w w:val="91"/>
              </w:rPr>
              <w:t>—</w:t>
            </w:r>
          </w:p>
        </w:tc>
        <w:tc>
          <w:tcPr>
            <w:tcW w:w="300" w:type="dxa"/>
            <w:vAlign w:val="bottom"/>
            <w:gridSpan w:val="2"/>
          </w:tcPr>
          <w:p>
            <w:pPr>
              <w:jc w:val="right"/>
              <w:ind w:right="20"/>
              <w:spacing w:after="0" w:line="129"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460"/>
              <w:spacing w:after="0" w:line="129" w:lineRule="exact"/>
              <w:rPr>
                <w:sz w:val="20"/>
                <w:szCs w:val="20"/>
                <w:color w:val="auto"/>
              </w:rPr>
            </w:pPr>
            <w:r>
              <w:rPr>
                <w:rFonts w:ascii="Arial" w:cs="Arial" w:eastAsia="Arial" w:hAnsi="Arial"/>
                <w:sz w:val="13"/>
                <w:szCs w:val="13"/>
                <w:b w:val="1"/>
                <w:bCs w:val="1"/>
                <w:color w:val="auto"/>
                <w:w w:val="91"/>
              </w:rPr>
              <w:t>—</w:t>
            </w:r>
          </w:p>
        </w:tc>
        <w:tc>
          <w:tcPr>
            <w:tcW w:w="300" w:type="dxa"/>
            <w:vAlign w:val="bottom"/>
            <w:gridSpan w:val="2"/>
          </w:tcPr>
          <w:p>
            <w:pPr>
              <w:jc w:val="right"/>
              <w:ind w:right="20"/>
              <w:spacing w:after="0" w:line="129"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460"/>
              <w:spacing w:after="0" w:line="129" w:lineRule="exact"/>
              <w:rPr>
                <w:sz w:val="20"/>
                <w:szCs w:val="20"/>
                <w:color w:val="auto"/>
              </w:rPr>
            </w:pPr>
            <w:r>
              <w:rPr>
                <w:rFonts w:ascii="Arial" w:cs="Arial" w:eastAsia="Arial" w:hAnsi="Arial"/>
                <w:sz w:val="13"/>
                <w:szCs w:val="13"/>
                <w:b w:val="1"/>
                <w:bCs w:val="1"/>
                <w:color w:val="auto"/>
                <w:w w:val="91"/>
              </w:rPr>
              <w:t>—</w:t>
            </w:r>
          </w:p>
        </w:tc>
        <w:tc>
          <w:tcPr>
            <w:tcW w:w="28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5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-125095</wp:posOffset>
            </wp:positionV>
            <wp:extent cx="7747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-125095</wp:posOffset>
            </wp:positionV>
            <wp:extent cx="7683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-125095</wp:posOffset>
            </wp:positionV>
            <wp:extent cx="7683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-125095</wp:posOffset>
            </wp:positionV>
            <wp:extent cx="6858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-125095</wp:posOffset>
            </wp:positionV>
            <wp:extent cx="685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-125095</wp:posOffset>
            </wp:positionV>
            <wp:extent cx="685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-125095</wp:posOffset>
            </wp:positionV>
            <wp:extent cx="6858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-125095</wp:posOffset>
            </wp:positionV>
            <wp:extent cx="6858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wp:posOffset>
            </wp:positionV>
            <wp:extent cx="6858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63" w:lineRule="exact"/>
        <w:rPr>
          <w:sz w:val="20"/>
          <w:szCs w:val="20"/>
          <w:color w:val="auto"/>
        </w:rPr>
      </w:pPr>
    </w:p>
    <w:p>
      <w:pPr>
        <w:ind w:left="1020" w:right="80" w:hanging="503"/>
        <w:spacing w:after="0" w:line="261"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62" w:lineRule="exact"/>
        <w:rPr>
          <w:rFonts w:ascii="Arial" w:cs="Arial" w:eastAsia="Arial" w:hAnsi="Arial"/>
          <w:sz w:val="18"/>
          <w:szCs w:val="18"/>
          <w:color w:val="auto"/>
        </w:rPr>
      </w:pPr>
    </w:p>
    <w:p>
      <w:pPr>
        <w:ind w:left="1020" w:right="200" w:hanging="503"/>
        <w:spacing w:after="0" w:line="248"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Includes investment in SMPA Holdings, LLC of 15,000 common equity units.</w:t>
      </w:r>
    </w:p>
    <w:p>
      <w:pPr>
        <w:spacing w:after="0" w:line="103" w:lineRule="exact"/>
        <w:rPr>
          <w:rFonts w:ascii="Arial" w:cs="Arial" w:eastAsia="Arial" w:hAnsi="Arial"/>
          <w:sz w:val="18"/>
          <w:szCs w:val="18"/>
          <w:color w:val="auto"/>
        </w:rPr>
      </w:pPr>
    </w:p>
    <w:p>
      <w:pPr>
        <w:ind w:left="520" w:right="200" w:hanging="512"/>
        <w:spacing w:after="0" w:line="284" w:lineRule="auto"/>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six months ended June 30, 2022 in which the Company was an Affiliated Person of and was deemed to Control a portfolio company are as follows: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six months ended June 30,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7"/>
              <w:spacing w:after="0"/>
              <w:rPr>
                <w:sz w:val="20"/>
                <w:szCs w:val="20"/>
                <w:color w:val="auto"/>
              </w:rPr>
            </w:pPr>
            <w:r>
              <w:rPr>
                <w:rFonts w:ascii="Arial" w:cs="Arial" w:eastAsia="Arial" w:hAnsi="Arial"/>
                <w:sz w:val="13"/>
                <w:szCs w:val="13"/>
                <w:b w:val="1"/>
                <w:bCs w:val="1"/>
                <w:color w:val="auto"/>
                <w:w w:val="92"/>
              </w:rPr>
              <w:t>Fair</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88"/>
              </w:rPr>
              <w:t>Net Change</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b w:val="1"/>
                <w:bCs w:val="1"/>
                <w:color w:val="auto"/>
                <w:w w:val="92"/>
              </w:rPr>
              <w:t>Fair</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8"/>
              </w:rPr>
              <w:t>Value at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Gross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79"/>
              </w:rPr>
              <w:t>Gross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Realized</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8"/>
              </w:rPr>
              <w:t>Value at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7"/>
              </w:rPr>
              <w:t>Interest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00" w:type="dxa"/>
            <w:vAlign w:val="bottom"/>
            <w:vMerge w:val="restart"/>
          </w:tcPr>
          <w:p>
            <w:pPr>
              <w:ind w:left="740"/>
              <w:spacing w:after="0"/>
              <w:rPr>
                <w:sz w:val="20"/>
                <w:szCs w:val="20"/>
                <w:color w:val="auto"/>
              </w:rPr>
            </w:pPr>
            <w:r>
              <w:rPr>
                <w:rFonts w:ascii="Arial" w:cs="Arial" w:eastAsia="Arial" w:hAnsi="Arial"/>
                <w:sz w:val="13"/>
                <w:szCs w:val="13"/>
                <w:b w:val="1"/>
                <w:bCs w:val="1"/>
                <w:color w:val="auto"/>
              </w:rPr>
              <w:t>Company</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7"/>
              </w:rPr>
              <w:t>December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1"/>
              </w:rPr>
              <w:t>In Unrealized</w:t>
            </w:r>
          </w:p>
        </w:tc>
        <w:tc>
          <w:tcPr>
            <w:tcW w:w="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Transfers</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8"/>
              </w:rPr>
              <w:t>June 30,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2021</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8"/>
              </w:rPr>
              <w:t>Additions (a)</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5"/>
              </w:rPr>
              <w:t>Reductions (b)</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Gain/(Loss)</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Gain/(Loss)</w:t>
            </w:r>
          </w:p>
        </w:tc>
        <w:tc>
          <w:tcPr>
            <w:tcW w:w="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2022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7"/>
              </w:rPr>
              <w:t>Income</w:t>
            </w:r>
          </w:p>
        </w:tc>
        <w:tc>
          <w:tcPr>
            <w:tcW w:w="220" w:type="dxa"/>
            <w:vAlign w:val="bottom"/>
          </w:tcPr>
          <w:p>
            <w:pPr>
              <w:spacing w:after="0"/>
              <w:rPr>
                <w:sz w:val="14"/>
                <w:szCs w:val="14"/>
                <w:color w:val="auto"/>
              </w:rPr>
            </w:pPr>
          </w:p>
        </w:tc>
        <w:tc>
          <w:tcPr>
            <w:tcW w:w="5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IRGSE Holding Corp.</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59,779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931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ind w:left="820"/>
              <w:spacing w:after="0" w:line="142" w:lineRule="exact"/>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12,174</w:t>
            </w: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637"/>
              <w:spacing w:after="0" w:line="142" w:lineRule="exact"/>
              <w:rPr>
                <w:sz w:val="20"/>
                <w:szCs w:val="20"/>
                <w:color w:val="auto"/>
              </w:rPr>
            </w:pPr>
            <w:r>
              <w:rPr>
                <w:rFonts w:ascii="Arial" w:cs="Arial" w:eastAsia="Arial" w:hAnsi="Arial"/>
                <w:sz w:val="13"/>
                <w:szCs w:val="13"/>
                <w:color w:val="auto"/>
                <w:w w:val="82"/>
              </w:rPr>
              <w:t>$</w:t>
            </w:r>
          </w:p>
        </w:tc>
        <w:tc>
          <w:tcPr>
            <w:tcW w:w="1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524"/>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72,884</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2,195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00" w:type="dxa"/>
            <w:vAlign w:val="bottom"/>
          </w:tcPr>
          <w:p>
            <w:pPr>
              <w:ind w:left="20"/>
              <w:spacing w:after="0" w:line="108" w:lineRule="exact"/>
              <w:rPr>
                <w:sz w:val="20"/>
                <w:szCs w:val="20"/>
                <w:color w:val="auto"/>
              </w:rPr>
            </w:pPr>
            <w:r>
              <w:rPr>
                <w:rFonts w:ascii="Arial" w:cs="Arial" w:eastAsia="Arial" w:hAnsi="Arial"/>
                <w:sz w:val="12"/>
                <w:szCs w:val="12"/>
                <w:color w:val="auto"/>
              </w:rPr>
              <w:t>Mississippi Resources,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restart"/>
          </w:tcPr>
          <w:p>
            <w:pPr>
              <w:ind w:left="82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vMerge w:val="restart"/>
          </w:tcPr>
          <w:p>
            <w:pPr>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vMerge w:val="restart"/>
          </w:tcPr>
          <w:p>
            <w:pPr>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120"/>
              <w:spacing w:after="0"/>
              <w:rPr>
                <w:sz w:val="20"/>
                <w:szCs w:val="20"/>
                <w:color w:val="auto"/>
              </w:rPr>
            </w:pPr>
            <w:r>
              <w:rPr>
                <w:rFonts w:ascii="Arial" w:cs="Arial" w:eastAsia="Arial" w:hAnsi="Arial"/>
                <w:sz w:val="13"/>
                <w:szCs w:val="13"/>
                <w:color w:val="auto"/>
              </w:rPr>
              <w:t>LLC</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00" w:type="dxa"/>
            <w:vAlign w:val="bottom"/>
            <w:tcBorders>
              <w:bottom w:val="single" w:sz="8" w:color="CFF0FC"/>
            </w:tcBorders>
            <w:shd w:val="clear" w:color="auto" w:fill="CFF0FC"/>
          </w:tcPr>
          <w:p>
            <w:pPr>
              <w:ind w:left="20"/>
              <w:spacing w:after="0" w:line="129" w:lineRule="exact"/>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59,779</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931</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shd w:val="clear" w:color="auto" w:fill="CFF0FC"/>
          </w:tcPr>
          <w:p>
            <w:pPr>
              <w:ind w:left="820"/>
              <w:spacing w:after="0" w:line="129" w:lineRule="exact"/>
              <w:rPr>
                <w:sz w:val="20"/>
                <w:szCs w:val="20"/>
                <w:color w:val="auto"/>
              </w:rPr>
            </w:pPr>
            <w:r>
              <w:rPr>
                <w:rFonts w:ascii="Arial" w:cs="Arial" w:eastAsia="Arial" w:hAnsi="Arial"/>
                <w:sz w:val="13"/>
                <w:szCs w:val="13"/>
                <w:b w:val="1"/>
                <w:bCs w:val="1"/>
                <w:color w:val="auto"/>
                <w:w w:val="91"/>
              </w:rPr>
              <w:t>—</w:t>
            </w:r>
          </w:p>
        </w:tc>
        <w:tc>
          <w:tcPr>
            <w:tcW w:w="2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12,174</w:t>
            </w:r>
          </w:p>
        </w:tc>
        <w:tc>
          <w:tcPr>
            <w:tcW w:w="2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637"/>
              <w:spacing w:after="0" w:line="129" w:lineRule="exact"/>
              <w:rPr>
                <w:sz w:val="20"/>
                <w:szCs w:val="20"/>
                <w:color w:val="auto"/>
              </w:rPr>
            </w:pPr>
            <w:r>
              <w:rPr>
                <w:rFonts w:ascii="Arial" w:cs="Arial" w:eastAsia="Arial" w:hAnsi="Arial"/>
                <w:sz w:val="13"/>
                <w:szCs w:val="13"/>
                <w:b w:val="1"/>
                <w:bCs w:val="1"/>
                <w:color w:val="auto"/>
                <w:w w:val="82"/>
              </w:rPr>
              <w:t>$</w:t>
            </w:r>
          </w:p>
        </w:tc>
        <w:tc>
          <w:tcPr>
            <w:tcW w:w="140" w:type="dxa"/>
            <w:vAlign w:val="bottom"/>
            <w:tcBorders>
              <w:bottom w:val="single" w:sz="8" w:color="auto"/>
            </w:tcBorders>
            <w:shd w:val="clear" w:color="auto" w:fill="CFF0FC"/>
          </w:tcPr>
          <w:p>
            <w:pPr>
              <w:spacing w:after="0" w:line="129" w:lineRule="exact"/>
              <w:rPr>
                <w:sz w:val="20"/>
                <w:szCs w:val="20"/>
                <w:color w:val="auto"/>
              </w:rPr>
            </w:pPr>
            <w:r>
              <w:rPr>
                <w:rFonts w:ascii="Arial" w:cs="Arial" w:eastAsia="Arial" w:hAnsi="Arial"/>
                <w:sz w:val="13"/>
                <w:szCs w:val="13"/>
                <w:b w:val="1"/>
                <w:bCs w:val="1"/>
                <w:color w:val="auto"/>
                <w:w w:val="91"/>
              </w:rPr>
              <w:t>—</w:t>
            </w:r>
          </w:p>
        </w:tc>
        <w:tc>
          <w:tcPr>
            <w:tcW w:w="2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524"/>
              <w:spacing w:after="0"/>
              <w:rPr>
                <w:sz w:val="20"/>
                <w:szCs w:val="20"/>
                <w:color w:val="auto"/>
              </w:rPr>
            </w:pPr>
            <w:r>
              <w:rPr>
                <w:rFonts w:ascii="Arial" w:cs="Arial" w:eastAsia="Arial" w:hAnsi="Arial"/>
                <w:sz w:val="10"/>
                <w:szCs w:val="10"/>
                <w:b w:val="1"/>
                <w:bCs w:val="1"/>
                <w:color w:val="auto"/>
                <w:w w:val="71"/>
              </w:rPr>
              <w:t>$</w:t>
            </w:r>
          </w:p>
        </w:tc>
        <w:tc>
          <w:tcPr>
            <w:tcW w:w="140" w:type="dxa"/>
            <w:vAlign w:val="bottom"/>
            <w:tcBorders>
              <w:bottom w:val="single" w:sz="8" w:color="auto"/>
            </w:tcBorders>
            <w:shd w:val="clear" w:color="auto" w:fill="CFF0FC"/>
          </w:tcPr>
          <w:p>
            <w:pPr>
              <w:spacing w:after="0" w:line="129" w:lineRule="exact"/>
              <w:rPr>
                <w:sz w:val="20"/>
                <w:szCs w:val="20"/>
                <w:color w:val="auto"/>
              </w:rPr>
            </w:pPr>
            <w:r>
              <w:rPr>
                <w:rFonts w:ascii="Arial" w:cs="Arial" w:eastAsia="Arial" w:hAnsi="Arial"/>
                <w:sz w:val="13"/>
                <w:szCs w:val="13"/>
                <w:b w:val="1"/>
                <w:bCs w:val="1"/>
                <w:color w:val="auto"/>
                <w:w w:val="91"/>
              </w:rPr>
              <w:t>—</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72,884</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2</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2,195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-24765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-7620</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-24765</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-7620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3" w:lineRule="exact"/>
        <w:rPr>
          <w:sz w:val="20"/>
          <w:szCs w:val="20"/>
          <w:color w:val="auto"/>
        </w:rPr>
      </w:pPr>
    </w:p>
    <w:p>
      <w:pPr>
        <w:ind w:left="1020" w:right="80" w:hanging="503"/>
        <w:spacing w:after="0" w:line="261"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62" w:lineRule="exact"/>
        <w:rPr>
          <w:rFonts w:ascii="Arial" w:cs="Arial" w:eastAsia="Arial" w:hAnsi="Arial"/>
          <w:sz w:val="18"/>
          <w:szCs w:val="18"/>
          <w:color w:val="auto"/>
        </w:rPr>
      </w:pPr>
    </w:p>
    <w:p>
      <w:pPr>
        <w:ind w:left="1020" w:right="200" w:hanging="503"/>
        <w:spacing w:after="0" w:line="248"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73" w:lineRule="exact"/>
        <w:rPr>
          <w:rFonts w:ascii="Arial" w:cs="Arial" w:eastAsia="Arial" w:hAnsi="Arial"/>
          <w:sz w:val="18"/>
          <w:szCs w:val="18"/>
          <w:color w:val="auto"/>
        </w:rPr>
      </w:pPr>
    </w:p>
    <w:p>
      <w:pPr>
        <w:ind w:left="520" w:right="240" w:hanging="512"/>
        <w:spacing w:after="0" w:line="261"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June 30, 2022, the estimated cost basis of investments for U.S. federal tax purposes was $2,525,864, resulting in estimated gross unrealized gains and losses of $115,795 and $102,501, respectively.</w:t>
      </w:r>
    </w:p>
    <w:p>
      <w:pPr>
        <w:spacing w:after="0" w:line="62" w:lineRule="exact"/>
        <w:rPr>
          <w:rFonts w:ascii="Arial" w:cs="Arial" w:eastAsia="Arial" w:hAnsi="Arial"/>
          <w:sz w:val="18"/>
          <w:szCs w:val="18"/>
          <w:color w:val="auto"/>
        </w:rPr>
      </w:pPr>
    </w:p>
    <w:p>
      <w:pPr>
        <w:ind w:left="520" w:right="60" w:hanging="512"/>
        <w:spacing w:after="0" w:line="248"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73" w:lineRule="exact"/>
        <w:rPr>
          <w:rFonts w:ascii="Arial" w:cs="Arial" w:eastAsia="Arial" w:hAnsi="Arial"/>
          <w:sz w:val="18"/>
          <w:szCs w:val="18"/>
          <w:color w:val="auto"/>
        </w:rPr>
      </w:pPr>
    </w:p>
    <w:p>
      <w:pPr>
        <w:ind w:left="520" w:right="100" w:hanging="512"/>
        <w:spacing w:after="0" w:line="261"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spacing w:after="0" w:line="62" w:lineRule="exact"/>
        <w:rPr>
          <w:rFonts w:ascii="Arial" w:cs="Arial" w:eastAsia="Arial" w:hAnsi="Arial"/>
          <w:sz w:val="18"/>
          <w:szCs w:val="18"/>
          <w:color w:val="auto"/>
        </w:rPr>
      </w:pPr>
    </w:p>
    <w:p>
      <w:pPr>
        <w:ind w:left="520" w:right="100" w:hanging="512"/>
        <w:spacing w:after="0" w:line="261"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investment is non-income producing.</w:t>
      </w:r>
    </w:p>
    <w:p>
      <w:pPr>
        <w:spacing w:after="0" w:line="103" w:lineRule="exact"/>
        <w:rPr>
          <w:rFonts w:ascii="Arial" w:cs="Arial" w:eastAsia="Arial" w:hAnsi="Arial"/>
          <w:sz w:val="18"/>
          <w:szCs w:val="18"/>
          <w:color w:val="auto"/>
        </w:rPr>
      </w:pPr>
    </w:p>
    <w:p>
      <w:pPr>
        <w:ind w:left="520" w:right="220" w:hanging="512"/>
        <w:spacing w:after="0" w:line="248"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a transaction exempt from registration under the Securities Act of 1933, and may be deemed to be “restricted securities” under the Securities Act. As of June 30, 2022, the aggregate fair value of these securities is $63,411, or 5.1% of the Company’s net assets.</w:t>
      </w:r>
    </w:p>
    <w:p>
      <w:pPr>
        <w:spacing w:after="0" w:line="73"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 is on non-accrual status as of June 30, 2022.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9019"/>
          </w:cols>
          <w:pgMar w:left="1440" w:top="422" w:right="1440" w:bottom="1440" w:gutter="0" w:footer="0" w:header="0"/>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22" w:right="1440" w:bottom="1440" w:gutter="0" w:footer="0" w:header="0"/>
          <w:type w:val="continuous"/>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Sixth Street Specialty Lending, Inc.</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December 31, 2021</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Reference</w:t>
            </w: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82"/>
              <w:spacing w:after="0"/>
              <w:rPr>
                <w:sz w:val="20"/>
                <w:szCs w:val="20"/>
                <w:color w:val="auto"/>
              </w:rPr>
            </w:pPr>
            <w:r>
              <w:rPr>
                <w:rFonts w:ascii="Arial" w:cs="Arial" w:eastAsia="Arial" w:hAnsi="Arial"/>
                <w:sz w:val="13"/>
                <w:szCs w:val="13"/>
                <w:b w:val="1"/>
                <w:bCs w:val="1"/>
                <w:color w:val="auto"/>
                <w:w w:val="94"/>
              </w:rPr>
              <w:t>Amortized</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2"/>
              </w:rPr>
              <w:t>Percentage</w:t>
            </w:r>
          </w:p>
        </w:tc>
        <w:tc>
          <w:tcPr>
            <w:tcW w:w="0" w:type="dxa"/>
            <w:vAlign w:val="bottom"/>
          </w:tcPr>
          <w:p>
            <w:pPr>
              <w:spacing w:after="0"/>
              <w:rPr>
                <w:sz w:val="1"/>
                <w:szCs w:val="1"/>
                <w:color w:val="auto"/>
              </w:rPr>
            </w:pPr>
          </w:p>
        </w:tc>
      </w:tr>
      <w:tr>
        <w:trPr>
          <w:trHeight w:val="122"/>
        </w:trPr>
        <w:tc>
          <w:tcPr>
            <w:tcW w:w="2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6"/>
                <w:szCs w:val="16"/>
                <w:b w:val="1"/>
                <w:bCs w:val="1"/>
                <w:color w:val="auto"/>
                <w:vertAlign w:val="superscript"/>
              </w:rPr>
              <w:t>(1)</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40" w:type="dxa"/>
            <w:vAlign w:val="bottom"/>
            <w:vMerge w:val="restart"/>
          </w:tcPr>
          <w:p>
            <w:pPr>
              <w:jc w:val="right"/>
              <w:ind w:right="647"/>
              <w:spacing w:after="0"/>
              <w:rPr>
                <w:sz w:val="20"/>
                <w:szCs w:val="20"/>
                <w:color w:val="auto"/>
              </w:rPr>
            </w:pPr>
            <w:r>
              <w:rPr>
                <w:rFonts w:ascii="Arial" w:cs="Arial" w:eastAsia="Arial" w:hAnsi="Arial"/>
                <w:sz w:val="13"/>
                <w:szCs w:val="13"/>
                <w:b w:val="1"/>
                <w:bCs w:val="1"/>
                <w:color w:val="auto"/>
              </w:rPr>
              <w:t>Investment</w:t>
            </w:r>
          </w:p>
        </w:tc>
        <w:tc>
          <w:tcPr>
            <w:tcW w:w="14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Acquisition</w:t>
            </w: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Rate and</w:t>
            </w:r>
          </w:p>
        </w:tc>
        <w:tc>
          <w:tcPr>
            <w:tcW w:w="1380" w:type="dxa"/>
            <w:vAlign w:val="bottom"/>
            <w:gridSpan w:val="3"/>
            <w:vMerge w:val="restart"/>
          </w:tcPr>
          <w:p>
            <w:pPr>
              <w:jc w:val="right"/>
              <w:ind w:right="500"/>
              <w:spacing w:after="0"/>
              <w:rPr>
                <w:sz w:val="20"/>
                <w:szCs w:val="20"/>
                <w:color w:val="auto"/>
              </w:rPr>
            </w:pPr>
            <w:r>
              <w:rPr>
                <w:rFonts w:ascii="Arial" w:cs="Arial" w:eastAsia="Arial" w:hAnsi="Arial"/>
                <w:sz w:val="13"/>
                <w:szCs w:val="13"/>
                <w:b w:val="1"/>
                <w:bCs w:val="1"/>
                <w:color w:val="auto"/>
              </w:rPr>
              <w:t>Interest Rate</w:t>
            </w:r>
          </w:p>
        </w:tc>
        <w:tc>
          <w:tcPr>
            <w:tcW w:w="7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6"/>
                <w:szCs w:val="16"/>
                <w:b w:val="1"/>
                <w:bCs w:val="1"/>
                <w:color w:val="auto"/>
                <w:vertAlign w:val="superscript"/>
              </w:rPr>
              <w:t>(10)</w:t>
            </w:r>
          </w:p>
        </w:tc>
        <w:tc>
          <w:tcPr>
            <w:tcW w:w="22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Spread</w:t>
            </w:r>
          </w:p>
        </w:tc>
        <w:tc>
          <w:tcPr>
            <w:tcW w:w="1380" w:type="dxa"/>
            <w:vAlign w:val="bottom"/>
            <w:gridSpan w:val="3"/>
            <w:vMerge w:val="continue"/>
          </w:tcPr>
          <w:p>
            <w:pPr>
              <w:spacing w:after="0"/>
              <w:rPr>
                <w:sz w:val="14"/>
                <w:szCs w:val="14"/>
                <w:color w:val="auto"/>
              </w:rPr>
            </w:pPr>
          </w:p>
        </w:tc>
        <w:tc>
          <w:tcPr>
            <w:tcW w:w="760" w:type="dxa"/>
            <w:vAlign w:val="bottom"/>
          </w:tcPr>
          <w:p>
            <w:pPr>
              <w:jc w:val="right"/>
              <w:ind w:right="142"/>
              <w:spacing w:after="0" w:line="162" w:lineRule="exact"/>
              <w:rPr>
                <w:sz w:val="20"/>
                <w:szCs w:val="20"/>
                <w:color w:val="auto"/>
              </w:rPr>
            </w:pPr>
            <w:r>
              <w:rPr>
                <w:rFonts w:ascii="Arial" w:cs="Arial" w:eastAsia="Arial" w:hAnsi="Arial"/>
                <w:sz w:val="18"/>
                <w:szCs w:val="18"/>
                <w:b w:val="1"/>
                <w:bCs w:val="1"/>
                <w:color w:val="auto"/>
                <w:vertAlign w:val="subscript"/>
              </w:rPr>
              <w:t>Cost</w:t>
            </w:r>
            <w:r>
              <w:rPr>
                <w:rFonts w:ascii="Arial" w:cs="Arial" w:eastAsia="Arial" w:hAnsi="Arial"/>
                <w:sz w:val="7"/>
                <w:szCs w:val="7"/>
                <w:b w:val="1"/>
                <w:bCs w:val="1"/>
                <w:color w:val="auto"/>
              </w:rPr>
              <w:t xml:space="preserve"> (2)(8)</w:t>
            </w: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4"/>
              </w:rPr>
              <w:t>of Net Assets</w:t>
            </w:r>
          </w:p>
        </w:tc>
        <w:tc>
          <w:tcPr>
            <w:tcW w:w="0" w:type="dxa"/>
            <w:vAlign w:val="bottom"/>
          </w:tcPr>
          <w:p>
            <w:pPr>
              <w:spacing w:after="0"/>
              <w:rPr>
                <w:sz w:val="1"/>
                <w:szCs w:val="1"/>
                <w:color w:val="auto"/>
              </w:rPr>
            </w:pPr>
          </w:p>
        </w:tc>
      </w:tr>
      <w:tr>
        <w:trPr>
          <w:trHeight w:val="142"/>
        </w:trPr>
        <w:tc>
          <w:tcPr>
            <w:tcW w:w="2260" w:type="dxa"/>
            <w:vAlign w:val="bottom"/>
            <w:tcBorders>
              <w:top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Debt Investments</w:t>
            </w:r>
          </w:p>
        </w:tc>
        <w:tc>
          <w:tcPr>
            <w:tcW w:w="120" w:type="dxa"/>
            <w:vAlign w:val="bottom"/>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54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20"/>
              <w:spacing w:after="0"/>
              <w:rPr>
                <w:sz w:val="20"/>
                <w:szCs w:val="20"/>
                <w:color w:val="auto"/>
              </w:rPr>
            </w:pPr>
            <w:r>
              <w:rPr>
                <w:rFonts w:ascii="Arial" w:cs="Arial" w:eastAsia="Arial" w:hAnsi="Arial"/>
                <w:sz w:val="13"/>
                <w:szCs w:val="13"/>
                <w:b w:val="1"/>
                <w:bCs w:val="1"/>
                <w:color w:val="auto"/>
              </w:rPr>
              <w:t>Business services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6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Acceo Solutions,</w:t>
            </w:r>
          </w:p>
        </w:tc>
        <w:tc>
          <w:tcPr>
            <w:tcW w:w="120" w:type="dxa"/>
            <w:vAlign w:val="bottom"/>
            <w:shd w:val="clear" w:color="auto" w:fill="CFF0FC"/>
          </w:tcPr>
          <w:p>
            <w:pPr>
              <w:spacing w:after="0"/>
              <w:rPr>
                <w:sz w:val="9"/>
                <w:szCs w:val="9"/>
                <w:color w:val="auto"/>
              </w:rPr>
            </w:pPr>
          </w:p>
        </w:tc>
        <w:tc>
          <w:tcPr>
            <w:tcW w:w="2020" w:type="dxa"/>
            <w:vAlign w:val="bottom"/>
            <w:gridSpan w:val="2"/>
            <w:shd w:val="clear" w:color="auto" w:fill="CFF0FC"/>
          </w:tcPr>
          <w:p>
            <w:pPr>
              <w:ind w:left="20"/>
              <w:spacing w:after="0" w:line="108" w:lineRule="exact"/>
              <w:rPr>
                <w:sz w:val="20"/>
                <w:szCs w:val="20"/>
                <w:color w:val="auto"/>
              </w:rPr>
            </w:pPr>
            <w:r>
              <w:rPr>
                <w:rFonts w:ascii="Arial" w:cs="Arial" w:eastAsia="Arial" w:hAnsi="Arial"/>
                <w:sz w:val="12"/>
                <w:szCs w:val="12"/>
                <w:color w:val="auto"/>
              </w:rPr>
              <w:t>First-lien loan (CAD 74,062 par, due</w:t>
            </w:r>
          </w:p>
        </w:tc>
        <w:tc>
          <w:tcPr>
            <w:tcW w:w="9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7/6/2018</w:t>
            </w:r>
          </w:p>
        </w:tc>
        <w:tc>
          <w:tcPr>
            <w:tcW w:w="1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260"/>
              <w:spacing w:after="0" w:line="108" w:lineRule="exact"/>
              <w:rPr>
                <w:sz w:val="20"/>
                <w:szCs w:val="20"/>
                <w:color w:val="auto"/>
              </w:rPr>
            </w:pPr>
            <w:r>
              <w:rPr>
                <w:rFonts w:ascii="Arial" w:cs="Arial" w:eastAsia="Arial" w:hAnsi="Arial"/>
                <w:sz w:val="12"/>
                <w:szCs w:val="12"/>
                <w:color w:val="auto"/>
              </w:rPr>
              <w:t>C + 4.75%</w:t>
            </w:r>
          </w:p>
        </w:tc>
        <w:tc>
          <w:tcPr>
            <w:tcW w:w="1380" w:type="dxa"/>
            <w:vAlign w:val="bottom"/>
            <w:gridSpan w:val="3"/>
            <w:shd w:val="clear" w:color="auto" w:fill="CFF0FC"/>
          </w:tcPr>
          <w:p>
            <w:pPr>
              <w:jc w:val="right"/>
              <w:ind w:right="40"/>
              <w:spacing w:after="0" w:line="108" w:lineRule="exact"/>
              <w:rPr>
                <w:sz w:val="20"/>
                <w:szCs w:val="20"/>
                <w:color w:val="auto"/>
              </w:rPr>
            </w:pPr>
            <w:r>
              <w:rPr>
                <w:rFonts w:ascii="Arial" w:cs="Arial" w:eastAsia="Arial" w:hAnsi="Arial"/>
                <w:sz w:val="12"/>
                <w:szCs w:val="12"/>
                <w:color w:val="auto"/>
              </w:rPr>
              <w:t>5.75 %  $</w:t>
            </w:r>
          </w:p>
        </w:tc>
        <w:tc>
          <w:tcPr>
            <w:tcW w:w="76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55,724</w:t>
            </w:r>
          </w:p>
        </w:tc>
        <w:tc>
          <w:tcPr>
            <w:tcW w:w="12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$60,246</w:t>
            </w:r>
          </w:p>
        </w:tc>
        <w:tc>
          <w:tcPr>
            <w:tcW w:w="1300" w:type="dxa"/>
            <w:vAlign w:val="bottom"/>
            <w:gridSpan w:val="3"/>
            <w:shd w:val="clear" w:color="auto" w:fill="CFF0FC"/>
          </w:tcPr>
          <w:p>
            <w:pPr>
              <w:jc w:val="right"/>
              <w:spacing w:after="0" w:line="108" w:lineRule="exact"/>
              <w:rPr>
                <w:sz w:val="20"/>
                <w:szCs w:val="20"/>
                <w:color w:val="auto"/>
              </w:rPr>
            </w:pPr>
            <w:r>
              <w:rPr>
                <w:rFonts w:ascii="Arial" w:cs="Arial" w:eastAsia="Arial" w:hAnsi="Arial"/>
                <w:sz w:val="12"/>
                <w:szCs w:val="12"/>
                <w:color w:val="auto"/>
              </w:rPr>
              <w:t>4.7 %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120"/>
              <w:spacing w:after="0" w:line="162" w:lineRule="exact"/>
              <w:rPr>
                <w:sz w:val="20"/>
                <w:szCs w:val="20"/>
                <w:color w:val="auto"/>
              </w:rPr>
            </w:pPr>
            <w:r>
              <w:rPr>
                <w:rFonts w:ascii="Arial" w:cs="Arial" w:eastAsia="Arial" w:hAnsi="Arial"/>
                <w:sz w:val="18"/>
                <w:szCs w:val="18"/>
                <w:color w:val="auto"/>
                <w:vertAlign w:val="subscript"/>
              </w:rPr>
              <w:t>Inc.</w:t>
            </w:r>
            <w:r>
              <w:rPr>
                <w:rFonts w:ascii="Arial" w:cs="Arial" w:eastAsia="Arial" w:hAnsi="Arial"/>
                <w:sz w:val="7"/>
                <w:szCs w:val="7"/>
                <w:color w:val="auto"/>
              </w:rPr>
              <w:t xml:space="preserve"> (3)(4)(5)</w:t>
            </w:r>
          </w:p>
        </w:tc>
        <w:tc>
          <w:tcPr>
            <w:tcW w:w="6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w w:val="85"/>
              </w:rPr>
              <w:t>10/2025)</w:t>
            </w:r>
          </w:p>
        </w:tc>
        <w:tc>
          <w:tcPr>
            <w:tcW w:w="1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(CAD 76,099)</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6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Alpha Midco, Inc. </w:t>
            </w:r>
            <w:r>
              <w:rPr>
                <w:rFonts w:ascii="Arial" w:cs="Arial" w:eastAsia="Arial" w:hAnsi="Arial"/>
                <w:sz w:val="12"/>
                <w:szCs w:val="12"/>
                <w:color w:val="auto"/>
                <w:vertAlign w:val="superscript"/>
              </w:rPr>
              <w:t>(3)(5)</w:t>
            </w:r>
          </w:p>
        </w:tc>
        <w:tc>
          <w:tcPr>
            <w:tcW w:w="120" w:type="dxa"/>
            <w:vAlign w:val="bottom"/>
          </w:tcPr>
          <w:p>
            <w:pPr>
              <w:spacing w:after="0"/>
              <w:rPr>
                <w:sz w:val="9"/>
                <w:szCs w:val="9"/>
                <w:color w:val="auto"/>
              </w:rPr>
            </w:pPr>
          </w:p>
        </w:tc>
        <w:tc>
          <w:tcPr>
            <w:tcW w:w="202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First-lien loan ($64,435 par, due</w:t>
            </w:r>
          </w:p>
        </w:tc>
        <w:tc>
          <w:tcPr>
            <w:tcW w:w="9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8/15/2019</w:t>
            </w:r>
          </w:p>
        </w:tc>
        <w:tc>
          <w:tcPr>
            <w:tcW w:w="120" w:type="dxa"/>
            <w:vAlign w:val="bottom"/>
          </w:tcPr>
          <w:p>
            <w:pPr>
              <w:spacing w:after="0"/>
              <w:rPr>
                <w:sz w:val="9"/>
                <w:szCs w:val="9"/>
                <w:color w:val="auto"/>
              </w:rPr>
            </w:pPr>
          </w:p>
        </w:tc>
        <w:tc>
          <w:tcPr>
            <w:tcW w:w="1140" w:type="dxa"/>
            <w:vAlign w:val="bottom"/>
            <w:gridSpan w:val="2"/>
          </w:tcPr>
          <w:p>
            <w:pPr>
              <w:jc w:val="right"/>
              <w:ind w:right="260"/>
              <w:spacing w:after="0" w:line="108" w:lineRule="exact"/>
              <w:rPr>
                <w:sz w:val="20"/>
                <w:szCs w:val="20"/>
                <w:color w:val="auto"/>
              </w:rPr>
            </w:pPr>
            <w:r>
              <w:rPr>
                <w:rFonts w:ascii="Arial" w:cs="Arial" w:eastAsia="Arial" w:hAnsi="Arial"/>
                <w:sz w:val="12"/>
                <w:szCs w:val="12"/>
                <w:color w:val="auto"/>
              </w:rPr>
              <w:t>L + 7.50%</w:t>
            </w:r>
          </w:p>
        </w:tc>
        <w:tc>
          <w:tcPr>
            <w:tcW w:w="1260" w:type="dxa"/>
            <w:vAlign w:val="bottom"/>
            <w:gridSpan w:val="2"/>
          </w:tcPr>
          <w:p>
            <w:pPr>
              <w:jc w:val="right"/>
              <w:ind w:right="100"/>
              <w:spacing w:after="0" w:line="108" w:lineRule="exact"/>
              <w:rPr>
                <w:sz w:val="20"/>
                <w:szCs w:val="20"/>
                <w:color w:val="auto"/>
              </w:rPr>
            </w:pPr>
            <w:r>
              <w:rPr>
                <w:rFonts w:ascii="Arial" w:cs="Arial" w:eastAsia="Arial" w:hAnsi="Arial"/>
                <w:sz w:val="12"/>
                <w:szCs w:val="12"/>
                <w:color w:val="auto"/>
              </w:rPr>
              <w:t>8.50 %</w:t>
            </w:r>
          </w:p>
        </w:tc>
        <w:tc>
          <w:tcPr>
            <w:tcW w:w="12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2"/>
                <w:szCs w:val="12"/>
                <w:color w:val="auto"/>
              </w:rPr>
              <w:t>63,312</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65,469</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5.1 %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260" w:type="dxa"/>
            <w:vAlign w:val="bottom"/>
          </w:tcPr>
          <w:p>
            <w:pPr>
              <w:spacing w:after="0"/>
              <w:rPr>
                <w:sz w:val="13"/>
                <w:szCs w:val="13"/>
                <w:color w:val="auto"/>
              </w:rPr>
            </w:pPr>
          </w:p>
        </w:tc>
        <w:tc>
          <w:tcPr>
            <w:tcW w:w="600" w:type="dxa"/>
            <w:vAlign w:val="bottom"/>
            <w:gridSpan w:val="2"/>
          </w:tcPr>
          <w:p>
            <w:pPr>
              <w:ind w:left="140"/>
              <w:spacing w:after="0"/>
              <w:rPr>
                <w:sz w:val="20"/>
                <w:szCs w:val="20"/>
                <w:color w:val="auto"/>
              </w:rPr>
            </w:pPr>
            <w:r>
              <w:rPr>
                <w:rFonts w:ascii="Arial" w:cs="Arial" w:eastAsia="Arial" w:hAnsi="Arial"/>
                <w:sz w:val="13"/>
                <w:szCs w:val="13"/>
                <w:color w:val="auto"/>
                <w:w w:val="99"/>
              </w:rPr>
              <w:t>8/2025)</w:t>
            </w: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260" w:type="dxa"/>
            <w:vAlign w:val="bottom"/>
            <w:shd w:val="clear" w:color="auto" w:fill="CFF0FC"/>
          </w:tcPr>
          <w:p>
            <w:pPr>
              <w:ind w:left="20"/>
              <w:spacing w:after="0" w:line="110" w:lineRule="exact"/>
              <w:rPr>
                <w:sz w:val="20"/>
                <w:szCs w:val="20"/>
                <w:color w:val="auto"/>
              </w:rPr>
            </w:pPr>
            <w:r>
              <w:rPr>
                <w:rFonts w:ascii="Arial" w:cs="Arial" w:eastAsia="Arial" w:hAnsi="Arial"/>
                <w:sz w:val="10"/>
                <w:szCs w:val="10"/>
                <w:color w:val="auto"/>
              </w:rPr>
              <w:t xml:space="preserve">Dye &amp; Durham Corp. </w:t>
            </w:r>
            <w:r>
              <w:rPr>
                <w:rFonts w:ascii="Arial" w:cs="Arial" w:eastAsia="Arial" w:hAnsi="Arial"/>
                <w:sz w:val="12"/>
                <w:szCs w:val="12"/>
                <w:color w:val="auto"/>
                <w:vertAlign w:val="superscript"/>
              </w:rPr>
              <w:t>(3)(4)</w:t>
            </w:r>
          </w:p>
        </w:tc>
        <w:tc>
          <w:tcPr>
            <w:tcW w:w="120" w:type="dxa"/>
            <w:vAlign w:val="bottom"/>
            <w:shd w:val="clear" w:color="auto" w:fill="CFF0FC"/>
          </w:tcPr>
          <w:p>
            <w:pPr>
              <w:spacing w:after="0"/>
              <w:rPr>
                <w:sz w:val="9"/>
                <w:szCs w:val="9"/>
                <w:color w:val="auto"/>
              </w:rPr>
            </w:pPr>
          </w:p>
        </w:tc>
        <w:tc>
          <w:tcPr>
            <w:tcW w:w="2020" w:type="dxa"/>
            <w:vAlign w:val="bottom"/>
            <w:gridSpan w:val="2"/>
            <w:shd w:val="clear" w:color="auto" w:fill="CFF0FC"/>
          </w:tcPr>
          <w:p>
            <w:pPr>
              <w:ind w:left="20"/>
              <w:spacing w:after="0" w:line="110" w:lineRule="exact"/>
              <w:rPr>
                <w:sz w:val="20"/>
                <w:szCs w:val="20"/>
                <w:color w:val="auto"/>
              </w:rPr>
            </w:pPr>
            <w:r>
              <w:rPr>
                <w:rFonts w:ascii="Arial" w:cs="Arial" w:eastAsia="Arial" w:hAnsi="Arial"/>
                <w:sz w:val="12"/>
                <w:szCs w:val="12"/>
                <w:color w:val="auto"/>
              </w:rPr>
              <w:t>First-lien loan (CAD 55,042 par, due</w:t>
            </w:r>
          </w:p>
        </w:tc>
        <w:tc>
          <w:tcPr>
            <w:tcW w:w="9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12/3/2021</w:t>
            </w:r>
          </w:p>
        </w:tc>
        <w:tc>
          <w:tcPr>
            <w:tcW w:w="1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260"/>
              <w:spacing w:after="0" w:line="110" w:lineRule="exact"/>
              <w:rPr>
                <w:sz w:val="20"/>
                <w:szCs w:val="20"/>
                <w:color w:val="auto"/>
              </w:rPr>
            </w:pPr>
            <w:r>
              <w:rPr>
                <w:rFonts w:ascii="Arial" w:cs="Arial" w:eastAsia="Arial" w:hAnsi="Arial"/>
                <w:sz w:val="12"/>
                <w:szCs w:val="12"/>
                <w:color w:val="auto"/>
              </w:rPr>
              <w:t>C + 5.75%</w:t>
            </w:r>
          </w:p>
        </w:tc>
        <w:tc>
          <w:tcPr>
            <w:tcW w:w="1260" w:type="dxa"/>
            <w:vAlign w:val="bottom"/>
            <w:gridSpan w:val="2"/>
            <w:shd w:val="clear" w:color="auto" w:fill="CFF0FC"/>
          </w:tcPr>
          <w:p>
            <w:pPr>
              <w:jc w:val="right"/>
              <w:ind w:right="100"/>
              <w:spacing w:after="0" w:line="110" w:lineRule="exact"/>
              <w:rPr>
                <w:sz w:val="20"/>
                <w:szCs w:val="20"/>
                <w:color w:val="auto"/>
              </w:rPr>
            </w:pPr>
            <w:r>
              <w:rPr>
                <w:rFonts w:ascii="Arial" w:cs="Arial" w:eastAsia="Arial" w:hAnsi="Arial"/>
                <w:sz w:val="12"/>
                <w:szCs w:val="12"/>
                <w:color w:val="auto"/>
              </w:rPr>
              <w:t>6.50 %</w:t>
            </w: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0" w:lineRule="exact"/>
              <w:rPr>
                <w:sz w:val="20"/>
                <w:szCs w:val="20"/>
                <w:color w:val="auto"/>
              </w:rPr>
            </w:pPr>
            <w:r>
              <w:rPr>
                <w:rFonts w:ascii="Arial" w:cs="Arial" w:eastAsia="Arial" w:hAnsi="Arial"/>
                <w:sz w:val="12"/>
                <w:szCs w:val="12"/>
                <w:color w:val="auto"/>
              </w:rPr>
              <w:t>41,946</w:t>
            </w:r>
          </w:p>
        </w:tc>
        <w:tc>
          <w:tcPr>
            <w:tcW w:w="12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43,961</w:t>
            </w:r>
          </w:p>
        </w:tc>
        <w:tc>
          <w:tcPr>
            <w:tcW w:w="1300" w:type="dxa"/>
            <w:vAlign w:val="bottom"/>
            <w:gridSpan w:val="3"/>
            <w:shd w:val="clear" w:color="auto" w:fill="CFF0FC"/>
          </w:tcPr>
          <w:p>
            <w:pPr>
              <w:jc w:val="right"/>
              <w:spacing w:after="0" w:line="110" w:lineRule="exact"/>
              <w:rPr>
                <w:sz w:val="20"/>
                <w:szCs w:val="20"/>
                <w:color w:val="auto"/>
              </w:rPr>
            </w:pPr>
            <w:r>
              <w:rPr>
                <w:rFonts w:ascii="Arial" w:cs="Arial" w:eastAsia="Arial" w:hAnsi="Arial"/>
                <w:sz w:val="12"/>
                <w:szCs w:val="12"/>
                <w:color w:val="auto"/>
              </w:rPr>
              <w:t>3.4 %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w w:val="85"/>
              </w:rPr>
              <w:t>12/2027)</w:t>
            </w:r>
          </w:p>
        </w:tc>
        <w:tc>
          <w:tcPr>
            <w:tcW w:w="1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(CAD 55,529)</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6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ExtraHop Networks, Inc. </w:t>
            </w:r>
            <w:r>
              <w:rPr>
                <w:rFonts w:ascii="Arial" w:cs="Arial" w:eastAsia="Arial" w:hAnsi="Arial"/>
                <w:sz w:val="12"/>
                <w:szCs w:val="12"/>
                <w:color w:val="auto"/>
                <w:vertAlign w:val="superscript"/>
              </w:rPr>
              <w:t>(3)(5)</w:t>
            </w:r>
          </w:p>
        </w:tc>
        <w:tc>
          <w:tcPr>
            <w:tcW w:w="120" w:type="dxa"/>
            <w:vAlign w:val="bottom"/>
          </w:tcPr>
          <w:p>
            <w:pPr>
              <w:spacing w:after="0"/>
              <w:rPr>
                <w:sz w:val="9"/>
                <w:szCs w:val="9"/>
                <w:color w:val="auto"/>
              </w:rPr>
            </w:pPr>
          </w:p>
        </w:tc>
        <w:tc>
          <w:tcPr>
            <w:tcW w:w="202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First-lien loan ($50,611 par, due</w:t>
            </w:r>
          </w:p>
        </w:tc>
        <w:tc>
          <w:tcPr>
            <w:tcW w:w="9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7/22/2021</w:t>
            </w:r>
          </w:p>
        </w:tc>
        <w:tc>
          <w:tcPr>
            <w:tcW w:w="120" w:type="dxa"/>
            <w:vAlign w:val="bottom"/>
          </w:tcPr>
          <w:p>
            <w:pPr>
              <w:spacing w:after="0"/>
              <w:rPr>
                <w:sz w:val="9"/>
                <w:szCs w:val="9"/>
                <w:color w:val="auto"/>
              </w:rPr>
            </w:pPr>
          </w:p>
        </w:tc>
        <w:tc>
          <w:tcPr>
            <w:tcW w:w="1140" w:type="dxa"/>
            <w:vAlign w:val="bottom"/>
            <w:gridSpan w:val="2"/>
          </w:tcPr>
          <w:p>
            <w:pPr>
              <w:jc w:val="right"/>
              <w:ind w:right="260"/>
              <w:spacing w:after="0" w:line="108" w:lineRule="exact"/>
              <w:rPr>
                <w:sz w:val="20"/>
                <w:szCs w:val="20"/>
                <w:color w:val="auto"/>
              </w:rPr>
            </w:pPr>
            <w:r>
              <w:rPr>
                <w:rFonts w:ascii="Arial" w:cs="Arial" w:eastAsia="Arial" w:hAnsi="Arial"/>
                <w:sz w:val="12"/>
                <w:szCs w:val="12"/>
                <w:color w:val="auto"/>
              </w:rPr>
              <w:t>L + 7.50%</w:t>
            </w:r>
          </w:p>
        </w:tc>
        <w:tc>
          <w:tcPr>
            <w:tcW w:w="1260" w:type="dxa"/>
            <w:vAlign w:val="bottom"/>
            <w:gridSpan w:val="2"/>
          </w:tcPr>
          <w:p>
            <w:pPr>
              <w:jc w:val="right"/>
              <w:ind w:right="100"/>
              <w:spacing w:after="0" w:line="108" w:lineRule="exact"/>
              <w:rPr>
                <w:sz w:val="20"/>
                <w:szCs w:val="20"/>
                <w:color w:val="auto"/>
              </w:rPr>
            </w:pPr>
            <w:r>
              <w:rPr>
                <w:rFonts w:ascii="Arial" w:cs="Arial" w:eastAsia="Arial" w:hAnsi="Arial"/>
                <w:sz w:val="12"/>
                <w:szCs w:val="12"/>
                <w:color w:val="auto"/>
              </w:rPr>
              <w:t>8.50 %</w:t>
            </w:r>
          </w:p>
        </w:tc>
        <w:tc>
          <w:tcPr>
            <w:tcW w:w="12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2"/>
                <w:szCs w:val="12"/>
                <w:color w:val="auto"/>
              </w:rPr>
              <w:t>49,283</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49,659</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3.9 %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260" w:type="dxa"/>
            <w:vAlign w:val="bottom"/>
          </w:tcPr>
          <w:p>
            <w:pPr>
              <w:spacing w:after="0"/>
              <w:rPr>
                <w:sz w:val="13"/>
                <w:szCs w:val="13"/>
                <w:color w:val="auto"/>
              </w:rPr>
            </w:pPr>
          </w:p>
        </w:tc>
        <w:tc>
          <w:tcPr>
            <w:tcW w:w="600" w:type="dxa"/>
            <w:vAlign w:val="bottom"/>
            <w:gridSpan w:val="2"/>
          </w:tcPr>
          <w:p>
            <w:pPr>
              <w:ind w:left="140"/>
              <w:spacing w:after="0"/>
              <w:rPr>
                <w:sz w:val="20"/>
                <w:szCs w:val="20"/>
                <w:color w:val="auto"/>
              </w:rPr>
            </w:pPr>
            <w:r>
              <w:rPr>
                <w:rFonts w:ascii="Arial" w:cs="Arial" w:eastAsia="Arial" w:hAnsi="Arial"/>
                <w:sz w:val="13"/>
                <w:szCs w:val="13"/>
                <w:color w:val="auto"/>
                <w:w w:val="99"/>
              </w:rPr>
              <w:t>7/2027)</w:t>
            </w: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260" w:type="dxa"/>
            <w:vAlign w:val="bottom"/>
            <w:shd w:val="clear" w:color="auto" w:fill="CFF0FC"/>
          </w:tcPr>
          <w:p>
            <w:pPr>
              <w:ind w:left="20"/>
              <w:spacing w:after="0" w:line="110" w:lineRule="exact"/>
              <w:rPr>
                <w:sz w:val="20"/>
                <w:szCs w:val="20"/>
                <w:color w:val="auto"/>
              </w:rPr>
            </w:pPr>
            <w:r>
              <w:rPr>
                <w:rFonts w:ascii="Arial" w:cs="Arial" w:eastAsia="Arial" w:hAnsi="Arial"/>
                <w:sz w:val="10"/>
                <w:szCs w:val="10"/>
                <w:color w:val="auto"/>
              </w:rPr>
              <w:t xml:space="preserve">ForeScout Technologies, Inc. </w:t>
            </w:r>
            <w:r>
              <w:rPr>
                <w:rFonts w:ascii="Arial" w:cs="Arial" w:eastAsia="Arial" w:hAnsi="Arial"/>
                <w:sz w:val="12"/>
                <w:szCs w:val="12"/>
                <w:color w:val="auto"/>
                <w:vertAlign w:val="superscript"/>
              </w:rPr>
              <w:t>(3)</w:t>
            </w:r>
          </w:p>
        </w:tc>
        <w:tc>
          <w:tcPr>
            <w:tcW w:w="120" w:type="dxa"/>
            <w:vAlign w:val="bottom"/>
            <w:shd w:val="clear" w:color="auto" w:fill="CFF0FC"/>
          </w:tcPr>
          <w:p>
            <w:pPr>
              <w:spacing w:after="0"/>
              <w:rPr>
                <w:sz w:val="9"/>
                <w:szCs w:val="9"/>
                <w:color w:val="auto"/>
              </w:rPr>
            </w:pPr>
          </w:p>
        </w:tc>
        <w:tc>
          <w:tcPr>
            <w:tcW w:w="2020" w:type="dxa"/>
            <w:vAlign w:val="bottom"/>
            <w:gridSpan w:val="2"/>
            <w:shd w:val="clear" w:color="auto" w:fill="CFF0FC"/>
          </w:tcPr>
          <w:p>
            <w:pPr>
              <w:ind w:left="20"/>
              <w:spacing w:after="0" w:line="110" w:lineRule="exact"/>
              <w:rPr>
                <w:sz w:val="20"/>
                <w:szCs w:val="20"/>
                <w:color w:val="auto"/>
              </w:rPr>
            </w:pPr>
            <w:r>
              <w:rPr>
                <w:rFonts w:ascii="Arial" w:cs="Arial" w:eastAsia="Arial" w:hAnsi="Arial"/>
                <w:sz w:val="12"/>
                <w:szCs w:val="12"/>
                <w:color w:val="auto"/>
                <w:w w:val="95"/>
              </w:rPr>
              <w:t>First-lien loan ($5,127 par, due 8/2026)</w:t>
            </w:r>
          </w:p>
        </w:tc>
        <w:tc>
          <w:tcPr>
            <w:tcW w:w="9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8/17/2020</w:t>
            </w:r>
          </w:p>
        </w:tc>
        <w:tc>
          <w:tcPr>
            <w:tcW w:w="1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260"/>
              <w:spacing w:after="0" w:line="110" w:lineRule="exact"/>
              <w:rPr>
                <w:sz w:val="20"/>
                <w:szCs w:val="20"/>
                <w:color w:val="auto"/>
              </w:rPr>
            </w:pPr>
            <w:r>
              <w:rPr>
                <w:rFonts w:ascii="Arial" w:cs="Arial" w:eastAsia="Arial" w:hAnsi="Arial"/>
                <w:sz w:val="12"/>
                <w:szCs w:val="12"/>
                <w:color w:val="auto"/>
              </w:rPr>
              <w:t>L + 9.50%</w:t>
            </w:r>
          </w:p>
        </w:tc>
        <w:tc>
          <w:tcPr>
            <w:tcW w:w="1380" w:type="dxa"/>
            <w:vAlign w:val="bottom"/>
            <w:gridSpan w:val="3"/>
            <w:shd w:val="clear" w:color="auto" w:fill="CFF0FC"/>
          </w:tcPr>
          <w:p>
            <w:pPr>
              <w:jc w:val="right"/>
              <w:ind w:right="380"/>
              <w:spacing w:after="0" w:line="110" w:lineRule="exact"/>
              <w:rPr>
                <w:sz w:val="20"/>
                <w:szCs w:val="20"/>
                <w:color w:val="auto"/>
              </w:rPr>
            </w:pPr>
            <w:r>
              <w:rPr>
                <w:rFonts w:ascii="Arial" w:cs="Arial" w:eastAsia="Arial" w:hAnsi="Arial"/>
                <w:sz w:val="12"/>
                <w:szCs w:val="12"/>
                <w:color w:val="auto"/>
              </w:rPr>
              <w:t>10.50% (incl.</w:t>
            </w:r>
          </w:p>
        </w:tc>
        <w:tc>
          <w:tcPr>
            <w:tcW w:w="760" w:type="dxa"/>
            <w:vAlign w:val="bottom"/>
            <w:shd w:val="clear" w:color="auto" w:fill="CFF0FC"/>
          </w:tcPr>
          <w:p>
            <w:pPr>
              <w:jc w:val="right"/>
              <w:spacing w:after="0" w:line="110" w:lineRule="exact"/>
              <w:rPr>
                <w:sz w:val="20"/>
                <w:szCs w:val="20"/>
                <w:color w:val="auto"/>
              </w:rPr>
            </w:pPr>
            <w:r>
              <w:rPr>
                <w:rFonts w:ascii="Arial" w:cs="Arial" w:eastAsia="Arial" w:hAnsi="Arial"/>
                <w:sz w:val="12"/>
                <w:szCs w:val="12"/>
                <w:color w:val="auto"/>
              </w:rPr>
              <w:t>5,025</w:t>
            </w:r>
          </w:p>
        </w:tc>
        <w:tc>
          <w:tcPr>
            <w:tcW w:w="12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5,155</w:t>
            </w:r>
          </w:p>
        </w:tc>
        <w:tc>
          <w:tcPr>
            <w:tcW w:w="1300" w:type="dxa"/>
            <w:vAlign w:val="bottom"/>
            <w:gridSpan w:val="3"/>
            <w:shd w:val="clear" w:color="auto" w:fill="CFF0FC"/>
          </w:tcPr>
          <w:p>
            <w:pPr>
              <w:jc w:val="right"/>
              <w:spacing w:after="0" w:line="110" w:lineRule="exact"/>
              <w:rPr>
                <w:sz w:val="20"/>
                <w:szCs w:val="20"/>
                <w:color w:val="auto"/>
              </w:rPr>
            </w:pPr>
            <w:r>
              <w:rPr>
                <w:rFonts w:ascii="Arial" w:cs="Arial" w:eastAsia="Arial" w:hAnsi="Arial"/>
                <w:sz w:val="12"/>
                <w:szCs w:val="12"/>
                <w:color w:val="auto"/>
              </w:rPr>
              <w:t>0.4 %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gridSpan w:val="3"/>
            <w:shd w:val="clear" w:color="auto" w:fill="CFF0FC"/>
          </w:tcPr>
          <w:p>
            <w:pPr>
              <w:jc w:val="right"/>
              <w:ind w:right="360"/>
              <w:spacing w:after="0"/>
              <w:rPr>
                <w:sz w:val="20"/>
                <w:szCs w:val="20"/>
                <w:color w:val="auto"/>
              </w:rPr>
            </w:pPr>
            <w:r>
              <w:rPr>
                <w:rFonts w:ascii="Arial" w:cs="Arial" w:eastAsia="Arial" w:hAnsi="Arial"/>
                <w:sz w:val="13"/>
                <w:szCs w:val="13"/>
                <w:color w:val="auto"/>
              </w:rPr>
              <w:t>9.50% PIK)</w:t>
            </w: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60" w:type="dxa"/>
            <w:vAlign w:val="bottom"/>
          </w:tcPr>
          <w:p>
            <w:pPr>
              <w:ind w:left="20"/>
              <w:spacing w:after="0" w:line="108" w:lineRule="exact"/>
              <w:rPr>
                <w:sz w:val="20"/>
                <w:szCs w:val="20"/>
                <w:color w:val="auto"/>
              </w:rPr>
            </w:pPr>
            <w:r>
              <w:rPr>
                <w:rFonts w:ascii="Arial" w:cs="Arial" w:eastAsia="Arial" w:hAnsi="Arial"/>
                <w:sz w:val="12"/>
                <w:szCs w:val="12"/>
                <w:color w:val="auto"/>
              </w:rPr>
              <w:t>Information Clearinghouse, LLC</w:t>
            </w:r>
          </w:p>
        </w:tc>
        <w:tc>
          <w:tcPr>
            <w:tcW w:w="120" w:type="dxa"/>
            <w:vAlign w:val="bottom"/>
          </w:tcPr>
          <w:p>
            <w:pPr>
              <w:spacing w:after="0"/>
              <w:rPr>
                <w:sz w:val="9"/>
                <w:szCs w:val="9"/>
                <w:color w:val="auto"/>
              </w:rPr>
            </w:pPr>
          </w:p>
        </w:tc>
        <w:tc>
          <w:tcPr>
            <w:tcW w:w="202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First-lien loan ($18,000 par, due</w:t>
            </w:r>
          </w:p>
        </w:tc>
        <w:tc>
          <w:tcPr>
            <w:tcW w:w="9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12/20/2021</w:t>
            </w:r>
          </w:p>
        </w:tc>
        <w:tc>
          <w:tcPr>
            <w:tcW w:w="120" w:type="dxa"/>
            <w:vAlign w:val="bottom"/>
          </w:tcPr>
          <w:p>
            <w:pPr>
              <w:spacing w:after="0"/>
              <w:rPr>
                <w:sz w:val="9"/>
                <w:szCs w:val="9"/>
                <w:color w:val="auto"/>
              </w:rPr>
            </w:pPr>
          </w:p>
        </w:tc>
        <w:tc>
          <w:tcPr>
            <w:tcW w:w="1140" w:type="dxa"/>
            <w:vAlign w:val="bottom"/>
            <w:gridSpan w:val="2"/>
          </w:tcPr>
          <w:p>
            <w:pPr>
              <w:jc w:val="right"/>
              <w:ind w:right="260"/>
              <w:spacing w:after="0" w:line="108" w:lineRule="exact"/>
              <w:rPr>
                <w:sz w:val="20"/>
                <w:szCs w:val="20"/>
                <w:color w:val="auto"/>
              </w:rPr>
            </w:pPr>
            <w:r>
              <w:rPr>
                <w:rFonts w:ascii="Arial" w:cs="Arial" w:eastAsia="Arial" w:hAnsi="Arial"/>
                <w:sz w:val="12"/>
                <w:szCs w:val="12"/>
                <w:color w:val="auto"/>
              </w:rPr>
              <w:t>L + 6.50%</w:t>
            </w:r>
          </w:p>
        </w:tc>
        <w:tc>
          <w:tcPr>
            <w:tcW w:w="1260" w:type="dxa"/>
            <w:vAlign w:val="bottom"/>
            <w:gridSpan w:val="2"/>
          </w:tcPr>
          <w:p>
            <w:pPr>
              <w:jc w:val="right"/>
              <w:ind w:right="100"/>
              <w:spacing w:after="0" w:line="108" w:lineRule="exact"/>
              <w:rPr>
                <w:sz w:val="20"/>
                <w:szCs w:val="20"/>
                <w:color w:val="auto"/>
              </w:rPr>
            </w:pPr>
            <w:r>
              <w:rPr>
                <w:rFonts w:ascii="Arial" w:cs="Arial" w:eastAsia="Arial" w:hAnsi="Arial"/>
                <w:sz w:val="12"/>
                <w:szCs w:val="12"/>
                <w:color w:val="auto"/>
              </w:rPr>
              <w:t>7.50 %</w:t>
            </w:r>
          </w:p>
        </w:tc>
        <w:tc>
          <w:tcPr>
            <w:tcW w:w="12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2"/>
                <w:szCs w:val="12"/>
                <w:color w:val="auto"/>
              </w:rPr>
              <w:t>17,530</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17,505</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1.4 %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60" w:type="dxa"/>
            <w:vAlign w:val="bottom"/>
          </w:tcPr>
          <w:p>
            <w:pPr>
              <w:ind w:left="120"/>
              <w:spacing w:after="0" w:line="122" w:lineRule="exact"/>
              <w:rPr>
                <w:sz w:val="20"/>
                <w:szCs w:val="20"/>
                <w:color w:val="auto"/>
              </w:rPr>
            </w:pPr>
            <w:r>
              <w:rPr>
                <w:rFonts w:ascii="Arial" w:cs="Arial" w:eastAsia="Arial" w:hAnsi="Arial"/>
                <w:sz w:val="13"/>
                <w:szCs w:val="13"/>
                <w:color w:val="auto"/>
              </w:rPr>
              <w:t>and MS Market Service,</w:t>
            </w:r>
          </w:p>
        </w:tc>
        <w:tc>
          <w:tcPr>
            <w:tcW w:w="600" w:type="dxa"/>
            <w:vAlign w:val="bottom"/>
            <w:gridSpan w:val="2"/>
          </w:tcPr>
          <w:p>
            <w:pPr>
              <w:ind w:left="140"/>
              <w:spacing w:after="0" w:line="122" w:lineRule="exact"/>
              <w:rPr>
                <w:sz w:val="20"/>
                <w:szCs w:val="20"/>
                <w:color w:val="auto"/>
              </w:rPr>
            </w:pPr>
            <w:r>
              <w:rPr>
                <w:rFonts w:ascii="Arial" w:cs="Arial" w:eastAsia="Arial" w:hAnsi="Arial"/>
                <w:sz w:val="13"/>
                <w:szCs w:val="13"/>
                <w:color w:val="auto"/>
                <w:w w:val="85"/>
              </w:rPr>
              <w:t>12/2026)</w:t>
            </w: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120"/>
              <w:spacing w:after="0" w:line="162" w:lineRule="exact"/>
              <w:rPr>
                <w:sz w:val="20"/>
                <w:szCs w:val="20"/>
                <w:color w:val="auto"/>
              </w:rPr>
            </w:pPr>
            <w:r>
              <w:rPr>
                <w:rFonts w:ascii="Arial" w:cs="Arial" w:eastAsia="Arial" w:hAnsi="Arial"/>
                <w:sz w:val="18"/>
                <w:szCs w:val="18"/>
                <w:color w:val="auto"/>
                <w:vertAlign w:val="subscript"/>
              </w:rPr>
              <w:t>LLC</w:t>
            </w:r>
            <w:r>
              <w:rPr>
                <w:rFonts w:ascii="Arial" w:cs="Arial" w:eastAsia="Arial" w:hAnsi="Arial"/>
                <w:sz w:val="7"/>
                <w:szCs w:val="7"/>
                <w:color w:val="auto"/>
              </w:rPr>
              <w:t xml:space="preserve"> (3)(5)</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60" w:type="dxa"/>
            <w:vAlign w:val="bottom"/>
            <w:shd w:val="clear" w:color="auto" w:fill="CFF0FC"/>
          </w:tcPr>
          <w:p>
            <w:pPr>
              <w:ind w:left="20"/>
              <w:spacing w:after="0" w:line="108" w:lineRule="exact"/>
              <w:rPr>
                <w:sz w:val="20"/>
                <w:szCs w:val="20"/>
                <w:color w:val="auto"/>
              </w:rPr>
            </w:pPr>
            <w:r>
              <w:rPr>
                <w:rFonts w:ascii="Arial" w:cs="Arial" w:eastAsia="Arial" w:hAnsi="Arial"/>
                <w:sz w:val="10"/>
                <w:szCs w:val="10"/>
                <w:color w:val="auto"/>
              </w:rPr>
              <w:t xml:space="preserve">Netwrix Corp. </w:t>
            </w:r>
            <w:r>
              <w:rPr>
                <w:rFonts w:ascii="Arial" w:cs="Arial" w:eastAsia="Arial" w:hAnsi="Arial"/>
                <w:sz w:val="12"/>
                <w:szCs w:val="12"/>
                <w:color w:val="auto"/>
                <w:vertAlign w:val="superscript"/>
              </w:rPr>
              <w:t>(3)(5)</w:t>
            </w:r>
          </w:p>
        </w:tc>
        <w:tc>
          <w:tcPr>
            <w:tcW w:w="120" w:type="dxa"/>
            <w:vAlign w:val="bottom"/>
            <w:shd w:val="clear" w:color="auto" w:fill="CFF0FC"/>
          </w:tcPr>
          <w:p>
            <w:pPr>
              <w:spacing w:after="0"/>
              <w:rPr>
                <w:sz w:val="9"/>
                <w:szCs w:val="9"/>
                <w:color w:val="auto"/>
              </w:rPr>
            </w:pPr>
          </w:p>
        </w:tc>
        <w:tc>
          <w:tcPr>
            <w:tcW w:w="2020" w:type="dxa"/>
            <w:vAlign w:val="bottom"/>
            <w:gridSpan w:val="2"/>
            <w:shd w:val="clear" w:color="auto" w:fill="CFF0FC"/>
          </w:tcPr>
          <w:p>
            <w:pPr>
              <w:ind w:left="20"/>
              <w:spacing w:after="0" w:line="108" w:lineRule="exact"/>
              <w:rPr>
                <w:sz w:val="20"/>
                <w:szCs w:val="20"/>
                <w:color w:val="auto"/>
              </w:rPr>
            </w:pPr>
            <w:r>
              <w:rPr>
                <w:rFonts w:ascii="Arial" w:cs="Arial" w:eastAsia="Arial" w:hAnsi="Arial"/>
                <w:sz w:val="12"/>
                <w:szCs w:val="12"/>
                <w:color w:val="auto"/>
              </w:rPr>
              <w:t>First-lien loan ($68,160 par, due</w:t>
            </w:r>
          </w:p>
        </w:tc>
        <w:tc>
          <w:tcPr>
            <w:tcW w:w="9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9/30/2020</w:t>
            </w:r>
          </w:p>
        </w:tc>
        <w:tc>
          <w:tcPr>
            <w:tcW w:w="1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260"/>
              <w:spacing w:after="0" w:line="108" w:lineRule="exact"/>
              <w:rPr>
                <w:sz w:val="20"/>
                <w:szCs w:val="20"/>
                <w:color w:val="auto"/>
              </w:rPr>
            </w:pPr>
            <w:r>
              <w:rPr>
                <w:rFonts w:ascii="Arial" w:cs="Arial" w:eastAsia="Arial" w:hAnsi="Arial"/>
                <w:sz w:val="12"/>
                <w:szCs w:val="12"/>
                <w:color w:val="auto"/>
              </w:rPr>
              <w:t>L + 6.00%</w:t>
            </w:r>
          </w:p>
        </w:tc>
        <w:tc>
          <w:tcPr>
            <w:tcW w:w="1260" w:type="dxa"/>
            <w:vAlign w:val="bottom"/>
            <w:gridSpan w:val="2"/>
            <w:shd w:val="clear" w:color="auto" w:fill="CFF0FC"/>
          </w:tcPr>
          <w:p>
            <w:pPr>
              <w:jc w:val="right"/>
              <w:ind w:right="100"/>
              <w:spacing w:after="0" w:line="108" w:lineRule="exact"/>
              <w:rPr>
                <w:sz w:val="20"/>
                <w:szCs w:val="20"/>
                <w:color w:val="auto"/>
              </w:rPr>
            </w:pPr>
            <w:r>
              <w:rPr>
                <w:rFonts w:ascii="Arial" w:cs="Arial" w:eastAsia="Arial" w:hAnsi="Arial"/>
                <w:sz w:val="12"/>
                <w:szCs w:val="12"/>
                <w:color w:val="auto"/>
              </w:rPr>
              <w:t>7.00 %</w:t>
            </w: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66,948</w:t>
            </w:r>
          </w:p>
        </w:tc>
        <w:tc>
          <w:tcPr>
            <w:tcW w:w="12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68,533</w:t>
            </w:r>
          </w:p>
        </w:tc>
        <w:tc>
          <w:tcPr>
            <w:tcW w:w="1300" w:type="dxa"/>
            <w:vAlign w:val="bottom"/>
            <w:gridSpan w:val="3"/>
            <w:shd w:val="clear" w:color="auto" w:fill="CFF0FC"/>
          </w:tcPr>
          <w:p>
            <w:pPr>
              <w:jc w:val="right"/>
              <w:spacing w:after="0" w:line="108" w:lineRule="exact"/>
              <w:rPr>
                <w:sz w:val="20"/>
                <w:szCs w:val="20"/>
                <w:color w:val="auto"/>
              </w:rPr>
            </w:pPr>
            <w:r>
              <w:rPr>
                <w:rFonts w:ascii="Arial" w:cs="Arial" w:eastAsia="Arial" w:hAnsi="Arial"/>
                <w:sz w:val="12"/>
                <w:szCs w:val="12"/>
                <w:color w:val="auto"/>
              </w:rPr>
              <w:t>5.4 %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w w:val="99"/>
              </w:rPr>
              <w:t>9/2026)</w:t>
            </w:r>
          </w:p>
        </w:tc>
        <w:tc>
          <w:tcPr>
            <w:tcW w:w="1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6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ReliaQuest Holdings, LLC </w:t>
            </w:r>
            <w:r>
              <w:rPr>
                <w:rFonts w:ascii="Arial" w:cs="Arial" w:eastAsia="Arial" w:hAnsi="Arial"/>
                <w:sz w:val="12"/>
                <w:szCs w:val="12"/>
                <w:color w:val="auto"/>
                <w:vertAlign w:val="superscript"/>
              </w:rPr>
              <w:t>(3)(5)</w:t>
            </w:r>
          </w:p>
        </w:tc>
        <w:tc>
          <w:tcPr>
            <w:tcW w:w="120" w:type="dxa"/>
            <w:vAlign w:val="bottom"/>
          </w:tcPr>
          <w:p>
            <w:pPr>
              <w:spacing w:after="0"/>
              <w:rPr>
                <w:sz w:val="9"/>
                <w:szCs w:val="9"/>
                <w:color w:val="auto"/>
              </w:rPr>
            </w:pPr>
          </w:p>
        </w:tc>
        <w:tc>
          <w:tcPr>
            <w:tcW w:w="202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First-lien loan ($46,948 par, due</w:t>
            </w:r>
          </w:p>
        </w:tc>
        <w:tc>
          <w:tcPr>
            <w:tcW w:w="9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10/8/2020</w:t>
            </w:r>
          </w:p>
        </w:tc>
        <w:tc>
          <w:tcPr>
            <w:tcW w:w="120" w:type="dxa"/>
            <w:vAlign w:val="bottom"/>
          </w:tcPr>
          <w:p>
            <w:pPr>
              <w:spacing w:after="0"/>
              <w:rPr>
                <w:sz w:val="9"/>
                <w:szCs w:val="9"/>
                <w:color w:val="auto"/>
              </w:rPr>
            </w:pPr>
          </w:p>
        </w:tc>
        <w:tc>
          <w:tcPr>
            <w:tcW w:w="1140" w:type="dxa"/>
            <w:vAlign w:val="bottom"/>
            <w:gridSpan w:val="2"/>
          </w:tcPr>
          <w:p>
            <w:pPr>
              <w:jc w:val="right"/>
              <w:ind w:right="260"/>
              <w:spacing w:after="0" w:line="108" w:lineRule="exact"/>
              <w:rPr>
                <w:sz w:val="20"/>
                <w:szCs w:val="20"/>
                <w:color w:val="auto"/>
              </w:rPr>
            </w:pPr>
            <w:r>
              <w:rPr>
                <w:rFonts w:ascii="Arial" w:cs="Arial" w:eastAsia="Arial" w:hAnsi="Arial"/>
                <w:sz w:val="12"/>
                <w:szCs w:val="12"/>
                <w:color w:val="auto"/>
              </w:rPr>
              <w:t>L + 8.25%</w:t>
            </w:r>
          </w:p>
        </w:tc>
        <w:tc>
          <w:tcPr>
            <w:tcW w:w="1260" w:type="dxa"/>
            <w:vAlign w:val="bottom"/>
            <w:gridSpan w:val="2"/>
          </w:tcPr>
          <w:p>
            <w:pPr>
              <w:jc w:val="right"/>
              <w:ind w:right="100"/>
              <w:spacing w:after="0" w:line="108" w:lineRule="exact"/>
              <w:rPr>
                <w:sz w:val="20"/>
                <w:szCs w:val="20"/>
                <w:color w:val="auto"/>
              </w:rPr>
            </w:pPr>
            <w:r>
              <w:rPr>
                <w:rFonts w:ascii="Arial" w:cs="Arial" w:eastAsia="Arial" w:hAnsi="Arial"/>
                <w:sz w:val="12"/>
                <w:szCs w:val="12"/>
                <w:color w:val="auto"/>
              </w:rPr>
              <w:t>9.25 %</w:t>
            </w:r>
          </w:p>
        </w:tc>
        <w:tc>
          <w:tcPr>
            <w:tcW w:w="12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2"/>
                <w:szCs w:val="12"/>
                <w:color w:val="auto"/>
              </w:rPr>
              <w:t>45,954</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47,716</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3.7 %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260" w:type="dxa"/>
            <w:vAlign w:val="bottom"/>
          </w:tcPr>
          <w:p>
            <w:pPr>
              <w:spacing w:after="0"/>
              <w:rPr>
                <w:sz w:val="13"/>
                <w:szCs w:val="13"/>
                <w:color w:val="auto"/>
              </w:rPr>
            </w:pPr>
          </w:p>
        </w:tc>
        <w:tc>
          <w:tcPr>
            <w:tcW w:w="600" w:type="dxa"/>
            <w:vAlign w:val="bottom"/>
            <w:gridSpan w:val="2"/>
          </w:tcPr>
          <w:p>
            <w:pPr>
              <w:ind w:left="140"/>
              <w:spacing w:after="0"/>
              <w:rPr>
                <w:sz w:val="20"/>
                <w:szCs w:val="20"/>
                <w:color w:val="auto"/>
              </w:rPr>
            </w:pPr>
            <w:r>
              <w:rPr>
                <w:rFonts w:ascii="Arial" w:cs="Arial" w:eastAsia="Arial" w:hAnsi="Arial"/>
                <w:sz w:val="13"/>
                <w:szCs w:val="13"/>
                <w:color w:val="auto"/>
                <w:w w:val="85"/>
              </w:rPr>
              <w:t>10/2026)</w:t>
            </w: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260" w:type="dxa"/>
            <w:vAlign w:val="bottom"/>
            <w:shd w:val="clear" w:color="auto" w:fill="CFF0FC"/>
          </w:tcPr>
          <w:p>
            <w:pPr>
              <w:ind w:left="20"/>
              <w:spacing w:after="0" w:line="151" w:lineRule="exact"/>
              <w:rPr>
                <w:sz w:val="20"/>
                <w:szCs w:val="20"/>
                <w:color w:val="auto"/>
              </w:rPr>
            </w:pPr>
            <w:r>
              <w:rPr>
                <w:rFonts w:ascii="Arial" w:cs="Arial" w:eastAsia="Arial" w:hAnsi="Arial"/>
                <w:sz w:val="13"/>
                <w:szCs w:val="13"/>
                <w:color w:val="auto"/>
              </w:rPr>
              <w:t xml:space="preserve">WideOrbit, Inc. </w:t>
            </w:r>
            <w:r>
              <w:rPr>
                <w:rFonts w:ascii="Arial" w:cs="Arial" w:eastAsia="Arial" w:hAnsi="Arial"/>
                <w:sz w:val="16"/>
                <w:szCs w:val="16"/>
                <w:color w:val="auto"/>
                <w:vertAlign w:val="superscript"/>
              </w:rPr>
              <w:t>(3)</w:t>
            </w:r>
          </w:p>
        </w:tc>
        <w:tc>
          <w:tcPr>
            <w:tcW w:w="120" w:type="dxa"/>
            <w:vAlign w:val="bottom"/>
            <w:shd w:val="clear" w:color="auto" w:fill="CFF0FC"/>
          </w:tcPr>
          <w:p>
            <w:pPr>
              <w:spacing w:after="0"/>
              <w:rPr>
                <w:sz w:val="13"/>
                <w:szCs w:val="13"/>
                <w:color w:val="auto"/>
              </w:rPr>
            </w:pPr>
          </w:p>
        </w:tc>
        <w:tc>
          <w:tcPr>
            <w:tcW w:w="20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2"/>
              </w:rPr>
              <w:t>First-lienloan($50,332par,due7/2025)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7/8/2020</w:t>
            </w: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L + 8.50%</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9.75 %</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49,713</w:t>
            </w: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51,434</w:t>
            </w: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395,435</w:t>
            </w:r>
          </w:p>
        </w:tc>
        <w:tc>
          <w:tcPr>
            <w:tcW w:w="2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409,678</w:t>
            </w:r>
          </w:p>
        </w:tc>
        <w:tc>
          <w:tcPr>
            <w:tcW w:w="22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32.0 %</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6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Communications</w:t>
            </w: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6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Celtra Technologies, Inc. </w:t>
            </w:r>
            <w:r>
              <w:rPr>
                <w:rFonts w:ascii="Arial" w:cs="Arial" w:eastAsia="Arial" w:hAnsi="Arial"/>
                <w:sz w:val="12"/>
                <w:szCs w:val="12"/>
                <w:color w:val="auto"/>
                <w:vertAlign w:val="superscript"/>
              </w:rPr>
              <w:t>(3)(5)</w:t>
            </w:r>
          </w:p>
        </w:tc>
        <w:tc>
          <w:tcPr>
            <w:tcW w:w="120" w:type="dxa"/>
            <w:vAlign w:val="bottom"/>
          </w:tcPr>
          <w:p>
            <w:pPr>
              <w:spacing w:after="0"/>
              <w:rPr>
                <w:sz w:val="9"/>
                <w:szCs w:val="9"/>
                <w:color w:val="auto"/>
              </w:rPr>
            </w:pPr>
          </w:p>
        </w:tc>
        <w:tc>
          <w:tcPr>
            <w:tcW w:w="202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First-lien loan ($35,000 par, due</w:t>
            </w:r>
          </w:p>
        </w:tc>
        <w:tc>
          <w:tcPr>
            <w:tcW w:w="9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11/19/2021</w:t>
            </w:r>
          </w:p>
        </w:tc>
        <w:tc>
          <w:tcPr>
            <w:tcW w:w="120" w:type="dxa"/>
            <w:vAlign w:val="bottom"/>
          </w:tcPr>
          <w:p>
            <w:pPr>
              <w:spacing w:after="0"/>
              <w:rPr>
                <w:sz w:val="9"/>
                <w:szCs w:val="9"/>
                <w:color w:val="auto"/>
              </w:rPr>
            </w:pPr>
          </w:p>
        </w:tc>
        <w:tc>
          <w:tcPr>
            <w:tcW w:w="1140" w:type="dxa"/>
            <w:vAlign w:val="bottom"/>
            <w:gridSpan w:val="2"/>
          </w:tcPr>
          <w:p>
            <w:pPr>
              <w:jc w:val="right"/>
              <w:ind w:right="260"/>
              <w:spacing w:after="0" w:line="108" w:lineRule="exact"/>
              <w:rPr>
                <w:sz w:val="20"/>
                <w:szCs w:val="20"/>
                <w:color w:val="auto"/>
              </w:rPr>
            </w:pPr>
            <w:r>
              <w:rPr>
                <w:rFonts w:ascii="Arial" w:cs="Arial" w:eastAsia="Arial" w:hAnsi="Arial"/>
                <w:sz w:val="12"/>
                <w:szCs w:val="12"/>
                <w:color w:val="auto"/>
              </w:rPr>
              <w:t>L + 7.00%</w:t>
            </w:r>
          </w:p>
        </w:tc>
        <w:tc>
          <w:tcPr>
            <w:tcW w:w="1260" w:type="dxa"/>
            <w:vAlign w:val="bottom"/>
            <w:gridSpan w:val="2"/>
          </w:tcPr>
          <w:p>
            <w:pPr>
              <w:jc w:val="right"/>
              <w:ind w:right="100"/>
              <w:spacing w:after="0" w:line="108" w:lineRule="exact"/>
              <w:rPr>
                <w:sz w:val="20"/>
                <w:szCs w:val="20"/>
                <w:color w:val="auto"/>
              </w:rPr>
            </w:pPr>
            <w:r>
              <w:rPr>
                <w:rFonts w:ascii="Arial" w:cs="Arial" w:eastAsia="Arial" w:hAnsi="Arial"/>
                <w:sz w:val="12"/>
                <w:szCs w:val="12"/>
                <w:color w:val="auto"/>
              </w:rPr>
              <w:t>8.00 %</w:t>
            </w:r>
          </w:p>
        </w:tc>
        <w:tc>
          <w:tcPr>
            <w:tcW w:w="12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2"/>
                <w:szCs w:val="12"/>
                <w:color w:val="auto"/>
              </w:rPr>
              <w:t>33,921</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33,863</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2.7 %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260" w:type="dxa"/>
            <w:vAlign w:val="bottom"/>
          </w:tcPr>
          <w:p>
            <w:pPr>
              <w:spacing w:after="0"/>
              <w:rPr>
                <w:sz w:val="13"/>
                <w:szCs w:val="13"/>
                <w:color w:val="auto"/>
              </w:rPr>
            </w:pPr>
          </w:p>
        </w:tc>
        <w:tc>
          <w:tcPr>
            <w:tcW w:w="600" w:type="dxa"/>
            <w:vAlign w:val="bottom"/>
            <w:gridSpan w:val="2"/>
          </w:tcPr>
          <w:p>
            <w:pPr>
              <w:ind w:left="140"/>
              <w:spacing w:after="0"/>
              <w:rPr>
                <w:sz w:val="20"/>
                <w:szCs w:val="20"/>
                <w:color w:val="auto"/>
              </w:rPr>
            </w:pPr>
            <w:r>
              <w:rPr>
                <w:rFonts w:ascii="Arial" w:cs="Arial" w:eastAsia="Arial" w:hAnsi="Arial"/>
                <w:sz w:val="13"/>
                <w:szCs w:val="13"/>
                <w:color w:val="auto"/>
                <w:w w:val="85"/>
              </w:rPr>
              <w:t>11/2026)</w:t>
            </w: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260" w:type="dxa"/>
            <w:vAlign w:val="bottom"/>
            <w:shd w:val="clear" w:color="auto" w:fill="CFF0FC"/>
          </w:tcPr>
          <w:p>
            <w:pPr>
              <w:ind w:left="20"/>
              <w:spacing w:after="0" w:line="110" w:lineRule="exact"/>
              <w:rPr>
                <w:sz w:val="20"/>
                <w:szCs w:val="20"/>
                <w:color w:val="auto"/>
              </w:rPr>
            </w:pPr>
            <w:r>
              <w:rPr>
                <w:rFonts w:ascii="Arial" w:cs="Arial" w:eastAsia="Arial" w:hAnsi="Arial"/>
                <w:sz w:val="12"/>
                <w:szCs w:val="12"/>
                <w:color w:val="auto"/>
              </w:rPr>
              <w:t>IntelePeer Holdings, Inc.</w:t>
            </w:r>
          </w:p>
        </w:tc>
        <w:tc>
          <w:tcPr>
            <w:tcW w:w="120" w:type="dxa"/>
            <w:vAlign w:val="bottom"/>
            <w:shd w:val="clear" w:color="auto" w:fill="CFF0FC"/>
          </w:tcPr>
          <w:p>
            <w:pPr>
              <w:spacing w:after="0"/>
              <w:rPr>
                <w:sz w:val="9"/>
                <w:szCs w:val="9"/>
                <w:color w:val="auto"/>
              </w:rPr>
            </w:pPr>
          </w:p>
        </w:tc>
        <w:tc>
          <w:tcPr>
            <w:tcW w:w="2020" w:type="dxa"/>
            <w:vAlign w:val="bottom"/>
            <w:gridSpan w:val="2"/>
            <w:shd w:val="clear" w:color="auto" w:fill="CFF0FC"/>
          </w:tcPr>
          <w:p>
            <w:pPr>
              <w:ind w:left="20"/>
              <w:spacing w:after="0" w:line="110" w:lineRule="exact"/>
              <w:rPr>
                <w:sz w:val="20"/>
                <w:szCs w:val="20"/>
                <w:color w:val="auto"/>
              </w:rPr>
            </w:pPr>
            <w:r>
              <w:rPr>
                <w:rFonts w:ascii="Arial" w:cs="Arial" w:eastAsia="Arial" w:hAnsi="Arial"/>
                <w:sz w:val="12"/>
                <w:szCs w:val="12"/>
                <w:color w:val="auto"/>
              </w:rPr>
              <w:t>First-lien loan ($44,657 par, due</w:t>
            </w:r>
          </w:p>
        </w:tc>
        <w:tc>
          <w:tcPr>
            <w:tcW w:w="9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12/2/2019</w:t>
            </w:r>
          </w:p>
        </w:tc>
        <w:tc>
          <w:tcPr>
            <w:tcW w:w="1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260"/>
              <w:spacing w:after="0" w:line="110" w:lineRule="exact"/>
              <w:rPr>
                <w:sz w:val="20"/>
                <w:szCs w:val="20"/>
                <w:color w:val="auto"/>
              </w:rPr>
            </w:pPr>
            <w:r>
              <w:rPr>
                <w:rFonts w:ascii="Arial" w:cs="Arial" w:eastAsia="Arial" w:hAnsi="Arial"/>
                <w:sz w:val="12"/>
                <w:szCs w:val="12"/>
                <w:color w:val="auto"/>
              </w:rPr>
              <w:t>L + 8.25%</w:t>
            </w:r>
          </w:p>
        </w:tc>
        <w:tc>
          <w:tcPr>
            <w:tcW w:w="1260" w:type="dxa"/>
            <w:vAlign w:val="bottom"/>
            <w:gridSpan w:val="2"/>
            <w:shd w:val="clear" w:color="auto" w:fill="CFF0FC"/>
          </w:tcPr>
          <w:p>
            <w:pPr>
              <w:jc w:val="right"/>
              <w:ind w:right="100"/>
              <w:spacing w:after="0" w:line="110" w:lineRule="exact"/>
              <w:rPr>
                <w:sz w:val="20"/>
                <w:szCs w:val="20"/>
                <w:color w:val="auto"/>
              </w:rPr>
            </w:pPr>
            <w:r>
              <w:rPr>
                <w:rFonts w:ascii="Arial" w:cs="Arial" w:eastAsia="Arial" w:hAnsi="Arial"/>
                <w:sz w:val="12"/>
                <w:szCs w:val="12"/>
                <w:color w:val="auto"/>
              </w:rPr>
              <w:t>9.75 %</w:t>
            </w: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0" w:lineRule="exact"/>
              <w:rPr>
                <w:sz w:val="20"/>
                <w:szCs w:val="20"/>
                <w:color w:val="auto"/>
              </w:rPr>
            </w:pPr>
            <w:r>
              <w:rPr>
                <w:rFonts w:ascii="Arial" w:cs="Arial" w:eastAsia="Arial" w:hAnsi="Arial"/>
                <w:sz w:val="12"/>
                <w:szCs w:val="12"/>
                <w:color w:val="auto"/>
              </w:rPr>
              <w:t>44,564</w:t>
            </w:r>
          </w:p>
        </w:tc>
        <w:tc>
          <w:tcPr>
            <w:tcW w:w="12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44,184</w:t>
            </w:r>
          </w:p>
        </w:tc>
        <w:tc>
          <w:tcPr>
            <w:tcW w:w="1300" w:type="dxa"/>
            <w:vAlign w:val="bottom"/>
            <w:gridSpan w:val="3"/>
            <w:shd w:val="clear" w:color="auto" w:fill="CFF0FC"/>
          </w:tcPr>
          <w:p>
            <w:pPr>
              <w:jc w:val="right"/>
              <w:spacing w:after="0" w:line="110" w:lineRule="exact"/>
              <w:rPr>
                <w:sz w:val="20"/>
                <w:szCs w:val="20"/>
                <w:color w:val="auto"/>
              </w:rPr>
            </w:pPr>
            <w:r>
              <w:rPr>
                <w:rFonts w:ascii="Arial" w:cs="Arial" w:eastAsia="Arial" w:hAnsi="Arial"/>
                <w:sz w:val="12"/>
                <w:szCs w:val="12"/>
                <w:color w:val="auto"/>
              </w:rPr>
              <w:t>3.5 %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w w:val="85"/>
              </w:rPr>
              <w:t>12/2024)</w:t>
            </w:r>
          </w:p>
        </w:tc>
        <w:tc>
          <w:tcPr>
            <w:tcW w:w="1540" w:type="dxa"/>
            <w:vAlign w:val="bottom"/>
            <w:shd w:val="clear" w:color="auto" w:fill="CFF0FC"/>
          </w:tcPr>
          <w:p>
            <w:pPr>
              <w:jc w:val="right"/>
              <w:ind w:right="1367"/>
              <w:spacing w:after="0"/>
              <w:rPr>
                <w:sz w:val="20"/>
                <w:szCs w:val="20"/>
                <w:color w:val="auto"/>
              </w:rPr>
            </w:pPr>
            <w:r>
              <w:rPr>
                <w:rFonts w:ascii="Arial" w:cs="Arial" w:eastAsia="Arial" w:hAnsi="Arial"/>
                <w:sz w:val="8"/>
                <w:szCs w:val="8"/>
                <w:color w:val="auto"/>
              </w:rPr>
              <w:t>(3)</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Convertible note ($4,124 par, due</w:t>
            </w:r>
          </w:p>
        </w:tc>
        <w:tc>
          <w:tcPr>
            <w:tcW w:w="9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5/12/2021</w:t>
            </w:r>
          </w:p>
        </w:tc>
        <w:tc>
          <w:tcPr>
            <w:tcW w:w="1260" w:type="dxa"/>
            <w:vAlign w:val="bottom"/>
            <w:gridSpan w:val="3"/>
          </w:tcPr>
          <w:p>
            <w:pPr>
              <w:jc w:val="right"/>
              <w:ind w:right="120"/>
              <w:spacing w:after="0" w:line="108" w:lineRule="exact"/>
              <w:rPr>
                <w:sz w:val="20"/>
                <w:szCs w:val="20"/>
                <w:color w:val="auto"/>
              </w:rPr>
            </w:pPr>
            <w:r>
              <w:rPr>
                <w:rFonts w:ascii="Arial" w:cs="Arial" w:eastAsia="Arial" w:hAnsi="Arial"/>
                <w:sz w:val="12"/>
                <w:szCs w:val="12"/>
                <w:color w:val="auto"/>
              </w:rPr>
              <w:t>6.00 %</w:t>
            </w:r>
          </w:p>
        </w:tc>
        <w:tc>
          <w:tcPr>
            <w:tcW w:w="1380" w:type="dxa"/>
            <w:vAlign w:val="bottom"/>
            <w:gridSpan w:val="3"/>
          </w:tcPr>
          <w:p>
            <w:pPr>
              <w:jc w:val="right"/>
              <w:ind w:right="360"/>
              <w:spacing w:after="0" w:line="108" w:lineRule="exact"/>
              <w:rPr>
                <w:sz w:val="20"/>
                <w:szCs w:val="20"/>
                <w:color w:val="auto"/>
              </w:rPr>
            </w:pPr>
            <w:r>
              <w:rPr>
                <w:rFonts w:ascii="Arial" w:cs="Arial" w:eastAsia="Arial" w:hAnsi="Arial"/>
                <w:sz w:val="12"/>
                <w:szCs w:val="12"/>
                <w:color w:val="auto"/>
              </w:rPr>
              <w:t>6.00% PIK</w:t>
            </w:r>
          </w:p>
        </w:tc>
        <w:tc>
          <w:tcPr>
            <w:tcW w:w="760" w:type="dxa"/>
            <w:vAlign w:val="bottom"/>
          </w:tcPr>
          <w:p>
            <w:pPr>
              <w:jc w:val="right"/>
              <w:spacing w:after="0" w:line="108" w:lineRule="exact"/>
              <w:rPr>
                <w:sz w:val="20"/>
                <w:szCs w:val="20"/>
                <w:color w:val="auto"/>
              </w:rPr>
            </w:pPr>
            <w:r>
              <w:rPr>
                <w:rFonts w:ascii="Arial" w:cs="Arial" w:eastAsia="Arial" w:hAnsi="Arial"/>
                <w:sz w:val="12"/>
                <w:szCs w:val="12"/>
                <w:color w:val="auto"/>
              </w:rPr>
              <w:t>4,087</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4,114</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0.3 %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600" w:type="dxa"/>
            <w:vAlign w:val="bottom"/>
            <w:gridSpan w:val="2"/>
          </w:tcPr>
          <w:p>
            <w:pPr>
              <w:ind w:left="140"/>
              <w:spacing w:after="0"/>
              <w:rPr>
                <w:sz w:val="20"/>
                <w:szCs w:val="20"/>
                <w:color w:val="auto"/>
              </w:rPr>
            </w:pPr>
            <w:r>
              <w:rPr>
                <w:rFonts w:ascii="Arial" w:cs="Arial" w:eastAsia="Arial" w:hAnsi="Arial"/>
                <w:sz w:val="13"/>
                <w:szCs w:val="13"/>
                <w:color w:val="auto"/>
                <w:w w:val="99"/>
              </w:rPr>
              <w:t>5/2028)</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15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82,572</w:t>
            </w:r>
          </w:p>
        </w:tc>
        <w:tc>
          <w:tcPr>
            <w:tcW w:w="2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82,161</w:t>
            </w:r>
          </w:p>
        </w:tc>
        <w:tc>
          <w:tcPr>
            <w:tcW w:w="22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6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Education</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60" w:type="dxa"/>
            <w:vAlign w:val="bottom"/>
            <w:shd w:val="clear" w:color="auto" w:fill="CFF0FC"/>
          </w:tcPr>
          <w:p>
            <w:pPr>
              <w:ind w:left="20"/>
              <w:spacing w:after="0" w:line="108" w:lineRule="exact"/>
              <w:rPr>
                <w:sz w:val="20"/>
                <w:szCs w:val="20"/>
                <w:color w:val="auto"/>
              </w:rPr>
            </w:pPr>
            <w:r>
              <w:rPr>
                <w:rFonts w:ascii="Arial" w:cs="Arial" w:eastAsia="Arial" w:hAnsi="Arial"/>
                <w:sz w:val="10"/>
                <w:szCs w:val="10"/>
                <w:color w:val="auto"/>
              </w:rPr>
              <w:t xml:space="preserve">Astra Acquisition Corp. </w:t>
            </w:r>
            <w:r>
              <w:rPr>
                <w:rFonts w:ascii="Arial" w:cs="Arial" w:eastAsia="Arial" w:hAnsi="Arial"/>
                <w:sz w:val="12"/>
                <w:szCs w:val="12"/>
                <w:color w:val="auto"/>
                <w:vertAlign w:val="superscript"/>
              </w:rPr>
              <w:t>(3)(11)</w:t>
            </w:r>
          </w:p>
        </w:tc>
        <w:tc>
          <w:tcPr>
            <w:tcW w:w="120" w:type="dxa"/>
            <w:vAlign w:val="bottom"/>
            <w:shd w:val="clear" w:color="auto" w:fill="CFF0FC"/>
          </w:tcPr>
          <w:p>
            <w:pPr>
              <w:spacing w:after="0"/>
              <w:rPr>
                <w:sz w:val="9"/>
                <w:szCs w:val="9"/>
                <w:color w:val="auto"/>
              </w:rPr>
            </w:pPr>
          </w:p>
        </w:tc>
        <w:tc>
          <w:tcPr>
            <w:tcW w:w="2020" w:type="dxa"/>
            <w:vAlign w:val="bottom"/>
            <w:gridSpan w:val="2"/>
            <w:shd w:val="clear" w:color="auto" w:fill="CFF0FC"/>
          </w:tcPr>
          <w:p>
            <w:pPr>
              <w:ind w:left="20"/>
              <w:spacing w:after="0" w:line="108" w:lineRule="exact"/>
              <w:rPr>
                <w:sz w:val="20"/>
                <w:szCs w:val="20"/>
                <w:color w:val="auto"/>
              </w:rPr>
            </w:pPr>
            <w:r>
              <w:rPr>
                <w:rFonts w:ascii="Arial" w:cs="Arial" w:eastAsia="Arial" w:hAnsi="Arial"/>
                <w:sz w:val="12"/>
                <w:szCs w:val="12"/>
                <w:color w:val="auto"/>
              </w:rPr>
              <w:t>Second-lien loan ($43,490 par, due</w:t>
            </w:r>
          </w:p>
        </w:tc>
        <w:tc>
          <w:tcPr>
            <w:tcW w:w="9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10/25/2021</w:t>
            </w:r>
          </w:p>
        </w:tc>
        <w:tc>
          <w:tcPr>
            <w:tcW w:w="1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260"/>
              <w:spacing w:after="0" w:line="108" w:lineRule="exact"/>
              <w:rPr>
                <w:sz w:val="20"/>
                <w:szCs w:val="20"/>
                <w:color w:val="auto"/>
              </w:rPr>
            </w:pPr>
            <w:r>
              <w:rPr>
                <w:rFonts w:ascii="Arial" w:cs="Arial" w:eastAsia="Arial" w:hAnsi="Arial"/>
                <w:sz w:val="12"/>
                <w:szCs w:val="12"/>
                <w:color w:val="auto"/>
              </w:rPr>
              <w:t>L + 8.88%</w:t>
            </w:r>
          </w:p>
        </w:tc>
        <w:tc>
          <w:tcPr>
            <w:tcW w:w="1260" w:type="dxa"/>
            <w:vAlign w:val="bottom"/>
            <w:gridSpan w:val="2"/>
            <w:shd w:val="clear" w:color="auto" w:fill="CFF0FC"/>
          </w:tcPr>
          <w:p>
            <w:pPr>
              <w:jc w:val="right"/>
              <w:ind w:right="100"/>
              <w:spacing w:after="0" w:line="108" w:lineRule="exact"/>
              <w:rPr>
                <w:sz w:val="20"/>
                <w:szCs w:val="20"/>
                <w:color w:val="auto"/>
              </w:rPr>
            </w:pPr>
            <w:r>
              <w:rPr>
                <w:rFonts w:ascii="Arial" w:cs="Arial" w:eastAsia="Arial" w:hAnsi="Arial"/>
                <w:sz w:val="12"/>
                <w:szCs w:val="12"/>
                <w:color w:val="auto"/>
              </w:rPr>
              <w:t>9.63 %</w:t>
            </w: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42,629</w:t>
            </w:r>
          </w:p>
        </w:tc>
        <w:tc>
          <w:tcPr>
            <w:tcW w:w="12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42,729</w:t>
            </w:r>
          </w:p>
        </w:tc>
        <w:tc>
          <w:tcPr>
            <w:tcW w:w="1300" w:type="dxa"/>
            <w:vAlign w:val="bottom"/>
            <w:gridSpan w:val="3"/>
            <w:shd w:val="clear" w:color="auto" w:fill="CFF0FC"/>
          </w:tcPr>
          <w:p>
            <w:pPr>
              <w:jc w:val="right"/>
              <w:spacing w:after="0" w:line="108" w:lineRule="exact"/>
              <w:rPr>
                <w:sz w:val="20"/>
                <w:szCs w:val="20"/>
                <w:color w:val="auto"/>
              </w:rPr>
            </w:pPr>
            <w:r>
              <w:rPr>
                <w:rFonts w:ascii="Arial" w:cs="Arial" w:eastAsia="Arial" w:hAnsi="Arial"/>
                <w:sz w:val="12"/>
                <w:szCs w:val="12"/>
                <w:color w:val="auto"/>
              </w:rPr>
              <w:t>3.4 %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w w:val="85"/>
              </w:rPr>
              <w:t>10/2029)</w:t>
            </w:r>
          </w:p>
        </w:tc>
        <w:tc>
          <w:tcPr>
            <w:tcW w:w="1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60" w:type="dxa"/>
            <w:vAlign w:val="bottom"/>
          </w:tcPr>
          <w:p>
            <w:pPr>
              <w:ind w:left="20"/>
              <w:spacing w:after="0" w:line="108" w:lineRule="exact"/>
              <w:rPr>
                <w:sz w:val="20"/>
                <w:szCs w:val="20"/>
                <w:color w:val="auto"/>
              </w:rPr>
            </w:pPr>
            <w:r>
              <w:rPr>
                <w:rFonts w:ascii="Arial" w:cs="Arial" w:eastAsia="Arial" w:hAnsi="Arial"/>
                <w:sz w:val="12"/>
                <w:szCs w:val="12"/>
                <w:color w:val="auto"/>
              </w:rPr>
              <w:t>Destiny Solutions Parent</w:t>
            </w:r>
          </w:p>
        </w:tc>
        <w:tc>
          <w:tcPr>
            <w:tcW w:w="120" w:type="dxa"/>
            <w:vAlign w:val="bottom"/>
          </w:tcPr>
          <w:p>
            <w:pPr>
              <w:spacing w:after="0"/>
              <w:rPr>
                <w:sz w:val="9"/>
                <w:szCs w:val="9"/>
                <w:color w:val="auto"/>
              </w:rPr>
            </w:pPr>
          </w:p>
        </w:tc>
        <w:tc>
          <w:tcPr>
            <w:tcW w:w="202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First-lien loan ($53,522 par, due</w:t>
            </w:r>
          </w:p>
        </w:tc>
        <w:tc>
          <w:tcPr>
            <w:tcW w:w="9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6/8/2021</w:t>
            </w:r>
          </w:p>
        </w:tc>
        <w:tc>
          <w:tcPr>
            <w:tcW w:w="120" w:type="dxa"/>
            <w:vAlign w:val="bottom"/>
          </w:tcPr>
          <w:p>
            <w:pPr>
              <w:spacing w:after="0"/>
              <w:rPr>
                <w:sz w:val="9"/>
                <w:szCs w:val="9"/>
                <w:color w:val="auto"/>
              </w:rPr>
            </w:pPr>
          </w:p>
        </w:tc>
        <w:tc>
          <w:tcPr>
            <w:tcW w:w="1140" w:type="dxa"/>
            <w:vAlign w:val="bottom"/>
            <w:gridSpan w:val="2"/>
          </w:tcPr>
          <w:p>
            <w:pPr>
              <w:jc w:val="right"/>
              <w:ind w:right="260"/>
              <w:spacing w:after="0" w:line="108" w:lineRule="exact"/>
              <w:rPr>
                <w:sz w:val="20"/>
                <w:szCs w:val="20"/>
                <w:color w:val="auto"/>
              </w:rPr>
            </w:pPr>
            <w:r>
              <w:rPr>
                <w:rFonts w:ascii="Arial" w:cs="Arial" w:eastAsia="Arial" w:hAnsi="Arial"/>
                <w:sz w:val="12"/>
                <w:szCs w:val="12"/>
                <w:color w:val="auto"/>
              </w:rPr>
              <w:t>L + 6.00%</w:t>
            </w:r>
          </w:p>
        </w:tc>
        <w:tc>
          <w:tcPr>
            <w:tcW w:w="1260" w:type="dxa"/>
            <w:vAlign w:val="bottom"/>
            <w:gridSpan w:val="2"/>
          </w:tcPr>
          <w:p>
            <w:pPr>
              <w:jc w:val="right"/>
              <w:ind w:right="100"/>
              <w:spacing w:after="0" w:line="108" w:lineRule="exact"/>
              <w:rPr>
                <w:sz w:val="20"/>
                <w:szCs w:val="20"/>
                <w:color w:val="auto"/>
              </w:rPr>
            </w:pPr>
            <w:r>
              <w:rPr>
                <w:rFonts w:ascii="Arial" w:cs="Arial" w:eastAsia="Arial" w:hAnsi="Arial"/>
                <w:sz w:val="12"/>
                <w:szCs w:val="12"/>
                <w:color w:val="auto"/>
              </w:rPr>
              <w:t>7.00 %</w:t>
            </w:r>
          </w:p>
        </w:tc>
        <w:tc>
          <w:tcPr>
            <w:tcW w:w="12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2"/>
                <w:szCs w:val="12"/>
                <w:color w:val="auto"/>
              </w:rPr>
              <w:t>52,318</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52,622</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4.1 %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120"/>
              <w:spacing w:after="0" w:line="162" w:lineRule="exact"/>
              <w:rPr>
                <w:sz w:val="20"/>
                <w:szCs w:val="20"/>
                <w:color w:val="auto"/>
              </w:rPr>
            </w:pPr>
            <w:r>
              <w:rPr>
                <w:rFonts w:ascii="Arial" w:cs="Arial" w:eastAsia="Arial" w:hAnsi="Arial"/>
                <w:sz w:val="13"/>
                <w:szCs w:val="13"/>
                <w:color w:val="auto"/>
              </w:rPr>
              <w:t xml:space="preserve">Holding Company </w:t>
            </w:r>
            <w:r>
              <w:rPr>
                <w:rFonts w:ascii="Arial" w:cs="Arial" w:eastAsia="Arial" w:hAnsi="Arial"/>
                <w:sz w:val="16"/>
                <w:szCs w:val="16"/>
                <w:color w:val="auto"/>
                <w:vertAlign w:val="superscript"/>
              </w:rPr>
              <w:t>(3)(5)</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w w:val="99"/>
              </w:rPr>
              <w:t>6/2026)</w:t>
            </w: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60" w:type="dxa"/>
            <w:vAlign w:val="bottom"/>
            <w:shd w:val="clear" w:color="auto" w:fill="CFF0FC"/>
          </w:tcPr>
          <w:p>
            <w:pPr>
              <w:ind w:left="20"/>
              <w:spacing w:after="0" w:line="108" w:lineRule="exact"/>
              <w:rPr>
                <w:sz w:val="20"/>
                <w:szCs w:val="20"/>
                <w:color w:val="auto"/>
              </w:rPr>
            </w:pPr>
            <w:r>
              <w:rPr>
                <w:rFonts w:ascii="Arial" w:cs="Arial" w:eastAsia="Arial" w:hAnsi="Arial"/>
                <w:sz w:val="10"/>
                <w:szCs w:val="10"/>
                <w:color w:val="auto"/>
              </w:rPr>
              <w:t xml:space="preserve">EMS Linq, Inc. </w:t>
            </w:r>
            <w:r>
              <w:rPr>
                <w:rFonts w:ascii="Arial" w:cs="Arial" w:eastAsia="Arial" w:hAnsi="Arial"/>
                <w:sz w:val="12"/>
                <w:szCs w:val="12"/>
                <w:color w:val="auto"/>
                <w:vertAlign w:val="superscript"/>
              </w:rPr>
              <w:t>(3)</w:t>
            </w:r>
          </w:p>
        </w:tc>
        <w:tc>
          <w:tcPr>
            <w:tcW w:w="120" w:type="dxa"/>
            <w:vAlign w:val="bottom"/>
            <w:shd w:val="clear" w:color="auto" w:fill="CFF0FC"/>
          </w:tcPr>
          <w:p>
            <w:pPr>
              <w:spacing w:after="0"/>
              <w:rPr>
                <w:sz w:val="9"/>
                <w:szCs w:val="9"/>
                <w:color w:val="auto"/>
              </w:rPr>
            </w:pPr>
          </w:p>
        </w:tc>
        <w:tc>
          <w:tcPr>
            <w:tcW w:w="2020" w:type="dxa"/>
            <w:vAlign w:val="bottom"/>
            <w:gridSpan w:val="2"/>
            <w:shd w:val="clear" w:color="auto" w:fill="CFF0FC"/>
          </w:tcPr>
          <w:p>
            <w:pPr>
              <w:ind w:left="20"/>
              <w:spacing w:after="0" w:line="108" w:lineRule="exact"/>
              <w:rPr>
                <w:sz w:val="20"/>
                <w:szCs w:val="20"/>
                <w:color w:val="auto"/>
              </w:rPr>
            </w:pPr>
            <w:r>
              <w:rPr>
                <w:rFonts w:ascii="Arial" w:cs="Arial" w:eastAsia="Arial" w:hAnsi="Arial"/>
                <w:sz w:val="12"/>
                <w:szCs w:val="12"/>
                <w:color w:val="auto"/>
              </w:rPr>
              <w:t>First-lien loan ($56,216 par, due</w:t>
            </w:r>
          </w:p>
        </w:tc>
        <w:tc>
          <w:tcPr>
            <w:tcW w:w="9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12/22/2021</w:t>
            </w:r>
          </w:p>
        </w:tc>
        <w:tc>
          <w:tcPr>
            <w:tcW w:w="1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260"/>
              <w:spacing w:after="0" w:line="108" w:lineRule="exact"/>
              <w:rPr>
                <w:sz w:val="20"/>
                <w:szCs w:val="20"/>
                <w:color w:val="auto"/>
              </w:rPr>
            </w:pPr>
            <w:r>
              <w:rPr>
                <w:rFonts w:ascii="Arial" w:cs="Arial" w:eastAsia="Arial" w:hAnsi="Arial"/>
                <w:sz w:val="12"/>
                <w:szCs w:val="12"/>
                <w:color w:val="auto"/>
              </w:rPr>
              <w:t>L + 6.25%</w:t>
            </w:r>
          </w:p>
        </w:tc>
        <w:tc>
          <w:tcPr>
            <w:tcW w:w="1260" w:type="dxa"/>
            <w:vAlign w:val="bottom"/>
            <w:gridSpan w:val="2"/>
            <w:shd w:val="clear" w:color="auto" w:fill="CFF0FC"/>
          </w:tcPr>
          <w:p>
            <w:pPr>
              <w:jc w:val="right"/>
              <w:ind w:right="100"/>
              <w:spacing w:after="0" w:line="108" w:lineRule="exact"/>
              <w:rPr>
                <w:sz w:val="20"/>
                <w:szCs w:val="20"/>
                <w:color w:val="auto"/>
              </w:rPr>
            </w:pPr>
            <w:r>
              <w:rPr>
                <w:rFonts w:ascii="Arial" w:cs="Arial" w:eastAsia="Arial" w:hAnsi="Arial"/>
                <w:sz w:val="12"/>
                <w:szCs w:val="12"/>
                <w:color w:val="auto"/>
              </w:rPr>
              <w:t>7.25 %</w:t>
            </w: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54,921</w:t>
            </w:r>
          </w:p>
        </w:tc>
        <w:tc>
          <w:tcPr>
            <w:tcW w:w="12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54,916</w:t>
            </w:r>
          </w:p>
        </w:tc>
        <w:tc>
          <w:tcPr>
            <w:tcW w:w="1300" w:type="dxa"/>
            <w:vAlign w:val="bottom"/>
            <w:gridSpan w:val="3"/>
            <w:shd w:val="clear" w:color="auto" w:fill="CFF0FC"/>
          </w:tcPr>
          <w:p>
            <w:pPr>
              <w:jc w:val="right"/>
              <w:spacing w:after="0" w:line="108" w:lineRule="exact"/>
              <w:rPr>
                <w:sz w:val="20"/>
                <w:szCs w:val="20"/>
                <w:color w:val="auto"/>
              </w:rPr>
            </w:pPr>
            <w:r>
              <w:rPr>
                <w:rFonts w:ascii="Arial" w:cs="Arial" w:eastAsia="Arial" w:hAnsi="Arial"/>
                <w:sz w:val="12"/>
                <w:szCs w:val="12"/>
                <w:color w:val="auto"/>
              </w:rPr>
              <w:t>4.4 %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w w:val="85"/>
              </w:rPr>
              <w:t>12/2027)</w:t>
            </w:r>
          </w:p>
        </w:tc>
        <w:tc>
          <w:tcPr>
            <w:tcW w:w="1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60" w:type="dxa"/>
            <w:vAlign w:val="bottom"/>
          </w:tcPr>
          <w:p>
            <w:pPr>
              <w:ind w:left="20"/>
              <w:spacing w:after="0" w:line="108" w:lineRule="exact"/>
              <w:rPr>
                <w:sz w:val="20"/>
                <w:szCs w:val="20"/>
                <w:color w:val="auto"/>
              </w:rPr>
            </w:pPr>
            <w:r>
              <w:rPr>
                <w:rFonts w:ascii="Arial" w:cs="Arial" w:eastAsia="Arial" w:hAnsi="Arial"/>
                <w:sz w:val="12"/>
                <w:szCs w:val="12"/>
                <w:color w:val="auto"/>
              </w:rPr>
              <w:t>Frontline Technologies</w:t>
            </w:r>
          </w:p>
        </w:tc>
        <w:tc>
          <w:tcPr>
            <w:tcW w:w="120" w:type="dxa"/>
            <w:vAlign w:val="bottom"/>
          </w:tcPr>
          <w:p>
            <w:pPr>
              <w:spacing w:after="0"/>
              <w:rPr>
                <w:sz w:val="9"/>
                <w:szCs w:val="9"/>
                <w:color w:val="auto"/>
              </w:rPr>
            </w:pPr>
          </w:p>
        </w:tc>
        <w:tc>
          <w:tcPr>
            <w:tcW w:w="202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First-lien loan ($86,466 par, due</w:t>
            </w:r>
          </w:p>
        </w:tc>
        <w:tc>
          <w:tcPr>
            <w:tcW w:w="9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9/18/2017</w:t>
            </w:r>
          </w:p>
        </w:tc>
        <w:tc>
          <w:tcPr>
            <w:tcW w:w="120" w:type="dxa"/>
            <w:vAlign w:val="bottom"/>
          </w:tcPr>
          <w:p>
            <w:pPr>
              <w:spacing w:after="0"/>
              <w:rPr>
                <w:sz w:val="9"/>
                <w:szCs w:val="9"/>
                <w:color w:val="auto"/>
              </w:rPr>
            </w:pPr>
          </w:p>
        </w:tc>
        <w:tc>
          <w:tcPr>
            <w:tcW w:w="1140" w:type="dxa"/>
            <w:vAlign w:val="bottom"/>
            <w:gridSpan w:val="2"/>
          </w:tcPr>
          <w:p>
            <w:pPr>
              <w:jc w:val="right"/>
              <w:ind w:right="260"/>
              <w:spacing w:after="0" w:line="108" w:lineRule="exact"/>
              <w:rPr>
                <w:sz w:val="20"/>
                <w:szCs w:val="20"/>
                <w:color w:val="auto"/>
              </w:rPr>
            </w:pPr>
            <w:r>
              <w:rPr>
                <w:rFonts w:ascii="Arial" w:cs="Arial" w:eastAsia="Arial" w:hAnsi="Arial"/>
                <w:sz w:val="12"/>
                <w:szCs w:val="12"/>
                <w:color w:val="auto"/>
              </w:rPr>
              <w:t>L + 5.25%</w:t>
            </w:r>
          </w:p>
        </w:tc>
        <w:tc>
          <w:tcPr>
            <w:tcW w:w="1260" w:type="dxa"/>
            <w:vAlign w:val="bottom"/>
            <w:gridSpan w:val="2"/>
          </w:tcPr>
          <w:p>
            <w:pPr>
              <w:jc w:val="right"/>
              <w:ind w:right="100"/>
              <w:spacing w:after="0" w:line="108" w:lineRule="exact"/>
              <w:rPr>
                <w:sz w:val="20"/>
                <w:szCs w:val="20"/>
                <w:color w:val="auto"/>
              </w:rPr>
            </w:pPr>
            <w:r>
              <w:rPr>
                <w:rFonts w:ascii="Arial" w:cs="Arial" w:eastAsia="Arial" w:hAnsi="Arial"/>
                <w:sz w:val="12"/>
                <w:szCs w:val="12"/>
                <w:color w:val="auto"/>
              </w:rPr>
              <w:t>6.25 %</w:t>
            </w:r>
          </w:p>
        </w:tc>
        <w:tc>
          <w:tcPr>
            <w:tcW w:w="12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2"/>
                <w:szCs w:val="12"/>
                <w:color w:val="auto"/>
              </w:rPr>
              <w:t>86,237</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86,682</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6.8 %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120"/>
              <w:spacing w:after="0" w:line="162" w:lineRule="exact"/>
              <w:rPr>
                <w:sz w:val="20"/>
                <w:szCs w:val="20"/>
                <w:color w:val="auto"/>
              </w:rPr>
            </w:pPr>
            <w:r>
              <w:rPr>
                <w:rFonts w:ascii="Arial" w:cs="Arial" w:eastAsia="Arial" w:hAnsi="Arial"/>
                <w:sz w:val="13"/>
                <w:szCs w:val="13"/>
                <w:color w:val="auto"/>
              </w:rPr>
              <w:t xml:space="preserve">Group, LLC </w:t>
            </w:r>
            <w:r>
              <w:rPr>
                <w:rFonts w:ascii="Arial" w:cs="Arial" w:eastAsia="Arial" w:hAnsi="Arial"/>
                <w:sz w:val="16"/>
                <w:szCs w:val="16"/>
                <w:color w:val="auto"/>
                <w:vertAlign w:val="superscript"/>
              </w:rPr>
              <w:t>(3)</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w w:val="99"/>
              </w:rPr>
              <w:t>9/2023)</w:t>
            </w: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6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Illuminate Education,</w:t>
            </w:r>
          </w:p>
        </w:tc>
        <w:tc>
          <w:tcPr>
            <w:tcW w:w="120" w:type="dxa"/>
            <w:vAlign w:val="bottom"/>
            <w:shd w:val="clear" w:color="auto" w:fill="CFF0FC"/>
          </w:tcPr>
          <w:p>
            <w:pPr>
              <w:spacing w:after="0"/>
              <w:rPr>
                <w:sz w:val="9"/>
                <w:szCs w:val="9"/>
                <w:color w:val="auto"/>
              </w:rPr>
            </w:pPr>
          </w:p>
        </w:tc>
        <w:tc>
          <w:tcPr>
            <w:tcW w:w="2020" w:type="dxa"/>
            <w:vAlign w:val="bottom"/>
            <w:gridSpan w:val="2"/>
            <w:shd w:val="clear" w:color="auto" w:fill="CFF0FC"/>
          </w:tcPr>
          <w:p>
            <w:pPr>
              <w:ind w:left="20"/>
              <w:spacing w:after="0" w:line="108" w:lineRule="exact"/>
              <w:rPr>
                <w:sz w:val="20"/>
                <w:szCs w:val="20"/>
                <w:color w:val="auto"/>
              </w:rPr>
            </w:pPr>
            <w:r>
              <w:rPr>
                <w:rFonts w:ascii="Arial" w:cs="Arial" w:eastAsia="Arial" w:hAnsi="Arial"/>
                <w:sz w:val="12"/>
                <w:szCs w:val="12"/>
                <w:color w:val="auto"/>
              </w:rPr>
              <w:t>First-lien loan ($62,725 par, due</w:t>
            </w:r>
          </w:p>
        </w:tc>
        <w:tc>
          <w:tcPr>
            <w:tcW w:w="9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8/25/2017</w:t>
            </w:r>
          </w:p>
        </w:tc>
        <w:tc>
          <w:tcPr>
            <w:tcW w:w="1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260"/>
              <w:spacing w:after="0" w:line="108" w:lineRule="exact"/>
              <w:rPr>
                <w:sz w:val="20"/>
                <w:szCs w:val="20"/>
                <w:color w:val="auto"/>
              </w:rPr>
            </w:pPr>
            <w:r>
              <w:rPr>
                <w:rFonts w:ascii="Arial" w:cs="Arial" w:eastAsia="Arial" w:hAnsi="Arial"/>
                <w:sz w:val="12"/>
                <w:szCs w:val="12"/>
                <w:color w:val="auto"/>
              </w:rPr>
              <w:t>L + 6.00%</w:t>
            </w:r>
          </w:p>
        </w:tc>
        <w:tc>
          <w:tcPr>
            <w:tcW w:w="1260" w:type="dxa"/>
            <w:vAlign w:val="bottom"/>
            <w:gridSpan w:val="2"/>
            <w:shd w:val="clear" w:color="auto" w:fill="CFF0FC"/>
          </w:tcPr>
          <w:p>
            <w:pPr>
              <w:jc w:val="right"/>
              <w:ind w:right="100"/>
              <w:spacing w:after="0" w:line="108" w:lineRule="exact"/>
              <w:rPr>
                <w:sz w:val="20"/>
                <w:szCs w:val="20"/>
                <w:color w:val="auto"/>
              </w:rPr>
            </w:pPr>
            <w:r>
              <w:rPr>
                <w:rFonts w:ascii="Arial" w:cs="Arial" w:eastAsia="Arial" w:hAnsi="Arial"/>
                <w:sz w:val="12"/>
                <w:szCs w:val="12"/>
                <w:color w:val="auto"/>
              </w:rPr>
              <w:t>7.00 %</w:t>
            </w: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62,519</w:t>
            </w:r>
          </w:p>
        </w:tc>
        <w:tc>
          <w:tcPr>
            <w:tcW w:w="12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62,882</w:t>
            </w:r>
          </w:p>
        </w:tc>
        <w:tc>
          <w:tcPr>
            <w:tcW w:w="1300" w:type="dxa"/>
            <w:vAlign w:val="bottom"/>
            <w:gridSpan w:val="3"/>
            <w:shd w:val="clear" w:color="auto" w:fill="CFF0FC"/>
          </w:tcPr>
          <w:p>
            <w:pPr>
              <w:jc w:val="right"/>
              <w:spacing w:after="0" w:line="108" w:lineRule="exact"/>
              <w:rPr>
                <w:sz w:val="20"/>
                <w:szCs w:val="20"/>
                <w:color w:val="auto"/>
              </w:rPr>
            </w:pPr>
            <w:r>
              <w:rPr>
                <w:rFonts w:ascii="Arial" w:cs="Arial" w:eastAsia="Arial" w:hAnsi="Arial"/>
                <w:sz w:val="12"/>
                <w:szCs w:val="12"/>
                <w:color w:val="auto"/>
              </w:rPr>
              <w:t>4.9 %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tcBorders>
              <w:bottom w:val="single" w:sz="8" w:color="CFF0FC"/>
            </w:tcBorders>
            <w:shd w:val="clear" w:color="auto" w:fill="CFF0FC"/>
          </w:tcPr>
          <w:p>
            <w:pPr>
              <w:ind w:left="120"/>
              <w:spacing w:after="0" w:line="149" w:lineRule="exact"/>
              <w:rPr>
                <w:sz w:val="20"/>
                <w:szCs w:val="20"/>
                <w:color w:val="auto"/>
              </w:rPr>
            </w:pPr>
            <w:r>
              <w:rPr>
                <w:rFonts w:ascii="Arial" w:cs="Arial" w:eastAsia="Arial" w:hAnsi="Arial"/>
                <w:sz w:val="17"/>
                <w:szCs w:val="17"/>
                <w:color w:val="auto"/>
                <w:vertAlign w:val="subscript"/>
              </w:rPr>
              <w:t>Inc.</w:t>
            </w:r>
            <w:r>
              <w:rPr>
                <w:rFonts w:ascii="Arial" w:cs="Arial" w:eastAsia="Arial" w:hAnsi="Arial"/>
                <w:sz w:val="7"/>
                <w:szCs w:val="7"/>
                <w:color w:val="auto"/>
              </w:rPr>
              <w:t xml:space="preserve"> (3)(5)</w:t>
            </w:r>
          </w:p>
        </w:tc>
        <w:tc>
          <w:tcPr>
            <w:tcW w:w="60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3"/>
                <w:szCs w:val="13"/>
                <w:color w:val="auto"/>
                <w:w w:val="99"/>
              </w:rPr>
              <w:t>8/2022)</w:t>
            </w:r>
          </w:p>
        </w:tc>
        <w:tc>
          <w:tcPr>
            <w:tcW w:w="15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298,624</w:t>
            </w:r>
          </w:p>
        </w:tc>
        <w:tc>
          <w:tcPr>
            <w:tcW w:w="12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299,831</w:t>
            </w:r>
          </w:p>
        </w:tc>
        <w:tc>
          <w:tcPr>
            <w:tcW w:w="130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23.6 %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6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Financial Services</w:t>
            </w: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6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AvidXchange, Inc. </w:t>
            </w:r>
            <w:r>
              <w:rPr>
                <w:rFonts w:ascii="Arial" w:cs="Arial" w:eastAsia="Arial" w:hAnsi="Arial"/>
                <w:sz w:val="12"/>
                <w:szCs w:val="12"/>
                <w:color w:val="auto"/>
                <w:vertAlign w:val="superscript"/>
              </w:rPr>
              <w:t>(3)(5)</w:t>
            </w:r>
          </w:p>
        </w:tc>
        <w:tc>
          <w:tcPr>
            <w:tcW w:w="120" w:type="dxa"/>
            <w:vAlign w:val="bottom"/>
          </w:tcPr>
          <w:p>
            <w:pPr>
              <w:spacing w:after="0"/>
              <w:rPr>
                <w:sz w:val="9"/>
                <w:szCs w:val="9"/>
                <w:color w:val="auto"/>
              </w:rPr>
            </w:pPr>
          </w:p>
        </w:tc>
        <w:tc>
          <w:tcPr>
            <w:tcW w:w="202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First-lien loan ($11,205 par, due</w:t>
            </w:r>
          </w:p>
        </w:tc>
        <w:tc>
          <w:tcPr>
            <w:tcW w:w="9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10/1/2019</w:t>
            </w:r>
          </w:p>
        </w:tc>
        <w:tc>
          <w:tcPr>
            <w:tcW w:w="120" w:type="dxa"/>
            <w:vAlign w:val="bottom"/>
          </w:tcPr>
          <w:p>
            <w:pPr>
              <w:spacing w:after="0"/>
              <w:rPr>
                <w:sz w:val="9"/>
                <w:szCs w:val="9"/>
                <w:color w:val="auto"/>
              </w:rPr>
            </w:pPr>
          </w:p>
        </w:tc>
        <w:tc>
          <w:tcPr>
            <w:tcW w:w="1140" w:type="dxa"/>
            <w:vAlign w:val="bottom"/>
            <w:gridSpan w:val="2"/>
          </w:tcPr>
          <w:p>
            <w:pPr>
              <w:jc w:val="right"/>
              <w:ind w:right="260"/>
              <w:spacing w:after="0" w:line="108" w:lineRule="exact"/>
              <w:rPr>
                <w:sz w:val="20"/>
                <w:szCs w:val="20"/>
                <w:color w:val="auto"/>
              </w:rPr>
            </w:pPr>
            <w:r>
              <w:rPr>
                <w:rFonts w:ascii="Arial" w:cs="Arial" w:eastAsia="Arial" w:hAnsi="Arial"/>
                <w:sz w:val="12"/>
                <w:szCs w:val="12"/>
                <w:color w:val="auto"/>
              </w:rPr>
              <w:t>L + 9.00%</w:t>
            </w:r>
          </w:p>
        </w:tc>
        <w:tc>
          <w:tcPr>
            <w:tcW w:w="1260" w:type="dxa"/>
            <w:vAlign w:val="bottom"/>
            <w:gridSpan w:val="2"/>
          </w:tcPr>
          <w:p>
            <w:pPr>
              <w:jc w:val="right"/>
              <w:ind w:right="100"/>
              <w:spacing w:after="0" w:line="108" w:lineRule="exact"/>
              <w:rPr>
                <w:sz w:val="20"/>
                <w:szCs w:val="20"/>
                <w:color w:val="auto"/>
              </w:rPr>
            </w:pPr>
            <w:r>
              <w:rPr>
                <w:rFonts w:ascii="Arial" w:cs="Arial" w:eastAsia="Arial" w:hAnsi="Arial"/>
                <w:sz w:val="12"/>
                <w:szCs w:val="12"/>
                <w:color w:val="auto"/>
              </w:rPr>
              <w:t>10.00 %</w:t>
            </w:r>
          </w:p>
        </w:tc>
        <w:tc>
          <w:tcPr>
            <w:tcW w:w="12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2"/>
                <w:szCs w:val="12"/>
                <w:color w:val="auto"/>
              </w:rPr>
              <w:t>11,129</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11,327</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0.9 %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260" w:type="dxa"/>
            <w:vAlign w:val="bottom"/>
          </w:tcPr>
          <w:p>
            <w:pPr>
              <w:spacing w:after="0"/>
              <w:rPr>
                <w:sz w:val="13"/>
                <w:szCs w:val="13"/>
                <w:color w:val="auto"/>
              </w:rPr>
            </w:pPr>
          </w:p>
        </w:tc>
        <w:tc>
          <w:tcPr>
            <w:tcW w:w="600" w:type="dxa"/>
            <w:vAlign w:val="bottom"/>
            <w:gridSpan w:val="2"/>
          </w:tcPr>
          <w:p>
            <w:pPr>
              <w:ind w:left="140"/>
              <w:spacing w:after="0"/>
              <w:rPr>
                <w:sz w:val="20"/>
                <w:szCs w:val="20"/>
                <w:color w:val="auto"/>
              </w:rPr>
            </w:pPr>
            <w:r>
              <w:rPr>
                <w:rFonts w:ascii="Arial" w:cs="Arial" w:eastAsia="Arial" w:hAnsi="Arial"/>
                <w:sz w:val="13"/>
                <w:szCs w:val="13"/>
                <w:color w:val="auto"/>
                <w:w w:val="99"/>
              </w:rPr>
              <w:t>4/2024)</w:t>
            </w: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260" w:type="dxa"/>
            <w:vAlign w:val="bottom"/>
            <w:shd w:val="clear" w:color="auto" w:fill="CFF0FC"/>
          </w:tcPr>
          <w:p>
            <w:pPr>
              <w:ind w:left="20"/>
              <w:spacing w:after="0" w:line="110" w:lineRule="exact"/>
              <w:rPr>
                <w:sz w:val="20"/>
                <w:szCs w:val="20"/>
                <w:color w:val="auto"/>
              </w:rPr>
            </w:pPr>
            <w:r>
              <w:rPr>
                <w:rFonts w:ascii="Arial" w:cs="Arial" w:eastAsia="Arial" w:hAnsi="Arial"/>
                <w:sz w:val="10"/>
                <w:szCs w:val="10"/>
                <w:color w:val="auto"/>
              </w:rPr>
              <w:t xml:space="preserve">Bear OpCo, LLC </w:t>
            </w:r>
            <w:r>
              <w:rPr>
                <w:rFonts w:ascii="Arial" w:cs="Arial" w:eastAsia="Arial" w:hAnsi="Arial"/>
                <w:sz w:val="12"/>
                <w:szCs w:val="12"/>
                <w:color w:val="auto"/>
                <w:vertAlign w:val="superscript"/>
              </w:rPr>
              <w:t>(3)(5)</w:t>
            </w:r>
          </w:p>
        </w:tc>
        <w:tc>
          <w:tcPr>
            <w:tcW w:w="120" w:type="dxa"/>
            <w:vAlign w:val="bottom"/>
            <w:shd w:val="clear" w:color="auto" w:fill="CFF0FC"/>
          </w:tcPr>
          <w:p>
            <w:pPr>
              <w:spacing w:after="0"/>
              <w:rPr>
                <w:sz w:val="9"/>
                <w:szCs w:val="9"/>
                <w:color w:val="auto"/>
              </w:rPr>
            </w:pPr>
          </w:p>
        </w:tc>
        <w:tc>
          <w:tcPr>
            <w:tcW w:w="2020" w:type="dxa"/>
            <w:vAlign w:val="bottom"/>
            <w:gridSpan w:val="2"/>
            <w:shd w:val="clear" w:color="auto" w:fill="CFF0FC"/>
          </w:tcPr>
          <w:p>
            <w:pPr>
              <w:ind w:left="20"/>
              <w:spacing w:after="0" w:line="110" w:lineRule="exact"/>
              <w:rPr>
                <w:sz w:val="20"/>
                <w:szCs w:val="20"/>
                <w:color w:val="auto"/>
              </w:rPr>
            </w:pPr>
            <w:r>
              <w:rPr>
                <w:rFonts w:ascii="Arial" w:cs="Arial" w:eastAsia="Arial" w:hAnsi="Arial"/>
                <w:sz w:val="12"/>
                <w:szCs w:val="12"/>
                <w:color w:val="auto"/>
              </w:rPr>
              <w:t>First-lien loan ($19,575 par, due</w:t>
            </w:r>
          </w:p>
        </w:tc>
        <w:tc>
          <w:tcPr>
            <w:tcW w:w="9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10/10/2019</w:t>
            </w:r>
          </w:p>
        </w:tc>
        <w:tc>
          <w:tcPr>
            <w:tcW w:w="1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260"/>
              <w:spacing w:after="0" w:line="110" w:lineRule="exact"/>
              <w:rPr>
                <w:sz w:val="20"/>
                <w:szCs w:val="20"/>
                <w:color w:val="auto"/>
              </w:rPr>
            </w:pPr>
            <w:r>
              <w:rPr>
                <w:rFonts w:ascii="Arial" w:cs="Arial" w:eastAsia="Arial" w:hAnsi="Arial"/>
                <w:sz w:val="12"/>
                <w:szCs w:val="12"/>
                <w:color w:val="auto"/>
              </w:rPr>
              <w:t>L + 6.50%</w:t>
            </w:r>
          </w:p>
        </w:tc>
        <w:tc>
          <w:tcPr>
            <w:tcW w:w="1260" w:type="dxa"/>
            <w:vAlign w:val="bottom"/>
            <w:gridSpan w:val="2"/>
            <w:shd w:val="clear" w:color="auto" w:fill="CFF0FC"/>
          </w:tcPr>
          <w:p>
            <w:pPr>
              <w:jc w:val="right"/>
              <w:ind w:right="100"/>
              <w:spacing w:after="0" w:line="110" w:lineRule="exact"/>
              <w:rPr>
                <w:sz w:val="20"/>
                <w:szCs w:val="20"/>
                <w:color w:val="auto"/>
              </w:rPr>
            </w:pPr>
            <w:r>
              <w:rPr>
                <w:rFonts w:ascii="Arial" w:cs="Arial" w:eastAsia="Arial" w:hAnsi="Arial"/>
                <w:sz w:val="12"/>
                <w:szCs w:val="12"/>
                <w:color w:val="auto"/>
              </w:rPr>
              <w:t>7.50 %</w:t>
            </w: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0" w:lineRule="exact"/>
              <w:rPr>
                <w:sz w:val="20"/>
                <w:szCs w:val="20"/>
                <w:color w:val="auto"/>
              </w:rPr>
            </w:pPr>
            <w:r>
              <w:rPr>
                <w:rFonts w:ascii="Arial" w:cs="Arial" w:eastAsia="Arial" w:hAnsi="Arial"/>
                <w:sz w:val="12"/>
                <w:szCs w:val="12"/>
                <w:color w:val="auto"/>
              </w:rPr>
              <w:t>19,247</w:t>
            </w:r>
          </w:p>
        </w:tc>
        <w:tc>
          <w:tcPr>
            <w:tcW w:w="12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19,428</w:t>
            </w:r>
          </w:p>
        </w:tc>
        <w:tc>
          <w:tcPr>
            <w:tcW w:w="1300" w:type="dxa"/>
            <w:vAlign w:val="bottom"/>
            <w:gridSpan w:val="3"/>
            <w:shd w:val="clear" w:color="auto" w:fill="CFF0FC"/>
          </w:tcPr>
          <w:p>
            <w:pPr>
              <w:jc w:val="right"/>
              <w:spacing w:after="0" w:line="110" w:lineRule="exact"/>
              <w:rPr>
                <w:sz w:val="20"/>
                <w:szCs w:val="20"/>
                <w:color w:val="auto"/>
              </w:rPr>
            </w:pPr>
            <w:r>
              <w:rPr>
                <w:rFonts w:ascii="Arial" w:cs="Arial" w:eastAsia="Arial" w:hAnsi="Arial"/>
                <w:sz w:val="12"/>
                <w:szCs w:val="12"/>
                <w:color w:val="auto"/>
              </w:rPr>
              <w:t>1.5 %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w w:val="85"/>
              </w:rPr>
              <w:t>10/2024)</w:t>
            </w:r>
          </w:p>
        </w:tc>
        <w:tc>
          <w:tcPr>
            <w:tcW w:w="1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6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BlueSnap, Inc. </w:t>
            </w:r>
            <w:r>
              <w:rPr>
                <w:rFonts w:ascii="Arial" w:cs="Arial" w:eastAsia="Arial" w:hAnsi="Arial"/>
                <w:sz w:val="12"/>
                <w:szCs w:val="12"/>
                <w:color w:val="auto"/>
                <w:vertAlign w:val="superscript"/>
              </w:rPr>
              <w:t>(3)(5)</w:t>
            </w:r>
          </w:p>
        </w:tc>
        <w:tc>
          <w:tcPr>
            <w:tcW w:w="120" w:type="dxa"/>
            <w:vAlign w:val="bottom"/>
          </w:tcPr>
          <w:p>
            <w:pPr>
              <w:spacing w:after="0"/>
              <w:rPr>
                <w:sz w:val="9"/>
                <w:szCs w:val="9"/>
                <w:color w:val="auto"/>
              </w:rPr>
            </w:pPr>
          </w:p>
        </w:tc>
        <w:tc>
          <w:tcPr>
            <w:tcW w:w="202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First-lien loan ($35,000 par, due</w:t>
            </w:r>
          </w:p>
        </w:tc>
        <w:tc>
          <w:tcPr>
            <w:tcW w:w="9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10/25/2019</w:t>
            </w:r>
          </w:p>
        </w:tc>
        <w:tc>
          <w:tcPr>
            <w:tcW w:w="120" w:type="dxa"/>
            <w:vAlign w:val="bottom"/>
          </w:tcPr>
          <w:p>
            <w:pPr>
              <w:spacing w:after="0"/>
              <w:rPr>
                <w:sz w:val="9"/>
                <w:szCs w:val="9"/>
                <w:color w:val="auto"/>
              </w:rPr>
            </w:pPr>
          </w:p>
        </w:tc>
        <w:tc>
          <w:tcPr>
            <w:tcW w:w="1140" w:type="dxa"/>
            <w:vAlign w:val="bottom"/>
            <w:gridSpan w:val="2"/>
          </w:tcPr>
          <w:p>
            <w:pPr>
              <w:jc w:val="right"/>
              <w:ind w:right="260"/>
              <w:spacing w:after="0" w:line="108" w:lineRule="exact"/>
              <w:rPr>
                <w:sz w:val="20"/>
                <w:szCs w:val="20"/>
                <w:color w:val="auto"/>
              </w:rPr>
            </w:pPr>
            <w:r>
              <w:rPr>
                <w:rFonts w:ascii="Arial" w:cs="Arial" w:eastAsia="Arial" w:hAnsi="Arial"/>
                <w:sz w:val="12"/>
                <w:szCs w:val="12"/>
                <w:color w:val="auto"/>
              </w:rPr>
              <w:t>L + 6.75%</w:t>
            </w:r>
          </w:p>
        </w:tc>
        <w:tc>
          <w:tcPr>
            <w:tcW w:w="1260" w:type="dxa"/>
            <w:vAlign w:val="bottom"/>
            <w:gridSpan w:val="2"/>
          </w:tcPr>
          <w:p>
            <w:pPr>
              <w:jc w:val="right"/>
              <w:ind w:right="100"/>
              <w:spacing w:after="0" w:line="108" w:lineRule="exact"/>
              <w:rPr>
                <w:sz w:val="20"/>
                <w:szCs w:val="20"/>
                <w:color w:val="auto"/>
              </w:rPr>
            </w:pPr>
            <w:r>
              <w:rPr>
                <w:rFonts w:ascii="Arial" w:cs="Arial" w:eastAsia="Arial" w:hAnsi="Arial"/>
                <w:sz w:val="12"/>
                <w:szCs w:val="12"/>
                <w:color w:val="auto"/>
              </w:rPr>
              <w:t>7.75 %</w:t>
            </w:r>
          </w:p>
        </w:tc>
        <w:tc>
          <w:tcPr>
            <w:tcW w:w="12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2"/>
                <w:szCs w:val="12"/>
                <w:color w:val="auto"/>
              </w:rPr>
              <w:t>34,426</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35,475</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2.8 %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260" w:type="dxa"/>
            <w:vAlign w:val="bottom"/>
          </w:tcPr>
          <w:p>
            <w:pPr>
              <w:spacing w:after="0"/>
              <w:rPr>
                <w:sz w:val="13"/>
                <w:szCs w:val="13"/>
                <w:color w:val="auto"/>
              </w:rPr>
            </w:pPr>
          </w:p>
        </w:tc>
        <w:tc>
          <w:tcPr>
            <w:tcW w:w="600" w:type="dxa"/>
            <w:vAlign w:val="bottom"/>
            <w:gridSpan w:val="2"/>
          </w:tcPr>
          <w:p>
            <w:pPr>
              <w:ind w:left="140"/>
              <w:spacing w:after="0"/>
              <w:rPr>
                <w:sz w:val="20"/>
                <w:szCs w:val="20"/>
                <w:color w:val="auto"/>
              </w:rPr>
            </w:pPr>
            <w:r>
              <w:rPr>
                <w:rFonts w:ascii="Arial" w:cs="Arial" w:eastAsia="Arial" w:hAnsi="Arial"/>
                <w:sz w:val="13"/>
                <w:szCs w:val="13"/>
                <w:color w:val="auto"/>
                <w:w w:val="85"/>
              </w:rPr>
              <w:t>10/2024)</w:t>
            </w: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260" w:type="dxa"/>
            <w:vAlign w:val="bottom"/>
            <w:shd w:val="clear" w:color="auto" w:fill="CFF0FC"/>
          </w:tcPr>
          <w:p>
            <w:pPr>
              <w:ind w:left="20"/>
              <w:spacing w:after="0" w:line="110" w:lineRule="exact"/>
              <w:rPr>
                <w:sz w:val="20"/>
                <w:szCs w:val="20"/>
                <w:color w:val="auto"/>
              </w:rPr>
            </w:pPr>
            <w:r>
              <w:rPr>
                <w:rFonts w:ascii="Arial" w:cs="Arial" w:eastAsia="Arial" w:hAnsi="Arial"/>
                <w:sz w:val="10"/>
                <w:szCs w:val="10"/>
                <w:color w:val="auto"/>
              </w:rPr>
              <w:t xml:space="preserve">G Treasury SS, LLC </w:t>
            </w:r>
            <w:r>
              <w:rPr>
                <w:rFonts w:ascii="Arial" w:cs="Arial" w:eastAsia="Arial" w:hAnsi="Arial"/>
                <w:sz w:val="12"/>
                <w:szCs w:val="12"/>
                <w:color w:val="auto"/>
                <w:vertAlign w:val="superscript"/>
              </w:rPr>
              <w:t>(3)(5)</w:t>
            </w:r>
          </w:p>
        </w:tc>
        <w:tc>
          <w:tcPr>
            <w:tcW w:w="120" w:type="dxa"/>
            <w:vAlign w:val="bottom"/>
            <w:shd w:val="clear" w:color="auto" w:fill="CFF0FC"/>
          </w:tcPr>
          <w:p>
            <w:pPr>
              <w:spacing w:after="0"/>
              <w:rPr>
                <w:sz w:val="9"/>
                <w:szCs w:val="9"/>
                <w:color w:val="auto"/>
              </w:rPr>
            </w:pPr>
          </w:p>
        </w:tc>
        <w:tc>
          <w:tcPr>
            <w:tcW w:w="2020" w:type="dxa"/>
            <w:vAlign w:val="bottom"/>
            <w:gridSpan w:val="2"/>
            <w:shd w:val="clear" w:color="auto" w:fill="CFF0FC"/>
          </w:tcPr>
          <w:p>
            <w:pPr>
              <w:ind w:left="20"/>
              <w:spacing w:after="0" w:line="110" w:lineRule="exact"/>
              <w:rPr>
                <w:sz w:val="20"/>
                <w:szCs w:val="20"/>
                <w:color w:val="auto"/>
              </w:rPr>
            </w:pPr>
            <w:r>
              <w:rPr>
                <w:rFonts w:ascii="Arial" w:cs="Arial" w:eastAsia="Arial" w:hAnsi="Arial"/>
                <w:sz w:val="12"/>
                <w:szCs w:val="12"/>
                <w:color w:val="auto"/>
              </w:rPr>
              <w:t>First-lien loan ($59,318 par, due</w:t>
            </w:r>
          </w:p>
        </w:tc>
        <w:tc>
          <w:tcPr>
            <w:tcW w:w="9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4/9/2018</w:t>
            </w:r>
          </w:p>
        </w:tc>
        <w:tc>
          <w:tcPr>
            <w:tcW w:w="1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260"/>
              <w:spacing w:after="0" w:line="110" w:lineRule="exact"/>
              <w:rPr>
                <w:sz w:val="20"/>
                <w:szCs w:val="20"/>
                <w:color w:val="auto"/>
              </w:rPr>
            </w:pPr>
            <w:r>
              <w:rPr>
                <w:rFonts w:ascii="Arial" w:cs="Arial" w:eastAsia="Arial" w:hAnsi="Arial"/>
                <w:sz w:val="12"/>
                <w:szCs w:val="12"/>
                <w:color w:val="auto"/>
              </w:rPr>
              <w:t>L + 8.25%</w:t>
            </w:r>
          </w:p>
        </w:tc>
        <w:tc>
          <w:tcPr>
            <w:tcW w:w="1260" w:type="dxa"/>
            <w:vAlign w:val="bottom"/>
            <w:gridSpan w:val="2"/>
            <w:shd w:val="clear" w:color="auto" w:fill="CFF0FC"/>
          </w:tcPr>
          <w:p>
            <w:pPr>
              <w:jc w:val="right"/>
              <w:ind w:right="100"/>
              <w:spacing w:after="0" w:line="110" w:lineRule="exact"/>
              <w:rPr>
                <w:sz w:val="20"/>
                <w:szCs w:val="20"/>
                <w:color w:val="auto"/>
              </w:rPr>
            </w:pPr>
            <w:r>
              <w:rPr>
                <w:rFonts w:ascii="Arial" w:cs="Arial" w:eastAsia="Arial" w:hAnsi="Arial"/>
                <w:sz w:val="12"/>
                <w:szCs w:val="12"/>
                <w:color w:val="auto"/>
              </w:rPr>
              <w:t>9.25 %</w:t>
            </w: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0" w:lineRule="exact"/>
              <w:rPr>
                <w:sz w:val="20"/>
                <w:szCs w:val="20"/>
                <w:color w:val="auto"/>
              </w:rPr>
            </w:pPr>
            <w:r>
              <w:rPr>
                <w:rFonts w:ascii="Arial" w:cs="Arial" w:eastAsia="Arial" w:hAnsi="Arial"/>
                <w:sz w:val="12"/>
                <w:szCs w:val="12"/>
                <w:color w:val="auto"/>
              </w:rPr>
              <w:t>58,570</w:t>
            </w:r>
          </w:p>
        </w:tc>
        <w:tc>
          <w:tcPr>
            <w:tcW w:w="12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60,479</w:t>
            </w:r>
          </w:p>
        </w:tc>
        <w:tc>
          <w:tcPr>
            <w:tcW w:w="1300" w:type="dxa"/>
            <w:vAlign w:val="bottom"/>
            <w:gridSpan w:val="3"/>
            <w:shd w:val="clear" w:color="auto" w:fill="CFF0FC"/>
          </w:tcPr>
          <w:p>
            <w:pPr>
              <w:jc w:val="right"/>
              <w:spacing w:after="0" w:line="110" w:lineRule="exact"/>
              <w:rPr>
                <w:sz w:val="20"/>
                <w:szCs w:val="20"/>
                <w:color w:val="auto"/>
              </w:rPr>
            </w:pPr>
            <w:r>
              <w:rPr>
                <w:rFonts w:ascii="Arial" w:cs="Arial" w:eastAsia="Arial" w:hAnsi="Arial"/>
                <w:sz w:val="12"/>
                <w:szCs w:val="12"/>
                <w:color w:val="auto"/>
              </w:rPr>
              <w:t>4.7 %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w w:val="99"/>
              </w:rPr>
              <w:t>4/2023)</w:t>
            </w:r>
          </w:p>
        </w:tc>
        <w:tc>
          <w:tcPr>
            <w:tcW w:w="1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tcPr>
          <w:p>
            <w:pPr>
              <w:ind w:left="20"/>
              <w:spacing w:after="0" w:line="148" w:lineRule="exact"/>
              <w:rPr>
                <w:sz w:val="20"/>
                <w:szCs w:val="20"/>
                <w:color w:val="auto"/>
              </w:rPr>
            </w:pPr>
            <w:r>
              <w:rPr>
                <w:rFonts w:ascii="Arial" w:cs="Arial" w:eastAsia="Arial" w:hAnsi="Arial"/>
                <w:sz w:val="13"/>
                <w:szCs w:val="13"/>
                <w:color w:val="auto"/>
              </w:rPr>
              <w:t xml:space="preserve">Ibis Intermediate Co. </w:t>
            </w:r>
            <w:r>
              <w:rPr>
                <w:rFonts w:ascii="Arial" w:cs="Arial" w:eastAsia="Arial" w:hAnsi="Arial"/>
                <w:sz w:val="16"/>
                <w:szCs w:val="16"/>
                <w:color w:val="auto"/>
                <w:vertAlign w:val="superscript"/>
              </w:rPr>
              <w:t>(3)(5)</w:t>
            </w:r>
          </w:p>
        </w:tc>
        <w:tc>
          <w:tcPr>
            <w:tcW w:w="120" w:type="dxa"/>
            <w:vAlign w:val="bottom"/>
          </w:tcPr>
          <w:p>
            <w:pPr>
              <w:spacing w:after="0"/>
              <w:rPr>
                <w:sz w:val="12"/>
                <w:szCs w:val="12"/>
                <w:color w:val="auto"/>
              </w:rPr>
            </w:pPr>
          </w:p>
        </w:tc>
        <w:tc>
          <w:tcPr>
            <w:tcW w:w="2020" w:type="dxa"/>
            <w:vAlign w:val="bottom"/>
            <w:gridSpan w:val="2"/>
          </w:tcPr>
          <w:p>
            <w:pPr>
              <w:ind w:left="20"/>
              <w:spacing w:after="0"/>
              <w:rPr>
                <w:sz w:val="20"/>
                <w:szCs w:val="20"/>
                <w:color w:val="auto"/>
              </w:rPr>
            </w:pPr>
            <w:r>
              <w:rPr>
                <w:rFonts w:ascii="Arial" w:cs="Arial" w:eastAsia="Arial" w:hAnsi="Arial"/>
                <w:sz w:val="13"/>
                <w:szCs w:val="13"/>
                <w:color w:val="auto"/>
                <w:w w:val="88"/>
              </w:rPr>
              <w:t>First-lien loan ($1,542 par, due 5/2027)</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5/28/2021</w:t>
            </w:r>
          </w:p>
        </w:tc>
        <w:tc>
          <w:tcPr>
            <w:tcW w:w="12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L + 5.00%</w:t>
            </w: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5.50 %</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1,410</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1,640</w:t>
            </w: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0.1 %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60" w:type="dxa"/>
            <w:vAlign w:val="bottom"/>
            <w:shd w:val="clear" w:color="auto" w:fill="CFF0FC"/>
          </w:tcPr>
          <w:p>
            <w:pPr>
              <w:ind w:left="20"/>
              <w:spacing w:after="0" w:line="108" w:lineRule="exact"/>
              <w:rPr>
                <w:sz w:val="20"/>
                <w:szCs w:val="20"/>
                <w:color w:val="auto"/>
              </w:rPr>
            </w:pPr>
            <w:r>
              <w:rPr>
                <w:rFonts w:ascii="Arial" w:cs="Arial" w:eastAsia="Arial" w:hAnsi="Arial"/>
                <w:sz w:val="10"/>
                <w:szCs w:val="10"/>
                <w:color w:val="auto"/>
              </w:rPr>
              <w:t xml:space="preserve">Ibis US Blocker Co. </w:t>
            </w:r>
            <w:r>
              <w:rPr>
                <w:rFonts w:ascii="Arial" w:cs="Arial" w:eastAsia="Arial" w:hAnsi="Arial"/>
                <w:sz w:val="12"/>
                <w:szCs w:val="12"/>
                <w:color w:val="auto"/>
                <w:vertAlign w:val="superscript"/>
              </w:rPr>
              <w:t>(3)</w:t>
            </w:r>
          </w:p>
        </w:tc>
        <w:tc>
          <w:tcPr>
            <w:tcW w:w="120" w:type="dxa"/>
            <w:vAlign w:val="bottom"/>
            <w:shd w:val="clear" w:color="auto" w:fill="CFF0FC"/>
          </w:tcPr>
          <w:p>
            <w:pPr>
              <w:spacing w:after="0"/>
              <w:rPr>
                <w:sz w:val="9"/>
                <w:szCs w:val="9"/>
                <w:color w:val="auto"/>
              </w:rPr>
            </w:pPr>
          </w:p>
        </w:tc>
        <w:tc>
          <w:tcPr>
            <w:tcW w:w="2020" w:type="dxa"/>
            <w:vAlign w:val="bottom"/>
            <w:gridSpan w:val="2"/>
            <w:shd w:val="clear" w:color="auto" w:fill="CFF0FC"/>
          </w:tcPr>
          <w:p>
            <w:pPr>
              <w:ind w:left="20"/>
              <w:spacing w:after="0" w:line="108" w:lineRule="exact"/>
              <w:rPr>
                <w:sz w:val="20"/>
                <w:szCs w:val="20"/>
                <w:color w:val="auto"/>
              </w:rPr>
            </w:pPr>
            <w:r>
              <w:rPr>
                <w:rFonts w:ascii="Arial" w:cs="Arial" w:eastAsia="Arial" w:hAnsi="Arial"/>
                <w:sz w:val="12"/>
                <w:szCs w:val="12"/>
                <w:color w:val="auto"/>
              </w:rPr>
              <w:t>First-lien loan ($12,669 par, due</w:t>
            </w:r>
          </w:p>
        </w:tc>
        <w:tc>
          <w:tcPr>
            <w:tcW w:w="9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5/28/2021</w:t>
            </w:r>
          </w:p>
        </w:tc>
        <w:tc>
          <w:tcPr>
            <w:tcW w:w="1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260"/>
              <w:spacing w:after="0" w:line="108" w:lineRule="exact"/>
              <w:rPr>
                <w:sz w:val="20"/>
                <w:szCs w:val="20"/>
                <w:color w:val="auto"/>
              </w:rPr>
            </w:pPr>
            <w:r>
              <w:rPr>
                <w:rFonts w:ascii="Arial" w:cs="Arial" w:eastAsia="Arial" w:hAnsi="Arial"/>
                <w:sz w:val="12"/>
                <w:szCs w:val="12"/>
                <w:color w:val="auto"/>
              </w:rPr>
              <w:t>L + 8.25%</w:t>
            </w:r>
          </w:p>
        </w:tc>
        <w:tc>
          <w:tcPr>
            <w:tcW w:w="1380" w:type="dxa"/>
            <w:vAlign w:val="bottom"/>
            <w:gridSpan w:val="3"/>
            <w:shd w:val="clear" w:color="auto" w:fill="CFF0FC"/>
          </w:tcPr>
          <w:p>
            <w:pPr>
              <w:jc w:val="right"/>
              <w:ind w:right="360"/>
              <w:spacing w:after="0" w:line="108" w:lineRule="exact"/>
              <w:rPr>
                <w:sz w:val="20"/>
                <w:szCs w:val="20"/>
                <w:color w:val="auto"/>
              </w:rPr>
            </w:pPr>
            <w:r>
              <w:rPr>
                <w:rFonts w:ascii="Arial" w:cs="Arial" w:eastAsia="Arial" w:hAnsi="Arial"/>
                <w:sz w:val="12"/>
                <w:szCs w:val="12"/>
                <w:color w:val="auto"/>
              </w:rPr>
              <w:t>8.75% PIK</w:t>
            </w:r>
          </w:p>
        </w:tc>
        <w:tc>
          <w:tcPr>
            <w:tcW w:w="76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12,393</w:t>
            </w:r>
          </w:p>
        </w:tc>
        <w:tc>
          <w:tcPr>
            <w:tcW w:w="12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12,479</w:t>
            </w:r>
          </w:p>
        </w:tc>
        <w:tc>
          <w:tcPr>
            <w:tcW w:w="1300" w:type="dxa"/>
            <w:vAlign w:val="bottom"/>
            <w:gridSpan w:val="3"/>
            <w:shd w:val="clear" w:color="auto" w:fill="CFF0FC"/>
          </w:tcPr>
          <w:p>
            <w:pPr>
              <w:jc w:val="right"/>
              <w:spacing w:after="0" w:line="108" w:lineRule="exact"/>
              <w:rPr>
                <w:sz w:val="20"/>
                <w:szCs w:val="20"/>
                <w:color w:val="auto"/>
              </w:rPr>
            </w:pPr>
            <w:r>
              <w:rPr>
                <w:rFonts w:ascii="Arial" w:cs="Arial" w:eastAsia="Arial" w:hAnsi="Arial"/>
                <w:sz w:val="12"/>
                <w:szCs w:val="12"/>
                <w:color w:val="auto"/>
              </w:rPr>
              <w:t>1.0 %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w w:val="99"/>
              </w:rPr>
              <w:t>5/2028)</w:t>
            </w:r>
          </w:p>
        </w:tc>
        <w:tc>
          <w:tcPr>
            <w:tcW w:w="1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60" w:type="dxa"/>
            <w:vAlign w:val="bottom"/>
          </w:tcPr>
          <w:p>
            <w:pPr>
              <w:ind w:left="20"/>
              <w:spacing w:after="0" w:line="108" w:lineRule="exact"/>
              <w:rPr>
                <w:sz w:val="20"/>
                <w:szCs w:val="20"/>
                <w:color w:val="auto"/>
              </w:rPr>
            </w:pPr>
            <w:r>
              <w:rPr>
                <w:rFonts w:ascii="Arial" w:cs="Arial" w:eastAsia="Arial" w:hAnsi="Arial"/>
                <w:sz w:val="12"/>
                <w:szCs w:val="12"/>
                <w:color w:val="auto"/>
              </w:rPr>
              <w:t>Jonas Collections and</w:t>
            </w:r>
          </w:p>
        </w:tc>
        <w:tc>
          <w:tcPr>
            <w:tcW w:w="120" w:type="dxa"/>
            <w:vAlign w:val="bottom"/>
          </w:tcPr>
          <w:p>
            <w:pPr>
              <w:spacing w:after="0"/>
              <w:rPr>
                <w:sz w:val="9"/>
                <w:szCs w:val="9"/>
                <w:color w:val="auto"/>
              </w:rPr>
            </w:pPr>
          </w:p>
        </w:tc>
        <w:tc>
          <w:tcPr>
            <w:tcW w:w="202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First-lien loan ($27,375 par, due</w:t>
            </w:r>
          </w:p>
        </w:tc>
        <w:tc>
          <w:tcPr>
            <w:tcW w:w="9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6/21/2021</w:t>
            </w:r>
          </w:p>
        </w:tc>
        <w:tc>
          <w:tcPr>
            <w:tcW w:w="120" w:type="dxa"/>
            <w:vAlign w:val="bottom"/>
          </w:tcPr>
          <w:p>
            <w:pPr>
              <w:spacing w:after="0"/>
              <w:rPr>
                <w:sz w:val="9"/>
                <w:szCs w:val="9"/>
                <w:color w:val="auto"/>
              </w:rPr>
            </w:pPr>
          </w:p>
        </w:tc>
        <w:tc>
          <w:tcPr>
            <w:tcW w:w="1140" w:type="dxa"/>
            <w:vAlign w:val="bottom"/>
            <w:gridSpan w:val="2"/>
          </w:tcPr>
          <w:p>
            <w:pPr>
              <w:jc w:val="right"/>
              <w:ind w:right="260"/>
              <w:spacing w:after="0" w:line="108" w:lineRule="exact"/>
              <w:rPr>
                <w:sz w:val="20"/>
                <w:szCs w:val="20"/>
                <w:color w:val="auto"/>
              </w:rPr>
            </w:pPr>
            <w:r>
              <w:rPr>
                <w:rFonts w:ascii="Arial" w:cs="Arial" w:eastAsia="Arial" w:hAnsi="Arial"/>
                <w:sz w:val="12"/>
                <w:szCs w:val="12"/>
                <w:color w:val="auto"/>
              </w:rPr>
              <w:t>L + 5.75%</w:t>
            </w:r>
          </w:p>
        </w:tc>
        <w:tc>
          <w:tcPr>
            <w:tcW w:w="1260" w:type="dxa"/>
            <w:vAlign w:val="bottom"/>
            <w:gridSpan w:val="2"/>
          </w:tcPr>
          <w:p>
            <w:pPr>
              <w:jc w:val="right"/>
              <w:ind w:right="100"/>
              <w:spacing w:after="0" w:line="108" w:lineRule="exact"/>
              <w:rPr>
                <w:sz w:val="20"/>
                <w:szCs w:val="20"/>
                <w:color w:val="auto"/>
              </w:rPr>
            </w:pPr>
            <w:r>
              <w:rPr>
                <w:rFonts w:ascii="Arial" w:cs="Arial" w:eastAsia="Arial" w:hAnsi="Arial"/>
                <w:sz w:val="12"/>
                <w:szCs w:val="12"/>
                <w:color w:val="auto"/>
              </w:rPr>
              <w:t>6.75 %</w:t>
            </w:r>
          </w:p>
        </w:tc>
        <w:tc>
          <w:tcPr>
            <w:tcW w:w="12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2"/>
                <w:szCs w:val="12"/>
                <w:color w:val="auto"/>
              </w:rPr>
              <w:t>26,854</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26,964</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2.1 %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120"/>
              <w:spacing w:after="0" w:line="162" w:lineRule="exact"/>
              <w:rPr>
                <w:sz w:val="20"/>
                <w:szCs w:val="20"/>
                <w:color w:val="auto"/>
              </w:rPr>
            </w:pPr>
            <w:r>
              <w:rPr>
                <w:rFonts w:ascii="Arial" w:cs="Arial" w:eastAsia="Arial" w:hAnsi="Arial"/>
                <w:sz w:val="13"/>
                <w:szCs w:val="13"/>
                <w:color w:val="auto"/>
              </w:rPr>
              <w:t xml:space="preserve">Recovery, Inc. </w:t>
            </w:r>
            <w:r>
              <w:rPr>
                <w:rFonts w:ascii="Arial" w:cs="Arial" w:eastAsia="Arial" w:hAnsi="Arial"/>
                <w:sz w:val="16"/>
                <w:szCs w:val="16"/>
                <w:color w:val="auto"/>
                <w:vertAlign w:val="superscript"/>
              </w:rPr>
              <w:t>(3)(5)</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w w:val="99"/>
              </w:rPr>
              <w:t>6/2026)</w:t>
            </w: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60" w:type="dxa"/>
            <w:vAlign w:val="bottom"/>
            <w:shd w:val="clear" w:color="auto" w:fill="CFF0FC"/>
          </w:tcPr>
          <w:p>
            <w:pPr>
              <w:ind w:left="20"/>
              <w:spacing w:after="0" w:line="108" w:lineRule="exact"/>
              <w:rPr>
                <w:sz w:val="20"/>
                <w:szCs w:val="20"/>
                <w:color w:val="auto"/>
              </w:rPr>
            </w:pPr>
            <w:r>
              <w:rPr>
                <w:rFonts w:ascii="Arial" w:cs="Arial" w:eastAsia="Arial" w:hAnsi="Arial"/>
                <w:sz w:val="10"/>
                <w:szCs w:val="10"/>
                <w:color w:val="auto"/>
              </w:rPr>
              <w:t xml:space="preserve">Kyriba Corp. </w:t>
            </w:r>
            <w:r>
              <w:rPr>
                <w:rFonts w:ascii="Arial" w:cs="Arial" w:eastAsia="Arial" w:hAnsi="Arial"/>
                <w:sz w:val="12"/>
                <w:szCs w:val="12"/>
                <w:color w:val="auto"/>
                <w:vertAlign w:val="superscript"/>
              </w:rPr>
              <w:t>(3)</w:t>
            </w:r>
          </w:p>
        </w:tc>
        <w:tc>
          <w:tcPr>
            <w:tcW w:w="120" w:type="dxa"/>
            <w:vAlign w:val="bottom"/>
            <w:shd w:val="clear" w:color="auto" w:fill="CFF0FC"/>
          </w:tcPr>
          <w:p>
            <w:pPr>
              <w:spacing w:after="0"/>
              <w:rPr>
                <w:sz w:val="9"/>
                <w:szCs w:val="9"/>
                <w:color w:val="auto"/>
              </w:rPr>
            </w:pPr>
          </w:p>
        </w:tc>
        <w:tc>
          <w:tcPr>
            <w:tcW w:w="2020" w:type="dxa"/>
            <w:vAlign w:val="bottom"/>
            <w:gridSpan w:val="2"/>
            <w:shd w:val="clear" w:color="auto" w:fill="CFF0FC"/>
          </w:tcPr>
          <w:p>
            <w:pPr>
              <w:ind w:left="20"/>
              <w:spacing w:after="0" w:line="108" w:lineRule="exact"/>
              <w:rPr>
                <w:sz w:val="20"/>
                <w:szCs w:val="20"/>
                <w:color w:val="auto"/>
              </w:rPr>
            </w:pPr>
            <w:r>
              <w:rPr>
                <w:rFonts w:ascii="Arial" w:cs="Arial" w:eastAsia="Arial" w:hAnsi="Arial"/>
                <w:sz w:val="12"/>
                <w:szCs w:val="12"/>
                <w:color w:val="auto"/>
              </w:rPr>
              <w:t>First-lien loan ($17,412 par, due</w:t>
            </w:r>
          </w:p>
        </w:tc>
        <w:tc>
          <w:tcPr>
            <w:tcW w:w="9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4/9/2019</w:t>
            </w:r>
          </w:p>
        </w:tc>
        <w:tc>
          <w:tcPr>
            <w:tcW w:w="1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260"/>
              <w:spacing w:after="0" w:line="108" w:lineRule="exact"/>
              <w:rPr>
                <w:sz w:val="20"/>
                <w:szCs w:val="20"/>
                <w:color w:val="auto"/>
              </w:rPr>
            </w:pPr>
            <w:r>
              <w:rPr>
                <w:rFonts w:ascii="Arial" w:cs="Arial" w:eastAsia="Arial" w:hAnsi="Arial"/>
                <w:sz w:val="12"/>
                <w:szCs w:val="12"/>
                <w:color w:val="auto"/>
              </w:rPr>
              <w:t>L + 9.00%</w:t>
            </w:r>
          </w:p>
        </w:tc>
        <w:tc>
          <w:tcPr>
            <w:tcW w:w="1380" w:type="dxa"/>
            <w:vAlign w:val="bottom"/>
            <w:gridSpan w:val="3"/>
            <w:shd w:val="clear" w:color="auto" w:fill="CFF0FC"/>
          </w:tcPr>
          <w:p>
            <w:pPr>
              <w:jc w:val="right"/>
              <w:ind w:right="380"/>
              <w:spacing w:after="0" w:line="108" w:lineRule="exact"/>
              <w:rPr>
                <w:sz w:val="20"/>
                <w:szCs w:val="20"/>
                <w:color w:val="auto"/>
              </w:rPr>
            </w:pPr>
            <w:r>
              <w:rPr>
                <w:rFonts w:ascii="Arial" w:cs="Arial" w:eastAsia="Arial" w:hAnsi="Arial"/>
                <w:sz w:val="12"/>
                <w:szCs w:val="12"/>
                <w:color w:val="auto"/>
              </w:rPr>
              <w:t>10.50% (incl.</w:t>
            </w:r>
          </w:p>
        </w:tc>
        <w:tc>
          <w:tcPr>
            <w:tcW w:w="76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17,163</w:t>
            </w:r>
          </w:p>
        </w:tc>
        <w:tc>
          <w:tcPr>
            <w:tcW w:w="12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17,673</w:t>
            </w:r>
          </w:p>
        </w:tc>
        <w:tc>
          <w:tcPr>
            <w:tcW w:w="1300" w:type="dxa"/>
            <w:vAlign w:val="bottom"/>
            <w:gridSpan w:val="3"/>
            <w:shd w:val="clear" w:color="auto" w:fill="CFF0FC"/>
          </w:tcPr>
          <w:p>
            <w:pPr>
              <w:jc w:val="right"/>
              <w:spacing w:after="0" w:line="108" w:lineRule="exact"/>
              <w:rPr>
                <w:sz w:val="20"/>
                <w:szCs w:val="20"/>
                <w:color w:val="auto"/>
              </w:rPr>
            </w:pPr>
            <w:r>
              <w:rPr>
                <w:rFonts w:ascii="Arial" w:cs="Arial" w:eastAsia="Arial" w:hAnsi="Arial"/>
                <w:sz w:val="12"/>
                <w:szCs w:val="12"/>
                <w:color w:val="auto"/>
              </w:rPr>
              <w:t>1.4 %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w w:val="99"/>
              </w:rPr>
              <w:t>4/2025)</w:t>
            </w:r>
          </w:p>
        </w:tc>
        <w:tc>
          <w:tcPr>
            <w:tcW w:w="1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gridSpan w:val="3"/>
            <w:shd w:val="clear" w:color="auto" w:fill="CFF0FC"/>
          </w:tcPr>
          <w:p>
            <w:pPr>
              <w:jc w:val="right"/>
              <w:ind w:right="360"/>
              <w:spacing w:after="0"/>
              <w:rPr>
                <w:sz w:val="20"/>
                <w:szCs w:val="20"/>
                <w:color w:val="auto"/>
              </w:rPr>
            </w:pPr>
            <w:r>
              <w:rPr>
                <w:rFonts w:ascii="Arial" w:cs="Arial" w:eastAsia="Arial" w:hAnsi="Arial"/>
                <w:sz w:val="13"/>
                <w:szCs w:val="13"/>
                <w:color w:val="auto"/>
              </w:rPr>
              <w:t>9.00% PIK)</w:t>
            </w: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First-lien loan (EUR 9,070 par, due</w:t>
            </w:r>
          </w:p>
        </w:tc>
        <w:tc>
          <w:tcPr>
            <w:tcW w:w="9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4/9/2019</w:t>
            </w:r>
          </w:p>
        </w:tc>
        <w:tc>
          <w:tcPr>
            <w:tcW w:w="120" w:type="dxa"/>
            <w:vAlign w:val="bottom"/>
          </w:tcPr>
          <w:p>
            <w:pPr>
              <w:spacing w:after="0"/>
              <w:rPr>
                <w:sz w:val="9"/>
                <w:szCs w:val="9"/>
                <w:color w:val="auto"/>
              </w:rPr>
            </w:pPr>
          </w:p>
        </w:tc>
        <w:tc>
          <w:tcPr>
            <w:tcW w:w="1140" w:type="dxa"/>
            <w:vAlign w:val="bottom"/>
            <w:gridSpan w:val="2"/>
          </w:tcPr>
          <w:p>
            <w:pPr>
              <w:jc w:val="right"/>
              <w:ind w:right="260"/>
              <w:spacing w:after="0" w:line="108" w:lineRule="exact"/>
              <w:rPr>
                <w:sz w:val="20"/>
                <w:szCs w:val="20"/>
                <w:color w:val="auto"/>
              </w:rPr>
            </w:pPr>
            <w:r>
              <w:rPr>
                <w:rFonts w:ascii="Arial" w:cs="Arial" w:eastAsia="Arial" w:hAnsi="Arial"/>
                <w:sz w:val="12"/>
                <w:szCs w:val="12"/>
                <w:color w:val="auto"/>
              </w:rPr>
              <w:t>E + 9.00%</w:t>
            </w:r>
          </w:p>
        </w:tc>
        <w:tc>
          <w:tcPr>
            <w:tcW w:w="1380" w:type="dxa"/>
            <w:vAlign w:val="bottom"/>
            <w:gridSpan w:val="3"/>
          </w:tcPr>
          <w:p>
            <w:pPr>
              <w:jc w:val="right"/>
              <w:ind w:right="360"/>
              <w:spacing w:after="0" w:line="108" w:lineRule="exact"/>
              <w:rPr>
                <w:sz w:val="20"/>
                <w:szCs w:val="20"/>
                <w:color w:val="auto"/>
              </w:rPr>
            </w:pPr>
            <w:r>
              <w:rPr>
                <w:rFonts w:ascii="Arial" w:cs="Arial" w:eastAsia="Arial" w:hAnsi="Arial"/>
                <w:sz w:val="12"/>
                <w:szCs w:val="12"/>
                <w:color w:val="auto"/>
              </w:rPr>
              <w:t>9.00% PIK</w:t>
            </w:r>
          </w:p>
        </w:tc>
        <w:tc>
          <w:tcPr>
            <w:tcW w:w="760" w:type="dxa"/>
            <w:vAlign w:val="bottom"/>
          </w:tcPr>
          <w:p>
            <w:pPr>
              <w:jc w:val="right"/>
              <w:spacing w:after="0" w:line="108" w:lineRule="exact"/>
              <w:rPr>
                <w:sz w:val="20"/>
                <w:szCs w:val="20"/>
                <w:color w:val="auto"/>
              </w:rPr>
            </w:pPr>
            <w:r>
              <w:rPr>
                <w:rFonts w:ascii="Arial" w:cs="Arial" w:eastAsia="Arial" w:hAnsi="Arial"/>
                <w:sz w:val="12"/>
                <w:szCs w:val="12"/>
                <w:color w:val="auto"/>
              </w:rPr>
              <w:t>10,070</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10,470</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0.8 %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260" w:type="dxa"/>
            <w:vAlign w:val="bottom"/>
          </w:tcPr>
          <w:p>
            <w:pPr>
              <w:spacing w:after="0"/>
              <w:rPr>
                <w:sz w:val="13"/>
                <w:szCs w:val="13"/>
                <w:color w:val="auto"/>
              </w:rPr>
            </w:pPr>
          </w:p>
        </w:tc>
        <w:tc>
          <w:tcPr>
            <w:tcW w:w="600" w:type="dxa"/>
            <w:vAlign w:val="bottom"/>
            <w:gridSpan w:val="2"/>
          </w:tcPr>
          <w:p>
            <w:pPr>
              <w:ind w:left="140"/>
              <w:spacing w:after="0"/>
              <w:rPr>
                <w:sz w:val="20"/>
                <w:szCs w:val="20"/>
                <w:color w:val="auto"/>
              </w:rPr>
            </w:pPr>
            <w:r>
              <w:rPr>
                <w:rFonts w:ascii="Arial" w:cs="Arial" w:eastAsia="Arial" w:hAnsi="Arial"/>
                <w:sz w:val="13"/>
                <w:szCs w:val="13"/>
                <w:color w:val="auto"/>
                <w:w w:val="99"/>
              </w:rPr>
              <w:t>4/2025)</w:t>
            </w: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(EUR 9,206)</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20" w:type="dxa"/>
            <w:vAlign w:val="bottom"/>
            <w:gridSpan w:val="2"/>
            <w:shd w:val="clear" w:color="auto" w:fill="CFF0FC"/>
          </w:tcPr>
          <w:p>
            <w:pPr>
              <w:ind w:left="20"/>
              <w:spacing w:after="0" w:line="110" w:lineRule="exact"/>
              <w:rPr>
                <w:sz w:val="20"/>
                <w:szCs w:val="20"/>
                <w:color w:val="auto"/>
              </w:rPr>
            </w:pPr>
            <w:r>
              <w:rPr>
                <w:rFonts w:ascii="Arial" w:cs="Arial" w:eastAsia="Arial" w:hAnsi="Arial"/>
                <w:sz w:val="12"/>
                <w:szCs w:val="12"/>
                <w:color w:val="auto"/>
              </w:rPr>
              <w:t>First-lien revolving loan ($1,411 par,</w:t>
            </w:r>
          </w:p>
        </w:tc>
        <w:tc>
          <w:tcPr>
            <w:tcW w:w="9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4/9/2019</w:t>
            </w:r>
          </w:p>
        </w:tc>
        <w:tc>
          <w:tcPr>
            <w:tcW w:w="1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260"/>
              <w:spacing w:after="0" w:line="110" w:lineRule="exact"/>
              <w:rPr>
                <w:sz w:val="20"/>
                <w:szCs w:val="20"/>
                <w:color w:val="auto"/>
              </w:rPr>
            </w:pPr>
            <w:r>
              <w:rPr>
                <w:rFonts w:ascii="Arial" w:cs="Arial" w:eastAsia="Arial" w:hAnsi="Arial"/>
                <w:sz w:val="12"/>
                <w:szCs w:val="12"/>
                <w:color w:val="auto"/>
              </w:rPr>
              <w:t>L + 7.25%</w:t>
            </w:r>
          </w:p>
        </w:tc>
        <w:tc>
          <w:tcPr>
            <w:tcW w:w="1260" w:type="dxa"/>
            <w:vAlign w:val="bottom"/>
            <w:gridSpan w:val="2"/>
            <w:shd w:val="clear" w:color="auto" w:fill="CFF0FC"/>
          </w:tcPr>
          <w:p>
            <w:pPr>
              <w:jc w:val="right"/>
              <w:ind w:right="100"/>
              <w:spacing w:after="0" w:line="110" w:lineRule="exact"/>
              <w:rPr>
                <w:sz w:val="20"/>
                <w:szCs w:val="20"/>
                <w:color w:val="auto"/>
              </w:rPr>
            </w:pPr>
            <w:r>
              <w:rPr>
                <w:rFonts w:ascii="Arial" w:cs="Arial" w:eastAsia="Arial" w:hAnsi="Arial"/>
                <w:sz w:val="12"/>
                <w:szCs w:val="12"/>
                <w:color w:val="auto"/>
              </w:rPr>
              <w:t>8.75 %</w:t>
            </w: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0" w:lineRule="exact"/>
              <w:rPr>
                <w:sz w:val="20"/>
                <w:szCs w:val="20"/>
                <w:color w:val="auto"/>
              </w:rPr>
            </w:pPr>
            <w:r>
              <w:rPr>
                <w:rFonts w:ascii="Arial" w:cs="Arial" w:eastAsia="Arial" w:hAnsi="Arial"/>
                <w:sz w:val="12"/>
                <w:szCs w:val="12"/>
                <w:color w:val="auto"/>
              </w:rPr>
              <w:t>1,387</w:t>
            </w:r>
          </w:p>
        </w:tc>
        <w:tc>
          <w:tcPr>
            <w:tcW w:w="12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1,438</w:t>
            </w:r>
          </w:p>
        </w:tc>
        <w:tc>
          <w:tcPr>
            <w:tcW w:w="1300" w:type="dxa"/>
            <w:vAlign w:val="bottom"/>
            <w:gridSpan w:val="3"/>
            <w:shd w:val="clear" w:color="auto" w:fill="CFF0FC"/>
          </w:tcPr>
          <w:p>
            <w:pPr>
              <w:jc w:val="right"/>
              <w:spacing w:after="0" w:line="110" w:lineRule="exact"/>
              <w:rPr>
                <w:sz w:val="20"/>
                <w:szCs w:val="20"/>
                <w:color w:val="auto"/>
              </w:rPr>
            </w:pPr>
            <w:r>
              <w:rPr>
                <w:rFonts w:ascii="Arial" w:cs="Arial" w:eastAsia="Arial" w:hAnsi="Arial"/>
                <w:sz w:val="12"/>
                <w:szCs w:val="12"/>
                <w:color w:val="auto"/>
              </w:rPr>
              <w:t>0.1 %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due 4/2025)</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gridSpan w:val="2"/>
          </w:tcPr>
          <w:p>
            <w:pPr>
              <w:ind w:left="20"/>
              <w:spacing w:after="0" w:line="108" w:lineRule="exact"/>
              <w:rPr>
                <w:sz w:val="20"/>
                <w:szCs w:val="20"/>
                <w:color w:val="auto"/>
              </w:rPr>
            </w:pPr>
            <w:r>
              <w:rPr>
                <w:rFonts w:ascii="Arial" w:cs="Arial" w:eastAsia="Arial" w:hAnsi="Arial"/>
                <w:sz w:val="12"/>
                <w:szCs w:val="12"/>
                <w:color w:val="auto"/>
                <w:w w:val="97"/>
              </w:rPr>
              <w:t>First-lien revolving loan (EUR 336 par,</w:t>
            </w:r>
          </w:p>
        </w:tc>
        <w:tc>
          <w:tcPr>
            <w:tcW w:w="9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4/9/2019</w:t>
            </w:r>
          </w:p>
        </w:tc>
        <w:tc>
          <w:tcPr>
            <w:tcW w:w="120" w:type="dxa"/>
            <w:vAlign w:val="bottom"/>
          </w:tcPr>
          <w:p>
            <w:pPr>
              <w:spacing w:after="0"/>
              <w:rPr>
                <w:sz w:val="9"/>
                <w:szCs w:val="9"/>
                <w:color w:val="auto"/>
              </w:rPr>
            </w:pPr>
          </w:p>
        </w:tc>
        <w:tc>
          <w:tcPr>
            <w:tcW w:w="1140" w:type="dxa"/>
            <w:vAlign w:val="bottom"/>
            <w:gridSpan w:val="2"/>
          </w:tcPr>
          <w:p>
            <w:pPr>
              <w:jc w:val="right"/>
              <w:ind w:right="260"/>
              <w:spacing w:after="0" w:line="108" w:lineRule="exact"/>
              <w:rPr>
                <w:sz w:val="20"/>
                <w:szCs w:val="20"/>
                <w:color w:val="auto"/>
              </w:rPr>
            </w:pPr>
            <w:r>
              <w:rPr>
                <w:rFonts w:ascii="Arial" w:cs="Arial" w:eastAsia="Arial" w:hAnsi="Arial"/>
                <w:sz w:val="12"/>
                <w:szCs w:val="12"/>
                <w:color w:val="auto"/>
              </w:rPr>
              <w:t>E + 7.25%</w:t>
            </w:r>
          </w:p>
        </w:tc>
        <w:tc>
          <w:tcPr>
            <w:tcW w:w="1260" w:type="dxa"/>
            <w:vAlign w:val="bottom"/>
            <w:gridSpan w:val="2"/>
          </w:tcPr>
          <w:p>
            <w:pPr>
              <w:jc w:val="right"/>
              <w:ind w:right="100"/>
              <w:spacing w:after="0" w:line="108" w:lineRule="exact"/>
              <w:rPr>
                <w:sz w:val="20"/>
                <w:szCs w:val="20"/>
                <w:color w:val="auto"/>
              </w:rPr>
            </w:pPr>
            <w:r>
              <w:rPr>
                <w:rFonts w:ascii="Arial" w:cs="Arial" w:eastAsia="Arial" w:hAnsi="Arial"/>
                <w:sz w:val="12"/>
                <w:szCs w:val="12"/>
                <w:color w:val="auto"/>
              </w:rPr>
              <w:t>8.75 %</w:t>
            </w:r>
          </w:p>
        </w:tc>
        <w:tc>
          <w:tcPr>
            <w:tcW w:w="12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2"/>
                <w:szCs w:val="12"/>
                <w:color w:val="auto"/>
              </w:rPr>
              <w:t>370</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382</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0.0 %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2"/>
          </w:tcPr>
          <w:p>
            <w:pPr>
              <w:ind w:left="20"/>
              <w:spacing w:after="0"/>
              <w:rPr>
                <w:sz w:val="20"/>
                <w:szCs w:val="20"/>
                <w:color w:val="auto"/>
              </w:rPr>
            </w:pPr>
            <w:r>
              <w:rPr>
                <w:rFonts w:ascii="Arial" w:cs="Arial" w:eastAsia="Arial" w:hAnsi="Arial"/>
                <w:sz w:val="13"/>
                <w:szCs w:val="13"/>
                <w:color w:val="auto"/>
              </w:rPr>
              <w:t>due 4/2025)</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(EUR 336)</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260" w:type="dxa"/>
            <w:vAlign w:val="bottom"/>
            <w:shd w:val="clear" w:color="auto" w:fill="CFF0FC"/>
          </w:tcPr>
          <w:p>
            <w:pPr>
              <w:ind w:left="20"/>
              <w:spacing w:after="0" w:line="110" w:lineRule="exact"/>
              <w:rPr>
                <w:sz w:val="20"/>
                <w:szCs w:val="20"/>
                <w:color w:val="auto"/>
              </w:rPr>
            </w:pPr>
            <w:r>
              <w:rPr>
                <w:rFonts w:ascii="Arial" w:cs="Arial" w:eastAsia="Arial" w:hAnsi="Arial"/>
                <w:sz w:val="10"/>
                <w:szCs w:val="10"/>
                <w:color w:val="auto"/>
              </w:rPr>
              <w:t xml:space="preserve">Passport Labs, Inc. </w:t>
            </w:r>
            <w:r>
              <w:rPr>
                <w:rFonts w:ascii="Arial" w:cs="Arial" w:eastAsia="Arial" w:hAnsi="Arial"/>
                <w:sz w:val="12"/>
                <w:szCs w:val="12"/>
                <w:color w:val="auto"/>
                <w:vertAlign w:val="superscript"/>
              </w:rPr>
              <w:t>(3)</w:t>
            </w:r>
          </w:p>
        </w:tc>
        <w:tc>
          <w:tcPr>
            <w:tcW w:w="120" w:type="dxa"/>
            <w:vAlign w:val="bottom"/>
            <w:shd w:val="clear" w:color="auto" w:fill="CFF0FC"/>
          </w:tcPr>
          <w:p>
            <w:pPr>
              <w:spacing w:after="0"/>
              <w:rPr>
                <w:sz w:val="9"/>
                <w:szCs w:val="9"/>
                <w:color w:val="auto"/>
              </w:rPr>
            </w:pPr>
          </w:p>
        </w:tc>
        <w:tc>
          <w:tcPr>
            <w:tcW w:w="2020" w:type="dxa"/>
            <w:vAlign w:val="bottom"/>
            <w:gridSpan w:val="2"/>
            <w:shd w:val="clear" w:color="auto" w:fill="CFF0FC"/>
          </w:tcPr>
          <w:p>
            <w:pPr>
              <w:ind w:left="20"/>
              <w:spacing w:after="0" w:line="110" w:lineRule="exact"/>
              <w:rPr>
                <w:sz w:val="20"/>
                <w:szCs w:val="20"/>
                <w:color w:val="auto"/>
              </w:rPr>
            </w:pPr>
            <w:r>
              <w:rPr>
                <w:rFonts w:ascii="Arial" w:cs="Arial" w:eastAsia="Arial" w:hAnsi="Arial"/>
                <w:sz w:val="12"/>
                <w:szCs w:val="12"/>
                <w:color w:val="auto"/>
              </w:rPr>
              <w:t>First-lien loan ($17,018 par, due</w:t>
            </w:r>
          </w:p>
        </w:tc>
        <w:tc>
          <w:tcPr>
            <w:tcW w:w="9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4/28/2021</w:t>
            </w:r>
          </w:p>
        </w:tc>
        <w:tc>
          <w:tcPr>
            <w:tcW w:w="1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260"/>
              <w:spacing w:after="0" w:line="110" w:lineRule="exact"/>
              <w:rPr>
                <w:sz w:val="20"/>
                <w:szCs w:val="20"/>
                <w:color w:val="auto"/>
              </w:rPr>
            </w:pPr>
            <w:r>
              <w:rPr>
                <w:rFonts w:ascii="Arial" w:cs="Arial" w:eastAsia="Arial" w:hAnsi="Arial"/>
                <w:sz w:val="12"/>
                <w:szCs w:val="12"/>
                <w:color w:val="auto"/>
              </w:rPr>
              <w:t>L + 8.25%</w:t>
            </w:r>
          </w:p>
        </w:tc>
        <w:tc>
          <w:tcPr>
            <w:tcW w:w="1380" w:type="dxa"/>
            <w:vAlign w:val="bottom"/>
            <w:gridSpan w:val="3"/>
            <w:shd w:val="clear" w:color="auto" w:fill="CFF0FC"/>
          </w:tcPr>
          <w:p>
            <w:pPr>
              <w:jc w:val="right"/>
              <w:ind w:right="380"/>
              <w:spacing w:after="0" w:line="110" w:lineRule="exact"/>
              <w:rPr>
                <w:sz w:val="20"/>
                <w:szCs w:val="20"/>
                <w:color w:val="auto"/>
              </w:rPr>
            </w:pPr>
            <w:r>
              <w:rPr>
                <w:rFonts w:ascii="Arial" w:cs="Arial" w:eastAsia="Arial" w:hAnsi="Arial"/>
                <w:sz w:val="12"/>
                <w:szCs w:val="12"/>
                <w:color w:val="auto"/>
              </w:rPr>
              <w:t>9.25% (incl.</w:t>
            </w:r>
          </w:p>
        </w:tc>
        <w:tc>
          <w:tcPr>
            <w:tcW w:w="760" w:type="dxa"/>
            <w:vAlign w:val="bottom"/>
            <w:shd w:val="clear" w:color="auto" w:fill="CFF0FC"/>
          </w:tcPr>
          <w:p>
            <w:pPr>
              <w:jc w:val="right"/>
              <w:spacing w:after="0" w:line="110" w:lineRule="exact"/>
              <w:rPr>
                <w:sz w:val="20"/>
                <w:szCs w:val="20"/>
                <w:color w:val="auto"/>
              </w:rPr>
            </w:pPr>
            <w:r>
              <w:rPr>
                <w:rFonts w:ascii="Arial" w:cs="Arial" w:eastAsia="Arial" w:hAnsi="Arial"/>
                <w:sz w:val="12"/>
                <w:szCs w:val="12"/>
                <w:color w:val="auto"/>
              </w:rPr>
              <w:t>16,721</w:t>
            </w:r>
          </w:p>
        </w:tc>
        <w:tc>
          <w:tcPr>
            <w:tcW w:w="12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16,864</w:t>
            </w:r>
          </w:p>
        </w:tc>
        <w:tc>
          <w:tcPr>
            <w:tcW w:w="1300" w:type="dxa"/>
            <w:vAlign w:val="bottom"/>
            <w:gridSpan w:val="3"/>
            <w:shd w:val="clear" w:color="auto" w:fill="CFF0FC"/>
          </w:tcPr>
          <w:p>
            <w:pPr>
              <w:jc w:val="right"/>
              <w:spacing w:after="0" w:line="110" w:lineRule="exact"/>
              <w:rPr>
                <w:sz w:val="20"/>
                <w:szCs w:val="20"/>
                <w:color w:val="auto"/>
              </w:rPr>
            </w:pPr>
            <w:r>
              <w:rPr>
                <w:rFonts w:ascii="Arial" w:cs="Arial" w:eastAsia="Arial" w:hAnsi="Arial"/>
                <w:sz w:val="12"/>
                <w:szCs w:val="12"/>
                <w:color w:val="auto"/>
              </w:rPr>
              <w:t>1.3 %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w w:val="99"/>
              </w:rPr>
              <w:t>4/2026)</w:t>
            </w:r>
          </w:p>
        </w:tc>
        <w:tc>
          <w:tcPr>
            <w:tcW w:w="1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gridSpan w:val="3"/>
            <w:shd w:val="clear" w:color="auto" w:fill="CFF0FC"/>
          </w:tcPr>
          <w:p>
            <w:pPr>
              <w:jc w:val="right"/>
              <w:ind w:right="360"/>
              <w:spacing w:after="0"/>
              <w:rPr>
                <w:sz w:val="20"/>
                <w:szCs w:val="20"/>
                <w:color w:val="auto"/>
              </w:rPr>
            </w:pPr>
            <w:r>
              <w:rPr>
                <w:rFonts w:ascii="Arial" w:cs="Arial" w:eastAsia="Arial" w:hAnsi="Arial"/>
                <w:sz w:val="13"/>
                <w:szCs w:val="13"/>
                <w:color w:val="auto"/>
              </w:rPr>
              <w:t>4.125% PIK)</w:t>
            </w: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6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PrimeRevenue, Inc. </w:t>
            </w:r>
            <w:r>
              <w:rPr>
                <w:rFonts w:ascii="Arial" w:cs="Arial" w:eastAsia="Arial" w:hAnsi="Arial"/>
                <w:sz w:val="12"/>
                <w:szCs w:val="12"/>
                <w:color w:val="auto"/>
                <w:vertAlign w:val="superscript"/>
              </w:rPr>
              <w:t>(3)</w:t>
            </w:r>
          </w:p>
        </w:tc>
        <w:tc>
          <w:tcPr>
            <w:tcW w:w="120" w:type="dxa"/>
            <w:vAlign w:val="bottom"/>
          </w:tcPr>
          <w:p>
            <w:pPr>
              <w:spacing w:after="0"/>
              <w:rPr>
                <w:sz w:val="9"/>
                <w:szCs w:val="9"/>
                <w:color w:val="auto"/>
              </w:rPr>
            </w:pPr>
          </w:p>
        </w:tc>
        <w:tc>
          <w:tcPr>
            <w:tcW w:w="202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First-lien loan ($22,507 par, due</w:t>
            </w:r>
          </w:p>
        </w:tc>
        <w:tc>
          <w:tcPr>
            <w:tcW w:w="9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12/31/2018</w:t>
            </w:r>
          </w:p>
        </w:tc>
        <w:tc>
          <w:tcPr>
            <w:tcW w:w="120" w:type="dxa"/>
            <w:vAlign w:val="bottom"/>
          </w:tcPr>
          <w:p>
            <w:pPr>
              <w:spacing w:after="0"/>
              <w:rPr>
                <w:sz w:val="9"/>
                <w:szCs w:val="9"/>
                <w:color w:val="auto"/>
              </w:rPr>
            </w:pPr>
          </w:p>
        </w:tc>
        <w:tc>
          <w:tcPr>
            <w:tcW w:w="1140" w:type="dxa"/>
            <w:vAlign w:val="bottom"/>
            <w:gridSpan w:val="2"/>
          </w:tcPr>
          <w:p>
            <w:pPr>
              <w:jc w:val="right"/>
              <w:ind w:right="260"/>
              <w:spacing w:after="0" w:line="108" w:lineRule="exact"/>
              <w:rPr>
                <w:sz w:val="20"/>
                <w:szCs w:val="20"/>
                <w:color w:val="auto"/>
              </w:rPr>
            </w:pPr>
            <w:r>
              <w:rPr>
                <w:rFonts w:ascii="Arial" w:cs="Arial" w:eastAsia="Arial" w:hAnsi="Arial"/>
                <w:sz w:val="12"/>
                <w:szCs w:val="12"/>
                <w:color w:val="auto"/>
              </w:rPr>
              <w:t>L + 7.00%</w:t>
            </w:r>
          </w:p>
        </w:tc>
        <w:tc>
          <w:tcPr>
            <w:tcW w:w="1260" w:type="dxa"/>
            <w:vAlign w:val="bottom"/>
            <w:gridSpan w:val="2"/>
          </w:tcPr>
          <w:p>
            <w:pPr>
              <w:jc w:val="right"/>
              <w:ind w:right="100"/>
              <w:spacing w:after="0" w:line="108" w:lineRule="exact"/>
              <w:rPr>
                <w:sz w:val="20"/>
                <w:szCs w:val="20"/>
                <w:color w:val="auto"/>
              </w:rPr>
            </w:pPr>
            <w:r>
              <w:rPr>
                <w:rFonts w:ascii="Arial" w:cs="Arial" w:eastAsia="Arial" w:hAnsi="Arial"/>
                <w:sz w:val="12"/>
                <w:szCs w:val="12"/>
                <w:color w:val="auto"/>
              </w:rPr>
              <w:t>8.50 %</w:t>
            </w:r>
          </w:p>
        </w:tc>
        <w:tc>
          <w:tcPr>
            <w:tcW w:w="12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2"/>
                <w:szCs w:val="12"/>
                <w:color w:val="auto"/>
              </w:rPr>
              <w:t>22,365</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23,015</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1.8 %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260" w:type="dxa"/>
            <w:vAlign w:val="bottom"/>
          </w:tcPr>
          <w:p>
            <w:pPr>
              <w:spacing w:after="0"/>
              <w:rPr>
                <w:sz w:val="13"/>
                <w:szCs w:val="13"/>
                <w:color w:val="auto"/>
              </w:rPr>
            </w:pPr>
          </w:p>
        </w:tc>
        <w:tc>
          <w:tcPr>
            <w:tcW w:w="600" w:type="dxa"/>
            <w:vAlign w:val="bottom"/>
            <w:gridSpan w:val="2"/>
          </w:tcPr>
          <w:p>
            <w:pPr>
              <w:ind w:left="140"/>
              <w:spacing w:after="0"/>
              <w:rPr>
                <w:sz w:val="20"/>
                <w:szCs w:val="20"/>
                <w:color w:val="auto"/>
              </w:rPr>
            </w:pPr>
            <w:r>
              <w:rPr>
                <w:rFonts w:ascii="Arial" w:cs="Arial" w:eastAsia="Arial" w:hAnsi="Arial"/>
                <w:sz w:val="13"/>
                <w:szCs w:val="13"/>
                <w:color w:val="auto"/>
                <w:w w:val="85"/>
              </w:rPr>
              <w:t>12/2023)</w:t>
            </w: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260" w:type="dxa"/>
            <w:vAlign w:val="bottom"/>
            <w:shd w:val="clear" w:color="auto" w:fill="CFF0FC"/>
          </w:tcPr>
          <w:p>
            <w:pPr>
              <w:ind w:left="20"/>
              <w:spacing w:after="0" w:line="110" w:lineRule="exact"/>
              <w:rPr>
                <w:sz w:val="20"/>
                <w:szCs w:val="20"/>
                <w:color w:val="auto"/>
              </w:rPr>
            </w:pPr>
            <w:r>
              <w:rPr>
                <w:rFonts w:ascii="Arial" w:cs="Arial" w:eastAsia="Arial" w:hAnsi="Arial"/>
                <w:sz w:val="10"/>
                <w:szCs w:val="10"/>
                <w:color w:val="auto"/>
              </w:rPr>
              <w:t xml:space="preserve">TradingScreen, Inc. </w:t>
            </w:r>
            <w:r>
              <w:rPr>
                <w:rFonts w:ascii="Arial" w:cs="Arial" w:eastAsia="Arial" w:hAnsi="Arial"/>
                <w:sz w:val="12"/>
                <w:szCs w:val="12"/>
                <w:color w:val="auto"/>
                <w:vertAlign w:val="superscript"/>
              </w:rPr>
              <w:t>(3)(5)</w:t>
            </w:r>
          </w:p>
        </w:tc>
        <w:tc>
          <w:tcPr>
            <w:tcW w:w="120" w:type="dxa"/>
            <w:vAlign w:val="bottom"/>
            <w:shd w:val="clear" w:color="auto" w:fill="CFF0FC"/>
          </w:tcPr>
          <w:p>
            <w:pPr>
              <w:spacing w:after="0"/>
              <w:rPr>
                <w:sz w:val="9"/>
                <w:szCs w:val="9"/>
                <w:color w:val="auto"/>
              </w:rPr>
            </w:pPr>
          </w:p>
        </w:tc>
        <w:tc>
          <w:tcPr>
            <w:tcW w:w="2020" w:type="dxa"/>
            <w:vAlign w:val="bottom"/>
            <w:gridSpan w:val="2"/>
            <w:shd w:val="clear" w:color="auto" w:fill="CFF0FC"/>
          </w:tcPr>
          <w:p>
            <w:pPr>
              <w:ind w:left="20"/>
              <w:spacing w:after="0" w:line="110" w:lineRule="exact"/>
              <w:rPr>
                <w:sz w:val="20"/>
                <w:szCs w:val="20"/>
                <w:color w:val="auto"/>
              </w:rPr>
            </w:pPr>
            <w:r>
              <w:rPr>
                <w:rFonts w:ascii="Arial" w:cs="Arial" w:eastAsia="Arial" w:hAnsi="Arial"/>
                <w:sz w:val="12"/>
                <w:szCs w:val="12"/>
                <w:color w:val="auto"/>
              </w:rPr>
              <w:t>First-lien loan ($45,000 par, due</w:t>
            </w:r>
          </w:p>
        </w:tc>
        <w:tc>
          <w:tcPr>
            <w:tcW w:w="9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4/30/2021</w:t>
            </w:r>
          </w:p>
        </w:tc>
        <w:tc>
          <w:tcPr>
            <w:tcW w:w="1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260"/>
              <w:spacing w:after="0" w:line="110" w:lineRule="exact"/>
              <w:rPr>
                <w:sz w:val="20"/>
                <w:szCs w:val="20"/>
                <w:color w:val="auto"/>
              </w:rPr>
            </w:pPr>
            <w:r>
              <w:rPr>
                <w:rFonts w:ascii="Arial" w:cs="Arial" w:eastAsia="Arial" w:hAnsi="Arial"/>
                <w:sz w:val="12"/>
                <w:szCs w:val="12"/>
                <w:color w:val="auto"/>
              </w:rPr>
              <w:t>L + 6.25%</w:t>
            </w:r>
          </w:p>
        </w:tc>
        <w:tc>
          <w:tcPr>
            <w:tcW w:w="1260" w:type="dxa"/>
            <w:vAlign w:val="bottom"/>
            <w:gridSpan w:val="2"/>
            <w:shd w:val="clear" w:color="auto" w:fill="CFF0FC"/>
          </w:tcPr>
          <w:p>
            <w:pPr>
              <w:jc w:val="right"/>
              <w:ind w:right="100"/>
              <w:spacing w:after="0" w:line="110" w:lineRule="exact"/>
              <w:rPr>
                <w:sz w:val="20"/>
                <w:szCs w:val="20"/>
                <w:color w:val="auto"/>
              </w:rPr>
            </w:pPr>
            <w:r>
              <w:rPr>
                <w:rFonts w:ascii="Arial" w:cs="Arial" w:eastAsia="Arial" w:hAnsi="Arial"/>
                <w:sz w:val="12"/>
                <w:szCs w:val="12"/>
                <w:color w:val="auto"/>
              </w:rPr>
              <w:t>7.25 %</w:t>
            </w: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0" w:lineRule="exact"/>
              <w:rPr>
                <w:sz w:val="20"/>
                <w:szCs w:val="20"/>
                <w:color w:val="auto"/>
              </w:rPr>
            </w:pPr>
            <w:r>
              <w:rPr>
                <w:rFonts w:ascii="Arial" w:cs="Arial" w:eastAsia="Arial" w:hAnsi="Arial"/>
                <w:sz w:val="12"/>
                <w:szCs w:val="12"/>
                <w:color w:val="auto"/>
              </w:rPr>
              <w:t>43,771</w:t>
            </w:r>
          </w:p>
        </w:tc>
        <w:tc>
          <w:tcPr>
            <w:tcW w:w="12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44,325</w:t>
            </w:r>
          </w:p>
        </w:tc>
        <w:tc>
          <w:tcPr>
            <w:tcW w:w="1300" w:type="dxa"/>
            <w:vAlign w:val="bottom"/>
            <w:gridSpan w:val="3"/>
            <w:shd w:val="clear" w:color="auto" w:fill="CFF0FC"/>
          </w:tcPr>
          <w:p>
            <w:pPr>
              <w:jc w:val="right"/>
              <w:spacing w:after="0" w:line="110" w:lineRule="exact"/>
              <w:rPr>
                <w:sz w:val="20"/>
                <w:szCs w:val="20"/>
                <w:color w:val="auto"/>
              </w:rPr>
            </w:pPr>
            <w:r>
              <w:rPr>
                <w:rFonts w:ascii="Arial" w:cs="Arial" w:eastAsia="Arial" w:hAnsi="Arial"/>
                <w:sz w:val="12"/>
                <w:szCs w:val="12"/>
                <w:color w:val="auto"/>
              </w:rPr>
              <w:t>3.5 %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3"/>
                <w:szCs w:val="13"/>
                <w:color w:val="auto"/>
                <w:w w:val="99"/>
              </w:rPr>
              <w:t>4/2027)</w:t>
            </w:r>
          </w:p>
        </w:tc>
        <w:tc>
          <w:tcPr>
            <w:tcW w:w="15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275,876</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281,959</w:t>
            </w: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22.0 %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-4391660</wp:posOffset>
            </wp:positionV>
            <wp:extent cx="6858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-4391660</wp:posOffset>
            </wp:positionV>
            <wp:extent cx="6858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-4391660</wp:posOffset>
            </wp:positionV>
            <wp:extent cx="6858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-3576955</wp:posOffset>
            </wp:positionV>
            <wp:extent cx="6858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-3576955</wp:posOffset>
            </wp:positionV>
            <wp:extent cx="6858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-3576955</wp:posOffset>
            </wp:positionV>
            <wp:extent cx="6858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-2625725</wp:posOffset>
            </wp:positionV>
            <wp:extent cx="6858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-2625725</wp:posOffset>
            </wp:positionV>
            <wp:extent cx="685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-2625725</wp:posOffset>
            </wp:positionV>
            <wp:extent cx="6858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-105410</wp:posOffset>
            </wp:positionV>
            <wp:extent cx="6858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-105410</wp:posOffset>
            </wp:positionV>
            <wp:extent cx="6858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-105410</wp:posOffset>
            </wp:positionV>
            <wp:extent cx="6858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-5080</wp:posOffset>
            </wp:positionV>
            <wp:extent cx="2091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939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2140" w:type="dxa"/>
            <w:vAlign w:val="bottom"/>
          </w:tcPr>
          <w:p>
            <w:pPr>
              <w:ind w:left="20"/>
              <w:spacing w:after="0"/>
              <w:rPr>
                <w:sz w:val="20"/>
                <w:szCs w:val="20"/>
                <w:color w:val="auto"/>
              </w:rPr>
            </w:pPr>
            <w:r>
              <w:rPr>
                <w:rFonts w:ascii="Arial" w:cs="Arial" w:eastAsia="Arial" w:hAnsi="Arial"/>
                <w:sz w:val="13"/>
                <w:szCs w:val="13"/>
                <w:color w:val="auto"/>
              </w:rPr>
              <w:t xml:space="preserve">BCTO Ace Purchaser, Inc. </w:t>
            </w:r>
            <w:r>
              <w:rPr>
                <w:rFonts w:ascii="Arial" w:cs="Arial" w:eastAsia="Arial" w:hAnsi="Arial"/>
                <w:sz w:val="16"/>
                <w:szCs w:val="16"/>
                <w:color w:val="auto"/>
                <w:vertAlign w:val="superscript"/>
              </w:rPr>
              <w:t>(3)(5)</w:t>
            </w:r>
          </w:p>
        </w:tc>
        <w:tc>
          <w:tcPr>
            <w:tcW w:w="2420" w:type="dxa"/>
            <w:vAlign w:val="bottom"/>
          </w:tcPr>
          <w:p>
            <w:pPr>
              <w:ind w:left="260"/>
              <w:spacing w:after="0"/>
              <w:rPr>
                <w:sz w:val="20"/>
                <w:szCs w:val="20"/>
                <w:color w:val="auto"/>
              </w:rPr>
            </w:pPr>
            <w:r>
              <w:rPr>
                <w:rFonts w:ascii="Arial" w:cs="Arial" w:eastAsia="Arial" w:hAnsi="Arial"/>
                <w:sz w:val="13"/>
                <w:szCs w:val="13"/>
                <w:color w:val="auto"/>
              </w:rPr>
              <w:t>First-lien loan ($53,094 par, due</w:t>
            </w:r>
          </w:p>
        </w:tc>
        <w:tc>
          <w:tcPr>
            <w:tcW w:w="980" w:type="dxa"/>
            <w:vAlign w:val="bottom"/>
          </w:tcPr>
          <w:p>
            <w:pPr>
              <w:jc w:val="right"/>
              <w:ind w:right="162"/>
              <w:spacing w:after="0"/>
              <w:rPr>
                <w:sz w:val="20"/>
                <w:szCs w:val="20"/>
                <w:color w:val="auto"/>
              </w:rPr>
            </w:pPr>
            <w:r>
              <w:rPr>
                <w:rFonts w:ascii="Arial" w:cs="Arial" w:eastAsia="Arial" w:hAnsi="Arial"/>
                <w:sz w:val="13"/>
                <w:szCs w:val="13"/>
                <w:color w:val="auto"/>
              </w:rPr>
              <w:t>11/23/2020</w:t>
            </w:r>
          </w:p>
        </w:tc>
        <w:tc>
          <w:tcPr>
            <w:tcW w:w="1140" w:type="dxa"/>
            <w:vAlign w:val="bottom"/>
          </w:tcPr>
          <w:p>
            <w:pPr>
              <w:jc w:val="right"/>
              <w:ind w:right="302"/>
              <w:spacing w:after="0"/>
              <w:rPr>
                <w:sz w:val="20"/>
                <w:szCs w:val="20"/>
                <w:color w:val="auto"/>
              </w:rPr>
            </w:pPr>
            <w:r>
              <w:rPr>
                <w:rFonts w:ascii="Arial" w:cs="Arial" w:eastAsia="Arial" w:hAnsi="Arial"/>
                <w:sz w:val="13"/>
                <w:szCs w:val="13"/>
                <w:color w:val="auto"/>
              </w:rPr>
              <w:t>L + 6.50%</w:t>
            </w:r>
          </w:p>
        </w:tc>
        <w:tc>
          <w:tcPr>
            <w:tcW w:w="1160" w:type="dxa"/>
            <w:vAlign w:val="bottom"/>
          </w:tcPr>
          <w:p>
            <w:pPr>
              <w:jc w:val="right"/>
              <w:ind w:right="42"/>
              <w:spacing w:after="0"/>
              <w:rPr>
                <w:sz w:val="20"/>
                <w:szCs w:val="20"/>
                <w:color w:val="auto"/>
              </w:rPr>
            </w:pPr>
            <w:r>
              <w:rPr>
                <w:rFonts w:ascii="Arial" w:cs="Arial" w:eastAsia="Arial" w:hAnsi="Arial"/>
                <w:sz w:val="13"/>
                <w:szCs w:val="13"/>
                <w:color w:val="auto"/>
              </w:rPr>
              <w:t>7.50 %</w:t>
            </w:r>
          </w:p>
        </w:tc>
        <w:tc>
          <w:tcPr>
            <w:tcW w:w="880" w:type="dxa"/>
            <w:vAlign w:val="bottom"/>
          </w:tcPr>
          <w:p>
            <w:pPr>
              <w:jc w:val="right"/>
              <w:spacing w:after="0"/>
              <w:rPr>
                <w:sz w:val="20"/>
                <w:szCs w:val="20"/>
                <w:color w:val="auto"/>
              </w:rPr>
            </w:pPr>
            <w:r>
              <w:rPr>
                <w:rFonts w:ascii="Arial" w:cs="Arial" w:eastAsia="Arial" w:hAnsi="Arial"/>
                <w:sz w:val="13"/>
                <w:szCs w:val="13"/>
                <w:color w:val="auto"/>
              </w:rPr>
              <w:t>51,815</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53,493</w:t>
            </w:r>
          </w:p>
        </w:tc>
        <w:tc>
          <w:tcPr>
            <w:tcW w:w="1320" w:type="dxa"/>
            <w:vAlign w:val="bottom"/>
            <w:gridSpan w:val="4"/>
          </w:tcPr>
          <w:p>
            <w:pPr>
              <w:jc w:val="right"/>
              <w:spacing w:after="0"/>
              <w:rPr>
                <w:sz w:val="20"/>
                <w:szCs w:val="20"/>
                <w:color w:val="auto"/>
              </w:rPr>
            </w:pPr>
            <w:r>
              <w:rPr>
                <w:rFonts w:ascii="Arial" w:cs="Arial" w:eastAsia="Arial" w:hAnsi="Arial"/>
                <w:sz w:val="13"/>
                <w:szCs w:val="13"/>
                <w:color w:val="auto"/>
              </w:rPr>
              <w:t>4.2 %</w:t>
            </w:r>
          </w:p>
        </w:tc>
      </w:tr>
      <w:tr>
        <w:trPr>
          <w:trHeight w:val="160"/>
        </w:trPr>
        <w:tc>
          <w:tcPr>
            <w:tcW w:w="2140" w:type="dxa"/>
            <w:vAlign w:val="bottom"/>
          </w:tcPr>
          <w:p>
            <w:pPr>
              <w:spacing w:after="0"/>
              <w:rPr>
                <w:sz w:val="13"/>
                <w:szCs w:val="13"/>
                <w:color w:val="auto"/>
              </w:rPr>
            </w:pPr>
          </w:p>
        </w:tc>
        <w:tc>
          <w:tcPr>
            <w:tcW w:w="2420" w:type="dxa"/>
            <w:vAlign w:val="bottom"/>
          </w:tcPr>
          <w:p>
            <w:pPr>
              <w:ind w:left="260"/>
              <w:spacing w:after="0"/>
              <w:rPr>
                <w:sz w:val="20"/>
                <w:szCs w:val="20"/>
                <w:color w:val="auto"/>
              </w:rPr>
            </w:pPr>
            <w:r>
              <w:rPr>
                <w:rFonts w:ascii="Arial" w:cs="Arial" w:eastAsia="Arial" w:hAnsi="Arial"/>
                <w:sz w:val="13"/>
                <w:szCs w:val="13"/>
                <w:color w:val="auto"/>
              </w:rPr>
              <w:t>11/2026)</w:t>
            </w: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2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Caris Life Sciences, Inc.</w:t>
            </w:r>
          </w:p>
        </w:tc>
        <w:tc>
          <w:tcPr>
            <w:tcW w:w="2420" w:type="dxa"/>
            <w:vAlign w:val="bottom"/>
            <w:shd w:val="clear" w:color="auto" w:fill="CFF0FC"/>
          </w:tcPr>
          <w:p>
            <w:pPr>
              <w:ind w:left="260"/>
              <w:spacing w:after="0"/>
              <w:rPr>
                <w:sz w:val="20"/>
                <w:szCs w:val="20"/>
                <w:color w:val="auto"/>
              </w:rPr>
            </w:pPr>
            <w:r>
              <w:rPr>
                <w:rFonts w:ascii="Arial" w:cs="Arial" w:eastAsia="Arial" w:hAnsi="Arial"/>
                <w:sz w:val="13"/>
                <w:szCs w:val="13"/>
                <w:color w:val="auto"/>
                <w:w w:val="95"/>
              </w:rPr>
              <w:t>First-lien loan ($5,000 par, due 9/2023)</w:t>
            </w:r>
          </w:p>
        </w:tc>
        <w:tc>
          <w:tcPr>
            <w:tcW w:w="980" w:type="dxa"/>
            <w:vAlign w:val="bottom"/>
            <w:shd w:val="clear" w:color="auto" w:fill="CFF0FC"/>
          </w:tcPr>
          <w:p>
            <w:pPr>
              <w:jc w:val="right"/>
              <w:ind w:right="162"/>
              <w:spacing w:after="0"/>
              <w:rPr>
                <w:sz w:val="20"/>
                <w:szCs w:val="20"/>
                <w:color w:val="auto"/>
              </w:rPr>
            </w:pPr>
            <w:r>
              <w:rPr>
                <w:rFonts w:ascii="Arial" w:cs="Arial" w:eastAsia="Arial" w:hAnsi="Arial"/>
                <w:sz w:val="13"/>
                <w:szCs w:val="13"/>
                <w:color w:val="auto"/>
              </w:rPr>
              <w:t>9/21/2018</w:t>
            </w:r>
          </w:p>
        </w:tc>
        <w:tc>
          <w:tcPr>
            <w:tcW w:w="1140" w:type="dxa"/>
            <w:vAlign w:val="bottom"/>
            <w:shd w:val="clear" w:color="auto" w:fill="CFF0FC"/>
          </w:tcPr>
          <w:p>
            <w:pPr>
              <w:jc w:val="right"/>
              <w:ind w:right="162"/>
              <w:spacing w:after="0"/>
              <w:rPr>
                <w:sz w:val="20"/>
                <w:szCs w:val="20"/>
                <w:color w:val="auto"/>
              </w:rPr>
            </w:pPr>
            <w:r>
              <w:rPr>
                <w:rFonts w:ascii="Arial" w:cs="Arial" w:eastAsia="Arial" w:hAnsi="Arial"/>
                <w:sz w:val="13"/>
                <w:szCs w:val="13"/>
                <w:color w:val="auto"/>
              </w:rPr>
              <w:t>11.30 %</w:t>
            </w: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3"/>
                <w:szCs w:val="13"/>
                <w:color w:val="auto"/>
              </w:rPr>
              <w:t>11.30 %</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4,925</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5,250</w:t>
            </w: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0.4 %</w:t>
            </w:r>
          </w:p>
        </w:tc>
        <w:tc>
          <w:tcPr>
            <w:tcW w:w="20" w:type="dxa"/>
            <w:vAlign w:val="bottom"/>
          </w:tcPr>
          <w:p>
            <w:pPr>
              <w:spacing w:after="0"/>
              <w:rPr>
                <w:sz w:val="13"/>
                <w:szCs w:val="13"/>
                <w:color w:val="auto"/>
              </w:rPr>
            </w:pPr>
          </w:p>
        </w:tc>
      </w:tr>
      <w:tr>
        <w:trPr>
          <w:trHeight w:val="148"/>
        </w:trPr>
        <w:tc>
          <w:tcPr>
            <w:tcW w:w="2140" w:type="dxa"/>
            <w:vAlign w:val="bottom"/>
          </w:tcPr>
          <w:p>
            <w:pPr>
              <w:spacing w:after="0"/>
              <w:rPr>
                <w:sz w:val="12"/>
                <w:szCs w:val="12"/>
                <w:color w:val="auto"/>
              </w:rPr>
            </w:pPr>
          </w:p>
        </w:tc>
        <w:tc>
          <w:tcPr>
            <w:tcW w:w="2420" w:type="dxa"/>
            <w:vAlign w:val="bottom"/>
          </w:tcPr>
          <w:p>
            <w:pPr>
              <w:ind w:left="260"/>
              <w:spacing w:after="0"/>
              <w:rPr>
                <w:sz w:val="20"/>
                <w:szCs w:val="20"/>
                <w:color w:val="auto"/>
              </w:rPr>
            </w:pPr>
            <w:r>
              <w:rPr>
                <w:rFonts w:ascii="Arial" w:cs="Arial" w:eastAsia="Arial" w:hAnsi="Arial"/>
                <w:sz w:val="13"/>
                <w:szCs w:val="13"/>
                <w:color w:val="auto"/>
                <w:w w:val="95"/>
              </w:rPr>
              <w:t>First-lien loan ($3,750 par, due 4/2025)</w:t>
            </w:r>
          </w:p>
        </w:tc>
        <w:tc>
          <w:tcPr>
            <w:tcW w:w="980" w:type="dxa"/>
            <w:vAlign w:val="bottom"/>
          </w:tcPr>
          <w:p>
            <w:pPr>
              <w:jc w:val="right"/>
              <w:ind w:right="162"/>
              <w:spacing w:after="0"/>
              <w:rPr>
                <w:sz w:val="20"/>
                <w:szCs w:val="20"/>
                <w:color w:val="auto"/>
              </w:rPr>
            </w:pPr>
            <w:r>
              <w:rPr>
                <w:rFonts w:ascii="Arial" w:cs="Arial" w:eastAsia="Arial" w:hAnsi="Arial"/>
                <w:sz w:val="13"/>
                <w:szCs w:val="13"/>
                <w:color w:val="auto"/>
              </w:rPr>
              <w:t>4/2/2020</w:t>
            </w:r>
          </w:p>
        </w:tc>
        <w:tc>
          <w:tcPr>
            <w:tcW w:w="1140" w:type="dxa"/>
            <w:vAlign w:val="bottom"/>
          </w:tcPr>
          <w:p>
            <w:pPr>
              <w:jc w:val="right"/>
              <w:ind w:right="162"/>
              <w:spacing w:after="0"/>
              <w:rPr>
                <w:sz w:val="20"/>
                <w:szCs w:val="20"/>
                <w:color w:val="auto"/>
              </w:rPr>
            </w:pPr>
            <w:r>
              <w:rPr>
                <w:rFonts w:ascii="Arial" w:cs="Arial" w:eastAsia="Arial" w:hAnsi="Arial"/>
                <w:sz w:val="13"/>
                <w:szCs w:val="13"/>
                <w:color w:val="auto"/>
              </w:rPr>
              <w:t>11.30 %</w:t>
            </w:r>
          </w:p>
        </w:tc>
        <w:tc>
          <w:tcPr>
            <w:tcW w:w="1160" w:type="dxa"/>
            <w:vAlign w:val="bottom"/>
          </w:tcPr>
          <w:p>
            <w:pPr>
              <w:jc w:val="right"/>
              <w:ind w:right="42"/>
              <w:spacing w:after="0"/>
              <w:rPr>
                <w:sz w:val="20"/>
                <w:szCs w:val="20"/>
                <w:color w:val="auto"/>
              </w:rPr>
            </w:pPr>
            <w:r>
              <w:rPr>
                <w:rFonts w:ascii="Arial" w:cs="Arial" w:eastAsia="Arial" w:hAnsi="Arial"/>
                <w:sz w:val="13"/>
                <w:szCs w:val="13"/>
                <w:color w:val="auto"/>
              </w:rPr>
              <w:t>11.30 %</w:t>
            </w:r>
          </w:p>
        </w:tc>
        <w:tc>
          <w:tcPr>
            <w:tcW w:w="880" w:type="dxa"/>
            <w:vAlign w:val="bottom"/>
          </w:tcPr>
          <w:p>
            <w:pPr>
              <w:jc w:val="right"/>
              <w:spacing w:after="0"/>
              <w:rPr>
                <w:sz w:val="20"/>
                <w:szCs w:val="20"/>
                <w:color w:val="auto"/>
              </w:rPr>
            </w:pPr>
            <w:r>
              <w:rPr>
                <w:rFonts w:ascii="Arial" w:cs="Arial" w:eastAsia="Arial" w:hAnsi="Arial"/>
                <w:sz w:val="13"/>
                <w:szCs w:val="13"/>
                <w:color w:val="auto"/>
              </w:rPr>
              <w:t>3,547</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4,031</w:t>
            </w: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0.3 %</w:t>
            </w:r>
          </w:p>
        </w:tc>
        <w:tc>
          <w:tcPr>
            <w:tcW w:w="20" w:type="dxa"/>
            <w:vAlign w:val="bottom"/>
          </w:tcPr>
          <w:p>
            <w:pPr>
              <w:spacing w:after="0"/>
              <w:rPr>
                <w:sz w:val="12"/>
                <w:szCs w:val="12"/>
                <w:color w:val="auto"/>
              </w:rPr>
            </w:pPr>
          </w:p>
        </w:tc>
      </w:tr>
      <w:tr>
        <w:trPr>
          <w:trHeight w:val="108"/>
        </w:trPr>
        <w:tc>
          <w:tcPr>
            <w:tcW w:w="2140" w:type="dxa"/>
            <w:vAlign w:val="bottom"/>
            <w:shd w:val="clear" w:color="auto" w:fill="CFF0FC"/>
          </w:tcPr>
          <w:p>
            <w:pPr>
              <w:spacing w:after="0"/>
              <w:rPr>
                <w:sz w:val="9"/>
                <w:szCs w:val="9"/>
                <w:color w:val="auto"/>
              </w:rPr>
            </w:pPr>
          </w:p>
        </w:tc>
        <w:tc>
          <w:tcPr>
            <w:tcW w:w="2420" w:type="dxa"/>
            <w:vAlign w:val="bottom"/>
            <w:shd w:val="clear" w:color="auto" w:fill="CFF0FC"/>
          </w:tcPr>
          <w:p>
            <w:pPr>
              <w:ind w:left="260"/>
              <w:spacing w:after="0" w:line="108" w:lineRule="exact"/>
              <w:rPr>
                <w:sz w:val="20"/>
                <w:szCs w:val="20"/>
                <w:color w:val="auto"/>
              </w:rPr>
            </w:pPr>
            <w:r>
              <w:rPr>
                <w:rFonts w:ascii="Arial" w:cs="Arial" w:eastAsia="Arial" w:hAnsi="Arial"/>
                <w:sz w:val="12"/>
                <w:szCs w:val="12"/>
                <w:color w:val="auto"/>
              </w:rPr>
              <w:t>Convertible note ($2,602 par, due</w:t>
            </w:r>
          </w:p>
        </w:tc>
        <w:tc>
          <w:tcPr>
            <w:tcW w:w="980" w:type="dxa"/>
            <w:vAlign w:val="bottom"/>
            <w:shd w:val="clear" w:color="auto" w:fill="CFF0FC"/>
          </w:tcPr>
          <w:p>
            <w:pPr>
              <w:jc w:val="right"/>
              <w:ind w:right="162"/>
              <w:spacing w:after="0" w:line="108" w:lineRule="exact"/>
              <w:rPr>
                <w:sz w:val="20"/>
                <w:szCs w:val="20"/>
                <w:color w:val="auto"/>
              </w:rPr>
            </w:pPr>
            <w:r>
              <w:rPr>
                <w:rFonts w:ascii="Arial" w:cs="Arial" w:eastAsia="Arial" w:hAnsi="Arial"/>
                <w:sz w:val="12"/>
                <w:szCs w:val="12"/>
                <w:color w:val="auto"/>
              </w:rPr>
              <w:t>9/21/2018</w:t>
            </w:r>
          </w:p>
        </w:tc>
        <w:tc>
          <w:tcPr>
            <w:tcW w:w="1140" w:type="dxa"/>
            <w:vAlign w:val="bottom"/>
            <w:shd w:val="clear" w:color="auto" w:fill="CFF0FC"/>
          </w:tcPr>
          <w:p>
            <w:pPr>
              <w:jc w:val="right"/>
              <w:ind w:right="162"/>
              <w:spacing w:after="0" w:line="108" w:lineRule="exact"/>
              <w:rPr>
                <w:sz w:val="20"/>
                <w:szCs w:val="20"/>
                <w:color w:val="auto"/>
              </w:rPr>
            </w:pPr>
            <w:r>
              <w:rPr>
                <w:rFonts w:ascii="Arial" w:cs="Arial" w:eastAsia="Arial" w:hAnsi="Arial"/>
                <w:sz w:val="12"/>
                <w:szCs w:val="12"/>
                <w:color w:val="auto"/>
              </w:rPr>
              <w:t>8.00 %</w:t>
            </w:r>
          </w:p>
        </w:tc>
        <w:tc>
          <w:tcPr>
            <w:tcW w:w="1160" w:type="dxa"/>
            <w:vAlign w:val="bottom"/>
            <w:shd w:val="clear" w:color="auto" w:fill="CFF0FC"/>
          </w:tcPr>
          <w:p>
            <w:pPr>
              <w:jc w:val="right"/>
              <w:ind w:right="42"/>
              <w:spacing w:after="0" w:line="108" w:lineRule="exact"/>
              <w:rPr>
                <w:sz w:val="20"/>
                <w:szCs w:val="20"/>
                <w:color w:val="auto"/>
              </w:rPr>
            </w:pPr>
            <w:r>
              <w:rPr>
                <w:rFonts w:ascii="Arial" w:cs="Arial" w:eastAsia="Arial" w:hAnsi="Arial"/>
                <w:sz w:val="12"/>
                <w:szCs w:val="12"/>
                <w:color w:val="auto"/>
              </w:rPr>
              <w:t>8.00 %</w:t>
            </w: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2,602</w:t>
            </w:r>
          </w:p>
        </w:tc>
        <w:tc>
          <w:tcPr>
            <w:tcW w:w="12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12,230</w:t>
            </w:r>
          </w:p>
        </w:tc>
        <w:tc>
          <w:tcPr>
            <w:tcW w:w="1300" w:type="dxa"/>
            <w:vAlign w:val="bottom"/>
            <w:gridSpan w:val="3"/>
            <w:shd w:val="clear" w:color="auto" w:fill="CFF0FC"/>
          </w:tcPr>
          <w:p>
            <w:pPr>
              <w:jc w:val="right"/>
              <w:spacing w:after="0" w:line="108" w:lineRule="exact"/>
              <w:rPr>
                <w:sz w:val="20"/>
                <w:szCs w:val="20"/>
                <w:color w:val="auto"/>
              </w:rPr>
            </w:pPr>
            <w:r>
              <w:rPr>
                <w:rFonts w:ascii="Arial" w:cs="Arial" w:eastAsia="Arial" w:hAnsi="Arial"/>
                <w:sz w:val="12"/>
                <w:szCs w:val="12"/>
                <w:color w:val="auto"/>
              </w:rPr>
              <w:t>1.0 %</w:t>
            </w:r>
          </w:p>
        </w:tc>
        <w:tc>
          <w:tcPr>
            <w:tcW w:w="20" w:type="dxa"/>
            <w:vAlign w:val="bottom"/>
          </w:tcPr>
          <w:p>
            <w:pPr>
              <w:spacing w:after="0"/>
              <w:rPr>
                <w:sz w:val="9"/>
                <w:szCs w:val="9"/>
                <w:color w:val="auto"/>
              </w:rPr>
            </w:pPr>
          </w:p>
        </w:tc>
      </w:tr>
      <w:tr>
        <w:trPr>
          <w:trHeight w:val="162"/>
        </w:trPr>
        <w:tc>
          <w:tcPr>
            <w:tcW w:w="2140" w:type="dxa"/>
            <w:vAlign w:val="bottom"/>
            <w:shd w:val="clear" w:color="auto" w:fill="CFF0FC"/>
          </w:tcPr>
          <w:p>
            <w:pPr>
              <w:spacing w:after="0"/>
              <w:rPr>
                <w:sz w:val="14"/>
                <w:szCs w:val="14"/>
                <w:color w:val="auto"/>
              </w:rPr>
            </w:pPr>
          </w:p>
        </w:tc>
        <w:tc>
          <w:tcPr>
            <w:tcW w:w="2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9/2023)</w:t>
            </w:r>
          </w:p>
        </w:tc>
        <w:tc>
          <w:tcPr>
            <w:tcW w:w="9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Clinicient, Inc. </w:t>
            </w:r>
            <w:r>
              <w:rPr>
                <w:rFonts w:ascii="Arial" w:cs="Arial" w:eastAsia="Arial" w:hAnsi="Arial"/>
                <w:sz w:val="12"/>
                <w:szCs w:val="12"/>
                <w:color w:val="auto"/>
                <w:vertAlign w:val="superscript"/>
              </w:rPr>
              <w:t>(3)</w:t>
            </w:r>
          </w:p>
        </w:tc>
        <w:tc>
          <w:tcPr>
            <w:tcW w:w="2420" w:type="dxa"/>
            <w:vAlign w:val="bottom"/>
          </w:tcPr>
          <w:p>
            <w:pPr>
              <w:ind w:left="260"/>
              <w:spacing w:after="0" w:line="108" w:lineRule="exact"/>
              <w:rPr>
                <w:sz w:val="20"/>
                <w:szCs w:val="20"/>
                <w:color w:val="auto"/>
              </w:rPr>
            </w:pPr>
            <w:r>
              <w:rPr>
                <w:rFonts w:ascii="Arial" w:cs="Arial" w:eastAsia="Arial" w:hAnsi="Arial"/>
                <w:sz w:val="12"/>
                <w:szCs w:val="12"/>
                <w:color w:val="auto"/>
              </w:rPr>
              <w:t>First-lien loan ($15,000 par, due</w:t>
            </w:r>
          </w:p>
        </w:tc>
        <w:tc>
          <w:tcPr>
            <w:tcW w:w="980" w:type="dxa"/>
            <w:vAlign w:val="bottom"/>
          </w:tcPr>
          <w:p>
            <w:pPr>
              <w:jc w:val="right"/>
              <w:ind w:right="162"/>
              <w:spacing w:after="0" w:line="108" w:lineRule="exact"/>
              <w:rPr>
                <w:sz w:val="20"/>
                <w:szCs w:val="20"/>
                <w:color w:val="auto"/>
              </w:rPr>
            </w:pPr>
            <w:r>
              <w:rPr>
                <w:rFonts w:ascii="Arial" w:cs="Arial" w:eastAsia="Arial" w:hAnsi="Arial"/>
                <w:sz w:val="12"/>
                <w:szCs w:val="12"/>
                <w:color w:val="auto"/>
              </w:rPr>
              <w:t>5/31/2019</w:t>
            </w:r>
          </w:p>
        </w:tc>
        <w:tc>
          <w:tcPr>
            <w:tcW w:w="1140" w:type="dxa"/>
            <w:vAlign w:val="bottom"/>
          </w:tcPr>
          <w:p>
            <w:pPr>
              <w:jc w:val="right"/>
              <w:ind w:right="302"/>
              <w:spacing w:after="0" w:line="108" w:lineRule="exact"/>
              <w:rPr>
                <w:sz w:val="20"/>
                <w:szCs w:val="20"/>
                <w:color w:val="auto"/>
              </w:rPr>
            </w:pPr>
            <w:r>
              <w:rPr>
                <w:rFonts w:ascii="Arial" w:cs="Arial" w:eastAsia="Arial" w:hAnsi="Arial"/>
                <w:sz w:val="12"/>
                <w:szCs w:val="12"/>
                <w:color w:val="auto"/>
              </w:rPr>
              <w:t>L + 7.00%</w:t>
            </w:r>
          </w:p>
        </w:tc>
        <w:tc>
          <w:tcPr>
            <w:tcW w:w="1160" w:type="dxa"/>
            <w:vAlign w:val="bottom"/>
          </w:tcPr>
          <w:p>
            <w:pPr>
              <w:jc w:val="right"/>
              <w:ind w:right="42"/>
              <w:spacing w:after="0" w:line="108" w:lineRule="exact"/>
              <w:rPr>
                <w:sz w:val="20"/>
                <w:szCs w:val="20"/>
                <w:color w:val="auto"/>
              </w:rPr>
            </w:pPr>
            <w:r>
              <w:rPr>
                <w:rFonts w:ascii="Arial" w:cs="Arial" w:eastAsia="Arial" w:hAnsi="Arial"/>
                <w:sz w:val="12"/>
                <w:szCs w:val="12"/>
                <w:color w:val="auto"/>
              </w:rPr>
              <w:t>8.50 %</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14,920</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15,150</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1.2 %</w:t>
            </w:r>
          </w:p>
        </w:tc>
        <w:tc>
          <w:tcPr>
            <w:tcW w:w="20" w:type="dxa"/>
            <w:vAlign w:val="bottom"/>
          </w:tcPr>
          <w:p>
            <w:pPr>
              <w:spacing w:after="0"/>
              <w:rPr>
                <w:sz w:val="9"/>
                <w:szCs w:val="9"/>
                <w:color w:val="auto"/>
              </w:rPr>
            </w:pPr>
          </w:p>
        </w:tc>
      </w:tr>
      <w:tr>
        <w:trPr>
          <w:trHeight w:val="160"/>
        </w:trPr>
        <w:tc>
          <w:tcPr>
            <w:tcW w:w="2140" w:type="dxa"/>
            <w:vAlign w:val="bottom"/>
          </w:tcPr>
          <w:p>
            <w:pPr>
              <w:spacing w:after="0"/>
              <w:rPr>
                <w:sz w:val="13"/>
                <w:szCs w:val="13"/>
                <w:color w:val="auto"/>
              </w:rPr>
            </w:pPr>
          </w:p>
        </w:tc>
        <w:tc>
          <w:tcPr>
            <w:tcW w:w="2420" w:type="dxa"/>
            <w:vAlign w:val="bottom"/>
          </w:tcPr>
          <w:p>
            <w:pPr>
              <w:ind w:left="260"/>
              <w:spacing w:after="0"/>
              <w:rPr>
                <w:sz w:val="20"/>
                <w:szCs w:val="20"/>
                <w:color w:val="auto"/>
              </w:rPr>
            </w:pPr>
            <w:r>
              <w:rPr>
                <w:rFonts w:ascii="Arial" w:cs="Arial" w:eastAsia="Arial" w:hAnsi="Arial"/>
                <w:sz w:val="13"/>
                <w:szCs w:val="13"/>
                <w:color w:val="auto"/>
              </w:rPr>
              <w:t>5/2024)</w:t>
            </w: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10"/>
        </w:trPr>
        <w:tc>
          <w:tcPr>
            <w:tcW w:w="2140" w:type="dxa"/>
            <w:vAlign w:val="bottom"/>
            <w:shd w:val="clear" w:color="auto" w:fill="CFF0FC"/>
          </w:tcPr>
          <w:p>
            <w:pPr>
              <w:spacing w:after="0"/>
              <w:rPr>
                <w:sz w:val="9"/>
                <w:szCs w:val="9"/>
                <w:color w:val="auto"/>
              </w:rPr>
            </w:pPr>
          </w:p>
        </w:tc>
        <w:tc>
          <w:tcPr>
            <w:tcW w:w="2420" w:type="dxa"/>
            <w:vAlign w:val="bottom"/>
            <w:shd w:val="clear" w:color="auto" w:fill="CFF0FC"/>
          </w:tcPr>
          <w:p>
            <w:pPr>
              <w:ind w:left="260"/>
              <w:spacing w:after="0" w:line="110" w:lineRule="exact"/>
              <w:rPr>
                <w:sz w:val="20"/>
                <w:szCs w:val="20"/>
                <w:color w:val="auto"/>
              </w:rPr>
            </w:pPr>
            <w:r>
              <w:rPr>
                <w:rFonts w:ascii="Arial" w:cs="Arial" w:eastAsia="Arial" w:hAnsi="Arial"/>
                <w:sz w:val="12"/>
                <w:szCs w:val="12"/>
                <w:color w:val="auto"/>
              </w:rPr>
              <w:t>First-lien revolving loan ($2,400 par,</w:t>
            </w:r>
          </w:p>
        </w:tc>
        <w:tc>
          <w:tcPr>
            <w:tcW w:w="980" w:type="dxa"/>
            <w:vAlign w:val="bottom"/>
            <w:shd w:val="clear" w:color="auto" w:fill="CFF0FC"/>
          </w:tcPr>
          <w:p>
            <w:pPr>
              <w:jc w:val="right"/>
              <w:ind w:right="162"/>
              <w:spacing w:after="0" w:line="110" w:lineRule="exact"/>
              <w:rPr>
                <w:sz w:val="20"/>
                <w:szCs w:val="20"/>
                <w:color w:val="auto"/>
              </w:rPr>
            </w:pPr>
            <w:r>
              <w:rPr>
                <w:rFonts w:ascii="Arial" w:cs="Arial" w:eastAsia="Arial" w:hAnsi="Arial"/>
                <w:sz w:val="12"/>
                <w:szCs w:val="12"/>
                <w:color w:val="auto"/>
              </w:rPr>
              <w:t>5/31/2019</w:t>
            </w:r>
          </w:p>
        </w:tc>
        <w:tc>
          <w:tcPr>
            <w:tcW w:w="1140" w:type="dxa"/>
            <w:vAlign w:val="bottom"/>
            <w:shd w:val="clear" w:color="auto" w:fill="CFF0FC"/>
          </w:tcPr>
          <w:p>
            <w:pPr>
              <w:jc w:val="right"/>
              <w:ind w:right="302"/>
              <w:spacing w:after="0" w:line="110" w:lineRule="exact"/>
              <w:rPr>
                <w:sz w:val="20"/>
                <w:szCs w:val="20"/>
                <w:color w:val="auto"/>
              </w:rPr>
            </w:pPr>
            <w:r>
              <w:rPr>
                <w:rFonts w:ascii="Arial" w:cs="Arial" w:eastAsia="Arial" w:hAnsi="Arial"/>
                <w:sz w:val="12"/>
                <w:szCs w:val="12"/>
                <w:color w:val="auto"/>
              </w:rPr>
              <w:t>L + 7.00%</w:t>
            </w:r>
          </w:p>
        </w:tc>
        <w:tc>
          <w:tcPr>
            <w:tcW w:w="1160" w:type="dxa"/>
            <w:vAlign w:val="bottom"/>
            <w:shd w:val="clear" w:color="auto" w:fill="CFF0FC"/>
          </w:tcPr>
          <w:p>
            <w:pPr>
              <w:jc w:val="right"/>
              <w:ind w:right="42"/>
              <w:spacing w:after="0" w:line="110" w:lineRule="exact"/>
              <w:rPr>
                <w:sz w:val="20"/>
                <w:szCs w:val="20"/>
                <w:color w:val="auto"/>
              </w:rPr>
            </w:pPr>
            <w:r>
              <w:rPr>
                <w:rFonts w:ascii="Arial" w:cs="Arial" w:eastAsia="Arial" w:hAnsi="Arial"/>
                <w:sz w:val="12"/>
                <w:szCs w:val="12"/>
                <w:color w:val="auto"/>
              </w:rPr>
              <w:t>8.50 %</w:t>
            </w:r>
          </w:p>
        </w:tc>
        <w:tc>
          <w:tcPr>
            <w:tcW w:w="880" w:type="dxa"/>
            <w:vAlign w:val="bottom"/>
            <w:shd w:val="clear" w:color="auto" w:fill="CFF0FC"/>
          </w:tcPr>
          <w:p>
            <w:pPr>
              <w:jc w:val="right"/>
              <w:spacing w:after="0" w:line="110" w:lineRule="exact"/>
              <w:rPr>
                <w:sz w:val="20"/>
                <w:szCs w:val="20"/>
                <w:color w:val="auto"/>
              </w:rPr>
            </w:pPr>
            <w:r>
              <w:rPr>
                <w:rFonts w:ascii="Arial" w:cs="Arial" w:eastAsia="Arial" w:hAnsi="Arial"/>
                <w:sz w:val="12"/>
                <w:szCs w:val="12"/>
                <w:color w:val="auto"/>
              </w:rPr>
              <w:t>2,381</w:t>
            </w:r>
          </w:p>
        </w:tc>
        <w:tc>
          <w:tcPr>
            <w:tcW w:w="12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2,440</w:t>
            </w:r>
          </w:p>
        </w:tc>
        <w:tc>
          <w:tcPr>
            <w:tcW w:w="1300" w:type="dxa"/>
            <w:vAlign w:val="bottom"/>
            <w:gridSpan w:val="3"/>
            <w:shd w:val="clear" w:color="auto" w:fill="CFF0FC"/>
          </w:tcPr>
          <w:p>
            <w:pPr>
              <w:jc w:val="right"/>
              <w:spacing w:after="0" w:line="110" w:lineRule="exact"/>
              <w:rPr>
                <w:sz w:val="20"/>
                <w:szCs w:val="20"/>
                <w:color w:val="auto"/>
              </w:rPr>
            </w:pPr>
            <w:r>
              <w:rPr>
                <w:rFonts w:ascii="Arial" w:cs="Arial" w:eastAsia="Arial" w:hAnsi="Arial"/>
                <w:sz w:val="12"/>
                <w:szCs w:val="12"/>
                <w:color w:val="auto"/>
              </w:rPr>
              <w:t>0.2 %</w:t>
            </w:r>
          </w:p>
        </w:tc>
        <w:tc>
          <w:tcPr>
            <w:tcW w:w="20" w:type="dxa"/>
            <w:vAlign w:val="bottom"/>
          </w:tcPr>
          <w:p>
            <w:pPr>
              <w:spacing w:after="0"/>
              <w:rPr>
                <w:sz w:val="9"/>
                <w:szCs w:val="9"/>
                <w:color w:val="auto"/>
              </w:rPr>
            </w:pPr>
          </w:p>
        </w:tc>
      </w:tr>
      <w:tr>
        <w:trPr>
          <w:trHeight w:val="162"/>
        </w:trPr>
        <w:tc>
          <w:tcPr>
            <w:tcW w:w="2140" w:type="dxa"/>
            <w:vAlign w:val="bottom"/>
            <w:shd w:val="clear" w:color="auto" w:fill="CFF0FC"/>
          </w:tcPr>
          <w:p>
            <w:pPr>
              <w:spacing w:after="0"/>
              <w:rPr>
                <w:sz w:val="14"/>
                <w:szCs w:val="14"/>
                <w:color w:val="auto"/>
              </w:rPr>
            </w:pPr>
          </w:p>
        </w:tc>
        <w:tc>
          <w:tcPr>
            <w:tcW w:w="2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due 5/2024)</w:t>
            </w:r>
          </w:p>
        </w:tc>
        <w:tc>
          <w:tcPr>
            <w:tcW w:w="9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2"/>
                <w:szCs w:val="12"/>
                <w:color w:val="auto"/>
              </w:rPr>
              <w:t>Homecare Software Solutions,</w:t>
            </w:r>
          </w:p>
        </w:tc>
        <w:tc>
          <w:tcPr>
            <w:tcW w:w="2420" w:type="dxa"/>
            <w:vAlign w:val="bottom"/>
          </w:tcPr>
          <w:p>
            <w:pPr>
              <w:ind w:left="260"/>
              <w:spacing w:after="0" w:line="108" w:lineRule="exact"/>
              <w:rPr>
                <w:sz w:val="20"/>
                <w:szCs w:val="20"/>
                <w:color w:val="auto"/>
              </w:rPr>
            </w:pPr>
            <w:r>
              <w:rPr>
                <w:rFonts w:ascii="Arial" w:cs="Arial" w:eastAsia="Arial" w:hAnsi="Arial"/>
                <w:sz w:val="12"/>
                <w:szCs w:val="12"/>
                <w:color w:val="auto"/>
              </w:rPr>
              <w:t>First-lien loan ($50,000 par, due</w:t>
            </w:r>
          </w:p>
        </w:tc>
        <w:tc>
          <w:tcPr>
            <w:tcW w:w="980" w:type="dxa"/>
            <w:vAlign w:val="bottom"/>
          </w:tcPr>
          <w:p>
            <w:pPr>
              <w:jc w:val="right"/>
              <w:ind w:right="162"/>
              <w:spacing w:after="0" w:line="108" w:lineRule="exact"/>
              <w:rPr>
                <w:sz w:val="20"/>
                <w:szCs w:val="20"/>
                <w:color w:val="auto"/>
              </w:rPr>
            </w:pPr>
            <w:r>
              <w:rPr>
                <w:rFonts w:ascii="Arial" w:cs="Arial" w:eastAsia="Arial" w:hAnsi="Arial"/>
                <w:sz w:val="12"/>
                <w:szCs w:val="12"/>
                <w:color w:val="auto"/>
              </w:rPr>
              <w:t>10/6/2021</w:t>
            </w:r>
          </w:p>
        </w:tc>
        <w:tc>
          <w:tcPr>
            <w:tcW w:w="1140" w:type="dxa"/>
            <w:vAlign w:val="bottom"/>
          </w:tcPr>
          <w:p>
            <w:pPr>
              <w:jc w:val="right"/>
              <w:ind w:right="302"/>
              <w:spacing w:after="0" w:line="108" w:lineRule="exact"/>
              <w:rPr>
                <w:sz w:val="20"/>
                <w:szCs w:val="20"/>
                <w:color w:val="auto"/>
              </w:rPr>
            </w:pPr>
            <w:r>
              <w:rPr>
                <w:rFonts w:ascii="Arial" w:cs="Arial" w:eastAsia="Arial" w:hAnsi="Arial"/>
                <w:sz w:val="12"/>
                <w:szCs w:val="12"/>
                <w:color w:val="auto"/>
              </w:rPr>
              <w:t>L + 5.25%</w:t>
            </w:r>
          </w:p>
        </w:tc>
        <w:tc>
          <w:tcPr>
            <w:tcW w:w="1160" w:type="dxa"/>
            <w:vAlign w:val="bottom"/>
          </w:tcPr>
          <w:p>
            <w:pPr>
              <w:jc w:val="right"/>
              <w:ind w:right="42"/>
              <w:spacing w:after="0" w:line="108" w:lineRule="exact"/>
              <w:rPr>
                <w:sz w:val="20"/>
                <w:szCs w:val="20"/>
                <w:color w:val="auto"/>
              </w:rPr>
            </w:pPr>
            <w:r>
              <w:rPr>
                <w:rFonts w:ascii="Arial" w:cs="Arial" w:eastAsia="Arial" w:hAnsi="Arial"/>
                <w:sz w:val="12"/>
                <w:szCs w:val="12"/>
                <w:color w:val="auto"/>
              </w:rPr>
              <w:t>6.25 %</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48,891</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49,000</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3.8 %</w:t>
            </w:r>
          </w:p>
        </w:tc>
        <w:tc>
          <w:tcPr>
            <w:tcW w:w="20" w:type="dxa"/>
            <w:vAlign w:val="bottom"/>
          </w:tcPr>
          <w:p>
            <w:pPr>
              <w:spacing w:after="0"/>
              <w:rPr>
                <w:sz w:val="9"/>
                <w:szCs w:val="9"/>
                <w:color w:val="auto"/>
              </w:rPr>
            </w:pPr>
          </w:p>
        </w:tc>
      </w:tr>
      <w:tr>
        <w:trPr>
          <w:trHeight w:val="162"/>
        </w:trPr>
        <w:tc>
          <w:tcPr>
            <w:tcW w:w="2140" w:type="dxa"/>
            <w:vAlign w:val="bottom"/>
          </w:tcPr>
          <w:p>
            <w:pPr>
              <w:ind w:left="120"/>
              <w:spacing w:after="0" w:line="162" w:lineRule="exact"/>
              <w:rPr>
                <w:sz w:val="20"/>
                <w:szCs w:val="20"/>
                <w:color w:val="auto"/>
              </w:rPr>
            </w:pPr>
            <w:r>
              <w:rPr>
                <w:rFonts w:ascii="Arial" w:cs="Arial" w:eastAsia="Arial" w:hAnsi="Arial"/>
                <w:sz w:val="18"/>
                <w:szCs w:val="18"/>
                <w:color w:val="auto"/>
                <w:vertAlign w:val="subscript"/>
              </w:rPr>
              <w:t>LLC</w:t>
            </w:r>
            <w:r>
              <w:rPr>
                <w:rFonts w:ascii="Arial" w:cs="Arial" w:eastAsia="Arial" w:hAnsi="Arial"/>
                <w:sz w:val="7"/>
                <w:szCs w:val="7"/>
                <w:color w:val="auto"/>
              </w:rPr>
              <w:t xml:space="preserve"> (3)(5)</w:t>
            </w:r>
          </w:p>
        </w:tc>
        <w:tc>
          <w:tcPr>
            <w:tcW w:w="2420" w:type="dxa"/>
            <w:vAlign w:val="bottom"/>
          </w:tcPr>
          <w:p>
            <w:pPr>
              <w:ind w:left="260"/>
              <w:spacing w:after="0"/>
              <w:rPr>
                <w:sz w:val="20"/>
                <w:szCs w:val="20"/>
                <w:color w:val="auto"/>
              </w:rPr>
            </w:pPr>
            <w:r>
              <w:rPr>
                <w:rFonts w:ascii="Arial" w:cs="Arial" w:eastAsia="Arial" w:hAnsi="Arial"/>
                <w:sz w:val="13"/>
                <w:szCs w:val="13"/>
                <w:color w:val="auto"/>
              </w:rPr>
              <w:t>10/2026)</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08"/>
        </w:trPr>
        <w:tc>
          <w:tcPr>
            <w:tcW w:w="214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Integrated Practice</w:t>
            </w:r>
          </w:p>
        </w:tc>
        <w:tc>
          <w:tcPr>
            <w:tcW w:w="2420" w:type="dxa"/>
            <w:vAlign w:val="bottom"/>
            <w:shd w:val="clear" w:color="auto" w:fill="CFF0FC"/>
          </w:tcPr>
          <w:p>
            <w:pPr>
              <w:ind w:left="260"/>
              <w:spacing w:after="0" w:line="108" w:lineRule="exact"/>
              <w:rPr>
                <w:sz w:val="20"/>
                <w:szCs w:val="20"/>
                <w:color w:val="auto"/>
              </w:rPr>
            </w:pPr>
            <w:r>
              <w:rPr>
                <w:rFonts w:ascii="Arial" w:cs="Arial" w:eastAsia="Arial" w:hAnsi="Arial"/>
                <w:sz w:val="12"/>
                <w:szCs w:val="12"/>
                <w:color w:val="auto"/>
              </w:rPr>
              <w:t>First-lien loan ($48,688 par, due</w:t>
            </w:r>
          </w:p>
        </w:tc>
        <w:tc>
          <w:tcPr>
            <w:tcW w:w="980" w:type="dxa"/>
            <w:vAlign w:val="bottom"/>
            <w:shd w:val="clear" w:color="auto" w:fill="CFF0FC"/>
          </w:tcPr>
          <w:p>
            <w:pPr>
              <w:jc w:val="right"/>
              <w:ind w:right="162"/>
              <w:spacing w:after="0" w:line="108" w:lineRule="exact"/>
              <w:rPr>
                <w:sz w:val="20"/>
                <w:szCs w:val="20"/>
                <w:color w:val="auto"/>
              </w:rPr>
            </w:pPr>
            <w:r>
              <w:rPr>
                <w:rFonts w:ascii="Arial" w:cs="Arial" w:eastAsia="Arial" w:hAnsi="Arial"/>
                <w:sz w:val="12"/>
                <w:szCs w:val="12"/>
                <w:color w:val="auto"/>
              </w:rPr>
              <w:t>6/30/2017</w:t>
            </w:r>
          </w:p>
        </w:tc>
        <w:tc>
          <w:tcPr>
            <w:tcW w:w="1140" w:type="dxa"/>
            <w:vAlign w:val="bottom"/>
            <w:shd w:val="clear" w:color="auto" w:fill="CFF0FC"/>
          </w:tcPr>
          <w:p>
            <w:pPr>
              <w:jc w:val="right"/>
              <w:ind w:right="302"/>
              <w:spacing w:after="0" w:line="108" w:lineRule="exact"/>
              <w:rPr>
                <w:sz w:val="20"/>
                <w:szCs w:val="20"/>
                <w:color w:val="auto"/>
              </w:rPr>
            </w:pPr>
            <w:r>
              <w:rPr>
                <w:rFonts w:ascii="Arial" w:cs="Arial" w:eastAsia="Arial" w:hAnsi="Arial"/>
                <w:sz w:val="12"/>
                <w:szCs w:val="12"/>
                <w:color w:val="auto"/>
              </w:rPr>
              <w:t>L + 7.50%</w:t>
            </w:r>
          </w:p>
        </w:tc>
        <w:tc>
          <w:tcPr>
            <w:tcW w:w="1160" w:type="dxa"/>
            <w:vAlign w:val="bottom"/>
            <w:shd w:val="clear" w:color="auto" w:fill="CFF0FC"/>
          </w:tcPr>
          <w:p>
            <w:pPr>
              <w:jc w:val="right"/>
              <w:ind w:right="42"/>
              <w:spacing w:after="0" w:line="108" w:lineRule="exact"/>
              <w:rPr>
                <w:sz w:val="20"/>
                <w:szCs w:val="20"/>
                <w:color w:val="auto"/>
              </w:rPr>
            </w:pPr>
            <w:r>
              <w:rPr>
                <w:rFonts w:ascii="Arial" w:cs="Arial" w:eastAsia="Arial" w:hAnsi="Arial"/>
                <w:sz w:val="12"/>
                <w:szCs w:val="12"/>
                <w:color w:val="auto"/>
              </w:rPr>
              <w:t>8.50 %</w:t>
            </w: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47,578</w:t>
            </w:r>
          </w:p>
        </w:tc>
        <w:tc>
          <w:tcPr>
            <w:tcW w:w="12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49,783</w:t>
            </w:r>
          </w:p>
        </w:tc>
        <w:tc>
          <w:tcPr>
            <w:tcW w:w="1300" w:type="dxa"/>
            <w:vAlign w:val="bottom"/>
            <w:gridSpan w:val="3"/>
            <w:shd w:val="clear" w:color="auto" w:fill="CFF0FC"/>
          </w:tcPr>
          <w:p>
            <w:pPr>
              <w:jc w:val="right"/>
              <w:spacing w:after="0" w:line="108" w:lineRule="exact"/>
              <w:rPr>
                <w:sz w:val="20"/>
                <w:szCs w:val="20"/>
                <w:color w:val="auto"/>
              </w:rPr>
            </w:pPr>
            <w:r>
              <w:rPr>
                <w:rFonts w:ascii="Arial" w:cs="Arial" w:eastAsia="Arial" w:hAnsi="Arial"/>
                <w:sz w:val="12"/>
                <w:szCs w:val="12"/>
                <w:color w:val="auto"/>
              </w:rPr>
              <w:t>3.9 %</w:t>
            </w:r>
          </w:p>
        </w:tc>
        <w:tc>
          <w:tcPr>
            <w:tcW w:w="20" w:type="dxa"/>
            <w:vAlign w:val="bottom"/>
          </w:tcPr>
          <w:p>
            <w:pPr>
              <w:spacing w:after="0"/>
              <w:rPr>
                <w:sz w:val="9"/>
                <w:szCs w:val="9"/>
                <w:color w:val="auto"/>
              </w:rPr>
            </w:pPr>
          </w:p>
        </w:tc>
      </w:tr>
      <w:tr>
        <w:trPr>
          <w:trHeight w:val="148"/>
        </w:trPr>
        <w:tc>
          <w:tcPr>
            <w:tcW w:w="2140" w:type="dxa"/>
            <w:vAlign w:val="bottom"/>
            <w:tcBorders>
              <w:bottom w:val="single" w:sz="8" w:color="CFF0FC"/>
            </w:tcBorders>
            <w:shd w:val="clear" w:color="auto" w:fill="CFF0FC"/>
          </w:tcPr>
          <w:p>
            <w:pPr>
              <w:ind w:left="120"/>
              <w:spacing w:after="0" w:line="148" w:lineRule="exact"/>
              <w:rPr>
                <w:sz w:val="20"/>
                <w:szCs w:val="20"/>
                <w:color w:val="auto"/>
              </w:rPr>
            </w:pPr>
            <w:r>
              <w:rPr>
                <w:rFonts w:ascii="Arial" w:cs="Arial" w:eastAsia="Arial" w:hAnsi="Arial"/>
                <w:sz w:val="13"/>
                <w:szCs w:val="13"/>
                <w:color w:val="auto"/>
              </w:rPr>
              <w:t xml:space="preserve">Solutions, Inc. </w:t>
            </w:r>
            <w:r>
              <w:rPr>
                <w:rFonts w:ascii="Arial" w:cs="Arial" w:eastAsia="Arial" w:hAnsi="Arial"/>
                <w:sz w:val="16"/>
                <w:szCs w:val="16"/>
                <w:color w:val="auto"/>
                <w:vertAlign w:val="superscript"/>
              </w:rPr>
              <w:t>(3)(5)</w:t>
            </w:r>
          </w:p>
        </w:tc>
        <w:tc>
          <w:tcPr>
            <w:tcW w:w="2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3"/>
                <w:szCs w:val="13"/>
                <w:color w:val="auto"/>
              </w:rPr>
              <w:t>10/2024)</w:t>
            </w:r>
          </w:p>
        </w:tc>
        <w:tc>
          <w:tcPr>
            <w:tcW w:w="980" w:type="dxa"/>
            <w:vAlign w:val="bottom"/>
            <w:tcBorders>
              <w:bottom w:val="single" w:sz="8" w:color="CFF0FC"/>
            </w:tcBorders>
            <w:shd w:val="clear" w:color="auto" w:fill="CFF0FC"/>
          </w:tcPr>
          <w:p>
            <w:pPr>
              <w:spacing w:after="0"/>
              <w:rPr>
                <w:sz w:val="12"/>
                <w:szCs w:val="12"/>
                <w:color w:val="auto"/>
              </w:rPr>
            </w:pPr>
          </w:p>
        </w:tc>
        <w:tc>
          <w:tcPr>
            <w:tcW w:w="114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176,659</w:t>
            </w:r>
          </w:p>
        </w:tc>
        <w:tc>
          <w:tcPr>
            <w:tcW w:w="12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191,377</w:t>
            </w:r>
          </w:p>
        </w:tc>
        <w:tc>
          <w:tcPr>
            <w:tcW w:w="130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15.0 %</w:t>
            </w:r>
          </w:p>
        </w:tc>
        <w:tc>
          <w:tcPr>
            <w:tcW w:w="20" w:type="dxa"/>
            <w:vAlign w:val="bottom"/>
          </w:tcPr>
          <w:p>
            <w:pPr>
              <w:spacing w:after="0"/>
              <w:rPr>
                <w:sz w:val="12"/>
                <w:szCs w:val="12"/>
                <w:color w:val="auto"/>
              </w:rPr>
            </w:pPr>
          </w:p>
        </w:tc>
      </w:tr>
      <w:tr>
        <w:trPr>
          <w:trHeight w:val="142"/>
        </w:trPr>
        <w:tc>
          <w:tcPr>
            <w:tcW w:w="214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Hotel, Gaming and Leisure</w:t>
            </w:r>
          </w:p>
        </w:tc>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IRGSE Holding Corp. </w:t>
            </w:r>
            <w:r>
              <w:rPr>
                <w:rFonts w:ascii="Arial" w:cs="Arial" w:eastAsia="Arial" w:hAnsi="Arial"/>
                <w:sz w:val="12"/>
                <w:szCs w:val="12"/>
                <w:color w:val="auto"/>
                <w:vertAlign w:val="superscript"/>
              </w:rPr>
              <w:t>(3)(7)</w:t>
            </w:r>
          </w:p>
        </w:tc>
        <w:tc>
          <w:tcPr>
            <w:tcW w:w="2420" w:type="dxa"/>
            <w:vAlign w:val="bottom"/>
          </w:tcPr>
          <w:p>
            <w:pPr>
              <w:ind w:left="260"/>
              <w:spacing w:after="0" w:line="108" w:lineRule="exact"/>
              <w:rPr>
                <w:sz w:val="20"/>
                <w:szCs w:val="20"/>
                <w:color w:val="auto"/>
              </w:rPr>
            </w:pPr>
            <w:r>
              <w:rPr>
                <w:rFonts w:ascii="Arial" w:cs="Arial" w:eastAsia="Arial" w:hAnsi="Arial"/>
                <w:sz w:val="12"/>
                <w:szCs w:val="12"/>
                <w:color w:val="auto"/>
              </w:rPr>
              <w:t>First-lien loan ($30,261 par, due</w:t>
            </w:r>
          </w:p>
        </w:tc>
        <w:tc>
          <w:tcPr>
            <w:tcW w:w="980" w:type="dxa"/>
            <w:vAlign w:val="bottom"/>
          </w:tcPr>
          <w:p>
            <w:pPr>
              <w:jc w:val="right"/>
              <w:ind w:right="162"/>
              <w:spacing w:after="0" w:line="108" w:lineRule="exact"/>
              <w:rPr>
                <w:sz w:val="20"/>
                <w:szCs w:val="20"/>
                <w:color w:val="auto"/>
              </w:rPr>
            </w:pPr>
            <w:r>
              <w:rPr>
                <w:rFonts w:ascii="Arial" w:cs="Arial" w:eastAsia="Arial" w:hAnsi="Arial"/>
                <w:sz w:val="12"/>
                <w:szCs w:val="12"/>
                <w:color w:val="auto"/>
              </w:rPr>
              <w:t>9/29/2015</w:t>
            </w:r>
          </w:p>
        </w:tc>
        <w:tc>
          <w:tcPr>
            <w:tcW w:w="1140" w:type="dxa"/>
            <w:vAlign w:val="bottom"/>
          </w:tcPr>
          <w:p>
            <w:pPr>
              <w:jc w:val="right"/>
              <w:ind w:right="302"/>
              <w:spacing w:after="0" w:line="108" w:lineRule="exact"/>
              <w:rPr>
                <w:sz w:val="20"/>
                <w:szCs w:val="20"/>
                <w:color w:val="auto"/>
              </w:rPr>
            </w:pPr>
            <w:r>
              <w:rPr>
                <w:rFonts w:ascii="Arial" w:cs="Arial" w:eastAsia="Arial" w:hAnsi="Arial"/>
                <w:sz w:val="12"/>
                <w:szCs w:val="12"/>
                <w:color w:val="auto"/>
              </w:rPr>
              <w:t>L + 9.50%</w:t>
            </w:r>
          </w:p>
        </w:tc>
        <w:tc>
          <w:tcPr>
            <w:tcW w:w="1160" w:type="dxa"/>
            <w:vAlign w:val="bottom"/>
          </w:tcPr>
          <w:p>
            <w:pPr>
              <w:jc w:val="right"/>
              <w:ind w:right="42"/>
              <w:spacing w:after="0" w:line="108" w:lineRule="exact"/>
              <w:rPr>
                <w:sz w:val="20"/>
                <w:szCs w:val="20"/>
                <w:color w:val="auto"/>
              </w:rPr>
            </w:pPr>
            <w:r>
              <w:rPr>
                <w:rFonts w:ascii="Arial" w:cs="Arial" w:eastAsia="Arial" w:hAnsi="Arial"/>
                <w:sz w:val="12"/>
                <w:szCs w:val="12"/>
                <w:color w:val="auto"/>
              </w:rPr>
              <w:t>10.00 %</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28,594</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30,261</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2.4 %</w:t>
            </w:r>
          </w:p>
        </w:tc>
        <w:tc>
          <w:tcPr>
            <w:tcW w:w="20" w:type="dxa"/>
            <w:vAlign w:val="bottom"/>
          </w:tcPr>
          <w:p>
            <w:pPr>
              <w:spacing w:after="0"/>
              <w:rPr>
                <w:sz w:val="9"/>
                <w:szCs w:val="9"/>
                <w:color w:val="auto"/>
              </w:rPr>
            </w:pPr>
          </w:p>
        </w:tc>
      </w:tr>
      <w:tr>
        <w:trPr>
          <w:trHeight w:val="160"/>
        </w:trPr>
        <w:tc>
          <w:tcPr>
            <w:tcW w:w="2140" w:type="dxa"/>
            <w:vAlign w:val="bottom"/>
          </w:tcPr>
          <w:p>
            <w:pPr>
              <w:spacing w:after="0"/>
              <w:rPr>
                <w:sz w:val="13"/>
                <w:szCs w:val="13"/>
                <w:color w:val="auto"/>
              </w:rPr>
            </w:pPr>
          </w:p>
        </w:tc>
        <w:tc>
          <w:tcPr>
            <w:tcW w:w="2420" w:type="dxa"/>
            <w:vAlign w:val="bottom"/>
          </w:tcPr>
          <w:p>
            <w:pPr>
              <w:ind w:left="260"/>
              <w:spacing w:after="0"/>
              <w:rPr>
                <w:sz w:val="20"/>
                <w:szCs w:val="20"/>
                <w:color w:val="auto"/>
              </w:rPr>
            </w:pPr>
            <w:r>
              <w:rPr>
                <w:rFonts w:ascii="Arial" w:cs="Arial" w:eastAsia="Arial" w:hAnsi="Arial"/>
                <w:sz w:val="13"/>
                <w:szCs w:val="13"/>
                <w:color w:val="auto"/>
              </w:rPr>
              <w:t>6/2022)</w:t>
            </w: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10"/>
        </w:trPr>
        <w:tc>
          <w:tcPr>
            <w:tcW w:w="2140" w:type="dxa"/>
            <w:vAlign w:val="bottom"/>
            <w:shd w:val="clear" w:color="auto" w:fill="CFF0FC"/>
          </w:tcPr>
          <w:p>
            <w:pPr>
              <w:spacing w:after="0"/>
              <w:rPr>
                <w:sz w:val="9"/>
                <w:szCs w:val="9"/>
                <w:color w:val="auto"/>
              </w:rPr>
            </w:pPr>
          </w:p>
        </w:tc>
        <w:tc>
          <w:tcPr>
            <w:tcW w:w="2420" w:type="dxa"/>
            <w:vAlign w:val="bottom"/>
            <w:shd w:val="clear" w:color="auto" w:fill="CFF0FC"/>
          </w:tcPr>
          <w:p>
            <w:pPr>
              <w:ind w:left="260"/>
              <w:spacing w:after="0" w:line="110" w:lineRule="exact"/>
              <w:rPr>
                <w:sz w:val="20"/>
                <w:szCs w:val="20"/>
                <w:color w:val="auto"/>
              </w:rPr>
            </w:pPr>
            <w:r>
              <w:rPr>
                <w:rFonts w:ascii="Arial" w:cs="Arial" w:eastAsia="Arial" w:hAnsi="Arial"/>
                <w:sz w:val="12"/>
                <w:szCs w:val="12"/>
                <w:color w:val="auto"/>
              </w:rPr>
              <w:t>First-lien revolving loan ($12,327 par,</w:t>
            </w:r>
          </w:p>
        </w:tc>
        <w:tc>
          <w:tcPr>
            <w:tcW w:w="980" w:type="dxa"/>
            <w:vAlign w:val="bottom"/>
            <w:shd w:val="clear" w:color="auto" w:fill="CFF0FC"/>
          </w:tcPr>
          <w:p>
            <w:pPr>
              <w:jc w:val="right"/>
              <w:ind w:right="162"/>
              <w:spacing w:after="0" w:line="110" w:lineRule="exact"/>
              <w:rPr>
                <w:sz w:val="20"/>
                <w:szCs w:val="20"/>
                <w:color w:val="auto"/>
              </w:rPr>
            </w:pPr>
            <w:r>
              <w:rPr>
                <w:rFonts w:ascii="Arial" w:cs="Arial" w:eastAsia="Arial" w:hAnsi="Arial"/>
                <w:sz w:val="12"/>
                <w:szCs w:val="12"/>
                <w:color w:val="auto"/>
              </w:rPr>
              <w:t>9/29/2015</w:t>
            </w:r>
          </w:p>
        </w:tc>
        <w:tc>
          <w:tcPr>
            <w:tcW w:w="1140" w:type="dxa"/>
            <w:vAlign w:val="bottom"/>
            <w:shd w:val="clear" w:color="auto" w:fill="CFF0FC"/>
          </w:tcPr>
          <w:p>
            <w:pPr>
              <w:jc w:val="right"/>
              <w:ind w:right="302"/>
              <w:spacing w:after="0" w:line="110" w:lineRule="exact"/>
              <w:rPr>
                <w:sz w:val="20"/>
                <w:szCs w:val="20"/>
                <w:color w:val="auto"/>
              </w:rPr>
            </w:pPr>
            <w:r>
              <w:rPr>
                <w:rFonts w:ascii="Arial" w:cs="Arial" w:eastAsia="Arial" w:hAnsi="Arial"/>
                <w:sz w:val="12"/>
                <w:szCs w:val="12"/>
                <w:color w:val="auto"/>
              </w:rPr>
              <w:t>L + 9.50%</w:t>
            </w:r>
          </w:p>
        </w:tc>
        <w:tc>
          <w:tcPr>
            <w:tcW w:w="1160" w:type="dxa"/>
            <w:vAlign w:val="bottom"/>
            <w:shd w:val="clear" w:color="auto" w:fill="CFF0FC"/>
          </w:tcPr>
          <w:p>
            <w:pPr>
              <w:jc w:val="right"/>
              <w:ind w:right="42"/>
              <w:spacing w:after="0" w:line="110" w:lineRule="exact"/>
              <w:rPr>
                <w:sz w:val="20"/>
                <w:szCs w:val="20"/>
                <w:color w:val="auto"/>
              </w:rPr>
            </w:pPr>
            <w:r>
              <w:rPr>
                <w:rFonts w:ascii="Arial" w:cs="Arial" w:eastAsia="Arial" w:hAnsi="Arial"/>
                <w:sz w:val="12"/>
                <w:szCs w:val="12"/>
                <w:color w:val="auto"/>
              </w:rPr>
              <w:t>10.00 %</w:t>
            </w:r>
          </w:p>
        </w:tc>
        <w:tc>
          <w:tcPr>
            <w:tcW w:w="880" w:type="dxa"/>
            <w:vAlign w:val="bottom"/>
            <w:shd w:val="clear" w:color="auto" w:fill="CFF0FC"/>
          </w:tcPr>
          <w:p>
            <w:pPr>
              <w:jc w:val="right"/>
              <w:spacing w:after="0" w:line="110" w:lineRule="exact"/>
              <w:rPr>
                <w:sz w:val="20"/>
                <w:szCs w:val="20"/>
                <w:color w:val="auto"/>
              </w:rPr>
            </w:pPr>
            <w:r>
              <w:rPr>
                <w:rFonts w:ascii="Arial" w:cs="Arial" w:eastAsia="Arial" w:hAnsi="Arial"/>
                <w:sz w:val="12"/>
                <w:szCs w:val="12"/>
                <w:color w:val="auto"/>
              </w:rPr>
              <w:t>12,327</w:t>
            </w:r>
          </w:p>
        </w:tc>
        <w:tc>
          <w:tcPr>
            <w:tcW w:w="12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12,327</w:t>
            </w:r>
          </w:p>
        </w:tc>
        <w:tc>
          <w:tcPr>
            <w:tcW w:w="1300" w:type="dxa"/>
            <w:vAlign w:val="bottom"/>
            <w:gridSpan w:val="3"/>
            <w:shd w:val="clear" w:color="auto" w:fill="CFF0FC"/>
          </w:tcPr>
          <w:p>
            <w:pPr>
              <w:jc w:val="right"/>
              <w:spacing w:after="0" w:line="110" w:lineRule="exact"/>
              <w:rPr>
                <w:sz w:val="20"/>
                <w:szCs w:val="20"/>
                <w:color w:val="auto"/>
              </w:rPr>
            </w:pPr>
            <w:r>
              <w:rPr>
                <w:rFonts w:ascii="Arial" w:cs="Arial" w:eastAsia="Arial" w:hAnsi="Arial"/>
                <w:sz w:val="12"/>
                <w:szCs w:val="12"/>
                <w:color w:val="auto"/>
              </w:rPr>
              <w:t>1.0 %</w:t>
            </w:r>
          </w:p>
        </w:tc>
        <w:tc>
          <w:tcPr>
            <w:tcW w:w="20" w:type="dxa"/>
            <w:vAlign w:val="bottom"/>
          </w:tcPr>
          <w:p>
            <w:pPr>
              <w:spacing w:after="0"/>
              <w:rPr>
                <w:sz w:val="9"/>
                <w:szCs w:val="9"/>
                <w:color w:val="auto"/>
              </w:rPr>
            </w:pPr>
          </w:p>
        </w:tc>
      </w:tr>
      <w:tr>
        <w:trPr>
          <w:trHeight w:val="148"/>
        </w:trPr>
        <w:tc>
          <w:tcPr>
            <w:tcW w:w="2140" w:type="dxa"/>
            <w:vAlign w:val="bottom"/>
            <w:tcBorders>
              <w:bottom w:val="single" w:sz="8" w:color="CFF0FC"/>
            </w:tcBorders>
            <w:shd w:val="clear" w:color="auto" w:fill="CFF0FC"/>
          </w:tcPr>
          <w:p>
            <w:pPr>
              <w:spacing w:after="0"/>
              <w:rPr>
                <w:sz w:val="12"/>
                <w:szCs w:val="12"/>
                <w:color w:val="auto"/>
              </w:rPr>
            </w:pPr>
          </w:p>
        </w:tc>
        <w:tc>
          <w:tcPr>
            <w:tcW w:w="2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3"/>
                <w:szCs w:val="13"/>
                <w:color w:val="auto"/>
              </w:rPr>
              <w:t>due 6/2022)</w:t>
            </w:r>
          </w:p>
        </w:tc>
        <w:tc>
          <w:tcPr>
            <w:tcW w:w="980" w:type="dxa"/>
            <w:vAlign w:val="bottom"/>
            <w:tcBorders>
              <w:bottom w:val="single" w:sz="8" w:color="CFF0FC"/>
            </w:tcBorders>
            <w:shd w:val="clear" w:color="auto" w:fill="CFF0FC"/>
          </w:tcPr>
          <w:p>
            <w:pPr>
              <w:spacing w:after="0"/>
              <w:rPr>
                <w:sz w:val="12"/>
                <w:szCs w:val="12"/>
                <w:color w:val="auto"/>
              </w:rPr>
            </w:pPr>
          </w:p>
        </w:tc>
        <w:tc>
          <w:tcPr>
            <w:tcW w:w="114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40,921</w:t>
            </w:r>
          </w:p>
        </w:tc>
        <w:tc>
          <w:tcPr>
            <w:tcW w:w="12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42,588</w:t>
            </w:r>
          </w:p>
        </w:tc>
        <w:tc>
          <w:tcPr>
            <w:tcW w:w="130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3.4 %</w:t>
            </w:r>
          </w:p>
        </w:tc>
        <w:tc>
          <w:tcPr>
            <w:tcW w:w="20" w:type="dxa"/>
            <w:vAlign w:val="bottom"/>
          </w:tcPr>
          <w:p>
            <w:pPr>
              <w:spacing w:after="0"/>
              <w:rPr>
                <w:sz w:val="12"/>
                <w:szCs w:val="12"/>
                <w:color w:val="auto"/>
              </w:rPr>
            </w:pPr>
          </w:p>
        </w:tc>
      </w:tr>
      <w:tr>
        <w:trPr>
          <w:trHeight w:val="142"/>
        </w:trPr>
        <w:tc>
          <w:tcPr>
            <w:tcW w:w="2140" w:type="dxa"/>
            <w:vAlign w:val="bottom"/>
            <w:shd w:val="clear" w:color="auto" w:fill="CFF0FC"/>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w w:val="96"/>
              </w:rPr>
              <w:t>Human Resource Support Services</w:t>
            </w:r>
          </w:p>
        </w:tc>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08"/>
        </w:trPr>
        <w:tc>
          <w:tcPr>
            <w:tcW w:w="2140" w:type="dxa"/>
            <w:vAlign w:val="bottom"/>
            <w:shd w:val="clear" w:color="auto" w:fill="CFF0FC"/>
          </w:tcPr>
          <w:p>
            <w:pPr>
              <w:ind w:left="20"/>
              <w:spacing w:after="0" w:line="108" w:lineRule="exact"/>
              <w:rPr>
                <w:sz w:val="20"/>
                <w:szCs w:val="20"/>
                <w:color w:val="auto"/>
              </w:rPr>
            </w:pPr>
            <w:r>
              <w:rPr>
                <w:rFonts w:ascii="Arial" w:cs="Arial" w:eastAsia="Arial" w:hAnsi="Arial"/>
                <w:sz w:val="10"/>
                <w:szCs w:val="10"/>
                <w:color w:val="auto"/>
              </w:rPr>
              <w:t xml:space="preserve">Axonify, Inc. </w:t>
            </w:r>
            <w:r>
              <w:rPr>
                <w:rFonts w:ascii="Arial" w:cs="Arial" w:eastAsia="Arial" w:hAnsi="Arial"/>
                <w:sz w:val="12"/>
                <w:szCs w:val="12"/>
                <w:color w:val="auto"/>
                <w:vertAlign w:val="superscript"/>
              </w:rPr>
              <w:t>(3)(4)(5)</w:t>
            </w:r>
          </w:p>
        </w:tc>
        <w:tc>
          <w:tcPr>
            <w:tcW w:w="2420" w:type="dxa"/>
            <w:vAlign w:val="bottom"/>
            <w:shd w:val="clear" w:color="auto" w:fill="CFF0FC"/>
          </w:tcPr>
          <w:p>
            <w:pPr>
              <w:ind w:left="260"/>
              <w:spacing w:after="0" w:line="108" w:lineRule="exact"/>
              <w:rPr>
                <w:sz w:val="20"/>
                <w:szCs w:val="20"/>
                <w:color w:val="auto"/>
              </w:rPr>
            </w:pPr>
            <w:r>
              <w:rPr>
                <w:rFonts w:ascii="Arial" w:cs="Arial" w:eastAsia="Arial" w:hAnsi="Arial"/>
                <w:sz w:val="12"/>
                <w:szCs w:val="12"/>
                <w:color w:val="auto"/>
              </w:rPr>
              <w:t>First-lien loan ($31,580 par, due</w:t>
            </w:r>
          </w:p>
        </w:tc>
        <w:tc>
          <w:tcPr>
            <w:tcW w:w="980" w:type="dxa"/>
            <w:vAlign w:val="bottom"/>
            <w:shd w:val="clear" w:color="auto" w:fill="CFF0FC"/>
          </w:tcPr>
          <w:p>
            <w:pPr>
              <w:jc w:val="right"/>
              <w:ind w:right="162"/>
              <w:spacing w:after="0" w:line="108" w:lineRule="exact"/>
              <w:rPr>
                <w:sz w:val="20"/>
                <w:szCs w:val="20"/>
                <w:color w:val="auto"/>
              </w:rPr>
            </w:pPr>
            <w:r>
              <w:rPr>
                <w:rFonts w:ascii="Arial" w:cs="Arial" w:eastAsia="Arial" w:hAnsi="Arial"/>
                <w:sz w:val="12"/>
                <w:szCs w:val="12"/>
                <w:color w:val="auto"/>
              </w:rPr>
              <w:t>5/5/2021</w:t>
            </w:r>
          </w:p>
        </w:tc>
        <w:tc>
          <w:tcPr>
            <w:tcW w:w="1140" w:type="dxa"/>
            <w:vAlign w:val="bottom"/>
            <w:shd w:val="clear" w:color="auto" w:fill="CFF0FC"/>
          </w:tcPr>
          <w:p>
            <w:pPr>
              <w:jc w:val="right"/>
              <w:ind w:right="302"/>
              <w:spacing w:after="0" w:line="108" w:lineRule="exact"/>
              <w:rPr>
                <w:sz w:val="20"/>
                <w:szCs w:val="20"/>
                <w:color w:val="auto"/>
              </w:rPr>
            </w:pPr>
            <w:r>
              <w:rPr>
                <w:rFonts w:ascii="Arial" w:cs="Arial" w:eastAsia="Arial" w:hAnsi="Arial"/>
                <w:sz w:val="12"/>
                <w:szCs w:val="12"/>
                <w:color w:val="auto"/>
              </w:rPr>
              <w:t>L + 7.50%</w:t>
            </w:r>
          </w:p>
        </w:tc>
        <w:tc>
          <w:tcPr>
            <w:tcW w:w="1160" w:type="dxa"/>
            <w:vAlign w:val="bottom"/>
            <w:shd w:val="clear" w:color="auto" w:fill="CFF0FC"/>
          </w:tcPr>
          <w:p>
            <w:pPr>
              <w:jc w:val="right"/>
              <w:ind w:right="42"/>
              <w:spacing w:after="0" w:line="108" w:lineRule="exact"/>
              <w:rPr>
                <w:sz w:val="20"/>
                <w:szCs w:val="20"/>
                <w:color w:val="auto"/>
              </w:rPr>
            </w:pPr>
            <w:r>
              <w:rPr>
                <w:rFonts w:ascii="Arial" w:cs="Arial" w:eastAsia="Arial" w:hAnsi="Arial"/>
                <w:sz w:val="12"/>
                <w:szCs w:val="12"/>
                <w:color w:val="auto"/>
              </w:rPr>
              <w:t>8.50 %</w:t>
            </w: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30,807</w:t>
            </w:r>
          </w:p>
        </w:tc>
        <w:tc>
          <w:tcPr>
            <w:tcW w:w="12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31,100</w:t>
            </w:r>
          </w:p>
        </w:tc>
        <w:tc>
          <w:tcPr>
            <w:tcW w:w="1300" w:type="dxa"/>
            <w:vAlign w:val="bottom"/>
            <w:gridSpan w:val="3"/>
            <w:shd w:val="clear" w:color="auto" w:fill="CFF0FC"/>
          </w:tcPr>
          <w:p>
            <w:pPr>
              <w:jc w:val="right"/>
              <w:spacing w:after="0" w:line="108" w:lineRule="exact"/>
              <w:rPr>
                <w:sz w:val="20"/>
                <w:szCs w:val="20"/>
                <w:color w:val="auto"/>
              </w:rPr>
            </w:pPr>
            <w:r>
              <w:rPr>
                <w:rFonts w:ascii="Arial" w:cs="Arial" w:eastAsia="Arial" w:hAnsi="Arial"/>
                <w:sz w:val="12"/>
                <w:szCs w:val="12"/>
                <w:color w:val="auto"/>
              </w:rPr>
              <w:t>2.4 %</w:t>
            </w:r>
          </w:p>
        </w:tc>
        <w:tc>
          <w:tcPr>
            <w:tcW w:w="20" w:type="dxa"/>
            <w:vAlign w:val="bottom"/>
          </w:tcPr>
          <w:p>
            <w:pPr>
              <w:spacing w:after="0"/>
              <w:rPr>
                <w:sz w:val="9"/>
                <w:szCs w:val="9"/>
                <w:color w:val="auto"/>
              </w:rPr>
            </w:pPr>
          </w:p>
        </w:tc>
      </w:tr>
      <w:tr>
        <w:trPr>
          <w:trHeight w:val="162"/>
        </w:trPr>
        <w:tc>
          <w:tcPr>
            <w:tcW w:w="2140" w:type="dxa"/>
            <w:vAlign w:val="bottom"/>
            <w:shd w:val="clear" w:color="auto" w:fill="CFF0FC"/>
          </w:tcPr>
          <w:p>
            <w:pPr>
              <w:spacing w:after="0"/>
              <w:rPr>
                <w:sz w:val="14"/>
                <w:szCs w:val="14"/>
                <w:color w:val="auto"/>
              </w:rPr>
            </w:pPr>
          </w:p>
        </w:tc>
        <w:tc>
          <w:tcPr>
            <w:tcW w:w="2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5/2026)</w:t>
            </w:r>
          </w:p>
        </w:tc>
        <w:tc>
          <w:tcPr>
            <w:tcW w:w="9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DaySmart Holdings, LLC </w:t>
            </w:r>
            <w:r>
              <w:rPr>
                <w:rFonts w:ascii="Arial" w:cs="Arial" w:eastAsia="Arial" w:hAnsi="Arial"/>
                <w:sz w:val="12"/>
                <w:szCs w:val="12"/>
                <w:color w:val="auto"/>
                <w:vertAlign w:val="superscript"/>
              </w:rPr>
              <w:t>(3)(5)</w:t>
            </w:r>
          </w:p>
        </w:tc>
        <w:tc>
          <w:tcPr>
            <w:tcW w:w="2420" w:type="dxa"/>
            <w:vAlign w:val="bottom"/>
          </w:tcPr>
          <w:p>
            <w:pPr>
              <w:ind w:left="260"/>
              <w:spacing w:after="0" w:line="108" w:lineRule="exact"/>
              <w:rPr>
                <w:sz w:val="20"/>
                <w:szCs w:val="20"/>
                <w:color w:val="auto"/>
              </w:rPr>
            </w:pPr>
            <w:r>
              <w:rPr>
                <w:rFonts w:ascii="Arial" w:cs="Arial" w:eastAsia="Arial" w:hAnsi="Arial"/>
                <w:sz w:val="12"/>
                <w:szCs w:val="12"/>
                <w:color w:val="auto"/>
              </w:rPr>
              <w:t>First-lien loan ($47,999 par, due</w:t>
            </w:r>
          </w:p>
        </w:tc>
        <w:tc>
          <w:tcPr>
            <w:tcW w:w="980" w:type="dxa"/>
            <w:vAlign w:val="bottom"/>
          </w:tcPr>
          <w:p>
            <w:pPr>
              <w:jc w:val="right"/>
              <w:ind w:right="162"/>
              <w:spacing w:after="0" w:line="108" w:lineRule="exact"/>
              <w:rPr>
                <w:sz w:val="20"/>
                <w:szCs w:val="20"/>
                <w:color w:val="auto"/>
              </w:rPr>
            </w:pPr>
            <w:r>
              <w:rPr>
                <w:rFonts w:ascii="Arial" w:cs="Arial" w:eastAsia="Arial" w:hAnsi="Arial"/>
                <w:sz w:val="12"/>
                <w:szCs w:val="12"/>
                <w:color w:val="auto"/>
              </w:rPr>
              <w:t>12/18/2020</w:t>
            </w:r>
          </w:p>
        </w:tc>
        <w:tc>
          <w:tcPr>
            <w:tcW w:w="1140" w:type="dxa"/>
            <w:vAlign w:val="bottom"/>
          </w:tcPr>
          <w:p>
            <w:pPr>
              <w:jc w:val="right"/>
              <w:ind w:right="302"/>
              <w:spacing w:after="0" w:line="108" w:lineRule="exact"/>
              <w:rPr>
                <w:sz w:val="20"/>
                <w:szCs w:val="20"/>
                <w:color w:val="auto"/>
              </w:rPr>
            </w:pPr>
            <w:r>
              <w:rPr>
                <w:rFonts w:ascii="Arial" w:cs="Arial" w:eastAsia="Arial" w:hAnsi="Arial"/>
                <w:sz w:val="12"/>
                <w:szCs w:val="12"/>
                <w:color w:val="auto"/>
              </w:rPr>
              <w:t>L + 7.25%</w:t>
            </w:r>
          </w:p>
        </w:tc>
        <w:tc>
          <w:tcPr>
            <w:tcW w:w="1160" w:type="dxa"/>
            <w:vAlign w:val="bottom"/>
          </w:tcPr>
          <w:p>
            <w:pPr>
              <w:jc w:val="right"/>
              <w:ind w:right="42"/>
              <w:spacing w:after="0" w:line="108" w:lineRule="exact"/>
              <w:rPr>
                <w:sz w:val="20"/>
                <w:szCs w:val="20"/>
                <w:color w:val="auto"/>
              </w:rPr>
            </w:pPr>
            <w:r>
              <w:rPr>
                <w:rFonts w:ascii="Arial" w:cs="Arial" w:eastAsia="Arial" w:hAnsi="Arial"/>
                <w:sz w:val="12"/>
                <w:szCs w:val="12"/>
                <w:color w:val="auto"/>
              </w:rPr>
              <w:t>8.75 %</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47,891</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48,262</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3.8 %</w:t>
            </w:r>
          </w:p>
        </w:tc>
        <w:tc>
          <w:tcPr>
            <w:tcW w:w="20" w:type="dxa"/>
            <w:vAlign w:val="bottom"/>
          </w:tcPr>
          <w:p>
            <w:pPr>
              <w:spacing w:after="0"/>
              <w:rPr>
                <w:sz w:val="9"/>
                <w:szCs w:val="9"/>
                <w:color w:val="auto"/>
              </w:rPr>
            </w:pPr>
          </w:p>
        </w:tc>
      </w:tr>
      <w:tr>
        <w:trPr>
          <w:trHeight w:val="160"/>
        </w:trPr>
        <w:tc>
          <w:tcPr>
            <w:tcW w:w="2140" w:type="dxa"/>
            <w:vAlign w:val="bottom"/>
          </w:tcPr>
          <w:p>
            <w:pPr>
              <w:spacing w:after="0"/>
              <w:rPr>
                <w:sz w:val="13"/>
                <w:szCs w:val="13"/>
                <w:color w:val="auto"/>
              </w:rPr>
            </w:pPr>
          </w:p>
        </w:tc>
        <w:tc>
          <w:tcPr>
            <w:tcW w:w="2420" w:type="dxa"/>
            <w:vAlign w:val="bottom"/>
          </w:tcPr>
          <w:p>
            <w:pPr>
              <w:ind w:left="260"/>
              <w:spacing w:after="0"/>
              <w:rPr>
                <w:sz w:val="20"/>
                <w:szCs w:val="20"/>
                <w:color w:val="auto"/>
              </w:rPr>
            </w:pPr>
            <w:r>
              <w:rPr>
                <w:rFonts w:ascii="Arial" w:cs="Arial" w:eastAsia="Arial" w:hAnsi="Arial"/>
                <w:sz w:val="13"/>
                <w:szCs w:val="13"/>
                <w:color w:val="auto"/>
              </w:rPr>
              <w:t>10/2025)</w:t>
            </w: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10"/>
        </w:trPr>
        <w:tc>
          <w:tcPr>
            <w:tcW w:w="2140" w:type="dxa"/>
            <w:vAlign w:val="bottom"/>
            <w:shd w:val="clear" w:color="auto" w:fill="CFF0FC"/>
          </w:tcPr>
          <w:p>
            <w:pPr>
              <w:spacing w:after="0"/>
              <w:rPr>
                <w:sz w:val="9"/>
                <w:szCs w:val="9"/>
                <w:color w:val="auto"/>
              </w:rPr>
            </w:pPr>
          </w:p>
        </w:tc>
        <w:tc>
          <w:tcPr>
            <w:tcW w:w="2420" w:type="dxa"/>
            <w:vAlign w:val="bottom"/>
            <w:shd w:val="clear" w:color="auto" w:fill="CFF0FC"/>
          </w:tcPr>
          <w:p>
            <w:pPr>
              <w:ind w:left="260"/>
              <w:spacing w:after="0" w:line="110" w:lineRule="exact"/>
              <w:rPr>
                <w:sz w:val="20"/>
                <w:szCs w:val="20"/>
                <w:color w:val="auto"/>
              </w:rPr>
            </w:pPr>
            <w:r>
              <w:rPr>
                <w:rFonts w:ascii="Arial" w:cs="Arial" w:eastAsia="Arial" w:hAnsi="Arial"/>
                <w:sz w:val="12"/>
                <w:szCs w:val="12"/>
                <w:color w:val="auto"/>
              </w:rPr>
              <w:t>First-lien revolving loan ($3,000 par,</w:t>
            </w:r>
          </w:p>
        </w:tc>
        <w:tc>
          <w:tcPr>
            <w:tcW w:w="980" w:type="dxa"/>
            <w:vAlign w:val="bottom"/>
            <w:shd w:val="clear" w:color="auto" w:fill="CFF0FC"/>
          </w:tcPr>
          <w:p>
            <w:pPr>
              <w:jc w:val="right"/>
              <w:ind w:right="162"/>
              <w:spacing w:after="0" w:line="110" w:lineRule="exact"/>
              <w:rPr>
                <w:sz w:val="20"/>
                <w:szCs w:val="20"/>
                <w:color w:val="auto"/>
              </w:rPr>
            </w:pPr>
            <w:r>
              <w:rPr>
                <w:rFonts w:ascii="Arial" w:cs="Arial" w:eastAsia="Arial" w:hAnsi="Arial"/>
                <w:sz w:val="12"/>
                <w:szCs w:val="12"/>
                <w:color w:val="auto"/>
              </w:rPr>
              <w:t>12/18/2020</w:t>
            </w:r>
          </w:p>
        </w:tc>
        <w:tc>
          <w:tcPr>
            <w:tcW w:w="1140" w:type="dxa"/>
            <w:vAlign w:val="bottom"/>
            <w:shd w:val="clear" w:color="auto" w:fill="CFF0FC"/>
          </w:tcPr>
          <w:p>
            <w:pPr>
              <w:jc w:val="right"/>
              <w:ind w:right="302"/>
              <w:spacing w:after="0" w:line="110" w:lineRule="exact"/>
              <w:rPr>
                <w:sz w:val="20"/>
                <w:szCs w:val="20"/>
                <w:color w:val="auto"/>
              </w:rPr>
            </w:pPr>
            <w:r>
              <w:rPr>
                <w:rFonts w:ascii="Arial" w:cs="Arial" w:eastAsia="Arial" w:hAnsi="Arial"/>
                <w:sz w:val="12"/>
                <w:szCs w:val="12"/>
                <w:color w:val="auto"/>
              </w:rPr>
              <w:t>L + 7.25%</w:t>
            </w:r>
          </w:p>
        </w:tc>
        <w:tc>
          <w:tcPr>
            <w:tcW w:w="1160" w:type="dxa"/>
            <w:vAlign w:val="bottom"/>
            <w:shd w:val="clear" w:color="auto" w:fill="CFF0FC"/>
          </w:tcPr>
          <w:p>
            <w:pPr>
              <w:jc w:val="right"/>
              <w:ind w:right="42"/>
              <w:spacing w:after="0" w:line="110" w:lineRule="exact"/>
              <w:rPr>
                <w:sz w:val="20"/>
                <w:szCs w:val="20"/>
                <w:color w:val="auto"/>
              </w:rPr>
            </w:pPr>
            <w:r>
              <w:rPr>
                <w:rFonts w:ascii="Arial" w:cs="Arial" w:eastAsia="Arial" w:hAnsi="Arial"/>
                <w:sz w:val="12"/>
                <w:szCs w:val="12"/>
                <w:color w:val="auto"/>
              </w:rPr>
              <w:t>8.75 %</w:t>
            </w:r>
          </w:p>
        </w:tc>
        <w:tc>
          <w:tcPr>
            <w:tcW w:w="880" w:type="dxa"/>
            <w:vAlign w:val="bottom"/>
            <w:shd w:val="clear" w:color="auto" w:fill="CFF0FC"/>
          </w:tcPr>
          <w:p>
            <w:pPr>
              <w:jc w:val="right"/>
              <w:spacing w:after="0" w:line="110" w:lineRule="exact"/>
              <w:rPr>
                <w:sz w:val="20"/>
                <w:szCs w:val="20"/>
                <w:color w:val="auto"/>
              </w:rPr>
            </w:pPr>
            <w:r>
              <w:rPr>
                <w:rFonts w:ascii="Arial" w:cs="Arial" w:eastAsia="Arial" w:hAnsi="Arial"/>
                <w:sz w:val="12"/>
                <w:szCs w:val="12"/>
                <w:color w:val="auto"/>
              </w:rPr>
              <w:t>3,003</w:t>
            </w:r>
          </w:p>
        </w:tc>
        <w:tc>
          <w:tcPr>
            <w:tcW w:w="12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3,015</w:t>
            </w:r>
          </w:p>
        </w:tc>
        <w:tc>
          <w:tcPr>
            <w:tcW w:w="1300" w:type="dxa"/>
            <w:vAlign w:val="bottom"/>
            <w:gridSpan w:val="3"/>
            <w:shd w:val="clear" w:color="auto" w:fill="CFF0FC"/>
          </w:tcPr>
          <w:p>
            <w:pPr>
              <w:jc w:val="right"/>
              <w:spacing w:after="0" w:line="110" w:lineRule="exact"/>
              <w:rPr>
                <w:sz w:val="20"/>
                <w:szCs w:val="20"/>
                <w:color w:val="auto"/>
              </w:rPr>
            </w:pPr>
            <w:r>
              <w:rPr>
                <w:rFonts w:ascii="Arial" w:cs="Arial" w:eastAsia="Arial" w:hAnsi="Arial"/>
                <w:sz w:val="12"/>
                <w:szCs w:val="12"/>
                <w:color w:val="auto"/>
              </w:rPr>
              <w:t>0.2 %</w:t>
            </w:r>
          </w:p>
        </w:tc>
        <w:tc>
          <w:tcPr>
            <w:tcW w:w="20" w:type="dxa"/>
            <w:vAlign w:val="bottom"/>
          </w:tcPr>
          <w:p>
            <w:pPr>
              <w:spacing w:after="0"/>
              <w:rPr>
                <w:sz w:val="9"/>
                <w:szCs w:val="9"/>
                <w:color w:val="auto"/>
              </w:rPr>
            </w:pPr>
          </w:p>
        </w:tc>
      </w:tr>
      <w:tr>
        <w:trPr>
          <w:trHeight w:val="162"/>
        </w:trPr>
        <w:tc>
          <w:tcPr>
            <w:tcW w:w="2140" w:type="dxa"/>
            <w:vAlign w:val="bottom"/>
            <w:shd w:val="clear" w:color="auto" w:fill="CFF0FC"/>
          </w:tcPr>
          <w:p>
            <w:pPr>
              <w:spacing w:after="0"/>
              <w:rPr>
                <w:sz w:val="14"/>
                <w:szCs w:val="14"/>
                <w:color w:val="auto"/>
              </w:rPr>
            </w:pPr>
          </w:p>
        </w:tc>
        <w:tc>
          <w:tcPr>
            <w:tcW w:w="2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due 10/2025)</w:t>
            </w:r>
          </w:p>
        </w:tc>
        <w:tc>
          <w:tcPr>
            <w:tcW w:w="9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2"/>
                <w:szCs w:val="12"/>
                <w:color w:val="auto"/>
              </w:rPr>
              <w:t>Employment Hero Holdings Pty</w:t>
            </w:r>
          </w:p>
        </w:tc>
        <w:tc>
          <w:tcPr>
            <w:tcW w:w="2420" w:type="dxa"/>
            <w:vAlign w:val="bottom"/>
          </w:tcPr>
          <w:p>
            <w:pPr>
              <w:ind w:left="260"/>
              <w:spacing w:after="0" w:line="108" w:lineRule="exact"/>
              <w:rPr>
                <w:sz w:val="20"/>
                <w:szCs w:val="20"/>
                <w:color w:val="auto"/>
              </w:rPr>
            </w:pPr>
            <w:r>
              <w:rPr>
                <w:rFonts w:ascii="Arial" w:cs="Arial" w:eastAsia="Arial" w:hAnsi="Arial"/>
                <w:sz w:val="12"/>
                <w:szCs w:val="12"/>
                <w:color w:val="auto"/>
              </w:rPr>
              <w:t>First-lien loan (AUD 40,000 par, due</w:t>
            </w:r>
          </w:p>
        </w:tc>
        <w:tc>
          <w:tcPr>
            <w:tcW w:w="980" w:type="dxa"/>
            <w:vAlign w:val="bottom"/>
          </w:tcPr>
          <w:p>
            <w:pPr>
              <w:jc w:val="right"/>
              <w:ind w:right="162"/>
              <w:spacing w:after="0" w:line="108" w:lineRule="exact"/>
              <w:rPr>
                <w:sz w:val="20"/>
                <w:szCs w:val="20"/>
                <w:color w:val="auto"/>
              </w:rPr>
            </w:pPr>
            <w:r>
              <w:rPr>
                <w:rFonts w:ascii="Arial" w:cs="Arial" w:eastAsia="Arial" w:hAnsi="Arial"/>
                <w:sz w:val="12"/>
                <w:szCs w:val="12"/>
                <w:color w:val="auto"/>
              </w:rPr>
              <w:t>12/6/2021</w:t>
            </w:r>
          </w:p>
        </w:tc>
        <w:tc>
          <w:tcPr>
            <w:tcW w:w="1140" w:type="dxa"/>
            <w:vAlign w:val="bottom"/>
          </w:tcPr>
          <w:p>
            <w:pPr>
              <w:jc w:val="right"/>
              <w:ind w:right="302"/>
              <w:spacing w:after="0" w:line="108" w:lineRule="exact"/>
              <w:rPr>
                <w:sz w:val="20"/>
                <w:szCs w:val="20"/>
                <w:color w:val="auto"/>
              </w:rPr>
            </w:pPr>
            <w:r>
              <w:rPr>
                <w:rFonts w:ascii="Arial" w:cs="Arial" w:eastAsia="Arial" w:hAnsi="Arial"/>
                <w:sz w:val="12"/>
                <w:szCs w:val="12"/>
                <w:color w:val="auto"/>
              </w:rPr>
              <w:t>B + 6.50%</w:t>
            </w:r>
          </w:p>
        </w:tc>
        <w:tc>
          <w:tcPr>
            <w:tcW w:w="1160" w:type="dxa"/>
            <w:vAlign w:val="bottom"/>
          </w:tcPr>
          <w:p>
            <w:pPr>
              <w:jc w:val="right"/>
              <w:ind w:right="42"/>
              <w:spacing w:after="0" w:line="108" w:lineRule="exact"/>
              <w:rPr>
                <w:sz w:val="20"/>
                <w:szCs w:val="20"/>
                <w:color w:val="auto"/>
              </w:rPr>
            </w:pPr>
            <w:r>
              <w:rPr>
                <w:rFonts w:ascii="Arial" w:cs="Arial" w:eastAsia="Arial" w:hAnsi="Arial"/>
                <w:sz w:val="12"/>
                <w:szCs w:val="12"/>
                <w:color w:val="auto"/>
              </w:rPr>
              <w:t>7.50 %</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27,317</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28,166</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2.2 %</w:t>
            </w:r>
          </w:p>
        </w:tc>
        <w:tc>
          <w:tcPr>
            <w:tcW w:w="20" w:type="dxa"/>
            <w:vAlign w:val="bottom"/>
          </w:tcPr>
          <w:p>
            <w:pPr>
              <w:spacing w:after="0"/>
              <w:rPr>
                <w:sz w:val="9"/>
                <w:szCs w:val="9"/>
                <w:color w:val="auto"/>
              </w:rPr>
            </w:pPr>
          </w:p>
        </w:tc>
      </w:tr>
      <w:tr>
        <w:trPr>
          <w:trHeight w:val="162"/>
        </w:trPr>
        <w:tc>
          <w:tcPr>
            <w:tcW w:w="2140" w:type="dxa"/>
            <w:vAlign w:val="bottom"/>
          </w:tcPr>
          <w:p>
            <w:pPr>
              <w:ind w:left="120"/>
              <w:spacing w:after="0" w:line="162" w:lineRule="exact"/>
              <w:rPr>
                <w:sz w:val="20"/>
                <w:szCs w:val="20"/>
                <w:color w:val="auto"/>
              </w:rPr>
            </w:pPr>
            <w:r>
              <w:rPr>
                <w:rFonts w:ascii="Arial" w:cs="Arial" w:eastAsia="Arial" w:hAnsi="Arial"/>
                <w:sz w:val="13"/>
                <w:szCs w:val="13"/>
                <w:color w:val="auto"/>
              </w:rPr>
              <w:t xml:space="preserve">Ltd. </w:t>
            </w:r>
            <w:r>
              <w:rPr>
                <w:rFonts w:ascii="Arial" w:cs="Arial" w:eastAsia="Arial" w:hAnsi="Arial"/>
                <w:sz w:val="16"/>
                <w:szCs w:val="16"/>
                <w:color w:val="auto"/>
                <w:vertAlign w:val="superscript"/>
              </w:rPr>
              <w:t>(4)</w:t>
            </w:r>
          </w:p>
        </w:tc>
        <w:tc>
          <w:tcPr>
            <w:tcW w:w="2420" w:type="dxa"/>
            <w:vAlign w:val="bottom"/>
          </w:tcPr>
          <w:p>
            <w:pPr>
              <w:ind w:left="260"/>
              <w:spacing w:after="0" w:line="162" w:lineRule="exact"/>
              <w:rPr>
                <w:sz w:val="20"/>
                <w:szCs w:val="20"/>
                <w:color w:val="auto"/>
              </w:rPr>
            </w:pPr>
            <w:r>
              <w:rPr>
                <w:rFonts w:ascii="Arial" w:cs="Arial" w:eastAsia="Arial" w:hAnsi="Arial"/>
                <w:sz w:val="13"/>
                <w:szCs w:val="13"/>
                <w:color w:val="auto"/>
              </w:rPr>
              <w:t xml:space="preserve">12/2026) </w:t>
            </w:r>
            <w:r>
              <w:rPr>
                <w:rFonts w:ascii="Arial" w:cs="Arial" w:eastAsia="Arial" w:hAnsi="Arial"/>
                <w:sz w:val="16"/>
                <w:szCs w:val="16"/>
                <w:color w:val="auto"/>
                <w:vertAlign w:val="superscript"/>
              </w:rPr>
              <w:t>(3)</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(AUD 38,740)</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08"/>
        </w:trPr>
        <w:tc>
          <w:tcPr>
            <w:tcW w:w="2140" w:type="dxa"/>
            <w:vAlign w:val="bottom"/>
            <w:shd w:val="clear" w:color="auto" w:fill="CFF0FC"/>
          </w:tcPr>
          <w:p>
            <w:pPr>
              <w:spacing w:after="0"/>
              <w:rPr>
                <w:sz w:val="9"/>
                <w:szCs w:val="9"/>
                <w:color w:val="auto"/>
              </w:rPr>
            </w:pPr>
          </w:p>
        </w:tc>
        <w:tc>
          <w:tcPr>
            <w:tcW w:w="2420" w:type="dxa"/>
            <w:vAlign w:val="bottom"/>
            <w:shd w:val="clear" w:color="auto" w:fill="CFF0FC"/>
          </w:tcPr>
          <w:p>
            <w:pPr>
              <w:ind w:left="260"/>
              <w:spacing w:after="0" w:line="108" w:lineRule="exact"/>
              <w:rPr>
                <w:sz w:val="20"/>
                <w:szCs w:val="20"/>
                <w:color w:val="auto"/>
              </w:rPr>
            </w:pPr>
            <w:r>
              <w:rPr>
                <w:rFonts w:ascii="Arial" w:cs="Arial" w:eastAsia="Arial" w:hAnsi="Arial"/>
                <w:sz w:val="12"/>
                <w:szCs w:val="12"/>
                <w:color w:val="auto"/>
              </w:rPr>
              <w:t>Convertible note (AUD 3,000 par, due</w:t>
            </w:r>
          </w:p>
        </w:tc>
        <w:tc>
          <w:tcPr>
            <w:tcW w:w="980" w:type="dxa"/>
            <w:vAlign w:val="bottom"/>
            <w:shd w:val="clear" w:color="auto" w:fill="CFF0FC"/>
          </w:tcPr>
          <w:p>
            <w:pPr>
              <w:jc w:val="right"/>
              <w:ind w:right="162"/>
              <w:spacing w:after="0" w:line="108" w:lineRule="exact"/>
              <w:rPr>
                <w:sz w:val="20"/>
                <w:szCs w:val="20"/>
                <w:color w:val="auto"/>
              </w:rPr>
            </w:pPr>
            <w:r>
              <w:rPr>
                <w:rFonts w:ascii="Arial" w:cs="Arial" w:eastAsia="Arial" w:hAnsi="Arial"/>
                <w:sz w:val="12"/>
                <w:szCs w:val="12"/>
                <w:color w:val="auto"/>
              </w:rPr>
              <w:t>12/13/2021</w:t>
            </w:r>
          </w:p>
        </w:tc>
        <w:tc>
          <w:tcPr>
            <w:tcW w:w="1140" w:type="dxa"/>
            <w:vAlign w:val="bottom"/>
            <w:shd w:val="clear" w:color="auto" w:fill="CFF0FC"/>
          </w:tcPr>
          <w:p>
            <w:pPr>
              <w:jc w:val="right"/>
              <w:ind w:right="162"/>
              <w:spacing w:after="0" w:line="108" w:lineRule="exact"/>
              <w:rPr>
                <w:sz w:val="20"/>
                <w:szCs w:val="20"/>
                <w:color w:val="auto"/>
              </w:rPr>
            </w:pPr>
            <w:r>
              <w:rPr>
                <w:rFonts w:ascii="Arial" w:cs="Arial" w:eastAsia="Arial" w:hAnsi="Arial"/>
                <w:sz w:val="12"/>
                <w:szCs w:val="12"/>
                <w:color w:val="auto"/>
              </w:rPr>
              <w:t>0.00 %</w:t>
            </w:r>
          </w:p>
        </w:tc>
        <w:tc>
          <w:tcPr>
            <w:tcW w:w="1160" w:type="dxa"/>
            <w:vAlign w:val="bottom"/>
            <w:shd w:val="clear" w:color="auto" w:fill="CFF0FC"/>
          </w:tcPr>
          <w:p>
            <w:pPr>
              <w:jc w:val="right"/>
              <w:ind w:right="42"/>
              <w:spacing w:after="0" w:line="108" w:lineRule="exact"/>
              <w:rPr>
                <w:sz w:val="20"/>
                <w:szCs w:val="20"/>
                <w:color w:val="auto"/>
              </w:rPr>
            </w:pPr>
            <w:r>
              <w:rPr>
                <w:rFonts w:ascii="Arial" w:cs="Arial" w:eastAsia="Arial" w:hAnsi="Arial"/>
                <w:sz w:val="12"/>
                <w:szCs w:val="12"/>
                <w:color w:val="auto"/>
              </w:rPr>
              <w:t>0.00 %</w:t>
            </w: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2,134</w:t>
            </w:r>
          </w:p>
        </w:tc>
        <w:tc>
          <w:tcPr>
            <w:tcW w:w="12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2,134</w:t>
            </w:r>
          </w:p>
        </w:tc>
        <w:tc>
          <w:tcPr>
            <w:tcW w:w="1300" w:type="dxa"/>
            <w:vAlign w:val="bottom"/>
            <w:gridSpan w:val="3"/>
            <w:shd w:val="clear" w:color="auto" w:fill="CFF0FC"/>
          </w:tcPr>
          <w:p>
            <w:pPr>
              <w:jc w:val="right"/>
              <w:spacing w:after="0" w:line="108" w:lineRule="exact"/>
              <w:rPr>
                <w:sz w:val="20"/>
                <w:szCs w:val="20"/>
                <w:color w:val="auto"/>
              </w:rPr>
            </w:pPr>
            <w:r>
              <w:rPr>
                <w:rFonts w:ascii="Arial" w:cs="Arial" w:eastAsia="Arial" w:hAnsi="Arial"/>
                <w:sz w:val="12"/>
                <w:szCs w:val="12"/>
                <w:color w:val="auto"/>
              </w:rPr>
              <w:t>0.2 %</w:t>
            </w:r>
          </w:p>
        </w:tc>
        <w:tc>
          <w:tcPr>
            <w:tcW w:w="20" w:type="dxa"/>
            <w:vAlign w:val="bottom"/>
          </w:tcPr>
          <w:p>
            <w:pPr>
              <w:spacing w:after="0"/>
              <w:rPr>
                <w:sz w:val="9"/>
                <w:szCs w:val="9"/>
                <w:color w:val="auto"/>
              </w:rPr>
            </w:pPr>
          </w:p>
        </w:tc>
      </w:tr>
      <w:tr>
        <w:trPr>
          <w:trHeight w:val="162"/>
        </w:trPr>
        <w:tc>
          <w:tcPr>
            <w:tcW w:w="2140" w:type="dxa"/>
            <w:vAlign w:val="bottom"/>
            <w:shd w:val="clear" w:color="auto" w:fill="CFF0FC"/>
          </w:tcPr>
          <w:p>
            <w:pPr>
              <w:spacing w:after="0"/>
              <w:rPr>
                <w:sz w:val="14"/>
                <w:szCs w:val="14"/>
                <w:color w:val="auto"/>
              </w:rPr>
            </w:pPr>
          </w:p>
        </w:tc>
        <w:tc>
          <w:tcPr>
            <w:tcW w:w="2420" w:type="dxa"/>
            <w:vAlign w:val="bottom"/>
            <w:shd w:val="clear" w:color="auto" w:fill="CFF0FC"/>
          </w:tcPr>
          <w:p>
            <w:pPr>
              <w:ind w:left="260"/>
              <w:spacing w:after="0" w:line="162" w:lineRule="exact"/>
              <w:rPr>
                <w:sz w:val="20"/>
                <w:szCs w:val="20"/>
                <w:color w:val="auto"/>
              </w:rPr>
            </w:pPr>
            <w:r>
              <w:rPr>
                <w:rFonts w:ascii="Arial" w:cs="Arial" w:eastAsia="Arial" w:hAnsi="Arial"/>
                <w:sz w:val="13"/>
                <w:szCs w:val="13"/>
                <w:color w:val="auto"/>
              </w:rPr>
              <w:t xml:space="preserve">6/2027) </w:t>
            </w:r>
            <w:r>
              <w:rPr>
                <w:rFonts w:ascii="Arial" w:cs="Arial" w:eastAsia="Arial" w:hAnsi="Arial"/>
                <w:sz w:val="16"/>
                <w:szCs w:val="16"/>
                <w:color w:val="auto"/>
                <w:vertAlign w:val="superscript"/>
              </w:rPr>
              <w:t>(13)</w:t>
            </w:r>
          </w:p>
        </w:tc>
        <w:tc>
          <w:tcPr>
            <w:tcW w:w="9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(AUD 2,936)</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PageUp People, Ltd. </w:t>
            </w:r>
            <w:r>
              <w:rPr>
                <w:rFonts w:ascii="Arial" w:cs="Arial" w:eastAsia="Arial" w:hAnsi="Arial"/>
                <w:sz w:val="12"/>
                <w:szCs w:val="12"/>
                <w:color w:val="auto"/>
                <w:vertAlign w:val="superscript"/>
              </w:rPr>
              <w:t>(3)(4)(5)</w:t>
            </w:r>
          </w:p>
        </w:tc>
        <w:tc>
          <w:tcPr>
            <w:tcW w:w="2420" w:type="dxa"/>
            <w:vAlign w:val="bottom"/>
          </w:tcPr>
          <w:p>
            <w:pPr>
              <w:ind w:left="260"/>
              <w:spacing w:after="0" w:line="108" w:lineRule="exact"/>
              <w:rPr>
                <w:sz w:val="20"/>
                <w:szCs w:val="20"/>
                <w:color w:val="auto"/>
              </w:rPr>
            </w:pPr>
            <w:r>
              <w:rPr>
                <w:rFonts w:ascii="Arial" w:cs="Arial" w:eastAsia="Arial" w:hAnsi="Arial"/>
                <w:sz w:val="12"/>
                <w:szCs w:val="12"/>
                <w:color w:val="auto"/>
              </w:rPr>
              <w:t>First-lien loan (AUD 17,400 par, due</w:t>
            </w:r>
          </w:p>
        </w:tc>
        <w:tc>
          <w:tcPr>
            <w:tcW w:w="980" w:type="dxa"/>
            <w:vAlign w:val="bottom"/>
          </w:tcPr>
          <w:p>
            <w:pPr>
              <w:jc w:val="right"/>
              <w:ind w:right="162"/>
              <w:spacing w:after="0" w:line="108" w:lineRule="exact"/>
              <w:rPr>
                <w:sz w:val="20"/>
                <w:szCs w:val="20"/>
                <w:color w:val="auto"/>
              </w:rPr>
            </w:pPr>
            <w:r>
              <w:rPr>
                <w:rFonts w:ascii="Arial" w:cs="Arial" w:eastAsia="Arial" w:hAnsi="Arial"/>
                <w:sz w:val="12"/>
                <w:szCs w:val="12"/>
                <w:color w:val="auto"/>
              </w:rPr>
              <w:t>1/11/2018</w:t>
            </w:r>
          </w:p>
        </w:tc>
        <w:tc>
          <w:tcPr>
            <w:tcW w:w="1140" w:type="dxa"/>
            <w:vAlign w:val="bottom"/>
          </w:tcPr>
          <w:p>
            <w:pPr>
              <w:jc w:val="right"/>
              <w:ind w:right="302"/>
              <w:spacing w:after="0" w:line="108" w:lineRule="exact"/>
              <w:rPr>
                <w:sz w:val="20"/>
                <w:szCs w:val="20"/>
                <w:color w:val="auto"/>
              </w:rPr>
            </w:pPr>
            <w:r>
              <w:rPr>
                <w:rFonts w:ascii="Arial" w:cs="Arial" w:eastAsia="Arial" w:hAnsi="Arial"/>
                <w:sz w:val="12"/>
                <w:szCs w:val="12"/>
                <w:color w:val="auto"/>
              </w:rPr>
              <w:t>B + 5.50%</w:t>
            </w:r>
          </w:p>
        </w:tc>
        <w:tc>
          <w:tcPr>
            <w:tcW w:w="1160" w:type="dxa"/>
            <w:vAlign w:val="bottom"/>
          </w:tcPr>
          <w:p>
            <w:pPr>
              <w:jc w:val="right"/>
              <w:ind w:right="42"/>
              <w:spacing w:after="0" w:line="108" w:lineRule="exact"/>
              <w:rPr>
                <w:sz w:val="20"/>
                <w:szCs w:val="20"/>
                <w:color w:val="auto"/>
              </w:rPr>
            </w:pPr>
            <w:r>
              <w:rPr>
                <w:rFonts w:ascii="Arial" w:cs="Arial" w:eastAsia="Arial" w:hAnsi="Arial"/>
                <w:sz w:val="12"/>
                <w:szCs w:val="12"/>
                <w:color w:val="auto"/>
              </w:rPr>
              <w:t>6.25 %</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12,806</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12,115</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0.9 %</w:t>
            </w:r>
          </w:p>
        </w:tc>
        <w:tc>
          <w:tcPr>
            <w:tcW w:w="20" w:type="dxa"/>
            <w:vAlign w:val="bottom"/>
          </w:tcPr>
          <w:p>
            <w:pPr>
              <w:spacing w:after="0"/>
              <w:rPr>
                <w:sz w:val="9"/>
                <w:szCs w:val="9"/>
                <w:color w:val="auto"/>
              </w:rPr>
            </w:pPr>
          </w:p>
        </w:tc>
      </w:tr>
      <w:tr>
        <w:trPr>
          <w:trHeight w:val="160"/>
        </w:trPr>
        <w:tc>
          <w:tcPr>
            <w:tcW w:w="2140" w:type="dxa"/>
            <w:vAlign w:val="bottom"/>
          </w:tcPr>
          <w:p>
            <w:pPr>
              <w:spacing w:after="0"/>
              <w:rPr>
                <w:sz w:val="13"/>
                <w:szCs w:val="13"/>
                <w:color w:val="auto"/>
              </w:rPr>
            </w:pPr>
          </w:p>
        </w:tc>
        <w:tc>
          <w:tcPr>
            <w:tcW w:w="2420" w:type="dxa"/>
            <w:vAlign w:val="bottom"/>
          </w:tcPr>
          <w:p>
            <w:pPr>
              <w:ind w:left="260"/>
              <w:spacing w:after="0"/>
              <w:rPr>
                <w:sz w:val="20"/>
                <w:szCs w:val="20"/>
                <w:color w:val="auto"/>
              </w:rPr>
            </w:pPr>
            <w:r>
              <w:rPr>
                <w:rFonts w:ascii="Arial" w:cs="Arial" w:eastAsia="Arial" w:hAnsi="Arial"/>
                <w:sz w:val="13"/>
                <w:szCs w:val="13"/>
                <w:color w:val="auto"/>
              </w:rPr>
              <w:t>12/2025)</w:t>
            </w: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(AUD 16,664)</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10"/>
        </w:trPr>
        <w:tc>
          <w:tcPr>
            <w:tcW w:w="2140" w:type="dxa"/>
            <w:vAlign w:val="bottom"/>
            <w:shd w:val="clear" w:color="auto" w:fill="CFF0FC"/>
          </w:tcPr>
          <w:p>
            <w:pPr>
              <w:spacing w:after="0"/>
              <w:rPr>
                <w:sz w:val="9"/>
                <w:szCs w:val="9"/>
                <w:color w:val="auto"/>
              </w:rPr>
            </w:pPr>
          </w:p>
        </w:tc>
        <w:tc>
          <w:tcPr>
            <w:tcW w:w="2420" w:type="dxa"/>
            <w:vAlign w:val="bottom"/>
            <w:shd w:val="clear" w:color="auto" w:fill="CFF0FC"/>
          </w:tcPr>
          <w:p>
            <w:pPr>
              <w:ind w:left="260"/>
              <w:spacing w:after="0" w:line="110" w:lineRule="exact"/>
              <w:rPr>
                <w:sz w:val="20"/>
                <w:szCs w:val="20"/>
                <w:color w:val="auto"/>
              </w:rPr>
            </w:pPr>
            <w:r>
              <w:rPr>
                <w:rFonts w:ascii="Arial" w:cs="Arial" w:eastAsia="Arial" w:hAnsi="Arial"/>
                <w:sz w:val="12"/>
                <w:szCs w:val="12"/>
                <w:color w:val="auto"/>
              </w:rPr>
              <w:t>First-lien loan (GBP 4,723 par, due</w:t>
            </w:r>
          </w:p>
        </w:tc>
        <w:tc>
          <w:tcPr>
            <w:tcW w:w="980" w:type="dxa"/>
            <w:vAlign w:val="bottom"/>
            <w:shd w:val="clear" w:color="auto" w:fill="CFF0FC"/>
          </w:tcPr>
          <w:p>
            <w:pPr>
              <w:jc w:val="right"/>
              <w:ind w:right="162"/>
              <w:spacing w:after="0" w:line="110" w:lineRule="exact"/>
              <w:rPr>
                <w:sz w:val="20"/>
                <w:szCs w:val="20"/>
                <w:color w:val="auto"/>
              </w:rPr>
            </w:pPr>
            <w:r>
              <w:rPr>
                <w:rFonts w:ascii="Arial" w:cs="Arial" w:eastAsia="Arial" w:hAnsi="Arial"/>
                <w:sz w:val="12"/>
                <w:szCs w:val="12"/>
                <w:color w:val="auto"/>
              </w:rPr>
              <w:t>10/28/2021</w:t>
            </w:r>
          </w:p>
        </w:tc>
        <w:tc>
          <w:tcPr>
            <w:tcW w:w="1140" w:type="dxa"/>
            <w:vAlign w:val="bottom"/>
            <w:shd w:val="clear" w:color="auto" w:fill="CFF0FC"/>
          </w:tcPr>
          <w:p>
            <w:pPr>
              <w:jc w:val="right"/>
              <w:ind w:right="302"/>
              <w:spacing w:after="0" w:line="110" w:lineRule="exact"/>
              <w:rPr>
                <w:sz w:val="20"/>
                <w:szCs w:val="20"/>
                <w:color w:val="auto"/>
              </w:rPr>
            </w:pPr>
            <w:r>
              <w:rPr>
                <w:rFonts w:ascii="Arial" w:cs="Arial" w:eastAsia="Arial" w:hAnsi="Arial"/>
                <w:sz w:val="12"/>
                <w:szCs w:val="12"/>
                <w:color w:val="auto"/>
              </w:rPr>
              <w:t>S + 5.50%</w:t>
            </w:r>
          </w:p>
        </w:tc>
        <w:tc>
          <w:tcPr>
            <w:tcW w:w="1160" w:type="dxa"/>
            <w:vAlign w:val="bottom"/>
            <w:shd w:val="clear" w:color="auto" w:fill="CFF0FC"/>
          </w:tcPr>
          <w:p>
            <w:pPr>
              <w:jc w:val="right"/>
              <w:ind w:right="42"/>
              <w:spacing w:after="0" w:line="110" w:lineRule="exact"/>
              <w:rPr>
                <w:sz w:val="20"/>
                <w:szCs w:val="20"/>
                <w:color w:val="auto"/>
              </w:rPr>
            </w:pPr>
            <w:r>
              <w:rPr>
                <w:rFonts w:ascii="Arial" w:cs="Arial" w:eastAsia="Arial" w:hAnsi="Arial"/>
                <w:sz w:val="12"/>
                <w:szCs w:val="12"/>
                <w:color w:val="auto"/>
              </w:rPr>
              <w:t>6.37 %</w:t>
            </w:r>
          </w:p>
        </w:tc>
        <w:tc>
          <w:tcPr>
            <w:tcW w:w="880" w:type="dxa"/>
            <w:vAlign w:val="bottom"/>
            <w:shd w:val="clear" w:color="auto" w:fill="CFF0FC"/>
          </w:tcPr>
          <w:p>
            <w:pPr>
              <w:jc w:val="right"/>
              <w:spacing w:after="0" w:line="110" w:lineRule="exact"/>
              <w:rPr>
                <w:sz w:val="20"/>
                <w:szCs w:val="20"/>
                <w:color w:val="auto"/>
              </w:rPr>
            </w:pPr>
            <w:r>
              <w:rPr>
                <w:rFonts w:ascii="Arial" w:cs="Arial" w:eastAsia="Arial" w:hAnsi="Arial"/>
                <w:sz w:val="12"/>
                <w:szCs w:val="12"/>
                <w:color w:val="auto"/>
              </w:rPr>
              <w:t>6,499</w:t>
            </w:r>
          </w:p>
        </w:tc>
        <w:tc>
          <w:tcPr>
            <w:tcW w:w="12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6,317</w:t>
            </w:r>
          </w:p>
        </w:tc>
        <w:tc>
          <w:tcPr>
            <w:tcW w:w="1300" w:type="dxa"/>
            <w:vAlign w:val="bottom"/>
            <w:gridSpan w:val="3"/>
            <w:shd w:val="clear" w:color="auto" w:fill="CFF0FC"/>
          </w:tcPr>
          <w:p>
            <w:pPr>
              <w:jc w:val="right"/>
              <w:spacing w:after="0" w:line="110" w:lineRule="exact"/>
              <w:rPr>
                <w:sz w:val="20"/>
                <w:szCs w:val="20"/>
                <w:color w:val="auto"/>
              </w:rPr>
            </w:pPr>
            <w:r>
              <w:rPr>
                <w:rFonts w:ascii="Arial" w:cs="Arial" w:eastAsia="Arial" w:hAnsi="Arial"/>
                <w:sz w:val="12"/>
                <w:szCs w:val="12"/>
                <w:color w:val="auto"/>
              </w:rPr>
              <w:t>0.5 %</w:t>
            </w:r>
          </w:p>
        </w:tc>
        <w:tc>
          <w:tcPr>
            <w:tcW w:w="20" w:type="dxa"/>
            <w:vAlign w:val="bottom"/>
          </w:tcPr>
          <w:p>
            <w:pPr>
              <w:spacing w:after="0"/>
              <w:rPr>
                <w:sz w:val="9"/>
                <w:szCs w:val="9"/>
                <w:color w:val="auto"/>
              </w:rPr>
            </w:pPr>
          </w:p>
        </w:tc>
      </w:tr>
      <w:tr>
        <w:trPr>
          <w:trHeight w:val="162"/>
        </w:trPr>
        <w:tc>
          <w:tcPr>
            <w:tcW w:w="2140" w:type="dxa"/>
            <w:vAlign w:val="bottom"/>
            <w:shd w:val="clear" w:color="auto" w:fill="CFF0FC"/>
          </w:tcPr>
          <w:p>
            <w:pPr>
              <w:spacing w:after="0"/>
              <w:rPr>
                <w:sz w:val="14"/>
                <w:szCs w:val="14"/>
                <w:color w:val="auto"/>
              </w:rPr>
            </w:pPr>
          </w:p>
        </w:tc>
        <w:tc>
          <w:tcPr>
            <w:tcW w:w="2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12/2025)</w:t>
            </w:r>
          </w:p>
        </w:tc>
        <w:tc>
          <w:tcPr>
            <w:tcW w:w="9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(GBP 4,664)</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08"/>
        </w:trPr>
        <w:tc>
          <w:tcPr>
            <w:tcW w:w="2140" w:type="dxa"/>
            <w:vAlign w:val="bottom"/>
          </w:tcPr>
          <w:p>
            <w:pPr>
              <w:spacing w:after="0"/>
              <w:rPr>
                <w:sz w:val="9"/>
                <w:szCs w:val="9"/>
                <w:color w:val="auto"/>
              </w:rPr>
            </w:pPr>
          </w:p>
        </w:tc>
        <w:tc>
          <w:tcPr>
            <w:tcW w:w="2420" w:type="dxa"/>
            <w:vAlign w:val="bottom"/>
          </w:tcPr>
          <w:p>
            <w:pPr>
              <w:ind w:left="260"/>
              <w:spacing w:after="0" w:line="108" w:lineRule="exact"/>
              <w:rPr>
                <w:sz w:val="20"/>
                <w:szCs w:val="20"/>
                <w:color w:val="auto"/>
              </w:rPr>
            </w:pPr>
            <w:r>
              <w:rPr>
                <w:rFonts w:ascii="Arial" w:cs="Arial" w:eastAsia="Arial" w:hAnsi="Arial"/>
                <w:sz w:val="12"/>
                <w:szCs w:val="12"/>
                <w:color w:val="auto"/>
              </w:rPr>
              <w:t>First-lien loan ($12,989 par, due</w:t>
            </w:r>
          </w:p>
        </w:tc>
        <w:tc>
          <w:tcPr>
            <w:tcW w:w="980" w:type="dxa"/>
            <w:vAlign w:val="bottom"/>
          </w:tcPr>
          <w:p>
            <w:pPr>
              <w:jc w:val="right"/>
              <w:ind w:right="162"/>
              <w:spacing w:after="0" w:line="108" w:lineRule="exact"/>
              <w:rPr>
                <w:sz w:val="20"/>
                <w:szCs w:val="20"/>
                <w:color w:val="auto"/>
              </w:rPr>
            </w:pPr>
            <w:r>
              <w:rPr>
                <w:rFonts w:ascii="Arial" w:cs="Arial" w:eastAsia="Arial" w:hAnsi="Arial"/>
                <w:sz w:val="12"/>
                <w:szCs w:val="12"/>
                <w:color w:val="auto"/>
              </w:rPr>
              <w:t>10/28/2021</w:t>
            </w:r>
          </w:p>
        </w:tc>
        <w:tc>
          <w:tcPr>
            <w:tcW w:w="1140" w:type="dxa"/>
            <w:vAlign w:val="bottom"/>
          </w:tcPr>
          <w:p>
            <w:pPr>
              <w:jc w:val="right"/>
              <w:ind w:right="302"/>
              <w:spacing w:after="0" w:line="108" w:lineRule="exact"/>
              <w:rPr>
                <w:sz w:val="20"/>
                <w:szCs w:val="20"/>
                <w:color w:val="auto"/>
              </w:rPr>
            </w:pPr>
            <w:r>
              <w:rPr>
                <w:rFonts w:ascii="Arial" w:cs="Arial" w:eastAsia="Arial" w:hAnsi="Arial"/>
                <w:sz w:val="12"/>
                <w:szCs w:val="12"/>
                <w:color w:val="auto"/>
              </w:rPr>
              <w:t>L + 5.50%</w:t>
            </w:r>
          </w:p>
        </w:tc>
        <w:tc>
          <w:tcPr>
            <w:tcW w:w="1160" w:type="dxa"/>
            <w:vAlign w:val="bottom"/>
          </w:tcPr>
          <w:p>
            <w:pPr>
              <w:jc w:val="right"/>
              <w:ind w:right="42"/>
              <w:spacing w:after="0" w:line="108" w:lineRule="exact"/>
              <w:rPr>
                <w:sz w:val="20"/>
                <w:szCs w:val="20"/>
                <w:color w:val="auto"/>
              </w:rPr>
            </w:pPr>
            <w:r>
              <w:rPr>
                <w:rFonts w:ascii="Arial" w:cs="Arial" w:eastAsia="Arial" w:hAnsi="Arial"/>
                <w:sz w:val="12"/>
                <w:szCs w:val="12"/>
                <w:color w:val="auto"/>
              </w:rPr>
              <w:t>6.25 %</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12,970</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12,827</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1.0 %</w:t>
            </w:r>
          </w:p>
        </w:tc>
        <w:tc>
          <w:tcPr>
            <w:tcW w:w="20" w:type="dxa"/>
            <w:vAlign w:val="bottom"/>
          </w:tcPr>
          <w:p>
            <w:pPr>
              <w:spacing w:after="0"/>
              <w:rPr>
                <w:sz w:val="9"/>
                <w:szCs w:val="9"/>
                <w:color w:val="auto"/>
              </w:rPr>
            </w:pPr>
          </w:p>
        </w:tc>
      </w:tr>
      <w:tr>
        <w:trPr>
          <w:trHeight w:val="160"/>
        </w:trPr>
        <w:tc>
          <w:tcPr>
            <w:tcW w:w="2140" w:type="dxa"/>
            <w:vAlign w:val="bottom"/>
          </w:tcPr>
          <w:p>
            <w:pPr>
              <w:spacing w:after="0"/>
              <w:rPr>
                <w:sz w:val="13"/>
                <w:szCs w:val="13"/>
                <w:color w:val="auto"/>
              </w:rPr>
            </w:pPr>
          </w:p>
        </w:tc>
        <w:tc>
          <w:tcPr>
            <w:tcW w:w="2420" w:type="dxa"/>
            <w:vAlign w:val="bottom"/>
          </w:tcPr>
          <w:p>
            <w:pPr>
              <w:ind w:left="260"/>
              <w:spacing w:after="0"/>
              <w:rPr>
                <w:sz w:val="20"/>
                <w:szCs w:val="20"/>
                <w:color w:val="auto"/>
              </w:rPr>
            </w:pPr>
            <w:r>
              <w:rPr>
                <w:rFonts w:ascii="Arial" w:cs="Arial" w:eastAsia="Arial" w:hAnsi="Arial"/>
                <w:sz w:val="13"/>
                <w:szCs w:val="13"/>
                <w:color w:val="auto"/>
              </w:rPr>
              <w:t>12/2025)</w:t>
            </w: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10"/>
        </w:trPr>
        <w:tc>
          <w:tcPr>
            <w:tcW w:w="2140" w:type="dxa"/>
            <w:vAlign w:val="bottom"/>
            <w:shd w:val="clear" w:color="auto" w:fill="CFF0FC"/>
          </w:tcPr>
          <w:p>
            <w:pPr>
              <w:ind w:left="20"/>
              <w:spacing w:after="0" w:line="110" w:lineRule="exact"/>
              <w:rPr>
                <w:sz w:val="20"/>
                <w:szCs w:val="20"/>
                <w:color w:val="auto"/>
              </w:rPr>
            </w:pPr>
            <w:r>
              <w:rPr>
                <w:rFonts w:ascii="Arial" w:cs="Arial" w:eastAsia="Arial" w:hAnsi="Arial"/>
                <w:sz w:val="10"/>
                <w:szCs w:val="10"/>
                <w:color w:val="auto"/>
              </w:rPr>
              <w:t xml:space="preserve">PayScale Holdings, Inc. </w:t>
            </w:r>
            <w:r>
              <w:rPr>
                <w:rFonts w:ascii="Arial" w:cs="Arial" w:eastAsia="Arial" w:hAnsi="Arial"/>
                <w:sz w:val="12"/>
                <w:szCs w:val="12"/>
                <w:color w:val="auto"/>
                <w:vertAlign w:val="superscript"/>
              </w:rPr>
              <w:t>(3)(5)</w:t>
            </w:r>
          </w:p>
        </w:tc>
        <w:tc>
          <w:tcPr>
            <w:tcW w:w="2420" w:type="dxa"/>
            <w:vAlign w:val="bottom"/>
            <w:shd w:val="clear" w:color="auto" w:fill="CFF0FC"/>
          </w:tcPr>
          <w:p>
            <w:pPr>
              <w:ind w:left="260"/>
              <w:spacing w:after="0" w:line="110" w:lineRule="exact"/>
              <w:rPr>
                <w:sz w:val="20"/>
                <w:szCs w:val="20"/>
                <w:color w:val="auto"/>
              </w:rPr>
            </w:pPr>
            <w:r>
              <w:rPr>
                <w:rFonts w:ascii="Arial" w:cs="Arial" w:eastAsia="Arial" w:hAnsi="Arial"/>
                <w:sz w:val="12"/>
                <w:szCs w:val="12"/>
                <w:color w:val="auto"/>
              </w:rPr>
              <w:t>First-lien loan ($69,475 par, due</w:t>
            </w:r>
          </w:p>
        </w:tc>
        <w:tc>
          <w:tcPr>
            <w:tcW w:w="980" w:type="dxa"/>
            <w:vAlign w:val="bottom"/>
            <w:shd w:val="clear" w:color="auto" w:fill="CFF0FC"/>
          </w:tcPr>
          <w:p>
            <w:pPr>
              <w:jc w:val="right"/>
              <w:ind w:right="162"/>
              <w:spacing w:after="0" w:line="110" w:lineRule="exact"/>
              <w:rPr>
                <w:sz w:val="20"/>
                <w:szCs w:val="20"/>
                <w:color w:val="auto"/>
              </w:rPr>
            </w:pPr>
            <w:r>
              <w:rPr>
                <w:rFonts w:ascii="Arial" w:cs="Arial" w:eastAsia="Arial" w:hAnsi="Arial"/>
                <w:sz w:val="12"/>
                <w:szCs w:val="12"/>
                <w:color w:val="auto"/>
              </w:rPr>
              <w:t>5/3/2019</w:t>
            </w:r>
          </w:p>
        </w:tc>
        <w:tc>
          <w:tcPr>
            <w:tcW w:w="1140" w:type="dxa"/>
            <w:vAlign w:val="bottom"/>
            <w:shd w:val="clear" w:color="auto" w:fill="CFF0FC"/>
          </w:tcPr>
          <w:p>
            <w:pPr>
              <w:jc w:val="right"/>
              <w:ind w:right="302"/>
              <w:spacing w:after="0" w:line="110" w:lineRule="exact"/>
              <w:rPr>
                <w:sz w:val="20"/>
                <w:szCs w:val="20"/>
                <w:color w:val="auto"/>
              </w:rPr>
            </w:pPr>
            <w:r>
              <w:rPr>
                <w:rFonts w:ascii="Arial" w:cs="Arial" w:eastAsia="Arial" w:hAnsi="Arial"/>
                <w:sz w:val="12"/>
                <w:szCs w:val="12"/>
                <w:color w:val="auto"/>
              </w:rPr>
              <w:t>L + 6.00%</w:t>
            </w:r>
          </w:p>
        </w:tc>
        <w:tc>
          <w:tcPr>
            <w:tcW w:w="1160" w:type="dxa"/>
            <w:vAlign w:val="bottom"/>
            <w:shd w:val="clear" w:color="auto" w:fill="CFF0FC"/>
          </w:tcPr>
          <w:p>
            <w:pPr>
              <w:jc w:val="right"/>
              <w:ind w:right="42"/>
              <w:spacing w:after="0" w:line="110" w:lineRule="exact"/>
              <w:rPr>
                <w:sz w:val="20"/>
                <w:szCs w:val="20"/>
                <w:color w:val="auto"/>
              </w:rPr>
            </w:pPr>
            <w:r>
              <w:rPr>
                <w:rFonts w:ascii="Arial" w:cs="Arial" w:eastAsia="Arial" w:hAnsi="Arial"/>
                <w:sz w:val="12"/>
                <w:szCs w:val="12"/>
                <w:color w:val="auto"/>
              </w:rPr>
              <w:t>7.00 %</w:t>
            </w:r>
          </w:p>
        </w:tc>
        <w:tc>
          <w:tcPr>
            <w:tcW w:w="880" w:type="dxa"/>
            <w:vAlign w:val="bottom"/>
            <w:shd w:val="clear" w:color="auto" w:fill="CFF0FC"/>
          </w:tcPr>
          <w:p>
            <w:pPr>
              <w:jc w:val="right"/>
              <w:spacing w:after="0" w:line="110" w:lineRule="exact"/>
              <w:rPr>
                <w:sz w:val="20"/>
                <w:szCs w:val="20"/>
                <w:color w:val="auto"/>
              </w:rPr>
            </w:pPr>
            <w:r>
              <w:rPr>
                <w:rFonts w:ascii="Arial" w:cs="Arial" w:eastAsia="Arial" w:hAnsi="Arial"/>
                <w:sz w:val="12"/>
                <w:szCs w:val="12"/>
                <w:color w:val="auto"/>
              </w:rPr>
              <w:t>68,493</w:t>
            </w:r>
          </w:p>
        </w:tc>
        <w:tc>
          <w:tcPr>
            <w:tcW w:w="12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69,822</w:t>
            </w:r>
          </w:p>
        </w:tc>
        <w:tc>
          <w:tcPr>
            <w:tcW w:w="1300" w:type="dxa"/>
            <w:vAlign w:val="bottom"/>
            <w:gridSpan w:val="3"/>
            <w:shd w:val="clear" w:color="auto" w:fill="CFF0FC"/>
          </w:tcPr>
          <w:p>
            <w:pPr>
              <w:jc w:val="right"/>
              <w:spacing w:after="0" w:line="110" w:lineRule="exact"/>
              <w:rPr>
                <w:sz w:val="20"/>
                <w:szCs w:val="20"/>
                <w:color w:val="auto"/>
              </w:rPr>
            </w:pPr>
            <w:r>
              <w:rPr>
                <w:rFonts w:ascii="Arial" w:cs="Arial" w:eastAsia="Arial" w:hAnsi="Arial"/>
                <w:sz w:val="12"/>
                <w:szCs w:val="12"/>
                <w:color w:val="auto"/>
              </w:rPr>
              <w:t>5.5 %</w:t>
            </w:r>
          </w:p>
        </w:tc>
        <w:tc>
          <w:tcPr>
            <w:tcW w:w="20" w:type="dxa"/>
            <w:vAlign w:val="bottom"/>
          </w:tcPr>
          <w:p>
            <w:pPr>
              <w:spacing w:after="0"/>
              <w:rPr>
                <w:sz w:val="9"/>
                <w:szCs w:val="9"/>
                <w:color w:val="auto"/>
              </w:rPr>
            </w:pPr>
          </w:p>
        </w:tc>
      </w:tr>
      <w:tr>
        <w:trPr>
          <w:trHeight w:val="162"/>
        </w:trPr>
        <w:tc>
          <w:tcPr>
            <w:tcW w:w="2140" w:type="dxa"/>
            <w:vAlign w:val="bottom"/>
            <w:shd w:val="clear" w:color="auto" w:fill="CFF0FC"/>
          </w:tcPr>
          <w:p>
            <w:pPr>
              <w:spacing w:after="0"/>
              <w:rPr>
                <w:sz w:val="14"/>
                <w:szCs w:val="14"/>
                <w:color w:val="auto"/>
              </w:rPr>
            </w:pPr>
          </w:p>
        </w:tc>
        <w:tc>
          <w:tcPr>
            <w:tcW w:w="2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5/2024)</w:t>
            </w:r>
          </w:p>
        </w:tc>
        <w:tc>
          <w:tcPr>
            <w:tcW w:w="9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2"/>
                <w:szCs w:val="12"/>
                <w:color w:val="auto"/>
              </w:rPr>
              <w:t>PrimePay Intermediate,</w:t>
            </w:r>
          </w:p>
        </w:tc>
        <w:tc>
          <w:tcPr>
            <w:tcW w:w="2420" w:type="dxa"/>
            <w:vAlign w:val="bottom"/>
          </w:tcPr>
          <w:p>
            <w:pPr>
              <w:ind w:left="260"/>
              <w:spacing w:after="0" w:line="108" w:lineRule="exact"/>
              <w:rPr>
                <w:sz w:val="20"/>
                <w:szCs w:val="20"/>
                <w:color w:val="auto"/>
              </w:rPr>
            </w:pPr>
            <w:r>
              <w:rPr>
                <w:rFonts w:ascii="Arial" w:cs="Arial" w:eastAsia="Arial" w:hAnsi="Arial"/>
                <w:sz w:val="12"/>
                <w:szCs w:val="12"/>
                <w:color w:val="auto"/>
              </w:rPr>
              <w:t>First-lien loan ($27,000 par, due</w:t>
            </w:r>
          </w:p>
        </w:tc>
        <w:tc>
          <w:tcPr>
            <w:tcW w:w="980" w:type="dxa"/>
            <w:vAlign w:val="bottom"/>
          </w:tcPr>
          <w:p>
            <w:pPr>
              <w:jc w:val="right"/>
              <w:ind w:right="162"/>
              <w:spacing w:after="0" w:line="108" w:lineRule="exact"/>
              <w:rPr>
                <w:sz w:val="20"/>
                <w:szCs w:val="20"/>
                <w:color w:val="auto"/>
              </w:rPr>
            </w:pPr>
            <w:r>
              <w:rPr>
                <w:rFonts w:ascii="Arial" w:cs="Arial" w:eastAsia="Arial" w:hAnsi="Arial"/>
                <w:sz w:val="12"/>
                <w:szCs w:val="12"/>
                <w:color w:val="auto"/>
              </w:rPr>
              <w:t>12/17/2021</w:t>
            </w:r>
          </w:p>
        </w:tc>
        <w:tc>
          <w:tcPr>
            <w:tcW w:w="1140" w:type="dxa"/>
            <w:vAlign w:val="bottom"/>
          </w:tcPr>
          <w:p>
            <w:pPr>
              <w:jc w:val="right"/>
              <w:ind w:right="302"/>
              <w:spacing w:after="0" w:line="108" w:lineRule="exact"/>
              <w:rPr>
                <w:sz w:val="20"/>
                <w:szCs w:val="20"/>
                <w:color w:val="auto"/>
              </w:rPr>
            </w:pPr>
            <w:r>
              <w:rPr>
                <w:rFonts w:ascii="Arial" w:cs="Arial" w:eastAsia="Arial" w:hAnsi="Arial"/>
                <w:sz w:val="12"/>
                <w:szCs w:val="12"/>
                <w:color w:val="auto"/>
              </w:rPr>
              <w:t>L + 7.00%</w:t>
            </w:r>
          </w:p>
        </w:tc>
        <w:tc>
          <w:tcPr>
            <w:tcW w:w="1160" w:type="dxa"/>
            <w:vAlign w:val="bottom"/>
          </w:tcPr>
          <w:p>
            <w:pPr>
              <w:jc w:val="right"/>
              <w:ind w:right="42"/>
              <w:spacing w:after="0" w:line="108" w:lineRule="exact"/>
              <w:rPr>
                <w:sz w:val="20"/>
                <w:szCs w:val="20"/>
                <w:color w:val="auto"/>
              </w:rPr>
            </w:pPr>
            <w:r>
              <w:rPr>
                <w:rFonts w:ascii="Arial" w:cs="Arial" w:eastAsia="Arial" w:hAnsi="Arial"/>
                <w:sz w:val="12"/>
                <w:szCs w:val="12"/>
                <w:color w:val="auto"/>
              </w:rPr>
              <w:t>8.00 %</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25,787</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25,775</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2.0 %</w:t>
            </w:r>
          </w:p>
        </w:tc>
        <w:tc>
          <w:tcPr>
            <w:tcW w:w="20" w:type="dxa"/>
            <w:vAlign w:val="bottom"/>
          </w:tcPr>
          <w:p>
            <w:pPr>
              <w:spacing w:after="0"/>
              <w:rPr>
                <w:sz w:val="9"/>
                <w:szCs w:val="9"/>
                <w:color w:val="auto"/>
              </w:rPr>
            </w:pPr>
          </w:p>
        </w:tc>
      </w:tr>
      <w:tr>
        <w:trPr>
          <w:trHeight w:val="162"/>
        </w:trPr>
        <w:tc>
          <w:tcPr>
            <w:tcW w:w="2140" w:type="dxa"/>
            <w:vAlign w:val="bottom"/>
          </w:tcPr>
          <w:p>
            <w:pPr>
              <w:ind w:left="120"/>
              <w:spacing w:after="0" w:line="162" w:lineRule="exact"/>
              <w:rPr>
                <w:sz w:val="20"/>
                <w:szCs w:val="20"/>
                <w:color w:val="auto"/>
              </w:rPr>
            </w:pPr>
            <w:r>
              <w:rPr>
                <w:rFonts w:ascii="Arial" w:cs="Arial" w:eastAsia="Arial" w:hAnsi="Arial"/>
                <w:sz w:val="18"/>
                <w:szCs w:val="18"/>
                <w:color w:val="auto"/>
                <w:vertAlign w:val="subscript"/>
              </w:rPr>
              <w:t>LLC</w:t>
            </w:r>
            <w:r>
              <w:rPr>
                <w:rFonts w:ascii="Arial" w:cs="Arial" w:eastAsia="Arial" w:hAnsi="Arial"/>
                <w:sz w:val="7"/>
                <w:szCs w:val="7"/>
                <w:color w:val="auto"/>
              </w:rPr>
              <w:t xml:space="preserve"> (3)(5)</w:t>
            </w:r>
          </w:p>
        </w:tc>
        <w:tc>
          <w:tcPr>
            <w:tcW w:w="2420" w:type="dxa"/>
            <w:vAlign w:val="bottom"/>
          </w:tcPr>
          <w:p>
            <w:pPr>
              <w:ind w:left="260"/>
              <w:spacing w:after="0"/>
              <w:rPr>
                <w:sz w:val="20"/>
                <w:szCs w:val="20"/>
                <w:color w:val="auto"/>
              </w:rPr>
            </w:pPr>
            <w:r>
              <w:rPr>
                <w:rFonts w:ascii="Arial" w:cs="Arial" w:eastAsia="Arial" w:hAnsi="Arial"/>
                <w:sz w:val="13"/>
                <w:szCs w:val="13"/>
                <w:color w:val="auto"/>
              </w:rPr>
              <w:t>12/2026)</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08"/>
        </w:trPr>
        <w:tc>
          <w:tcPr>
            <w:tcW w:w="2140" w:type="dxa"/>
            <w:vAlign w:val="bottom"/>
            <w:shd w:val="clear" w:color="auto" w:fill="CFF0FC"/>
          </w:tcPr>
          <w:p>
            <w:pPr>
              <w:ind w:left="20"/>
              <w:spacing w:after="0" w:line="108" w:lineRule="exact"/>
              <w:rPr>
                <w:sz w:val="20"/>
                <w:szCs w:val="20"/>
                <w:color w:val="auto"/>
              </w:rPr>
            </w:pPr>
            <w:r>
              <w:rPr>
                <w:rFonts w:ascii="Arial" w:cs="Arial" w:eastAsia="Arial" w:hAnsi="Arial"/>
                <w:sz w:val="10"/>
                <w:szCs w:val="10"/>
                <w:color w:val="auto"/>
              </w:rPr>
              <w:t xml:space="preserve">Modern Hire, Inc. </w:t>
            </w:r>
            <w:r>
              <w:rPr>
                <w:rFonts w:ascii="Arial" w:cs="Arial" w:eastAsia="Arial" w:hAnsi="Arial"/>
                <w:sz w:val="12"/>
                <w:szCs w:val="12"/>
                <w:color w:val="auto"/>
                <w:vertAlign w:val="superscript"/>
              </w:rPr>
              <w:t>(3)(5)</w:t>
            </w:r>
          </w:p>
        </w:tc>
        <w:tc>
          <w:tcPr>
            <w:tcW w:w="2420" w:type="dxa"/>
            <w:vAlign w:val="bottom"/>
            <w:shd w:val="clear" w:color="auto" w:fill="CFF0FC"/>
          </w:tcPr>
          <w:p>
            <w:pPr>
              <w:ind w:left="260"/>
              <w:spacing w:after="0" w:line="108" w:lineRule="exact"/>
              <w:rPr>
                <w:sz w:val="20"/>
                <w:szCs w:val="20"/>
                <w:color w:val="auto"/>
              </w:rPr>
            </w:pPr>
            <w:r>
              <w:rPr>
                <w:rFonts w:ascii="Arial" w:cs="Arial" w:eastAsia="Arial" w:hAnsi="Arial"/>
                <w:sz w:val="12"/>
                <w:szCs w:val="12"/>
                <w:color w:val="auto"/>
              </w:rPr>
              <w:t>First-lien loan ($29,639 par, due</w:t>
            </w:r>
          </w:p>
        </w:tc>
        <w:tc>
          <w:tcPr>
            <w:tcW w:w="980" w:type="dxa"/>
            <w:vAlign w:val="bottom"/>
            <w:shd w:val="clear" w:color="auto" w:fill="CFF0FC"/>
          </w:tcPr>
          <w:p>
            <w:pPr>
              <w:jc w:val="right"/>
              <w:ind w:right="162"/>
              <w:spacing w:after="0" w:line="108" w:lineRule="exact"/>
              <w:rPr>
                <w:sz w:val="20"/>
                <w:szCs w:val="20"/>
                <w:color w:val="auto"/>
              </w:rPr>
            </w:pPr>
            <w:r>
              <w:rPr>
                <w:rFonts w:ascii="Arial" w:cs="Arial" w:eastAsia="Arial" w:hAnsi="Arial"/>
                <w:sz w:val="12"/>
                <w:szCs w:val="12"/>
                <w:color w:val="auto"/>
              </w:rPr>
              <w:t>5/15/2019</w:t>
            </w:r>
          </w:p>
        </w:tc>
        <w:tc>
          <w:tcPr>
            <w:tcW w:w="1140" w:type="dxa"/>
            <w:vAlign w:val="bottom"/>
            <w:shd w:val="clear" w:color="auto" w:fill="CFF0FC"/>
          </w:tcPr>
          <w:p>
            <w:pPr>
              <w:jc w:val="right"/>
              <w:ind w:right="302"/>
              <w:spacing w:after="0" w:line="108" w:lineRule="exact"/>
              <w:rPr>
                <w:sz w:val="20"/>
                <w:szCs w:val="20"/>
                <w:color w:val="auto"/>
              </w:rPr>
            </w:pPr>
            <w:r>
              <w:rPr>
                <w:rFonts w:ascii="Arial" w:cs="Arial" w:eastAsia="Arial" w:hAnsi="Arial"/>
                <w:sz w:val="12"/>
                <w:szCs w:val="12"/>
                <w:color w:val="auto"/>
              </w:rPr>
              <w:t>L + 7.00%</w:t>
            </w:r>
          </w:p>
        </w:tc>
        <w:tc>
          <w:tcPr>
            <w:tcW w:w="1160" w:type="dxa"/>
            <w:vAlign w:val="bottom"/>
            <w:shd w:val="clear" w:color="auto" w:fill="CFF0FC"/>
          </w:tcPr>
          <w:p>
            <w:pPr>
              <w:jc w:val="right"/>
              <w:ind w:right="42"/>
              <w:spacing w:after="0" w:line="108" w:lineRule="exact"/>
              <w:rPr>
                <w:sz w:val="20"/>
                <w:szCs w:val="20"/>
                <w:color w:val="auto"/>
              </w:rPr>
            </w:pPr>
            <w:r>
              <w:rPr>
                <w:rFonts w:ascii="Arial" w:cs="Arial" w:eastAsia="Arial" w:hAnsi="Arial"/>
                <w:sz w:val="12"/>
                <w:szCs w:val="12"/>
                <w:color w:val="auto"/>
              </w:rPr>
              <w:t>8.50 %</w:t>
            </w: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29,206</w:t>
            </w:r>
          </w:p>
        </w:tc>
        <w:tc>
          <w:tcPr>
            <w:tcW w:w="12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30,232</w:t>
            </w:r>
          </w:p>
        </w:tc>
        <w:tc>
          <w:tcPr>
            <w:tcW w:w="1300" w:type="dxa"/>
            <w:vAlign w:val="bottom"/>
            <w:gridSpan w:val="3"/>
            <w:shd w:val="clear" w:color="auto" w:fill="CFF0FC"/>
          </w:tcPr>
          <w:p>
            <w:pPr>
              <w:jc w:val="right"/>
              <w:spacing w:after="0" w:line="108" w:lineRule="exact"/>
              <w:rPr>
                <w:sz w:val="20"/>
                <w:szCs w:val="20"/>
                <w:color w:val="auto"/>
              </w:rPr>
            </w:pPr>
            <w:r>
              <w:rPr>
                <w:rFonts w:ascii="Arial" w:cs="Arial" w:eastAsia="Arial" w:hAnsi="Arial"/>
                <w:sz w:val="12"/>
                <w:szCs w:val="12"/>
                <w:color w:val="auto"/>
              </w:rPr>
              <w:t>2.4 %</w:t>
            </w:r>
          </w:p>
        </w:tc>
        <w:tc>
          <w:tcPr>
            <w:tcW w:w="20" w:type="dxa"/>
            <w:vAlign w:val="bottom"/>
          </w:tcPr>
          <w:p>
            <w:pPr>
              <w:spacing w:after="0"/>
              <w:rPr>
                <w:sz w:val="9"/>
                <w:szCs w:val="9"/>
                <w:color w:val="auto"/>
              </w:rPr>
            </w:pPr>
          </w:p>
        </w:tc>
      </w:tr>
      <w:tr>
        <w:trPr>
          <w:trHeight w:val="162"/>
        </w:trPr>
        <w:tc>
          <w:tcPr>
            <w:tcW w:w="2140" w:type="dxa"/>
            <w:vAlign w:val="bottom"/>
            <w:shd w:val="clear" w:color="auto" w:fill="CFF0FC"/>
          </w:tcPr>
          <w:p>
            <w:pPr>
              <w:spacing w:after="0"/>
              <w:rPr>
                <w:sz w:val="14"/>
                <w:szCs w:val="14"/>
                <w:color w:val="auto"/>
              </w:rPr>
            </w:pPr>
          </w:p>
        </w:tc>
        <w:tc>
          <w:tcPr>
            <w:tcW w:w="2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5/2024)</w:t>
            </w:r>
          </w:p>
        </w:tc>
        <w:tc>
          <w:tcPr>
            <w:tcW w:w="9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Workwell Acquisition Co. </w:t>
            </w:r>
            <w:r>
              <w:rPr>
                <w:rFonts w:ascii="Arial" w:cs="Arial" w:eastAsia="Arial" w:hAnsi="Arial"/>
                <w:sz w:val="12"/>
                <w:szCs w:val="12"/>
                <w:color w:val="auto"/>
                <w:vertAlign w:val="superscript"/>
              </w:rPr>
              <w:t>(3)(5)</w:t>
            </w:r>
          </w:p>
        </w:tc>
        <w:tc>
          <w:tcPr>
            <w:tcW w:w="2420" w:type="dxa"/>
            <w:vAlign w:val="bottom"/>
          </w:tcPr>
          <w:p>
            <w:pPr>
              <w:ind w:left="260"/>
              <w:spacing w:after="0" w:line="108" w:lineRule="exact"/>
              <w:rPr>
                <w:sz w:val="20"/>
                <w:szCs w:val="20"/>
                <w:color w:val="auto"/>
              </w:rPr>
            </w:pPr>
            <w:r>
              <w:rPr>
                <w:rFonts w:ascii="Arial" w:cs="Arial" w:eastAsia="Arial" w:hAnsi="Arial"/>
                <w:sz w:val="12"/>
                <w:szCs w:val="12"/>
                <w:color w:val="auto"/>
              </w:rPr>
              <w:t>First-lien loan ($19,750 par, due</w:t>
            </w:r>
          </w:p>
        </w:tc>
        <w:tc>
          <w:tcPr>
            <w:tcW w:w="980" w:type="dxa"/>
            <w:vAlign w:val="bottom"/>
          </w:tcPr>
          <w:p>
            <w:pPr>
              <w:jc w:val="right"/>
              <w:ind w:right="162"/>
              <w:spacing w:after="0" w:line="108" w:lineRule="exact"/>
              <w:rPr>
                <w:sz w:val="20"/>
                <w:szCs w:val="20"/>
                <w:color w:val="auto"/>
              </w:rPr>
            </w:pPr>
            <w:r>
              <w:rPr>
                <w:rFonts w:ascii="Arial" w:cs="Arial" w:eastAsia="Arial" w:hAnsi="Arial"/>
                <w:sz w:val="12"/>
                <w:szCs w:val="12"/>
                <w:color w:val="auto"/>
              </w:rPr>
              <w:t>10/19/2020</w:t>
            </w:r>
          </w:p>
        </w:tc>
        <w:tc>
          <w:tcPr>
            <w:tcW w:w="1140" w:type="dxa"/>
            <w:vAlign w:val="bottom"/>
          </w:tcPr>
          <w:p>
            <w:pPr>
              <w:jc w:val="right"/>
              <w:ind w:right="302"/>
              <w:spacing w:after="0" w:line="108" w:lineRule="exact"/>
              <w:rPr>
                <w:sz w:val="20"/>
                <w:szCs w:val="20"/>
                <w:color w:val="auto"/>
              </w:rPr>
            </w:pPr>
            <w:r>
              <w:rPr>
                <w:rFonts w:ascii="Arial" w:cs="Arial" w:eastAsia="Arial" w:hAnsi="Arial"/>
                <w:sz w:val="12"/>
                <w:szCs w:val="12"/>
                <w:color w:val="auto"/>
              </w:rPr>
              <w:t>L + 7.50%</w:t>
            </w:r>
          </w:p>
        </w:tc>
        <w:tc>
          <w:tcPr>
            <w:tcW w:w="1160" w:type="dxa"/>
            <w:vAlign w:val="bottom"/>
          </w:tcPr>
          <w:p>
            <w:pPr>
              <w:jc w:val="right"/>
              <w:ind w:right="42"/>
              <w:spacing w:after="0" w:line="108" w:lineRule="exact"/>
              <w:rPr>
                <w:sz w:val="20"/>
                <w:szCs w:val="20"/>
                <w:color w:val="auto"/>
              </w:rPr>
            </w:pPr>
            <w:r>
              <w:rPr>
                <w:rFonts w:ascii="Arial" w:cs="Arial" w:eastAsia="Arial" w:hAnsi="Arial"/>
                <w:sz w:val="12"/>
                <w:szCs w:val="12"/>
                <w:color w:val="auto"/>
              </w:rPr>
              <w:t>8.50 %</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19,239</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19,899</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1.6 %</w:t>
            </w:r>
          </w:p>
        </w:tc>
        <w:tc>
          <w:tcPr>
            <w:tcW w:w="20" w:type="dxa"/>
            <w:vAlign w:val="bottom"/>
          </w:tcPr>
          <w:p>
            <w:pPr>
              <w:spacing w:after="0"/>
              <w:rPr>
                <w:sz w:val="9"/>
                <w:szCs w:val="9"/>
                <w:color w:val="auto"/>
              </w:rPr>
            </w:pPr>
          </w:p>
        </w:tc>
      </w:tr>
      <w:tr>
        <w:trPr>
          <w:trHeight w:val="149"/>
        </w:trPr>
        <w:tc>
          <w:tcPr>
            <w:tcW w:w="2140" w:type="dxa"/>
            <w:vAlign w:val="bottom"/>
          </w:tcPr>
          <w:p>
            <w:pPr>
              <w:spacing w:after="0"/>
              <w:rPr>
                <w:sz w:val="12"/>
                <w:szCs w:val="12"/>
                <w:color w:val="auto"/>
              </w:rPr>
            </w:pPr>
          </w:p>
        </w:tc>
        <w:tc>
          <w:tcPr>
            <w:tcW w:w="2420" w:type="dxa"/>
            <w:vAlign w:val="bottom"/>
          </w:tcPr>
          <w:p>
            <w:pPr>
              <w:ind w:left="260"/>
              <w:spacing w:after="0"/>
              <w:rPr>
                <w:sz w:val="20"/>
                <w:szCs w:val="20"/>
                <w:color w:val="auto"/>
              </w:rPr>
            </w:pPr>
            <w:r>
              <w:rPr>
                <w:rFonts w:ascii="Arial" w:cs="Arial" w:eastAsia="Arial" w:hAnsi="Arial"/>
                <w:sz w:val="13"/>
                <w:szCs w:val="13"/>
                <w:color w:val="auto"/>
              </w:rPr>
              <w:t>10/2025)</w:t>
            </w: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140" w:type="dxa"/>
            <w:vAlign w:val="bottom"/>
            <w:tcBorders>
              <w:bottom w:val="single" w:sz="8" w:color="CFF0FC"/>
            </w:tcBorders>
            <w:shd w:val="clear" w:color="auto" w:fill="CFF0FC"/>
          </w:tcPr>
          <w:p>
            <w:pPr>
              <w:spacing w:after="0"/>
              <w:rPr>
                <w:sz w:val="12"/>
                <w:szCs w:val="12"/>
                <w:color w:val="auto"/>
              </w:rPr>
            </w:pPr>
          </w:p>
        </w:tc>
        <w:tc>
          <w:tcPr>
            <w:tcW w:w="242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CFF0FC"/>
            </w:tcBorders>
            <w:shd w:val="clear" w:color="auto" w:fill="CFF0FC"/>
          </w:tcPr>
          <w:p>
            <w:pPr>
              <w:spacing w:after="0"/>
              <w:rPr>
                <w:sz w:val="12"/>
                <w:szCs w:val="12"/>
                <w:color w:val="auto"/>
              </w:rPr>
            </w:pPr>
          </w:p>
        </w:tc>
        <w:tc>
          <w:tcPr>
            <w:tcW w:w="114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286,152</w:t>
            </w:r>
          </w:p>
        </w:tc>
        <w:tc>
          <w:tcPr>
            <w:tcW w:w="2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289,664</w:t>
            </w:r>
          </w:p>
        </w:tc>
        <w:tc>
          <w:tcPr>
            <w:tcW w:w="22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2"/>
                <w:szCs w:val="12"/>
                <w:color w:val="auto"/>
              </w:rPr>
            </w:pPr>
          </w:p>
        </w:tc>
      </w:tr>
      <w:tr>
        <w:trPr>
          <w:trHeight w:val="142"/>
        </w:trPr>
        <w:tc>
          <w:tcPr>
            <w:tcW w:w="214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Internet Services</w:t>
            </w:r>
          </w:p>
        </w:tc>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08"/>
        </w:trPr>
        <w:tc>
          <w:tcPr>
            <w:tcW w:w="214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Bayshore Intermediate #2,</w:t>
            </w:r>
          </w:p>
        </w:tc>
        <w:tc>
          <w:tcPr>
            <w:tcW w:w="2420" w:type="dxa"/>
            <w:vAlign w:val="bottom"/>
            <w:shd w:val="clear" w:color="auto" w:fill="CFF0FC"/>
          </w:tcPr>
          <w:p>
            <w:pPr>
              <w:ind w:left="260"/>
              <w:spacing w:after="0" w:line="108" w:lineRule="exact"/>
              <w:rPr>
                <w:sz w:val="20"/>
                <w:szCs w:val="20"/>
                <w:color w:val="auto"/>
              </w:rPr>
            </w:pPr>
            <w:r>
              <w:rPr>
                <w:rFonts w:ascii="Arial" w:cs="Arial" w:eastAsia="Arial" w:hAnsi="Arial"/>
                <w:sz w:val="12"/>
                <w:szCs w:val="12"/>
                <w:color w:val="auto"/>
              </w:rPr>
              <w:t>First-lien loan ($28,772 par, due</w:t>
            </w:r>
          </w:p>
        </w:tc>
        <w:tc>
          <w:tcPr>
            <w:tcW w:w="980" w:type="dxa"/>
            <w:vAlign w:val="bottom"/>
            <w:shd w:val="clear" w:color="auto" w:fill="CFF0FC"/>
          </w:tcPr>
          <w:p>
            <w:pPr>
              <w:jc w:val="right"/>
              <w:ind w:right="162"/>
              <w:spacing w:after="0" w:line="108" w:lineRule="exact"/>
              <w:rPr>
                <w:sz w:val="20"/>
                <w:szCs w:val="20"/>
                <w:color w:val="auto"/>
              </w:rPr>
            </w:pPr>
            <w:r>
              <w:rPr>
                <w:rFonts w:ascii="Arial" w:cs="Arial" w:eastAsia="Arial" w:hAnsi="Arial"/>
                <w:sz w:val="12"/>
                <w:szCs w:val="12"/>
                <w:color w:val="auto"/>
              </w:rPr>
              <w:t>10/1/2021</w:t>
            </w:r>
          </w:p>
        </w:tc>
        <w:tc>
          <w:tcPr>
            <w:tcW w:w="1140" w:type="dxa"/>
            <w:vAlign w:val="bottom"/>
            <w:shd w:val="clear" w:color="auto" w:fill="CFF0FC"/>
          </w:tcPr>
          <w:p>
            <w:pPr>
              <w:jc w:val="right"/>
              <w:ind w:right="302"/>
              <w:spacing w:after="0" w:line="108" w:lineRule="exact"/>
              <w:rPr>
                <w:sz w:val="20"/>
                <w:szCs w:val="20"/>
                <w:color w:val="auto"/>
              </w:rPr>
            </w:pPr>
            <w:r>
              <w:rPr>
                <w:rFonts w:ascii="Arial" w:cs="Arial" w:eastAsia="Arial" w:hAnsi="Arial"/>
                <w:sz w:val="12"/>
                <w:szCs w:val="12"/>
                <w:color w:val="auto"/>
              </w:rPr>
              <w:t>L + 7.75%</w:t>
            </w:r>
          </w:p>
        </w:tc>
        <w:tc>
          <w:tcPr>
            <w:tcW w:w="1160" w:type="dxa"/>
            <w:vAlign w:val="bottom"/>
            <w:shd w:val="clear" w:color="auto" w:fill="CFF0FC"/>
          </w:tcPr>
          <w:p>
            <w:pPr>
              <w:jc w:val="right"/>
              <w:ind w:right="182"/>
              <w:spacing w:after="0" w:line="108" w:lineRule="exact"/>
              <w:rPr>
                <w:sz w:val="20"/>
                <w:szCs w:val="20"/>
                <w:color w:val="auto"/>
              </w:rPr>
            </w:pPr>
            <w:r>
              <w:rPr>
                <w:rFonts w:ascii="Arial" w:cs="Arial" w:eastAsia="Arial" w:hAnsi="Arial"/>
                <w:sz w:val="12"/>
                <w:szCs w:val="12"/>
                <w:color w:val="auto"/>
              </w:rPr>
              <w:t>8.50% PIK</w:t>
            </w: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28,090</w:t>
            </w:r>
          </w:p>
        </w:tc>
        <w:tc>
          <w:tcPr>
            <w:tcW w:w="12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28,148</w:t>
            </w:r>
          </w:p>
        </w:tc>
        <w:tc>
          <w:tcPr>
            <w:tcW w:w="1300" w:type="dxa"/>
            <w:vAlign w:val="bottom"/>
            <w:gridSpan w:val="3"/>
            <w:shd w:val="clear" w:color="auto" w:fill="CFF0FC"/>
          </w:tcPr>
          <w:p>
            <w:pPr>
              <w:jc w:val="right"/>
              <w:spacing w:after="0" w:line="108" w:lineRule="exact"/>
              <w:rPr>
                <w:sz w:val="20"/>
                <w:szCs w:val="20"/>
                <w:color w:val="auto"/>
              </w:rPr>
            </w:pPr>
            <w:r>
              <w:rPr>
                <w:rFonts w:ascii="Arial" w:cs="Arial" w:eastAsia="Arial" w:hAnsi="Arial"/>
                <w:sz w:val="12"/>
                <w:szCs w:val="12"/>
                <w:color w:val="auto"/>
              </w:rPr>
              <w:t>2.2 %</w:t>
            </w:r>
          </w:p>
        </w:tc>
        <w:tc>
          <w:tcPr>
            <w:tcW w:w="20" w:type="dxa"/>
            <w:vAlign w:val="bottom"/>
          </w:tcPr>
          <w:p>
            <w:pPr>
              <w:spacing w:after="0"/>
              <w:rPr>
                <w:sz w:val="9"/>
                <w:szCs w:val="9"/>
                <w:color w:val="auto"/>
              </w:rPr>
            </w:pPr>
          </w:p>
        </w:tc>
      </w:tr>
      <w:tr>
        <w:trPr>
          <w:trHeight w:val="162"/>
        </w:trPr>
        <w:tc>
          <w:tcPr>
            <w:tcW w:w="2140" w:type="dxa"/>
            <w:vAlign w:val="bottom"/>
            <w:shd w:val="clear" w:color="auto" w:fill="CFF0FC"/>
          </w:tcPr>
          <w:p>
            <w:pPr>
              <w:ind w:left="120"/>
              <w:spacing w:after="0" w:line="162" w:lineRule="exact"/>
              <w:rPr>
                <w:sz w:val="20"/>
                <w:szCs w:val="20"/>
                <w:color w:val="auto"/>
              </w:rPr>
            </w:pPr>
            <w:r>
              <w:rPr>
                <w:rFonts w:ascii="Arial" w:cs="Arial" w:eastAsia="Arial" w:hAnsi="Arial"/>
                <w:sz w:val="13"/>
                <w:szCs w:val="13"/>
                <w:color w:val="auto"/>
              </w:rPr>
              <w:t xml:space="preserve">L.P. </w:t>
            </w:r>
            <w:r>
              <w:rPr>
                <w:rFonts w:ascii="Arial" w:cs="Arial" w:eastAsia="Arial" w:hAnsi="Arial"/>
                <w:sz w:val="16"/>
                <w:szCs w:val="16"/>
                <w:color w:val="auto"/>
                <w:vertAlign w:val="superscript"/>
              </w:rPr>
              <w:t>(3)</w:t>
            </w:r>
          </w:p>
        </w:tc>
        <w:tc>
          <w:tcPr>
            <w:tcW w:w="2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10/2028)</w:t>
            </w:r>
          </w:p>
        </w:tc>
        <w:tc>
          <w:tcPr>
            <w:tcW w:w="9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Higher Logic, LLC </w:t>
            </w:r>
            <w:r>
              <w:rPr>
                <w:rFonts w:ascii="Arial" w:cs="Arial" w:eastAsia="Arial" w:hAnsi="Arial"/>
                <w:sz w:val="12"/>
                <w:szCs w:val="12"/>
                <w:color w:val="auto"/>
                <w:vertAlign w:val="superscript"/>
              </w:rPr>
              <w:t>(3)(5)</w:t>
            </w:r>
          </w:p>
        </w:tc>
        <w:tc>
          <w:tcPr>
            <w:tcW w:w="2420" w:type="dxa"/>
            <w:vAlign w:val="bottom"/>
          </w:tcPr>
          <w:p>
            <w:pPr>
              <w:ind w:left="260"/>
              <w:spacing w:after="0" w:line="108" w:lineRule="exact"/>
              <w:rPr>
                <w:sz w:val="20"/>
                <w:szCs w:val="20"/>
                <w:color w:val="auto"/>
              </w:rPr>
            </w:pPr>
            <w:r>
              <w:rPr>
                <w:rFonts w:ascii="Arial" w:cs="Arial" w:eastAsia="Arial" w:hAnsi="Arial"/>
                <w:sz w:val="12"/>
                <w:szCs w:val="12"/>
                <w:color w:val="auto"/>
              </w:rPr>
              <w:t>First-lien loan ($57,262 par, due</w:t>
            </w:r>
          </w:p>
        </w:tc>
        <w:tc>
          <w:tcPr>
            <w:tcW w:w="980" w:type="dxa"/>
            <w:vAlign w:val="bottom"/>
          </w:tcPr>
          <w:p>
            <w:pPr>
              <w:jc w:val="right"/>
              <w:ind w:right="162"/>
              <w:spacing w:after="0" w:line="108" w:lineRule="exact"/>
              <w:rPr>
                <w:sz w:val="20"/>
                <w:szCs w:val="20"/>
                <w:color w:val="auto"/>
              </w:rPr>
            </w:pPr>
            <w:r>
              <w:rPr>
                <w:rFonts w:ascii="Arial" w:cs="Arial" w:eastAsia="Arial" w:hAnsi="Arial"/>
                <w:sz w:val="12"/>
                <w:szCs w:val="12"/>
                <w:color w:val="auto"/>
              </w:rPr>
              <w:t>6/18/2018</w:t>
            </w:r>
          </w:p>
        </w:tc>
        <w:tc>
          <w:tcPr>
            <w:tcW w:w="1140" w:type="dxa"/>
            <w:vAlign w:val="bottom"/>
          </w:tcPr>
          <w:p>
            <w:pPr>
              <w:jc w:val="right"/>
              <w:ind w:right="302"/>
              <w:spacing w:after="0" w:line="108" w:lineRule="exact"/>
              <w:rPr>
                <w:sz w:val="20"/>
                <w:szCs w:val="20"/>
                <w:color w:val="auto"/>
              </w:rPr>
            </w:pPr>
            <w:r>
              <w:rPr>
                <w:rFonts w:ascii="Arial" w:cs="Arial" w:eastAsia="Arial" w:hAnsi="Arial"/>
                <w:sz w:val="12"/>
                <w:szCs w:val="12"/>
                <w:color w:val="auto"/>
              </w:rPr>
              <w:t>L + 7.25%</w:t>
            </w:r>
          </w:p>
        </w:tc>
        <w:tc>
          <w:tcPr>
            <w:tcW w:w="1160" w:type="dxa"/>
            <w:vAlign w:val="bottom"/>
          </w:tcPr>
          <w:p>
            <w:pPr>
              <w:jc w:val="right"/>
              <w:ind w:right="42"/>
              <w:spacing w:after="0" w:line="108" w:lineRule="exact"/>
              <w:rPr>
                <w:sz w:val="20"/>
                <w:szCs w:val="20"/>
                <w:color w:val="auto"/>
              </w:rPr>
            </w:pPr>
            <w:r>
              <w:rPr>
                <w:rFonts w:ascii="Arial" w:cs="Arial" w:eastAsia="Arial" w:hAnsi="Arial"/>
                <w:sz w:val="12"/>
                <w:szCs w:val="12"/>
                <w:color w:val="auto"/>
              </w:rPr>
              <w:t>8.25 %</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56,753</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57,835</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4.5 %</w:t>
            </w:r>
          </w:p>
        </w:tc>
        <w:tc>
          <w:tcPr>
            <w:tcW w:w="20" w:type="dxa"/>
            <w:vAlign w:val="bottom"/>
          </w:tcPr>
          <w:p>
            <w:pPr>
              <w:spacing w:after="0"/>
              <w:rPr>
                <w:sz w:val="9"/>
                <w:szCs w:val="9"/>
                <w:color w:val="auto"/>
              </w:rPr>
            </w:pPr>
          </w:p>
        </w:tc>
      </w:tr>
      <w:tr>
        <w:trPr>
          <w:trHeight w:val="160"/>
        </w:trPr>
        <w:tc>
          <w:tcPr>
            <w:tcW w:w="2140" w:type="dxa"/>
            <w:vAlign w:val="bottom"/>
          </w:tcPr>
          <w:p>
            <w:pPr>
              <w:spacing w:after="0"/>
              <w:rPr>
                <w:sz w:val="13"/>
                <w:szCs w:val="13"/>
                <w:color w:val="auto"/>
              </w:rPr>
            </w:pPr>
          </w:p>
        </w:tc>
        <w:tc>
          <w:tcPr>
            <w:tcW w:w="2420" w:type="dxa"/>
            <w:vAlign w:val="bottom"/>
          </w:tcPr>
          <w:p>
            <w:pPr>
              <w:ind w:left="260"/>
              <w:spacing w:after="0"/>
              <w:rPr>
                <w:sz w:val="20"/>
                <w:szCs w:val="20"/>
                <w:color w:val="auto"/>
              </w:rPr>
            </w:pPr>
            <w:r>
              <w:rPr>
                <w:rFonts w:ascii="Arial" w:cs="Arial" w:eastAsia="Arial" w:hAnsi="Arial"/>
                <w:sz w:val="13"/>
                <w:szCs w:val="13"/>
                <w:color w:val="auto"/>
              </w:rPr>
              <w:t>1/2024)</w:t>
            </w: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10"/>
        </w:trPr>
        <w:tc>
          <w:tcPr>
            <w:tcW w:w="2140" w:type="dxa"/>
            <w:vAlign w:val="bottom"/>
            <w:shd w:val="clear" w:color="auto" w:fill="CFF0FC"/>
          </w:tcPr>
          <w:p>
            <w:pPr>
              <w:ind w:left="20"/>
              <w:spacing w:after="0" w:line="110" w:lineRule="exact"/>
              <w:rPr>
                <w:sz w:val="20"/>
                <w:szCs w:val="20"/>
                <w:color w:val="auto"/>
              </w:rPr>
            </w:pPr>
            <w:r>
              <w:rPr>
                <w:rFonts w:ascii="Arial" w:cs="Arial" w:eastAsia="Arial" w:hAnsi="Arial"/>
                <w:sz w:val="12"/>
                <w:szCs w:val="12"/>
                <w:color w:val="auto"/>
              </w:rPr>
              <w:t>Lithium Technologies,</w:t>
            </w:r>
          </w:p>
        </w:tc>
        <w:tc>
          <w:tcPr>
            <w:tcW w:w="2420" w:type="dxa"/>
            <w:vAlign w:val="bottom"/>
            <w:shd w:val="clear" w:color="auto" w:fill="CFF0FC"/>
          </w:tcPr>
          <w:p>
            <w:pPr>
              <w:ind w:left="260"/>
              <w:spacing w:after="0" w:line="110" w:lineRule="exact"/>
              <w:rPr>
                <w:sz w:val="20"/>
                <w:szCs w:val="20"/>
                <w:color w:val="auto"/>
              </w:rPr>
            </w:pPr>
            <w:r>
              <w:rPr>
                <w:rFonts w:ascii="Arial" w:cs="Arial" w:eastAsia="Arial" w:hAnsi="Arial"/>
                <w:sz w:val="12"/>
                <w:szCs w:val="12"/>
                <w:color w:val="auto"/>
              </w:rPr>
              <w:t>First-lien loan ($56,020 par, due</w:t>
            </w:r>
          </w:p>
        </w:tc>
        <w:tc>
          <w:tcPr>
            <w:tcW w:w="980" w:type="dxa"/>
            <w:vAlign w:val="bottom"/>
            <w:shd w:val="clear" w:color="auto" w:fill="CFF0FC"/>
          </w:tcPr>
          <w:p>
            <w:pPr>
              <w:jc w:val="right"/>
              <w:ind w:right="162"/>
              <w:spacing w:after="0" w:line="110" w:lineRule="exact"/>
              <w:rPr>
                <w:sz w:val="20"/>
                <w:szCs w:val="20"/>
                <w:color w:val="auto"/>
              </w:rPr>
            </w:pPr>
            <w:r>
              <w:rPr>
                <w:rFonts w:ascii="Arial" w:cs="Arial" w:eastAsia="Arial" w:hAnsi="Arial"/>
                <w:sz w:val="12"/>
                <w:szCs w:val="12"/>
                <w:color w:val="auto"/>
              </w:rPr>
              <w:t>10/3/2017</w:t>
            </w:r>
          </w:p>
        </w:tc>
        <w:tc>
          <w:tcPr>
            <w:tcW w:w="1140" w:type="dxa"/>
            <w:vAlign w:val="bottom"/>
            <w:shd w:val="clear" w:color="auto" w:fill="CFF0FC"/>
          </w:tcPr>
          <w:p>
            <w:pPr>
              <w:jc w:val="right"/>
              <w:ind w:right="302"/>
              <w:spacing w:after="0" w:line="110" w:lineRule="exact"/>
              <w:rPr>
                <w:sz w:val="20"/>
                <w:szCs w:val="20"/>
                <w:color w:val="auto"/>
              </w:rPr>
            </w:pPr>
            <w:r>
              <w:rPr>
                <w:rFonts w:ascii="Arial" w:cs="Arial" w:eastAsia="Arial" w:hAnsi="Arial"/>
                <w:sz w:val="12"/>
                <w:szCs w:val="12"/>
                <w:color w:val="auto"/>
              </w:rPr>
              <w:t>L + 8.00%</w:t>
            </w:r>
          </w:p>
        </w:tc>
        <w:tc>
          <w:tcPr>
            <w:tcW w:w="1160" w:type="dxa"/>
            <w:vAlign w:val="bottom"/>
            <w:shd w:val="clear" w:color="auto" w:fill="CFF0FC"/>
          </w:tcPr>
          <w:p>
            <w:pPr>
              <w:jc w:val="right"/>
              <w:ind w:right="42"/>
              <w:spacing w:after="0" w:line="110" w:lineRule="exact"/>
              <w:rPr>
                <w:sz w:val="20"/>
                <w:szCs w:val="20"/>
                <w:color w:val="auto"/>
              </w:rPr>
            </w:pPr>
            <w:r>
              <w:rPr>
                <w:rFonts w:ascii="Arial" w:cs="Arial" w:eastAsia="Arial" w:hAnsi="Arial"/>
                <w:sz w:val="12"/>
                <w:szCs w:val="12"/>
                <w:color w:val="auto"/>
              </w:rPr>
              <w:t>9.00 %</w:t>
            </w:r>
          </w:p>
        </w:tc>
        <w:tc>
          <w:tcPr>
            <w:tcW w:w="880" w:type="dxa"/>
            <w:vAlign w:val="bottom"/>
            <w:shd w:val="clear" w:color="auto" w:fill="CFF0FC"/>
          </w:tcPr>
          <w:p>
            <w:pPr>
              <w:jc w:val="right"/>
              <w:spacing w:after="0" w:line="110" w:lineRule="exact"/>
              <w:rPr>
                <w:sz w:val="20"/>
                <w:szCs w:val="20"/>
                <w:color w:val="auto"/>
              </w:rPr>
            </w:pPr>
            <w:r>
              <w:rPr>
                <w:rFonts w:ascii="Arial" w:cs="Arial" w:eastAsia="Arial" w:hAnsi="Arial"/>
                <w:sz w:val="12"/>
                <w:szCs w:val="12"/>
                <w:color w:val="auto"/>
              </w:rPr>
              <w:t>55,783</w:t>
            </w:r>
          </w:p>
        </w:tc>
        <w:tc>
          <w:tcPr>
            <w:tcW w:w="12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55,439</w:t>
            </w:r>
          </w:p>
        </w:tc>
        <w:tc>
          <w:tcPr>
            <w:tcW w:w="1300" w:type="dxa"/>
            <w:vAlign w:val="bottom"/>
            <w:gridSpan w:val="3"/>
            <w:shd w:val="clear" w:color="auto" w:fill="CFF0FC"/>
          </w:tcPr>
          <w:p>
            <w:pPr>
              <w:jc w:val="right"/>
              <w:spacing w:after="0" w:line="110" w:lineRule="exact"/>
              <w:rPr>
                <w:sz w:val="20"/>
                <w:szCs w:val="20"/>
                <w:color w:val="auto"/>
              </w:rPr>
            </w:pPr>
            <w:r>
              <w:rPr>
                <w:rFonts w:ascii="Arial" w:cs="Arial" w:eastAsia="Arial" w:hAnsi="Arial"/>
                <w:sz w:val="12"/>
                <w:szCs w:val="12"/>
                <w:color w:val="auto"/>
              </w:rPr>
              <w:t>4.4 %</w:t>
            </w:r>
          </w:p>
        </w:tc>
        <w:tc>
          <w:tcPr>
            <w:tcW w:w="20" w:type="dxa"/>
            <w:vAlign w:val="bottom"/>
          </w:tcPr>
          <w:p>
            <w:pPr>
              <w:spacing w:after="0"/>
              <w:rPr>
                <w:sz w:val="9"/>
                <w:szCs w:val="9"/>
                <w:color w:val="auto"/>
              </w:rPr>
            </w:pPr>
          </w:p>
        </w:tc>
      </w:tr>
      <w:tr>
        <w:trPr>
          <w:trHeight w:val="162"/>
        </w:trPr>
        <w:tc>
          <w:tcPr>
            <w:tcW w:w="2140" w:type="dxa"/>
            <w:vAlign w:val="bottom"/>
            <w:shd w:val="clear" w:color="auto" w:fill="CFF0FC"/>
          </w:tcPr>
          <w:p>
            <w:pPr>
              <w:ind w:left="120"/>
              <w:spacing w:after="0" w:line="162" w:lineRule="exact"/>
              <w:rPr>
                <w:sz w:val="20"/>
                <w:szCs w:val="20"/>
                <w:color w:val="auto"/>
              </w:rPr>
            </w:pPr>
            <w:r>
              <w:rPr>
                <w:rFonts w:ascii="Arial" w:cs="Arial" w:eastAsia="Arial" w:hAnsi="Arial"/>
                <w:sz w:val="13"/>
                <w:szCs w:val="13"/>
                <w:color w:val="auto"/>
              </w:rPr>
              <w:t xml:space="preserve">LLC </w:t>
            </w:r>
            <w:r>
              <w:rPr>
                <w:rFonts w:ascii="Arial" w:cs="Arial" w:eastAsia="Arial" w:hAnsi="Arial"/>
                <w:sz w:val="16"/>
                <w:szCs w:val="16"/>
                <w:color w:val="auto"/>
                <w:vertAlign w:val="superscript"/>
              </w:rPr>
              <w:t>(3)</w:t>
            </w:r>
          </w:p>
        </w:tc>
        <w:tc>
          <w:tcPr>
            <w:tcW w:w="2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10/2022)</w:t>
            </w:r>
          </w:p>
        </w:tc>
        <w:tc>
          <w:tcPr>
            <w:tcW w:w="9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Lucidworks, Inc. </w:t>
            </w:r>
            <w:r>
              <w:rPr>
                <w:rFonts w:ascii="Arial" w:cs="Arial" w:eastAsia="Arial" w:hAnsi="Arial"/>
                <w:sz w:val="12"/>
                <w:szCs w:val="12"/>
                <w:color w:val="auto"/>
                <w:vertAlign w:val="superscript"/>
              </w:rPr>
              <w:t>(9)</w:t>
            </w:r>
          </w:p>
        </w:tc>
        <w:tc>
          <w:tcPr>
            <w:tcW w:w="2420" w:type="dxa"/>
            <w:vAlign w:val="bottom"/>
          </w:tcPr>
          <w:p>
            <w:pPr>
              <w:ind w:left="260"/>
              <w:spacing w:after="0" w:line="108" w:lineRule="exact"/>
              <w:rPr>
                <w:sz w:val="20"/>
                <w:szCs w:val="20"/>
                <w:color w:val="auto"/>
              </w:rPr>
            </w:pPr>
            <w:r>
              <w:rPr>
                <w:rFonts w:ascii="Arial" w:cs="Arial" w:eastAsia="Arial" w:hAnsi="Arial"/>
                <w:sz w:val="12"/>
                <w:szCs w:val="12"/>
                <w:color w:val="auto"/>
              </w:rPr>
              <w:t>First-lien loan ($13,848 par, due</w:t>
            </w:r>
          </w:p>
        </w:tc>
        <w:tc>
          <w:tcPr>
            <w:tcW w:w="980" w:type="dxa"/>
            <w:vAlign w:val="bottom"/>
          </w:tcPr>
          <w:p>
            <w:pPr>
              <w:jc w:val="right"/>
              <w:ind w:right="162"/>
              <w:spacing w:after="0" w:line="108" w:lineRule="exact"/>
              <w:rPr>
                <w:sz w:val="20"/>
                <w:szCs w:val="20"/>
                <w:color w:val="auto"/>
              </w:rPr>
            </w:pPr>
            <w:r>
              <w:rPr>
                <w:rFonts w:ascii="Arial" w:cs="Arial" w:eastAsia="Arial" w:hAnsi="Arial"/>
                <w:sz w:val="12"/>
                <w:szCs w:val="12"/>
                <w:color w:val="auto"/>
              </w:rPr>
              <w:t>7/31/2019</w:t>
            </w:r>
          </w:p>
        </w:tc>
        <w:tc>
          <w:tcPr>
            <w:tcW w:w="1140" w:type="dxa"/>
            <w:vAlign w:val="bottom"/>
          </w:tcPr>
          <w:p>
            <w:pPr>
              <w:jc w:val="right"/>
              <w:ind w:right="162"/>
              <w:spacing w:after="0" w:line="108" w:lineRule="exact"/>
              <w:rPr>
                <w:sz w:val="20"/>
                <w:szCs w:val="20"/>
                <w:color w:val="auto"/>
              </w:rPr>
            </w:pPr>
            <w:r>
              <w:rPr>
                <w:rFonts w:ascii="Arial" w:cs="Arial" w:eastAsia="Arial" w:hAnsi="Arial"/>
                <w:sz w:val="12"/>
                <w:szCs w:val="12"/>
                <w:color w:val="auto"/>
              </w:rPr>
              <w:t>12.00 %</w:t>
            </w:r>
          </w:p>
        </w:tc>
        <w:tc>
          <w:tcPr>
            <w:tcW w:w="1160" w:type="dxa"/>
            <w:vAlign w:val="bottom"/>
          </w:tcPr>
          <w:p>
            <w:pPr>
              <w:jc w:val="right"/>
              <w:ind w:right="202"/>
              <w:spacing w:after="0" w:line="108" w:lineRule="exact"/>
              <w:rPr>
                <w:sz w:val="20"/>
                <w:szCs w:val="20"/>
                <w:color w:val="auto"/>
              </w:rPr>
            </w:pPr>
            <w:r>
              <w:rPr>
                <w:rFonts w:ascii="Arial" w:cs="Arial" w:eastAsia="Arial" w:hAnsi="Arial"/>
                <w:sz w:val="12"/>
                <w:szCs w:val="12"/>
                <w:color w:val="auto"/>
              </w:rPr>
              <w:t>12.00% (incl.</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13,766</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13,917</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1.1 %</w:t>
            </w:r>
          </w:p>
        </w:tc>
        <w:tc>
          <w:tcPr>
            <w:tcW w:w="20" w:type="dxa"/>
            <w:vAlign w:val="bottom"/>
          </w:tcPr>
          <w:p>
            <w:pPr>
              <w:spacing w:after="0"/>
              <w:rPr>
                <w:sz w:val="9"/>
                <w:szCs w:val="9"/>
                <w:color w:val="auto"/>
              </w:rPr>
            </w:pPr>
          </w:p>
        </w:tc>
      </w:tr>
      <w:tr>
        <w:trPr>
          <w:trHeight w:val="160"/>
        </w:trPr>
        <w:tc>
          <w:tcPr>
            <w:tcW w:w="2140" w:type="dxa"/>
            <w:vAlign w:val="bottom"/>
          </w:tcPr>
          <w:p>
            <w:pPr>
              <w:spacing w:after="0"/>
              <w:rPr>
                <w:sz w:val="13"/>
                <w:szCs w:val="13"/>
                <w:color w:val="auto"/>
              </w:rPr>
            </w:pPr>
          </w:p>
        </w:tc>
        <w:tc>
          <w:tcPr>
            <w:tcW w:w="2420" w:type="dxa"/>
            <w:vAlign w:val="bottom"/>
          </w:tcPr>
          <w:p>
            <w:pPr>
              <w:ind w:left="260"/>
              <w:spacing w:after="0"/>
              <w:rPr>
                <w:sz w:val="20"/>
                <w:szCs w:val="20"/>
                <w:color w:val="auto"/>
              </w:rPr>
            </w:pPr>
            <w:r>
              <w:rPr>
                <w:rFonts w:ascii="Arial" w:cs="Arial" w:eastAsia="Arial" w:hAnsi="Arial"/>
                <w:sz w:val="13"/>
                <w:szCs w:val="13"/>
                <w:color w:val="auto"/>
              </w:rPr>
              <w:t>7/2024)</w:t>
            </w: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jc w:val="right"/>
              <w:ind w:right="182"/>
              <w:spacing w:after="0"/>
              <w:rPr>
                <w:sz w:val="20"/>
                <w:szCs w:val="20"/>
                <w:color w:val="auto"/>
              </w:rPr>
            </w:pPr>
            <w:r>
              <w:rPr>
                <w:rFonts w:ascii="Arial" w:cs="Arial" w:eastAsia="Arial" w:hAnsi="Arial"/>
                <w:sz w:val="13"/>
                <w:szCs w:val="13"/>
                <w:color w:val="auto"/>
              </w:rPr>
              <w:t>7.00% PIK)</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10"/>
        </w:trPr>
        <w:tc>
          <w:tcPr>
            <w:tcW w:w="2140" w:type="dxa"/>
            <w:vAlign w:val="bottom"/>
            <w:shd w:val="clear" w:color="auto" w:fill="CFF0FC"/>
          </w:tcPr>
          <w:p>
            <w:pPr>
              <w:ind w:left="20"/>
              <w:spacing w:after="0" w:line="110" w:lineRule="exact"/>
              <w:rPr>
                <w:sz w:val="20"/>
                <w:szCs w:val="20"/>
                <w:color w:val="auto"/>
              </w:rPr>
            </w:pPr>
            <w:r>
              <w:rPr>
                <w:rFonts w:ascii="Arial" w:cs="Arial" w:eastAsia="Arial" w:hAnsi="Arial"/>
                <w:sz w:val="10"/>
                <w:szCs w:val="10"/>
                <w:color w:val="auto"/>
              </w:rPr>
              <w:t xml:space="preserve">Piano Software, Inc. </w:t>
            </w:r>
            <w:r>
              <w:rPr>
                <w:rFonts w:ascii="Arial" w:cs="Arial" w:eastAsia="Arial" w:hAnsi="Arial"/>
                <w:sz w:val="12"/>
                <w:szCs w:val="12"/>
                <w:color w:val="auto"/>
                <w:vertAlign w:val="superscript"/>
              </w:rPr>
              <w:t>(3)(5)</w:t>
            </w:r>
          </w:p>
        </w:tc>
        <w:tc>
          <w:tcPr>
            <w:tcW w:w="2420" w:type="dxa"/>
            <w:vAlign w:val="bottom"/>
            <w:shd w:val="clear" w:color="auto" w:fill="CFF0FC"/>
          </w:tcPr>
          <w:p>
            <w:pPr>
              <w:ind w:left="260"/>
              <w:spacing w:after="0" w:line="110" w:lineRule="exact"/>
              <w:rPr>
                <w:sz w:val="20"/>
                <w:szCs w:val="20"/>
                <w:color w:val="auto"/>
              </w:rPr>
            </w:pPr>
            <w:r>
              <w:rPr>
                <w:rFonts w:ascii="Arial" w:cs="Arial" w:eastAsia="Arial" w:hAnsi="Arial"/>
                <w:sz w:val="12"/>
                <w:szCs w:val="12"/>
                <w:color w:val="auto"/>
              </w:rPr>
              <w:t>First-lien loan ($49,328 par, due</w:t>
            </w:r>
          </w:p>
        </w:tc>
        <w:tc>
          <w:tcPr>
            <w:tcW w:w="980" w:type="dxa"/>
            <w:vAlign w:val="bottom"/>
            <w:shd w:val="clear" w:color="auto" w:fill="CFF0FC"/>
          </w:tcPr>
          <w:p>
            <w:pPr>
              <w:jc w:val="right"/>
              <w:ind w:right="162"/>
              <w:spacing w:after="0" w:line="110" w:lineRule="exact"/>
              <w:rPr>
                <w:sz w:val="20"/>
                <w:szCs w:val="20"/>
                <w:color w:val="auto"/>
              </w:rPr>
            </w:pPr>
            <w:r>
              <w:rPr>
                <w:rFonts w:ascii="Arial" w:cs="Arial" w:eastAsia="Arial" w:hAnsi="Arial"/>
                <w:sz w:val="12"/>
                <w:szCs w:val="12"/>
                <w:color w:val="auto"/>
              </w:rPr>
              <w:t>2/25/2021</w:t>
            </w:r>
          </w:p>
        </w:tc>
        <w:tc>
          <w:tcPr>
            <w:tcW w:w="1140" w:type="dxa"/>
            <w:vAlign w:val="bottom"/>
            <w:shd w:val="clear" w:color="auto" w:fill="CFF0FC"/>
          </w:tcPr>
          <w:p>
            <w:pPr>
              <w:jc w:val="right"/>
              <w:ind w:right="302"/>
              <w:spacing w:after="0" w:line="110" w:lineRule="exact"/>
              <w:rPr>
                <w:sz w:val="20"/>
                <w:szCs w:val="20"/>
                <w:color w:val="auto"/>
              </w:rPr>
            </w:pPr>
            <w:r>
              <w:rPr>
                <w:rFonts w:ascii="Arial" w:cs="Arial" w:eastAsia="Arial" w:hAnsi="Arial"/>
                <w:sz w:val="12"/>
                <w:szCs w:val="12"/>
                <w:color w:val="auto"/>
              </w:rPr>
              <w:t>L + 6.50%</w:t>
            </w:r>
          </w:p>
        </w:tc>
        <w:tc>
          <w:tcPr>
            <w:tcW w:w="1160" w:type="dxa"/>
            <w:vAlign w:val="bottom"/>
            <w:shd w:val="clear" w:color="auto" w:fill="CFF0FC"/>
          </w:tcPr>
          <w:p>
            <w:pPr>
              <w:jc w:val="right"/>
              <w:ind w:right="42"/>
              <w:spacing w:after="0" w:line="110" w:lineRule="exact"/>
              <w:rPr>
                <w:sz w:val="20"/>
                <w:szCs w:val="20"/>
                <w:color w:val="auto"/>
              </w:rPr>
            </w:pPr>
            <w:r>
              <w:rPr>
                <w:rFonts w:ascii="Arial" w:cs="Arial" w:eastAsia="Arial" w:hAnsi="Arial"/>
                <w:sz w:val="12"/>
                <w:szCs w:val="12"/>
                <w:color w:val="auto"/>
              </w:rPr>
              <w:t>7.50 %</w:t>
            </w:r>
          </w:p>
        </w:tc>
        <w:tc>
          <w:tcPr>
            <w:tcW w:w="880" w:type="dxa"/>
            <w:vAlign w:val="bottom"/>
            <w:shd w:val="clear" w:color="auto" w:fill="CFF0FC"/>
          </w:tcPr>
          <w:p>
            <w:pPr>
              <w:jc w:val="right"/>
              <w:spacing w:after="0" w:line="110" w:lineRule="exact"/>
              <w:rPr>
                <w:sz w:val="20"/>
                <w:szCs w:val="20"/>
                <w:color w:val="auto"/>
              </w:rPr>
            </w:pPr>
            <w:r>
              <w:rPr>
                <w:rFonts w:ascii="Arial" w:cs="Arial" w:eastAsia="Arial" w:hAnsi="Arial"/>
                <w:sz w:val="12"/>
                <w:szCs w:val="12"/>
                <w:color w:val="auto"/>
              </w:rPr>
              <w:t>48,292</w:t>
            </w:r>
          </w:p>
        </w:tc>
        <w:tc>
          <w:tcPr>
            <w:tcW w:w="12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48,711</w:t>
            </w:r>
          </w:p>
        </w:tc>
        <w:tc>
          <w:tcPr>
            <w:tcW w:w="1300" w:type="dxa"/>
            <w:vAlign w:val="bottom"/>
            <w:gridSpan w:val="3"/>
            <w:shd w:val="clear" w:color="auto" w:fill="CFF0FC"/>
          </w:tcPr>
          <w:p>
            <w:pPr>
              <w:jc w:val="right"/>
              <w:spacing w:after="0" w:line="110" w:lineRule="exact"/>
              <w:rPr>
                <w:sz w:val="20"/>
                <w:szCs w:val="20"/>
                <w:color w:val="auto"/>
              </w:rPr>
            </w:pPr>
            <w:r>
              <w:rPr>
                <w:rFonts w:ascii="Arial" w:cs="Arial" w:eastAsia="Arial" w:hAnsi="Arial"/>
                <w:sz w:val="12"/>
                <w:szCs w:val="12"/>
                <w:color w:val="auto"/>
              </w:rPr>
              <w:t>3.8 %</w:t>
            </w:r>
          </w:p>
        </w:tc>
        <w:tc>
          <w:tcPr>
            <w:tcW w:w="20" w:type="dxa"/>
            <w:vAlign w:val="bottom"/>
          </w:tcPr>
          <w:p>
            <w:pPr>
              <w:spacing w:after="0"/>
              <w:rPr>
                <w:sz w:val="9"/>
                <w:szCs w:val="9"/>
                <w:color w:val="auto"/>
              </w:rPr>
            </w:pPr>
          </w:p>
        </w:tc>
      </w:tr>
      <w:tr>
        <w:trPr>
          <w:trHeight w:val="149"/>
        </w:trPr>
        <w:tc>
          <w:tcPr>
            <w:tcW w:w="2140" w:type="dxa"/>
            <w:vAlign w:val="bottom"/>
            <w:tcBorders>
              <w:bottom w:val="single" w:sz="8" w:color="CFF0FC"/>
            </w:tcBorders>
            <w:shd w:val="clear" w:color="auto" w:fill="CFF0FC"/>
          </w:tcPr>
          <w:p>
            <w:pPr>
              <w:spacing w:after="0"/>
              <w:rPr>
                <w:sz w:val="12"/>
                <w:szCs w:val="12"/>
                <w:color w:val="auto"/>
              </w:rPr>
            </w:pPr>
          </w:p>
        </w:tc>
        <w:tc>
          <w:tcPr>
            <w:tcW w:w="2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3"/>
                <w:szCs w:val="13"/>
                <w:color w:val="auto"/>
              </w:rPr>
              <w:t>2/2026)</w:t>
            </w:r>
          </w:p>
        </w:tc>
        <w:tc>
          <w:tcPr>
            <w:tcW w:w="980" w:type="dxa"/>
            <w:vAlign w:val="bottom"/>
            <w:tcBorders>
              <w:bottom w:val="single" w:sz="8" w:color="CFF0FC"/>
            </w:tcBorders>
            <w:shd w:val="clear" w:color="auto" w:fill="CFF0FC"/>
          </w:tcPr>
          <w:p>
            <w:pPr>
              <w:spacing w:after="0"/>
              <w:rPr>
                <w:sz w:val="12"/>
                <w:szCs w:val="12"/>
                <w:color w:val="auto"/>
              </w:rPr>
            </w:pPr>
          </w:p>
        </w:tc>
        <w:tc>
          <w:tcPr>
            <w:tcW w:w="114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202,684</w:t>
            </w:r>
          </w:p>
        </w:tc>
        <w:tc>
          <w:tcPr>
            <w:tcW w:w="12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204,050</w:t>
            </w:r>
          </w:p>
        </w:tc>
        <w:tc>
          <w:tcPr>
            <w:tcW w:w="130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16.0 %</w:t>
            </w:r>
          </w:p>
        </w:tc>
        <w:tc>
          <w:tcPr>
            <w:tcW w:w="20" w:type="dxa"/>
            <w:vAlign w:val="bottom"/>
          </w:tcPr>
          <w:p>
            <w:pPr>
              <w:spacing w:after="0"/>
              <w:rPr>
                <w:sz w:val="12"/>
                <w:szCs w:val="12"/>
                <w:color w:val="auto"/>
              </w:rPr>
            </w:pPr>
          </w:p>
        </w:tc>
      </w:tr>
      <w:tr>
        <w:trPr>
          <w:trHeight w:val="142"/>
        </w:trPr>
        <w:tc>
          <w:tcPr>
            <w:tcW w:w="214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Marketing Services</w:t>
            </w:r>
          </w:p>
        </w:tc>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Acoustic, L.P. </w:t>
            </w:r>
            <w:r>
              <w:rPr>
                <w:rFonts w:ascii="Arial" w:cs="Arial" w:eastAsia="Arial" w:hAnsi="Arial"/>
                <w:sz w:val="12"/>
                <w:szCs w:val="12"/>
                <w:color w:val="auto"/>
                <w:vertAlign w:val="superscript"/>
              </w:rPr>
              <w:t>(3)</w:t>
            </w:r>
          </w:p>
        </w:tc>
        <w:tc>
          <w:tcPr>
            <w:tcW w:w="2420" w:type="dxa"/>
            <w:vAlign w:val="bottom"/>
          </w:tcPr>
          <w:p>
            <w:pPr>
              <w:ind w:left="260"/>
              <w:spacing w:after="0" w:line="108" w:lineRule="exact"/>
              <w:rPr>
                <w:sz w:val="20"/>
                <w:szCs w:val="20"/>
                <w:color w:val="auto"/>
              </w:rPr>
            </w:pPr>
            <w:r>
              <w:rPr>
                <w:rFonts w:ascii="Arial" w:cs="Arial" w:eastAsia="Arial" w:hAnsi="Arial"/>
                <w:sz w:val="12"/>
                <w:szCs w:val="12"/>
                <w:color w:val="auto"/>
              </w:rPr>
              <w:t>First-lien note ($33,330 par, due</w:t>
            </w:r>
          </w:p>
        </w:tc>
        <w:tc>
          <w:tcPr>
            <w:tcW w:w="980" w:type="dxa"/>
            <w:vAlign w:val="bottom"/>
          </w:tcPr>
          <w:p>
            <w:pPr>
              <w:jc w:val="right"/>
              <w:ind w:right="162"/>
              <w:spacing w:after="0" w:line="108" w:lineRule="exact"/>
              <w:rPr>
                <w:sz w:val="20"/>
                <w:szCs w:val="20"/>
                <w:color w:val="auto"/>
              </w:rPr>
            </w:pPr>
            <w:r>
              <w:rPr>
                <w:rFonts w:ascii="Arial" w:cs="Arial" w:eastAsia="Arial" w:hAnsi="Arial"/>
                <w:sz w:val="12"/>
                <w:szCs w:val="12"/>
                <w:color w:val="auto"/>
              </w:rPr>
              <w:t>12/17/2019</w:t>
            </w:r>
          </w:p>
        </w:tc>
        <w:tc>
          <w:tcPr>
            <w:tcW w:w="1140" w:type="dxa"/>
            <w:vAlign w:val="bottom"/>
          </w:tcPr>
          <w:p>
            <w:pPr>
              <w:jc w:val="right"/>
              <w:ind w:right="302"/>
              <w:spacing w:after="0" w:line="108" w:lineRule="exact"/>
              <w:rPr>
                <w:sz w:val="20"/>
                <w:szCs w:val="20"/>
                <w:color w:val="auto"/>
              </w:rPr>
            </w:pPr>
            <w:r>
              <w:rPr>
                <w:rFonts w:ascii="Arial" w:cs="Arial" w:eastAsia="Arial" w:hAnsi="Arial"/>
                <w:sz w:val="12"/>
                <w:szCs w:val="12"/>
                <w:color w:val="auto"/>
              </w:rPr>
              <w:t>L + 7.00%</w:t>
            </w:r>
          </w:p>
        </w:tc>
        <w:tc>
          <w:tcPr>
            <w:tcW w:w="1160" w:type="dxa"/>
            <w:vAlign w:val="bottom"/>
          </w:tcPr>
          <w:p>
            <w:pPr>
              <w:jc w:val="right"/>
              <w:ind w:right="42"/>
              <w:spacing w:after="0" w:line="108" w:lineRule="exact"/>
              <w:rPr>
                <w:sz w:val="20"/>
                <w:szCs w:val="20"/>
                <w:color w:val="auto"/>
              </w:rPr>
            </w:pPr>
            <w:r>
              <w:rPr>
                <w:rFonts w:ascii="Arial" w:cs="Arial" w:eastAsia="Arial" w:hAnsi="Arial"/>
                <w:sz w:val="12"/>
                <w:szCs w:val="12"/>
                <w:color w:val="auto"/>
              </w:rPr>
              <w:t>8.50 %</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32,544</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31,747</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2.5 %</w:t>
            </w:r>
          </w:p>
        </w:tc>
        <w:tc>
          <w:tcPr>
            <w:tcW w:w="20" w:type="dxa"/>
            <w:vAlign w:val="bottom"/>
          </w:tcPr>
          <w:p>
            <w:pPr>
              <w:spacing w:after="0"/>
              <w:rPr>
                <w:sz w:val="9"/>
                <w:szCs w:val="9"/>
                <w:color w:val="auto"/>
              </w:rPr>
            </w:pPr>
          </w:p>
        </w:tc>
      </w:tr>
      <w:tr>
        <w:trPr>
          <w:trHeight w:val="161"/>
        </w:trPr>
        <w:tc>
          <w:tcPr>
            <w:tcW w:w="214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Arial" w:cs="Arial" w:eastAsia="Arial" w:hAnsi="Arial"/>
                <w:sz w:val="13"/>
                <w:szCs w:val="13"/>
                <w:color w:val="auto"/>
              </w:rPr>
              <w:t>6/2024)</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1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Office Products</w:t>
            </w:r>
          </w:p>
        </w:tc>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USR Parent, Inc. </w:t>
            </w:r>
            <w:r>
              <w:rPr>
                <w:rFonts w:ascii="Arial" w:cs="Arial" w:eastAsia="Arial" w:hAnsi="Arial"/>
                <w:sz w:val="12"/>
                <w:szCs w:val="12"/>
                <w:color w:val="auto"/>
                <w:vertAlign w:val="superscript"/>
              </w:rPr>
              <w:t>(3)(5)</w:t>
            </w:r>
          </w:p>
        </w:tc>
        <w:tc>
          <w:tcPr>
            <w:tcW w:w="2420" w:type="dxa"/>
            <w:vAlign w:val="bottom"/>
          </w:tcPr>
          <w:p>
            <w:pPr>
              <w:ind w:left="260"/>
              <w:spacing w:after="0" w:line="108" w:lineRule="exact"/>
              <w:rPr>
                <w:sz w:val="20"/>
                <w:szCs w:val="20"/>
                <w:color w:val="auto"/>
              </w:rPr>
            </w:pPr>
            <w:r>
              <w:rPr>
                <w:rFonts w:ascii="Arial" w:cs="Arial" w:eastAsia="Arial" w:hAnsi="Arial"/>
                <w:sz w:val="12"/>
                <w:szCs w:val="12"/>
                <w:color w:val="auto"/>
              </w:rPr>
              <w:t>ABL FILO term loan ($5,732 par, due</w:t>
            </w:r>
          </w:p>
        </w:tc>
        <w:tc>
          <w:tcPr>
            <w:tcW w:w="980" w:type="dxa"/>
            <w:vAlign w:val="bottom"/>
          </w:tcPr>
          <w:p>
            <w:pPr>
              <w:jc w:val="right"/>
              <w:ind w:right="162"/>
              <w:spacing w:after="0" w:line="108" w:lineRule="exact"/>
              <w:rPr>
                <w:sz w:val="20"/>
                <w:szCs w:val="20"/>
                <w:color w:val="auto"/>
              </w:rPr>
            </w:pPr>
            <w:r>
              <w:rPr>
                <w:rFonts w:ascii="Arial" w:cs="Arial" w:eastAsia="Arial" w:hAnsi="Arial"/>
                <w:sz w:val="12"/>
                <w:szCs w:val="12"/>
                <w:color w:val="auto"/>
              </w:rPr>
              <w:t>9/12/2017</w:t>
            </w:r>
          </w:p>
        </w:tc>
        <w:tc>
          <w:tcPr>
            <w:tcW w:w="1140" w:type="dxa"/>
            <w:vAlign w:val="bottom"/>
          </w:tcPr>
          <w:p>
            <w:pPr>
              <w:jc w:val="right"/>
              <w:ind w:right="302"/>
              <w:spacing w:after="0" w:line="108" w:lineRule="exact"/>
              <w:rPr>
                <w:sz w:val="20"/>
                <w:szCs w:val="20"/>
                <w:color w:val="auto"/>
              </w:rPr>
            </w:pPr>
            <w:r>
              <w:rPr>
                <w:rFonts w:ascii="Arial" w:cs="Arial" w:eastAsia="Arial" w:hAnsi="Arial"/>
                <w:sz w:val="12"/>
                <w:szCs w:val="12"/>
                <w:color w:val="auto"/>
              </w:rPr>
              <w:t>L + 7.75%</w:t>
            </w:r>
          </w:p>
        </w:tc>
        <w:tc>
          <w:tcPr>
            <w:tcW w:w="1160" w:type="dxa"/>
            <w:vAlign w:val="bottom"/>
          </w:tcPr>
          <w:p>
            <w:pPr>
              <w:jc w:val="right"/>
              <w:ind w:right="42"/>
              <w:spacing w:after="0" w:line="108" w:lineRule="exact"/>
              <w:rPr>
                <w:sz w:val="20"/>
                <w:szCs w:val="20"/>
                <w:color w:val="auto"/>
              </w:rPr>
            </w:pPr>
            <w:r>
              <w:rPr>
                <w:rFonts w:ascii="Arial" w:cs="Arial" w:eastAsia="Arial" w:hAnsi="Arial"/>
                <w:sz w:val="12"/>
                <w:szCs w:val="12"/>
                <w:color w:val="auto"/>
              </w:rPr>
              <w:t>8.75 %</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5,709</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5,732</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0.4 %</w:t>
            </w:r>
          </w:p>
        </w:tc>
        <w:tc>
          <w:tcPr>
            <w:tcW w:w="20" w:type="dxa"/>
            <w:vAlign w:val="bottom"/>
          </w:tcPr>
          <w:p>
            <w:pPr>
              <w:spacing w:after="0"/>
              <w:rPr>
                <w:sz w:val="9"/>
                <w:szCs w:val="9"/>
                <w:color w:val="auto"/>
              </w:rPr>
            </w:pPr>
          </w:p>
        </w:tc>
      </w:tr>
      <w:tr>
        <w:trPr>
          <w:trHeight w:val="161"/>
        </w:trPr>
        <w:tc>
          <w:tcPr>
            <w:tcW w:w="214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Arial" w:cs="Arial" w:eastAsia="Arial" w:hAnsi="Arial"/>
                <w:sz w:val="13"/>
                <w:szCs w:val="13"/>
                <w:color w:val="auto"/>
              </w:rPr>
              <w:t>9/2022)</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1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Oil, Gas and Consumable Fuels</w:t>
            </w:r>
          </w:p>
        </w:tc>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2"/>
                <w:szCs w:val="12"/>
                <w:color w:val="auto"/>
              </w:rPr>
              <w:t>MD America Energy,</w:t>
            </w:r>
          </w:p>
        </w:tc>
        <w:tc>
          <w:tcPr>
            <w:tcW w:w="2420" w:type="dxa"/>
            <w:vAlign w:val="bottom"/>
          </w:tcPr>
          <w:p>
            <w:pPr>
              <w:ind w:left="260"/>
              <w:spacing w:after="0" w:line="108" w:lineRule="exact"/>
              <w:rPr>
                <w:sz w:val="20"/>
                <w:szCs w:val="20"/>
                <w:color w:val="auto"/>
              </w:rPr>
            </w:pPr>
            <w:r>
              <w:rPr>
                <w:rFonts w:ascii="Arial" w:cs="Arial" w:eastAsia="Arial" w:hAnsi="Arial"/>
                <w:sz w:val="12"/>
                <w:szCs w:val="12"/>
                <w:color w:val="auto"/>
              </w:rPr>
              <w:t>First-lien loan ($8,775 par, due</w:t>
            </w:r>
          </w:p>
        </w:tc>
        <w:tc>
          <w:tcPr>
            <w:tcW w:w="980" w:type="dxa"/>
            <w:vAlign w:val="bottom"/>
          </w:tcPr>
          <w:p>
            <w:pPr>
              <w:jc w:val="right"/>
              <w:ind w:right="162"/>
              <w:spacing w:after="0" w:line="108" w:lineRule="exact"/>
              <w:rPr>
                <w:sz w:val="20"/>
                <w:szCs w:val="20"/>
                <w:color w:val="auto"/>
              </w:rPr>
            </w:pPr>
            <w:r>
              <w:rPr>
                <w:rFonts w:ascii="Arial" w:cs="Arial" w:eastAsia="Arial" w:hAnsi="Arial"/>
                <w:sz w:val="12"/>
                <w:szCs w:val="12"/>
                <w:color w:val="auto"/>
              </w:rPr>
              <w:t>11/14/2018</w:t>
            </w:r>
          </w:p>
        </w:tc>
        <w:tc>
          <w:tcPr>
            <w:tcW w:w="1140" w:type="dxa"/>
            <w:vAlign w:val="bottom"/>
          </w:tcPr>
          <w:p>
            <w:pPr>
              <w:jc w:val="right"/>
              <w:ind w:right="302"/>
              <w:spacing w:after="0" w:line="108" w:lineRule="exact"/>
              <w:rPr>
                <w:sz w:val="20"/>
                <w:szCs w:val="20"/>
                <w:color w:val="auto"/>
              </w:rPr>
            </w:pPr>
            <w:r>
              <w:rPr>
                <w:rFonts w:ascii="Arial" w:cs="Arial" w:eastAsia="Arial" w:hAnsi="Arial"/>
                <w:sz w:val="12"/>
                <w:szCs w:val="12"/>
                <w:color w:val="auto"/>
              </w:rPr>
              <w:t>L + 7.75%</w:t>
            </w:r>
          </w:p>
        </w:tc>
        <w:tc>
          <w:tcPr>
            <w:tcW w:w="1160" w:type="dxa"/>
            <w:vAlign w:val="bottom"/>
          </w:tcPr>
          <w:p>
            <w:pPr>
              <w:jc w:val="right"/>
              <w:ind w:right="42"/>
              <w:spacing w:after="0" w:line="108" w:lineRule="exact"/>
              <w:rPr>
                <w:sz w:val="20"/>
                <w:szCs w:val="20"/>
                <w:color w:val="auto"/>
              </w:rPr>
            </w:pPr>
            <w:r>
              <w:rPr>
                <w:rFonts w:ascii="Arial" w:cs="Arial" w:eastAsia="Arial" w:hAnsi="Arial"/>
                <w:sz w:val="12"/>
                <w:szCs w:val="12"/>
                <w:color w:val="auto"/>
              </w:rPr>
              <w:t>9.25 %</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8,775</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8,775</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0.7 %</w:t>
            </w:r>
          </w:p>
        </w:tc>
        <w:tc>
          <w:tcPr>
            <w:tcW w:w="20" w:type="dxa"/>
            <w:vAlign w:val="bottom"/>
          </w:tcPr>
          <w:p>
            <w:pPr>
              <w:spacing w:after="0"/>
              <w:rPr>
                <w:sz w:val="9"/>
                <w:szCs w:val="9"/>
                <w:color w:val="auto"/>
              </w:rPr>
            </w:pPr>
          </w:p>
        </w:tc>
      </w:tr>
      <w:tr>
        <w:trPr>
          <w:trHeight w:val="162"/>
        </w:trPr>
        <w:tc>
          <w:tcPr>
            <w:tcW w:w="2140" w:type="dxa"/>
            <w:vAlign w:val="bottom"/>
          </w:tcPr>
          <w:p>
            <w:pPr>
              <w:ind w:left="120"/>
              <w:spacing w:after="0" w:line="162" w:lineRule="exact"/>
              <w:rPr>
                <w:sz w:val="20"/>
                <w:szCs w:val="20"/>
                <w:color w:val="auto"/>
              </w:rPr>
            </w:pPr>
            <w:r>
              <w:rPr>
                <w:rFonts w:ascii="Arial" w:cs="Arial" w:eastAsia="Arial" w:hAnsi="Arial"/>
                <w:sz w:val="18"/>
                <w:szCs w:val="18"/>
                <w:color w:val="auto"/>
                <w:vertAlign w:val="subscript"/>
              </w:rPr>
              <w:t>LLC</w:t>
            </w:r>
            <w:r>
              <w:rPr>
                <w:rFonts w:ascii="Arial" w:cs="Arial" w:eastAsia="Arial" w:hAnsi="Arial"/>
                <w:sz w:val="7"/>
                <w:szCs w:val="7"/>
                <w:color w:val="auto"/>
              </w:rPr>
              <w:t xml:space="preserve"> (3)(6)</w:t>
            </w:r>
          </w:p>
        </w:tc>
        <w:tc>
          <w:tcPr>
            <w:tcW w:w="2420" w:type="dxa"/>
            <w:vAlign w:val="bottom"/>
          </w:tcPr>
          <w:p>
            <w:pPr>
              <w:ind w:left="260"/>
              <w:spacing w:after="0"/>
              <w:rPr>
                <w:sz w:val="20"/>
                <w:szCs w:val="20"/>
                <w:color w:val="auto"/>
              </w:rPr>
            </w:pPr>
            <w:r>
              <w:rPr>
                <w:rFonts w:ascii="Arial" w:cs="Arial" w:eastAsia="Arial" w:hAnsi="Arial"/>
                <w:sz w:val="13"/>
                <w:szCs w:val="13"/>
                <w:color w:val="auto"/>
              </w:rPr>
              <w:t>12/2024)</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08"/>
        </w:trPr>
        <w:tc>
          <w:tcPr>
            <w:tcW w:w="214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Mississippi Resources,</w:t>
            </w:r>
          </w:p>
        </w:tc>
        <w:tc>
          <w:tcPr>
            <w:tcW w:w="2420" w:type="dxa"/>
            <w:vAlign w:val="bottom"/>
            <w:shd w:val="clear" w:color="auto" w:fill="CFF0FC"/>
          </w:tcPr>
          <w:p>
            <w:pPr>
              <w:ind w:left="260"/>
              <w:spacing w:after="0" w:line="108" w:lineRule="exact"/>
              <w:rPr>
                <w:sz w:val="20"/>
                <w:szCs w:val="20"/>
                <w:color w:val="auto"/>
              </w:rPr>
            </w:pPr>
            <w:r>
              <w:rPr>
                <w:rFonts w:ascii="Arial" w:cs="Arial" w:eastAsia="Arial" w:hAnsi="Arial"/>
                <w:sz w:val="12"/>
                <w:szCs w:val="12"/>
                <w:color w:val="auto"/>
              </w:rPr>
              <w:t>First-lien loan ($1,500 par, due</w:t>
            </w:r>
          </w:p>
        </w:tc>
        <w:tc>
          <w:tcPr>
            <w:tcW w:w="980" w:type="dxa"/>
            <w:vAlign w:val="bottom"/>
            <w:shd w:val="clear" w:color="auto" w:fill="CFF0FC"/>
          </w:tcPr>
          <w:p>
            <w:pPr>
              <w:jc w:val="right"/>
              <w:ind w:right="162"/>
              <w:spacing w:after="0" w:line="108" w:lineRule="exact"/>
              <w:rPr>
                <w:sz w:val="20"/>
                <w:szCs w:val="20"/>
                <w:color w:val="auto"/>
              </w:rPr>
            </w:pPr>
            <w:r>
              <w:rPr>
                <w:rFonts w:ascii="Arial" w:cs="Arial" w:eastAsia="Arial" w:hAnsi="Arial"/>
                <w:sz w:val="12"/>
                <w:szCs w:val="12"/>
                <w:color w:val="auto"/>
              </w:rPr>
              <w:t>6/29/2018</w:t>
            </w:r>
          </w:p>
        </w:tc>
        <w:tc>
          <w:tcPr>
            <w:tcW w:w="1140" w:type="dxa"/>
            <w:vAlign w:val="bottom"/>
            <w:shd w:val="clear" w:color="auto" w:fill="CFF0FC"/>
          </w:tcPr>
          <w:p>
            <w:pPr>
              <w:jc w:val="right"/>
              <w:ind w:right="302"/>
              <w:spacing w:after="0" w:line="108" w:lineRule="exact"/>
              <w:rPr>
                <w:sz w:val="20"/>
                <w:szCs w:val="20"/>
                <w:color w:val="auto"/>
              </w:rPr>
            </w:pPr>
            <w:r>
              <w:rPr>
                <w:rFonts w:ascii="Arial" w:cs="Arial" w:eastAsia="Arial" w:hAnsi="Arial"/>
                <w:sz w:val="12"/>
                <w:szCs w:val="12"/>
                <w:color w:val="auto"/>
              </w:rPr>
              <w:t>P + 8.00%</w:t>
            </w:r>
          </w:p>
        </w:tc>
        <w:tc>
          <w:tcPr>
            <w:tcW w:w="1160" w:type="dxa"/>
            <w:vAlign w:val="bottom"/>
            <w:shd w:val="clear" w:color="auto" w:fill="CFF0FC"/>
          </w:tcPr>
          <w:p>
            <w:pPr>
              <w:jc w:val="right"/>
              <w:ind w:right="42"/>
              <w:spacing w:after="0" w:line="108" w:lineRule="exact"/>
              <w:rPr>
                <w:sz w:val="20"/>
                <w:szCs w:val="20"/>
                <w:color w:val="auto"/>
              </w:rPr>
            </w:pPr>
            <w:r>
              <w:rPr>
                <w:rFonts w:ascii="Arial" w:cs="Arial" w:eastAsia="Arial" w:hAnsi="Arial"/>
                <w:sz w:val="12"/>
                <w:szCs w:val="12"/>
                <w:color w:val="auto"/>
              </w:rPr>
              <w:t>12.00 %</w:t>
            </w: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1,498</w:t>
            </w:r>
          </w:p>
        </w:tc>
        <w:tc>
          <w:tcPr>
            <w:tcW w:w="220" w:type="dxa"/>
            <w:vAlign w:val="bottom"/>
            <w:shd w:val="clear" w:color="auto" w:fill="CFF0FC"/>
          </w:tcPr>
          <w:p>
            <w:pPr>
              <w:spacing w:after="0"/>
              <w:rPr>
                <w:sz w:val="9"/>
                <w:szCs w:val="9"/>
                <w:color w:val="auto"/>
              </w:rPr>
            </w:pPr>
          </w:p>
        </w:tc>
        <w:tc>
          <w:tcPr>
            <w:tcW w:w="100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w:t>
            </w:r>
          </w:p>
        </w:tc>
        <w:tc>
          <w:tcPr>
            <w:tcW w:w="1300" w:type="dxa"/>
            <w:vAlign w:val="bottom"/>
            <w:gridSpan w:val="3"/>
            <w:shd w:val="clear" w:color="auto" w:fill="CFF0FC"/>
          </w:tcPr>
          <w:p>
            <w:pPr>
              <w:jc w:val="right"/>
              <w:spacing w:after="0" w:line="108" w:lineRule="exact"/>
              <w:rPr>
                <w:sz w:val="20"/>
                <w:szCs w:val="20"/>
                <w:color w:val="auto"/>
              </w:rPr>
            </w:pPr>
            <w:r>
              <w:rPr>
                <w:rFonts w:ascii="Arial" w:cs="Arial" w:eastAsia="Arial" w:hAnsi="Arial"/>
                <w:sz w:val="12"/>
                <w:szCs w:val="12"/>
                <w:color w:val="auto"/>
              </w:rPr>
              <w:t>0.0 %</w:t>
            </w:r>
          </w:p>
        </w:tc>
        <w:tc>
          <w:tcPr>
            <w:tcW w:w="20" w:type="dxa"/>
            <w:vAlign w:val="bottom"/>
          </w:tcPr>
          <w:p>
            <w:pPr>
              <w:spacing w:after="0"/>
              <w:rPr>
                <w:sz w:val="9"/>
                <w:szCs w:val="9"/>
                <w:color w:val="auto"/>
              </w:rPr>
            </w:pPr>
          </w:p>
        </w:tc>
      </w:tr>
      <w:tr>
        <w:trPr>
          <w:trHeight w:val="162"/>
        </w:trPr>
        <w:tc>
          <w:tcPr>
            <w:tcW w:w="2140" w:type="dxa"/>
            <w:vAlign w:val="bottom"/>
            <w:shd w:val="clear" w:color="auto" w:fill="CFF0FC"/>
          </w:tcPr>
          <w:p>
            <w:pPr>
              <w:ind w:left="120"/>
              <w:spacing w:after="0" w:line="162" w:lineRule="exact"/>
              <w:rPr>
                <w:sz w:val="20"/>
                <w:szCs w:val="20"/>
                <w:color w:val="auto"/>
              </w:rPr>
            </w:pPr>
            <w:r>
              <w:rPr>
                <w:rFonts w:ascii="Arial" w:cs="Arial" w:eastAsia="Arial" w:hAnsi="Arial"/>
                <w:sz w:val="18"/>
                <w:szCs w:val="18"/>
                <w:color w:val="auto"/>
                <w:vertAlign w:val="subscript"/>
              </w:rPr>
              <w:t>LLC</w:t>
            </w:r>
            <w:r>
              <w:rPr>
                <w:rFonts w:ascii="Arial" w:cs="Arial" w:eastAsia="Arial" w:hAnsi="Arial"/>
                <w:sz w:val="7"/>
                <w:szCs w:val="7"/>
                <w:color w:val="auto"/>
              </w:rPr>
              <w:t xml:space="preserve"> (3)(7)(16)</w:t>
            </w:r>
          </w:p>
        </w:tc>
        <w:tc>
          <w:tcPr>
            <w:tcW w:w="2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12/2022)</w:t>
            </w:r>
          </w:p>
        </w:tc>
        <w:tc>
          <w:tcPr>
            <w:tcW w:w="9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TRP Assets, LLC </w:t>
            </w:r>
            <w:r>
              <w:rPr>
                <w:rFonts w:ascii="Arial" w:cs="Arial" w:eastAsia="Arial" w:hAnsi="Arial"/>
                <w:sz w:val="12"/>
                <w:szCs w:val="12"/>
                <w:color w:val="auto"/>
                <w:vertAlign w:val="superscript"/>
              </w:rPr>
              <w:t>(3)</w:t>
            </w:r>
          </w:p>
        </w:tc>
        <w:tc>
          <w:tcPr>
            <w:tcW w:w="2420" w:type="dxa"/>
            <w:vAlign w:val="bottom"/>
          </w:tcPr>
          <w:p>
            <w:pPr>
              <w:ind w:left="260"/>
              <w:spacing w:after="0" w:line="108" w:lineRule="exact"/>
              <w:rPr>
                <w:sz w:val="20"/>
                <w:szCs w:val="20"/>
                <w:color w:val="auto"/>
              </w:rPr>
            </w:pPr>
            <w:r>
              <w:rPr>
                <w:rFonts w:ascii="Arial" w:cs="Arial" w:eastAsia="Arial" w:hAnsi="Arial"/>
                <w:sz w:val="12"/>
                <w:szCs w:val="12"/>
                <w:color w:val="auto"/>
              </w:rPr>
              <w:t>First-lien loan ($42,000 par, due</w:t>
            </w:r>
          </w:p>
        </w:tc>
        <w:tc>
          <w:tcPr>
            <w:tcW w:w="980" w:type="dxa"/>
            <w:vAlign w:val="bottom"/>
          </w:tcPr>
          <w:p>
            <w:pPr>
              <w:jc w:val="right"/>
              <w:ind w:right="162"/>
              <w:spacing w:after="0" w:line="108" w:lineRule="exact"/>
              <w:rPr>
                <w:sz w:val="20"/>
                <w:szCs w:val="20"/>
                <w:color w:val="auto"/>
              </w:rPr>
            </w:pPr>
            <w:r>
              <w:rPr>
                <w:rFonts w:ascii="Arial" w:cs="Arial" w:eastAsia="Arial" w:hAnsi="Arial"/>
                <w:sz w:val="12"/>
                <w:szCs w:val="12"/>
                <w:color w:val="auto"/>
              </w:rPr>
              <w:t>12/3/2021</w:t>
            </w:r>
          </w:p>
        </w:tc>
        <w:tc>
          <w:tcPr>
            <w:tcW w:w="1140" w:type="dxa"/>
            <w:vAlign w:val="bottom"/>
          </w:tcPr>
          <w:p>
            <w:pPr>
              <w:jc w:val="right"/>
              <w:ind w:right="322"/>
              <w:spacing w:after="0" w:line="108" w:lineRule="exact"/>
              <w:rPr>
                <w:sz w:val="20"/>
                <w:szCs w:val="20"/>
                <w:color w:val="auto"/>
              </w:rPr>
            </w:pPr>
            <w:r>
              <w:rPr>
                <w:rFonts w:ascii="Arial" w:cs="Arial" w:eastAsia="Arial" w:hAnsi="Arial"/>
                <w:sz w:val="12"/>
                <w:szCs w:val="12"/>
                <w:color w:val="auto"/>
              </w:rPr>
              <w:t>SOFR +</w:t>
            </w:r>
          </w:p>
        </w:tc>
        <w:tc>
          <w:tcPr>
            <w:tcW w:w="1160" w:type="dxa"/>
            <w:vAlign w:val="bottom"/>
          </w:tcPr>
          <w:p>
            <w:pPr>
              <w:jc w:val="right"/>
              <w:ind w:right="42"/>
              <w:spacing w:after="0" w:line="108" w:lineRule="exact"/>
              <w:rPr>
                <w:sz w:val="20"/>
                <w:szCs w:val="20"/>
                <w:color w:val="auto"/>
              </w:rPr>
            </w:pPr>
            <w:r>
              <w:rPr>
                <w:rFonts w:ascii="Arial" w:cs="Arial" w:eastAsia="Arial" w:hAnsi="Arial"/>
                <w:sz w:val="12"/>
                <w:szCs w:val="12"/>
                <w:color w:val="auto"/>
              </w:rPr>
              <w:t>9.76 %</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41,003</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40,950</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3.2 %</w:t>
            </w:r>
          </w:p>
        </w:tc>
        <w:tc>
          <w:tcPr>
            <w:tcW w:w="20" w:type="dxa"/>
            <w:vAlign w:val="bottom"/>
          </w:tcPr>
          <w:p>
            <w:pPr>
              <w:spacing w:after="0"/>
              <w:rPr>
                <w:sz w:val="9"/>
                <w:szCs w:val="9"/>
                <w:color w:val="auto"/>
              </w:rPr>
            </w:pPr>
          </w:p>
        </w:tc>
      </w:tr>
      <w:tr>
        <w:trPr>
          <w:trHeight w:val="160"/>
        </w:trPr>
        <w:tc>
          <w:tcPr>
            <w:tcW w:w="2140" w:type="dxa"/>
            <w:vAlign w:val="bottom"/>
          </w:tcPr>
          <w:p>
            <w:pPr>
              <w:spacing w:after="0"/>
              <w:rPr>
                <w:sz w:val="13"/>
                <w:szCs w:val="13"/>
                <w:color w:val="auto"/>
              </w:rPr>
            </w:pPr>
          </w:p>
        </w:tc>
        <w:tc>
          <w:tcPr>
            <w:tcW w:w="2420" w:type="dxa"/>
            <w:vAlign w:val="bottom"/>
          </w:tcPr>
          <w:p>
            <w:pPr>
              <w:ind w:left="260"/>
              <w:spacing w:after="0"/>
              <w:rPr>
                <w:sz w:val="20"/>
                <w:szCs w:val="20"/>
                <w:color w:val="auto"/>
              </w:rPr>
            </w:pPr>
            <w:r>
              <w:rPr>
                <w:rFonts w:ascii="Arial" w:cs="Arial" w:eastAsia="Arial" w:hAnsi="Arial"/>
                <w:sz w:val="13"/>
                <w:szCs w:val="13"/>
                <w:color w:val="auto"/>
              </w:rPr>
              <w:t>12/2025)</w:t>
            </w:r>
          </w:p>
        </w:tc>
        <w:tc>
          <w:tcPr>
            <w:tcW w:w="980" w:type="dxa"/>
            <w:vAlign w:val="bottom"/>
          </w:tcPr>
          <w:p>
            <w:pPr>
              <w:spacing w:after="0"/>
              <w:rPr>
                <w:sz w:val="13"/>
                <w:szCs w:val="13"/>
                <w:color w:val="auto"/>
              </w:rPr>
            </w:pPr>
          </w:p>
        </w:tc>
        <w:tc>
          <w:tcPr>
            <w:tcW w:w="1140" w:type="dxa"/>
            <w:vAlign w:val="bottom"/>
          </w:tcPr>
          <w:p>
            <w:pPr>
              <w:jc w:val="right"/>
              <w:ind w:right="302"/>
              <w:spacing w:after="0"/>
              <w:rPr>
                <w:sz w:val="20"/>
                <w:szCs w:val="20"/>
                <w:color w:val="auto"/>
              </w:rPr>
            </w:pPr>
            <w:r>
              <w:rPr>
                <w:rFonts w:ascii="Arial" w:cs="Arial" w:eastAsia="Arial" w:hAnsi="Arial"/>
                <w:sz w:val="13"/>
                <w:szCs w:val="13"/>
                <w:color w:val="auto"/>
              </w:rPr>
              <w:t>7.50%</w:t>
            </w: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10"/>
        </w:trPr>
        <w:tc>
          <w:tcPr>
            <w:tcW w:w="2140" w:type="dxa"/>
            <w:vAlign w:val="bottom"/>
            <w:shd w:val="clear" w:color="auto" w:fill="CFF0FC"/>
          </w:tcPr>
          <w:p>
            <w:pPr>
              <w:ind w:left="20"/>
              <w:spacing w:after="0" w:line="110" w:lineRule="exact"/>
              <w:rPr>
                <w:sz w:val="20"/>
                <w:szCs w:val="20"/>
                <w:color w:val="auto"/>
              </w:rPr>
            </w:pPr>
            <w:r>
              <w:rPr>
                <w:rFonts w:ascii="Arial" w:cs="Arial" w:eastAsia="Arial" w:hAnsi="Arial"/>
                <w:sz w:val="12"/>
                <w:szCs w:val="12"/>
                <w:color w:val="auto"/>
              </w:rPr>
              <w:t>Verdad Resources Intermediate</w:t>
            </w:r>
          </w:p>
        </w:tc>
        <w:tc>
          <w:tcPr>
            <w:tcW w:w="2420" w:type="dxa"/>
            <w:vAlign w:val="bottom"/>
            <w:shd w:val="clear" w:color="auto" w:fill="CFF0FC"/>
          </w:tcPr>
          <w:p>
            <w:pPr>
              <w:ind w:left="260"/>
              <w:spacing w:after="0" w:line="110" w:lineRule="exact"/>
              <w:rPr>
                <w:sz w:val="20"/>
                <w:szCs w:val="20"/>
                <w:color w:val="auto"/>
              </w:rPr>
            </w:pPr>
            <w:r>
              <w:rPr>
                <w:rFonts w:ascii="Arial" w:cs="Arial" w:eastAsia="Arial" w:hAnsi="Arial"/>
                <w:sz w:val="12"/>
                <w:szCs w:val="12"/>
                <w:color w:val="auto"/>
              </w:rPr>
              <w:t>First-lien loan ($25,233 par, due</w:t>
            </w:r>
          </w:p>
        </w:tc>
        <w:tc>
          <w:tcPr>
            <w:tcW w:w="980" w:type="dxa"/>
            <w:vAlign w:val="bottom"/>
            <w:shd w:val="clear" w:color="auto" w:fill="CFF0FC"/>
          </w:tcPr>
          <w:p>
            <w:pPr>
              <w:jc w:val="right"/>
              <w:ind w:right="162"/>
              <w:spacing w:after="0" w:line="110" w:lineRule="exact"/>
              <w:rPr>
                <w:sz w:val="20"/>
                <w:szCs w:val="20"/>
                <w:color w:val="auto"/>
              </w:rPr>
            </w:pPr>
            <w:r>
              <w:rPr>
                <w:rFonts w:ascii="Arial" w:cs="Arial" w:eastAsia="Arial" w:hAnsi="Arial"/>
                <w:sz w:val="12"/>
                <w:szCs w:val="12"/>
                <w:color w:val="auto"/>
              </w:rPr>
              <w:t>4/10/2019</w:t>
            </w:r>
          </w:p>
        </w:tc>
        <w:tc>
          <w:tcPr>
            <w:tcW w:w="1140" w:type="dxa"/>
            <w:vAlign w:val="bottom"/>
            <w:shd w:val="clear" w:color="auto" w:fill="CFF0FC"/>
          </w:tcPr>
          <w:p>
            <w:pPr>
              <w:jc w:val="right"/>
              <w:ind w:right="302"/>
              <w:spacing w:after="0" w:line="110" w:lineRule="exact"/>
              <w:rPr>
                <w:sz w:val="20"/>
                <w:szCs w:val="20"/>
                <w:color w:val="auto"/>
              </w:rPr>
            </w:pPr>
            <w:r>
              <w:rPr>
                <w:rFonts w:ascii="Arial" w:cs="Arial" w:eastAsia="Arial" w:hAnsi="Arial"/>
                <w:sz w:val="12"/>
                <w:szCs w:val="12"/>
                <w:color w:val="auto"/>
              </w:rPr>
              <w:t>L + 7.50%</w:t>
            </w:r>
          </w:p>
        </w:tc>
        <w:tc>
          <w:tcPr>
            <w:tcW w:w="1160" w:type="dxa"/>
            <w:vAlign w:val="bottom"/>
            <w:shd w:val="clear" w:color="auto" w:fill="CFF0FC"/>
          </w:tcPr>
          <w:p>
            <w:pPr>
              <w:jc w:val="right"/>
              <w:ind w:right="42"/>
              <w:spacing w:after="0" w:line="110" w:lineRule="exact"/>
              <w:rPr>
                <w:sz w:val="20"/>
                <w:szCs w:val="20"/>
                <w:color w:val="auto"/>
              </w:rPr>
            </w:pPr>
            <w:r>
              <w:rPr>
                <w:rFonts w:ascii="Arial" w:cs="Arial" w:eastAsia="Arial" w:hAnsi="Arial"/>
                <w:sz w:val="12"/>
                <w:szCs w:val="12"/>
                <w:color w:val="auto"/>
              </w:rPr>
              <w:t>9.50 %</w:t>
            </w:r>
          </w:p>
        </w:tc>
        <w:tc>
          <w:tcPr>
            <w:tcW w:w="880" w:type="dxa"/>
            <w:vAlign w:val="bottom"/>
            <w:shd w:val="clear" w:color="auto" w:fill="CFF0FC"/>
          </w:tcPr>
          <w:p>
            <w:pPr>
              <w:jc w:val="right"/>
              <w:spacing w:after="0" w:line="110" w:lineRule="exact"/>
              <w:rPr>
                <w:sz w:val="20"/>
                <w:szCs w:val="20"/>
                <w:color w:val="auto"/>
              </w:rPr>
            </w:pPr>
            <w:r>
              <w:rPr>
                <w:rFonts w:ascii="Arial" w:cs="Arial" w:eastAsia="Arial" w:hAnsi="Arial"/>
                <w:sz w:val="12"/>
                <w:szCs w:val="12"/>
                <w:color w:val="auto"/>
              </w:rPr>
              <w:t>24,925</w:t>
            </w:r>
          </w:p>
        </w:tc>
        <w:tc>
          <w:tcPr>
            <w:tcW w:w="12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25,485</w:t>
            </w:r>
          </w:p>
        </w:tc>
        <w:tc>
          <w:tcPr>
            <w:tcW w:w="1300" w:type="dxa"/>
            <w:vAlign w:val="bottom"/>
            <w:gridSpan w:val="3"/>
            <w:shd w:val="clear" w:color="auto" w:fill="CFF0FC"/>
          </w:tcPr>
          <w:p>
            <w:pPr>
              <w:jc w:val="right"/>
              <w:spacing w:after="0" w:line="110" w:lineRule="exact"/>
              <w:rPr>
                <w:sz w:val="20"/>
                <w:szCs w:val="20"/>
                <w:color w:val="auto"/>
              </w:rPr>
            </w:pPr>
            <w:r>
              <w:rPr>
                <w:rFonts w:ascii="Arial" w:cs="Arial" w:eastAsia="Arial" w:hAnsi="Arial"/>
                <w:sz w:val="12"/>
                <w:szCs w:val="12"/>
                <w:color w:val="auto"/>
              </w:rPr>
              <w:t>2.0 %</w:t>
            </w:r>
          </w:p>
        </w:tc>
        <w:tc>
          <w:tcPr>
            <w:tcW w:w="20" w:type="dxa"/>
            <w:vAlign w:val="bottom"/>
          </w:tcPr>
          <w:p>
            <w:pPr>
              <w:spacing w:after="0"/>
              <w:rPr>
                <w:sz w:val="9"/>
                <w:szCs w:val="9"/>
                <w:color w:val="auto"/>
              </w:rPr>
            </w:pPr>
          </w:p>
        </w:tc>
      </w:tr>
      <w:tr>
        <w:trPr>
          <w:trHeight w:val="148"/>
        </w:trPr>
        <w:tc>
          <w:tcPr>
            <w:tcW w:w="2140" w:type="dxa"/>
            <w:vAlign w:val="bottom"/>
            <w:tcBorders>
              <w:bottom w:val="single" w:sz="8" w:color="CFF0FC"/>
            </w:tcBorders>
            <w:shd w:val="clear" w:color="auto" w:fill="CFF0FC"/>
          </w:tcPr>
          <w:p>
            <w:pPr>
              <w:ind w:left="120"/>
              <w:spacing w:after="0" w:line="148" w:lineRule="exact"/>
              <w:rPr>
                <w:sz w:val="20"/>
                <w:szCs w:val="20"/>
                <w:color w:val="auto"/>
              </w:rPr>
            </w:pPr>
            <w:r>
              <w:rPr>
                <w:rFonts w:ascii="Arial" w:cs="Arial" w:eastAsia="Arial" w:hAnsi="Arial"/>
                <w:sz w:val="13"/>
                <w:szCs w:val="13"/>
                <w:color w:val="auto"/>
              </w:rPr>
              <w:t xml:space="preserve">Holdings, LLC </w:t>
            </w:r>
            <w:r>
              <w:rPr>
                <w:rFonts w:ascii="Arial" w:cs="Arial" w:eastAsia="Arial" w:hAnsi="Arial"/>
                <w:sz w:val="16"/>
                <w:szCs w:val="16"/>
                <w:color w:val="auto"/>
                <w:vertAlign w:val="superscript"/>
              </w:rPr>
              <w:t>(3)</w:t>
            </w:r>
          </w:p>
        </w:tc>
        <w:tc>
          <w:tcPr>
            <w:tcW w:w="2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3"/>
                <w:szCs w:val="13"/>
                <w:color w:val="auto"/>
              </w:rPr>
              <w:t>10/2024)</w:t>
            </w:r>
          </w:p>
        </w:tc>
        <w:tc>
          <w:tcPr>
            <w:tcW w:w="980" w:type="dxa"/>
            <w:vAlign w:val="bottom"/>
            <w:tcBorders>
              <w:bottom w:val="single" w:sz="8" w:color="CFF0FC"/>
            </w:tcBorders>
            <w:shd w:val="clear" w:color="auto" w:fill="CFF0FC"/>
          </w:tcPr>
          <w:p>
            <w:pPr>
              <w:spacing w:after="0"/>
              <w:rPr>
                <w:sz w:val="12"/>
                <w:szCs w:val="12"/>
                <w:color w:val="auto"/>
              </w:rPr>
            </w:pPr>
          </w:p>
        </w:tc>
        <w:tc>
          <w:tcPr>
            <w:tcW w:w="114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76,201</w:t>
            </w:r>
          </w:p>
        </w:tc>
        <w:tc>
          <w:tcPr>
            <w:tcW w:w="12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75,210</w:t>
            </w:r>
          </w:p>
        </w:tc>
        <w:tc>
          <w:tcPr>
            <w:tcW w:w="130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5.9 %</w:t>
            </w:r>
          </w:p>
        </w:tc>
        <w:tc>
          <w:tcPr>
            <w:tcW w:w="20" w:type="dxa"/>
            <w:vAlign w:val="bottom"/>
          </w:tcPr>
          <w:p>
            <w:pPr>
              <w:spacing w:after="0"/>
              <w:rPr>
                <w:sz w:val="12"/>
                <w:szCs w:val="12"/>
                <w:color w:val="auto"/>
              </w:rPr>
            </w:pPr>
          </w:p>
        </w:tc>
      </w:tr>
      <w:tr>
        <w:trPr>
          <w:trHeight w:val="142"/>
        </w:trPr>
        <w:tc>
          <w:tcPr>
            <w:tcW w:w="214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Other</w:t>
            </w:r>
          </w:p>
        </w:tc>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Omnigo Software, LLC </w:t>
            </w:r>
            <w:r>
              <w:rPr>
                <w:rFonts w:ascii="Arial" w:cs="Arial" w:eastAsia="Arial" w:hAnsi="Arial"/>
                <w:sz w:val="12"/>
                <w:szCs w:val="12"/>
                <w:color w:val="auto"/>
                <w:vertAlign w:val="superscript"/>
              </w:rPr>
              <w:t>(3)(5)</w:t>
            </w:r>
          </w:p>
        </w:tc>
        <w:tc>
          <w:tcPr>
            <w:tcW w:w="2420" w:type="dxa"/>
            <w:vAlign w:val="bottom"/>
          </w:tcPr>
          <w:p>
            <w:pPr>
              <w:ind w:left="260"/>
              <w:spacing w:after="0" w:line="108" w:lineRule="exact"/>
              <w:rPr>
                <w:sz w:val="20"/>
                <w:szCs w:val="20"/>
                <w:color w:val="auto"/>
              </w:rPr>
            </w:pPr>
            <w:r>
              <w:rPr>
                <w:rFonts w:ascii="Arial" w:cs="Arial" w:eastAsia="Arial" w:hAnsi="Arial"/>
                <w:sz w:val="12"/>
                <w:szCs w:val="12"/>
                <w:color w:val="auto"/>
              </w:rPr>
              <w:t>First-lien loan ($33,745 par, due</w:t>
            </w:r>
          </w:p>
        </w:tc>
        <w:tc>
          <w:tcPr>
            <w:tcW w:w="980" w:type="dxa"/>
            <w:vAlign w:val="bottom"/>
          </w:tcPr>
          <w:p>
            <w:pPr>
              <w:jc w:val="right"/>
              <w:ind w:right="162"/>
              <w:spacing w:after="0" w:line="108" w:lineRule="exact"/>
              <w:rPr>
                <w:sz w:val="20"/>
                <w:szCs w:val="20"/>
                <w:color w:val="auto"/>
              </w:rPr>
            </w:pPr>
            <w:r>
              <w:rPr>
                <w:rFonts w:ascii="Arial" w:cs="Arial" w:eastAsia="Arial" w:hAnsi="Arial"/>
                <w:sz w:val="12"/>
                <w:szCs w:val="12"/>
                <w:color w:val="auto"/>
              </w:rPr>
              <w:t>3/31/2021</w:t>
            </w:r>
          </w:p>
        </w:tc>
        <w:tc>
          <w:tcPr>
            <w:tcW w:w="1140" w:type="dxa"/>
            <w:vAlign w:val="bottom"/>
          </w:tcPr>
          <w:p>
            <w:pPr>
              <w:jc w:val="right"/>
              <w:ind w:right="302"/>
              <w:spacing w:after="0" w:line="108" w:lineRule="exact"/>
              <w:rPr>
                <w:sz w:val="20"/>
                <w:szCs w:val="20"/>
                <w:color w:val="auto"/>
              </w:rPr>
            </w:pPr>
            <w:r>
              <w:rPr>
                <w:rFonts w:ascii="Arial" w:cs="Arial" w:eastAsia="Arial" w:hAnsi="Arial"/>
                <w:sz w:val="12"/>
                <w:szCs w:val="12"/>
                <w:color w:val="auto"/>
              </w:rPr>
              <w:t>L + 6.50%</w:t>
            </w:r>
          </w:p>
        </w:tc>
        <w:tc>
          <w:tcPr>
            <w:tcW w:w="1160" w:type="dxa"/>
            <w:vAlign w:val="bottom"/>
          </w:tcPr>
          <w:p>
            <w:pPr>
              <w:jc w:val="right"/>
              <w:ind w:right="42"/>
              <w:spacing w:after="0" w:line="108" w:lineRule="exact"/>
              <w:rPr>
                <w:sz w:val="20"/>
                <w:szCs w:val="20"/>
                <w:color w:val="auto"/>
              </w:rPr>
            </w:pPr>
            <w:r>
              <w:rPr>
                <w:rFonts w:ascii="Arial" w:cs="Arial" w:eastAsia="Arial" w:hAnsi="Arial"/>
                <w:sz w:val="12"/>
                <w:szCs w:val="12"/>
                <w:color w:val="auto"/>
              </w:rPr>
              <w:t>7.50 %</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33,067</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33,408</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2.6 %</w:t>
            </w:r>
          </w:p>
        </w:tc>
        <w:tc>
          <w:tcPr>
            <w:tcW w:w="20" w:type="dxa"/>
            <w:vAlign w:val="bottom"/>
          </w:tcPr>
          <w:p>
            <w:pPr>
              <w:spacing w:after="0"/>
              <w:rPr>
                <w:sz w:val="9"/>
                <w:szCs w:val="9"/>
                <w:color w:val="auto"/>
              </w:rPr>
            </w:pPr>
          </w:p>
        </w:tc>
      </w:tr>
      <w:tr>
        <w:trPr>
          <w:trHeight w:val="161"/>
        </w:trPr>
        <w:tc>
          <w:tcPr>
            <w:tcW w:w="214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Arial" w:cs="Arial" w:eastAsia="Arial" w:hAnsi="Arial"/>
                <w:sz w:val="13"/>
                <w:szCs w:val="13"/>
                <w:color w:val="auto"/>
              </w:rPr>
              <w:t>3/2026)</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1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Pharmaceuticals</w:t>
            </w:r>
          </w:p>
        </w:tc>
        <w:tc>
          <w:tcPr>
            <w:tcW w:w="24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2"/>
                <w:szCs w:val="12"/>
                <w:color w:val="auto"/>
              </w:rPr>
              <w:t>Biohaven Pharmaceuticals,</w:t>
            </w:r>
          </w:p>
        </w:tc>
        <w:tc>
          <w:tcPr>
            <w:tcW w:w="2420" w:type="dxa"/>
            <w:vAlign w:val="bottom"/>
          </w:tcPr>
          <w:p>
            <w:pPr>
              <w:ind w:left="260"/>
              <w:spacing w:after="0" w:line="108" w:lineRule="exact"/>
              <w:rPr>
                <w:sz w:val="20"/>
                <w:szCs w:val="20"/>
                <w:color w:val="auto"/>
              </w:rPr>
            </w:pPr>
            <w:r>
              <w:rPr>
                <w:rFonts w:ascii="Arial" w:cs="Arial" w:eastAsia="Arial" w:hAnsi="Arial"/>
                <w:sz w:val="12"/>
                <w:szCs w:val="12"/>
                <w:color w:val="auto"/>
              </w:rPr>
              <w:t>First-lien loan ($41,768 par, due</w:t>
            </w:r>
          </w:p>
        </w:tc>
        <w:tc>
          <w:tcPr>
            <w:tcW w:w="980" w:type="dxa"/>
            <w:vAlign w:val="bottom"/>
          </w:tcPr>
          <w:p>
            <w:pPr>
              <w:jc w:val="right"/>
              <w:ind w:right="162"/>
              <w:spacing w:after="0" w:line="108" w:lineRule="exact"/>
              <w:rPr>
                <w:sz w:val="20"/>
                <w:szCs w:val="20"/>
                <w:color w:val="auto"/>
              </w:rPr>
            </w:pPr>
            <w:r>
              <w:rPr>
                <w:rFonts w:ascii="Arial" w:cs="Arial" w:eastAsia="Arial" w:hAnsi="Arial"/>
                <w:sz w:val="12"/>
                <w:szCs w:val="12"/>
                <w:color w:val="auto"/>
              </w:rPr>
              <w:t>8/7/2020</w:t>
            </w:r>
          </w:p>
        </w:tc>
        <w:tc>
          <w:tcPr>
            <w:tcW w:w="1140" w:type="dxa"/>
            <w:vAlign w:val="bottom"/>
          </w:tcPr>
          <w:p>
            <w:pPr>
              <w:jc w:val="right"/>
              <w:ind w:right="302"/>
              <w:spacing w:after="0" w:line="108" w:lineRule="exact"/>
              <w:rPr>
                <w:sz w:val="20"/>
                <w:szCs w:val="20"/>
                <w:color w:val="auto"/>
              </w:rPr>
            </w:pPr>
            <w:r>
              <w:rPr>
                <w:rFonts w:ascii="Arial" w:cs="Arial" w:eastAsia="Arial" w:hAnsi="Arial"/>
                <w:sz w:val="12"/>
                <w:szCs w:val="12"/>
                <w:color w:val="auto"/>
              </w:rPr>
              <w:t>L + 9.00%</w:t>
            </w:r>
          </w:p>
        </w:tc>
        <w:tc>
          <w:tcPr>
            <w:tcW w:w="1160" w:type="dxa"/>
            <w:vAlign w:val="bottom"/>
          </w:tcPr>
          <w:p>
            <w:pPr>
              <w:jc w:val="right"/>
              <w:ind w:right="202"/>
              <w:spacing w:after="0" w:line="108" w:lineRule="exact"/>
              <w:rPr>
                <w:sz w:val="20"/>
                <w:szCs w:val="20"/>
                <w:color w:val="auto"/>
              </w:rPr>
            </w:pPr>
            <w:r>
              <w:rPr>
                <w:rFonts w:ascii="Arial" w:cs="Arial" w:eastAsia="Arial" w:hAnsi="Arial"/>
                <w:sz w:val="12"/>
                <w:szCs w:val="12"/>
                <w:color w:val="auto"/>
              </w:rPr>
              <w:t>10.00% (incl.</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50,761</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52,782</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4.1 %</w:t>
            </w:r>
          </w:p>
        </w:tc>
        <w:tc>
          <w:tcPr>
            <w:tcW w:w="20" w:type="dxa"/>
            <w:vAlign w:val="bottom"/>
          </w:tcPr>
          <w:p>
            <w:pPr>
              <w:spacing w:after="0"/>
              <w:rPr>
                <w:sz w:val="9"/>
                <w:szCs w:val="9"/>
                <w:color w:val="auto"/>
              </w:rPr>
            </w:pPr>
          </w:p>
        </w:tc>
      </w:tr>
      <w:tr>
        <w:trPr>
          <w:trHeight w:val="329"/>
        </w:trPr>
        <w:tc>
          <w:tcPr>
            <w:tcW w:w="2140" w:type="dxa"/>
            <w:vAlign w:val="bottom"/>
          </w:tcPr>
          <w:p>
            <w:pPr>
              <w:ind w:left="120"/>
              <w:spacing w:after="0"/>
              <w:rPr>
                <w:sz w:val="20"/>
                <w:szCs w:val="20"/>
                <w:color w:val="auto"/>
              </w:rPr>
            </w:pPr>
            <w:r>
              <w:rPr>
                <w:rFonts w:ascii="Arial" w:cs="Arial" w:eastAsia="Arial" w:hAnsi="Arial"/>
                <w:sz w:val="25"/>
                <w:szCs w:val="25"/>
                <w:color w:val="auto"/>
                <w:vertAlign w:val="subscript"/>
              </w:rPr>
              <w:t>Inc.</w:t>
            </w:r>
            <w:r>
              <w:rPr>
                <w:rFonts w:ascii="Arial" w:cs="Arial" w:eastAsia="Arial" w:hAnsi="Arial"/>
                <w:sz w:val="8"/>
                <w:szCs w:val="8"/>
                <w:color w:val="auto"/>
              </w:rPr>
              <w:t xml:space="preserve"> (3)(4)</w:t>
            </w:r>
          </w:p>
        </w:tc>
        <w:tc>
          <w:tcPr>
            <w:tcW w:w="2420" w:type="dxa"/>
            <w:vAlign w:val="bottom"/>
          </w:tcPr>
          <w:p>
            <w:pPr>
              <w:ind w:left="260"/>
              <w:spacing w:after="0"/>
              <w:rPr>
                <w:sz w:val="20"/>
                <w:szCs w:val="20"/>
                <w:color w:val="auto"/>
              </w:rPr>
            </w:pPr>
            <w:r>
              <w:rPr>
                <w:rFonts w:ascii="Arial" w:cs="Arial" w:eastAsia="Arial" w:hAnsi="Arial"/>
                <w:sz w:val="13"/>
                <w:szCs w:val="13"/>
                <w:color w:val="auto"/>
              </w:rPr>
              <w:t>8/2025)</w:t>
            </w: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jc w:val="right"/>
              <w:ind w:right="182"/>
              <w:spacing w:after="0"/>
              <w:rPr>
                <w:sz w:val="20"/>
                <w:szCs w:val="20"/>
                <w:color w:val="auto"/>
              </w:rPr>
            </w:pPr>
            <w:r>
              <w:rPr>
                <w:rFonts w:ascii="Arial" w:cs="Arial" w:eastAsia="Arial" w:hAnsi="Arial"/>
                <w:sz w:val="13"/>
                <w:szCs w:val="13"/>
                <w:color w:val="auto"/>
              </w:rPr>
              <w:t>4.00% PIK)</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-6102985</wp:posOffset>
            </wp:positionV>
            <wp:extent cx="6858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-6102985</wp:posOffset>
            </wp:positionV>
            <wp:extent cx="6858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-6102985</wp:posOffset>
            </wp:positionV>
            <wp:extent cx="6858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-5562600</wp:posOffset>
            </wp:positionV>
            <wp:extent cx="6858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-5562600</wp:posOffset>
            </wp:positionV>
            <wp:extent cx="6858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-5562600</wp:posOffset>
            </wp:positionV>
            <wp:extent cx="6858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-3110865</wp:posOffset>
            </wp:positionV>
            <wp:extent cx="6858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-3110865</wp:posOffset>
            </wp:positionV>
            <wp:extent cx="6858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-2159635</wp:posOffset>
            </wp:positionV>
            <wp:extent cx="6858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-2159635</wp:posOffset>
            </wp:positionV>
            <wp:extent cx="6858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-744855</wp:posOffset>
            </wp:positionV>
            <wp:extent cx="6858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-744855</wp:posOffset>
            </wp:positionV>
            <wp:extent cx="6858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66"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49"/>
        </w:trPr>
        <w:tc>
          <w:tcPr>
            <w:tcW w:w="2140" w:type="dxa"/>
            <w:vAlign w:val="bottom"/>
            <w:shd w:val="clear" w:color="auto" w:fill="CFF0FC"/>
          </w:tcPr>
          <w:p>
            <w:pPr>
              <w:spacing w:after="0"/>
              <w:rPr>
                <w:sz w:val="13"/>
                <w:szCs w:val="13"/>
                <w:color w:val="auto"/>
              </w:rPr>
            </w:pPr>
          </w:p>
        </w:tc>
        <w:tc>
          <w:tcPr>
            <w:tcW w:w="242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First-lien loan ($22,730 par, due</w:t>
            </w:r>
          </w:p>
        </w:tc>
        <w:tc>
          <w:tcPr>
            <w:tcW w:w="960" w:type="dxa"/>
            <w:vAlign w:val="bottom"/>
            <w:shd w:val="clear" w:color="auto" w:fill="CFF0FC"/>
          </w:tcPr>
          <w:p>
            <w:pPr>
              <w:jc w:val="right"/>
              <w:ind w:right="140"/>
              <w:spacing w:after="0"/>
              <w:rPr>
                <w:sz w:val="20"/>
                <w:szCs w:val="20"/>
                <w:color w:val="auto"/>
              </w:rPr>
            </w:pPr>
            <w:r>
              <w:rPr>
                <w:rFonts w:ascii="Arial" w:cs="Arial" w:eastAsia="Arial" w:hAnsi="Arial"/>
                <w:sz w:val="13"/>
                <w:szCs w:val="13"/>
                <w:color w:val="auto"/>
              </w:rPr>
              <w:t>9/30/2021</w:t>
            </w:r>
          </w:p>
        </w:tc>
        <w:tc>
          <w:tcPr>
            <w:tcW w:w="940" w:type="dxa"/>
            <w:vAlign w:val="bottom"/>
            <w:shd w:val="clear" w:color="auto" w:fill="CFF0FC"/>
          </w:tcPr>
          <w:p>
            <w:pPr>
              <w:jc w:val="right"/>
              <w:ind w:right="82"/>
              <w:spacing w:after="0"/>
              <w:rPr>
                <w:sz w:val="20"/>
                <w:szCs w:val="20"/>
                <w:color w:val="auto"/>
              </w:rPr>
            </w:pPr>
            <w:r>
              <w:rPr>
                <w:rFonts w:ascii="Arial" w:cs="Arial" w:eastAsia="Arial" w:hAnsi="Arial"/>
                <w:sz w:val="13"/>
                <w:szCs w:val="13"/>
                <w:color w:val="auto"/>
              </w:rPr>
              <w:t>L + 8.25%</w:t>
            </w:r>
          </w:p>
        </w:tc>
        <w:tc>
          <w:tcPr>
            <w:tcW w:w="1380" w:type="dxa"/>
            <w:vAlign w:val="bottom"/>
            <w:shd w:val="clear" w:color="auto" w:fill="CFF0FC"/>
          </w:tcPr>
          <w:p>
            <w:pPr>
              <w:jc w:val="right"/>
              <w:ind w:right="201"/>
              <w:spacing w:after="0"/>
              <w:rPr>
                <w:sz w:val="20"/>
                <w:szCs w:val="20"/>
                <w:color w:val="auto"/>
              </w:rPr>
            </w:pPr>
            <w:r>
              <w:rPr>
                <w:rFonts w:ascii="Arial" w:cs="Arial" w:eastAsia="Arial" w:hAnsi="Arial"/>
                <w:sz w:val="13"/>
                <w:szCs w:val="13"/>
                <w:color w:val="auto"/>
              </w:rPr>
              <w:t>9.25% (incl. 4.00%</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11,903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12,816</w:t>
            </w: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spacing w:after="0"/>
              <w:rPr>
                <w:sz w:val="14"/>
                <w:szCs w:val="14"/>
                <w:color w:val="auto"/>
              </w:rPr>
            </w:pPr>
          </w:p>
        </w:tc>
        <w:tc>
          <w:tcPr>
            <w:tcW w:w="660" w:type="dxa"/>
            <w:vAlign w:val="bottom"/>
            <w:shd w:val="clear" w:color="auto" w:fill="CFF0FC"/>
          </w:tcPr>
          <w:p>
            <w:pPr>
              <w:ind w:left="260"/>
              <w:spacing w:after="0"/>
              <w:rPr>
                <w:sz w:val="20"/>
                <w:szCs w:val="20"/>
                <w:color w:val="auto"/>
              </w:rPr>
            </w:pPr>
            <w:r>
              <w:rPr>
                <w:rFonts w:ascii="Arial" w:cs="Arial" w:eastAsia="Arial" w:hAnsi="Arial"/>
                <w:sz w:val="13"/>
                <w:szCs w:val="13"/>
                <w:color w:val="auto"/>
                <w:w w:val="86"/>
              </w:rPr>
              <w:t>9/2026)</w:t>
            </w:r>
          </w:p>
        </w:tc>
        <w:tc>
          <w:tcPr>
            <w:tcW w:w="17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181"/>
              <w:spacing w:after="0"/>
              <w:rPr>
                <w:sz w:val="20"/>
                <w:szCs w:val="20"/>
                <w:color w:val="auto"/>
              </w:rPr>
            </w:pPr>
            <w:r>
              <w:rPr>
                <w:rFonts w:ascii="Arial" w:cs="Arial" w:eastAsia="Arial" w:hAnsi="Arial"/>
                <w:sz w:val="13"/>
                <w:szCs w:val="13"/>
                <w:color w:val="auto"/>
              </w:rPr>
              <w:t>PIK)</w:t>
            </w: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TherapeuticsMD, Inc. </w:t>
            </w:r>
            <w:r>
              <w:rPr>
                <w:rFonts w:ascii="Arial" w:cs="Arial" w:eastAsia="Arial" w:hAnsi="Arial"/>
                <w:sz w:val="12"/>
                <w:szCs w:val="12"/>
                <w:color w:val="auto"/>
                <w:vertAlign w:val="superscript"/>
              </w:rPr>
              <w:t>(3)(4)</w:t>
            </w:r>
          </w:p>
        </w:tc>
        <w:tc>
          <w:tcPr>
            <w:tcW w:w="2420" w:type="dxa"/>
            <w:vAlign w:val="bottom"/>
            <w:gridSpan w:val="2"/>
          </w:tcPr>
          <w:p>
            <w:pPr>
              <w:ind w:left="260"/>
              <w:spacing w:after="0" w:line="108" w:lineRule="exact"/>
              <w:rPr>
                <w:sz w:val="20"/>
                <w:szCs w:val="20"/>
                <w:color w:val="auto"/>
              </w:rPr>
            </w:pPr>
            <w:r>
              <w:rPr>
                <w:rFonts w:ascii="Arial" w:cs="Arial" w:eastAsia="Arial" w:hAnsi="Arial"/>
                <w:sz w:val="12"/>
                <w:szCs w:val="12"/>
                <w:color w:val="auto"/>
              </w:rPr>
              <w:t>First-lien loan ($30,000 par, due</w:t>
            </w:r>
          </w:p>
        </w:tc>
        <w:tc>
          <w:tcPr>
            <w:tcW w:w="960" w:type="dxa"/>
            <w:vAlign w:val="bottom"/>
          </w:tcPr>
          <w:p>
            <w:pPr>
              <w:jc w:val="right"/>
              <w:ind w:right="140"/>
              <w:spacing w:after="0" w:line="108" w:lineRule="exact"/>
              <w:rPr>
                <w:sz w:val="20"/>
                <w:szCs w:val="20"/>
                <w:color w:val="auto"/>
              </w:rPr>
            </w:pPr>
            <w:r>
              <w:rPr>
                <w:rFonts w:ascii="Arial" w:cs="Arial" w:eastAsia="Arial" w:hAnsi="Arial"/>
                <w:sz w:val="12"/>
                <w:szCs w:val="12"/>
                <w:color w:val="auto"/>
              </w:rPr>
              <w:t>4/24/2019</w:t>
            </w:r>
          </w:p>
        </w:tc>
        <w:tc>
          <w:tcPr>
            <w:tcW w:w="940" w:type="dxa"/>
            <w:vAlign w:val="bottom"/>
          </w:tcPr>
          <w:p>
            <w:pPr>
              <w:jc w:val="right"/>
              <w:ind w:right="82"/>
              <w:spacing w:after="0" w:line="108" w:lineRule="exact"/>
              <w:rPr>
                <w:sz w:val="20"/>
                <w:szCs w:val="20"/>
                <w:color w:val="auto"/>
              </w:rPr>
            </w:pPr>
            <w:r>
              <w:rPr>
                <w:rFonts w:ascii="Arial" w:cs="Arial" w:eastAsia="Arial" w:hAnsi="Arial"/>
                <w:sz w:val="12"/>
                <w:szCs w:val="12"/>
                <w:color w:val="auto"/>
              </w:rPr>
              <w:t>L + 7.75%</w:t>
            </w:r>
          </w:p>
        </w:tc>
        <w:tc>
          <w:tcPr>
            <w:tcW w:w="1380" w:type="dxa"/>
            <w:vAlign w:val="bottom"/>
          </w:tcPr>
          <w:p>
            <w:pPr>
              <w:jc w:val="right"/>
              <w:ind w:right="41"/>
              <w:spacing w:after="0" w:line="108" w:lineRule="exact"/>
              <w:rPr>
                <w:sz w:val="20"/>
                <w:szCs w:val="20"/>
                <w:color w:val="auto"/>
              </w:rPr>
            </w:pPr>
            <w:r>
              <w:rPr>
                <w:rFonts w:ascii="Arial" w:cs="Arial" w:eastAsia="Arial" w:hAnsi="Arial"/>
                <w:sz w:val="12"/>
                <w:szCs w:val="12"/>
                <w:color w:val="auto"/>
              </w:rPr>
              <w:t>10.45 %</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29,068</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30,000</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2.4 %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660" w:type="dxa"/>
            <w:vAlign w:val="bottom"/>
          </w:tcPr>
          <w:p>
            <w:pPr>
              <w:ind w:left="260"/>
              <w:spacing w:after="0"/>
              <w:rPr>
                <w:sz w:val="20"/>
                <w:szCs w:val="20"/>
                <w:color w:val="auto"/>
              </w:rPr>
            </w:pPr>
            <w:r>
              <w:rPr>
                <w:rFonts w:ascii="Arial" w:cs="Arial" w:eastAsia="Arial" w:hAnsi="Arial"/>
                <w:sz w:val="13"/>
                <w:szCs w:val="13"/>
                <w:color w:val="auto"/>
                <w:w w:val="86"/>
              </w:rPr>
              <w:t>3/2024)</w:t>
            </w:r>
          </w:p>
        </w:tc>
        <w:tc>
          <w:tcPr>
            <w:tcW w:w="1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176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CFF0FC"/>
            </w:tcBorders>
            <w:shd w:val="clear" w:color="auto" w:fill="CFF0FC"/>
          </w:tcPr>
          <w:p>
            <w:pPr>
              <w:spacing w:after="0"/>
              <w:rPr>
                <w:sz w:val="12"/>
                <w:szCs w:val="12"/>
                <w:color w:val="auto"/>
              </w:rPr>
            </w:pPr>
          </w:p>
        </w:tc>
        <w:tc>
          <w:tcPr>
            <w:tcW w:w="138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91,732</w:t>
            </w:r>
          </w:p>
        </w:tc>
        <w:tc>
          <w:tcPr>
            <w:tcW w:w="2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95,598</w:t>
            </w:r>
          </w:p>
        </w:tc>
        <w:tc>
          <w:tcPr>
            <w:tcW w:w="22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Retail and Consumer Products</w:t>
            </w:r>
          </w:p>
        </w:tc>
        <w:tc>
          <w:tcPr>
            <w:tcW w:w="660" w:type="dxa"/>
            <w:vAlign w:val="bottom"/>
            <w:shd w:val="clear" w:color="auto" w:fill="CFF0FC"/>
          </w:tcPr>
          <w:p>
            <w:pPr>
              <w:spacing w:after="0"/>
              <w:rPr>
                <w:sz w:val="12"/>
                <w:szCs w:val="12"/>
                <w:color w:val="auto"/>
              </w:rPr>
            </w:pPr>
          </w:p>
        </w:tc>
        <w:tc>
          <w:tcPr>
            <w:tcW w:w="17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2"/>
                <w:szCs w:val="12"/>
                <w:color w:val="auto"/>
              </w:rPr>
              <w:t>99 Cents Only Stores</w:t>
            </w:r>
          </w:p>
        </w:tc>
        <w:tc>
          <w:tcPr>
            <w:tcW w:w="2420" w:type="dxa"/>
            <w:vAlign w:val="bottom"/>
            <w:gridSpan w:val="2"/>
          </w:tcPr>
          <w:p>
            <w:pPr>
              <w:ind w:left="260"/>
              <w:spacing w:after="0" w:line="108" w:lineRule="exact"/>
              <w:rPr>
                <w:sz w:val="20"/>
                <w:szCs w:val="20"/>
                <w:color w:val="auto"/>
              </w:rPr>
            </w:pPr>
            <w:r>
              <w:rPr>
                <w:rFonts w:ascii="Arial" w:cs="Arial" w:eastAsia="Arial" w:hAnsi="Arial"/>
                <w:sz w:val="12"/>
                <w:szCs w:val="12"/>
                <w:color w:val="auto"/>
              </w:rPr>
              <w:t>ABL FILO term loan ($25,000 par, due</w:t>
            </w:r>
          </w:p>
        </w:tc>
        <w:tc>
          <w:tcPr>
            <w:tcW w:w="960" w:type="dxa"/>
            <w:vAlign w:val="bottom"/>
          </w:tcPr>
          <w:p>
            <w:pPr>
              <w:jc w:val="right"/>
              <w:ind w:right="140"/>
              <w:spacing w:after="0" w:line="108" w:lineRule="exact"/>
              <w:rPr>
                <w:sz w:val="20"/>
                <w:szCs w:val="20"/>
                <w:color w:val="auto"/>
              </w:rPr>
            </w:pPr>
            <w:r>
              <w:rPr>
                <w:rFonts w:ascii="Arial" w:cs="Arial" w:eastAsia="Arial" w:hAnsi="Arial"/>
                <w:sz w:val="12"/>
                <w:szCs w:val="12"/>
                <w:color w:val="auto"/>
              </w:rPr>
              <w:t>9/6/2017</w:t>
            </w:r>
          </w:p>
        </w:tc>
        <w:tc>
          <w:tcPr>
            <w:tcW w:w="940" w:type="dxa"/>
            <w:vAlign w:val="bottom"/>
          </w:tcPr>
          <w:p>
            <w:pPr>
              <w:jc w:val="right"/>
              <w:ind w:right="82"/>
              <w:spacing w:after="0" w:line="108" w:lineRule="exact"/>
              <w:rPr>
                <w:sz w:val="20"/>
                <w:szCs w:val="20"/>
                <w:color w:val="auto"/>
              </w:rPr>
            </w:pPr>
            <w:r>
              <w:rPr>
                <w:rFonts w:ascii="Arial" w:cs="Arial" w:eastAsia="Arial" w:hAnsi="Arial"/>
                <w:sz w:val="12"/>
                <w:szCs w:val="12"/>
                <w:color w:val="auto"/>
              </w:rPr>
              <w:t>L + 8.50%</w:t>
            </w:r>
          </w:p>
        </w:tc>
        <w:tc>
          <w:tcPr>
            <w:tcW w:w="1380" w:type="dxa"/>
            <w:vAlign w:val="bottom"/>
          </w:tcPr>
          <w:p>
            <w:pPr>
              <w:jc w:val="right"/>
              <w:ind w:right="41"/>
              <w:spacing w:after="0" w:line="108" w:lineRule="exact"/>
              <w:rPr>
                <w:sz w:val="20"/>
                <w:szCs w:val="20"/>
                <w:color w:val="auto"/>
              </w:rPr>
            </w:pPr>
            <w:r>
              <w:rPr>
                <w:rFonts w:ascii="Arial" w:cs="Arial" w:eastAsia="Arial" w:hAnsi="Arial"/>
                <w:sz w:val="12"/>
                <w:szCs w:val="12"/>
                <w:color w:val="auto"/>
              </w:rPr>
              <w:t>9.50 %</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24,704</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25,625</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2.0 %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120"/>
              <w:spacing w:after="0" w:line="162" w:lineRule="exact"/>
              <w:rPr>
                <w:sz w:val="20"/>
                <w:szCs w:val="20"/>
                <w:color w:val="auto"/>
              </w:rPr>
            </w:pPr>
            <w:r>
              <w:rPr>
                <w:rFonts w:ascii="Arial" w:cs="Arial" w:eastAsia="Arial" w:hAnsi="Arial"/>
                <w:sz w:val="18"/>
                <w:szCs w:val="18"/>
                <w:color w:val="auto"/>
                <w:vertAlign w:val="subscript"/>
              </w:rPr>
              <w:t>LLC</w:t>
            </w:r>
            <w:r>
              <w:rPr>
                <w:rFonts w:ascii="Arial" w:cs="Arial" w:eastAsia="Arial" w:hAnsi="Arial"/>
                <w:sz w:val="7"/>
                <w:szCs w:val="7"/>
                <w:color w:val="auto"/>
              </w:rPr>
              <w:t xml:space="preserve"> (3)</w:t>
            </w:r>
          </w:p>
        </w:tc>
        <w:tc>
          <w:tcPr>
            <w:tcW w:w="660" w:type="dxa"/>
            <w:vAlign w:val="bottom"/>
          </w:tcPr>
          <w:p>
            <w:pPr>
              <w:ind w:left="260"/>
              <w:spacing w:after="0"/>
              <w:rPr>
                <w:sz w:val="20"/>
                <w:szCs w:val="20"/>
                <w:color w:val="auto"/>
              </w:rPr>
            </w:pPr>
            <w:r>
              <w:rPr>
                <w:rFonts w:ascii="Arial" w:cs="Arial" w:eastAsia="Arial" w:hAnsi="Arial"/>
                <w:sz w:val="13"/>
                <w:szCs w:val="13"/>
                <w:color w:val="auto"/>
                <w:w w:val="86"/>
              </w:rPr>
              <w:t>5/2025)</w:t>
            </w: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4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American Achievement,</w:t>
            </w:r>
          </w:p>
        </w:tc>
        <w:tc>
          <w:tcPr>
            <w:tcW w:w="2420" w:type="dxa"/>
            <w:vAlign w:val="bottom"/>
            <w:gridSpan w:val="2"/>
            <w:shd w:val="clear" w:color="auto" w:fill="CFF0FC"/>
          </w:tcPr>
          <w:p>
            <w:pPr>
              <w:ind w:left="260"/>
              <w:spacing w:after="0" w:line="108" w:lineRule="exact"/>
              <w:rPr>
                <w:sz w:val="20"/>
                <w:szCs w:val="20"/>
                <w:color w:val="auto"/>
              </w:rPr>
            </w:pPr>
            <w:r>
              <w:rPr>
                <w:rFonts w:ascii="Arial" w:cs="Arial" w:eastAsia="Arial" w:hAnsi="Arial"/>
                <w:sz w:val="12"/>
                <w:szCs w:val="12"/>
                <w:color w:val="auto"/>
              </w:rPr>
              <w:t>First-lien loan ($25,185 par, due</w:t>
            </w:r>
          </w:p>
        </w:tc>
        <w:tc>
          <w:tcPr>
            <w:tcW w:w="960" w:type="dxa"/>
            <w:vAlign w:val="bottom"/>
            <w:shd w:val="clear" w:color="auto" w:fill="CFF0FC"/>
          </w:tcPr>
          <w:p>
            <w:pPr>
              <w:jc w:val="right"/>
              <w:ind w:right="140"/>
              <w:spacing w:after="0" w:line="108" w:lineRule="exact"/>
              <w:rPr>
                <w:sz w:val="20"/>
                <w:szCs w:val="20"/>
                <w:color w:val="auto"/>
              </w:rPr>
            </w:pPr>
            <w:r>
              <w:rPr>
                <w:rFonts w:ascii="Arial" w:cs="Arial" w:eastAsia="Arial" w:hAnsi="Arial"/>
                <w:sz w:val="12"/>
                <w:szCs w:val="12"/>
                <w:color w:val="auto"/>
              </w:rPr>
              <w:t>9/30/2015</w:t>
            </w:r>
          </w:p>
        </w:tc>
        <w:tc>
          <w:tcPr>
            <w:tcW w:w="940" w:type="dxa"/>
            <w:vAlign w:val="bottom"/>
            <w:shd w:val="clear" w:color="auto" w:fill="CFF0FC"/>
          </w:tcPr>
          <w:p>
            <w:pPr>
              <w:jc w:val="right"/>
              <w:ind w:right="82"/>
              <w:spacing w:after="0" w:line="108" w:lineRule="exact"/>
              <w:rPr>
                <w:sz w:val="20"/>
                <w:szCs w:val="20"/>
                <w:color w:val="auto"/>
              </w:rPr>
            </w:pPr>
            <w:r>
              <w:rPr>
                <w:rFonts w:ascii="Arial" w:cs="Arial" w:eastAsia="Arial" w:hAnsi="Arial"/>
                <w:sz w:val="12"/>
                <w:szCs w:val="12"/>
                <w:color w:val="auto"/>
              </w:rPr>
              <w:t>L + 6.25%</w:t>
            </w:r>
          </w:p>
        </w:tc>
        <w:tc>
          <w:tcPr>
            <w:tcW w:w="1380" w:type="dxa"/>
            <w:vAlign w:val="bottom"/>
            <w:shd w:val="clear" w:color="auto" w:fill="CFF0FC"/>
          </w:tcPr>
          <w:p>
            <w:pPr>
              <w:jc w:val="right"/>
              <w:ind w:right="201"/>
              <w:spacing w:after="0" w:line="108" w:lineRule="exact"/>
              <w:rPr>
                <w:sz w:val="20"/>
                <w:szCs w:val="20"/>
                <w:color w:val="auto"/>
              </w:rPr>
            </w:pPr>
            <w:r>
              <w:rPr>
                <w:rFonts w:ascii="Arial" w:cs="Arial" w:eastAsia="Arial" w:hAnsi="Arial"/>
                <w:sz w:val="12"/>
                <w:szCs w:val="12"/>
                <w:color w:val="auto"/>
              </w:rPr>
              <w:t>7.25% (incl. 6.75%</w:t>
            </w: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24,259</w:t>
            </w:r>
          </w:p>
        </w:tc>
        <w:tc>
          <w:tcPr>
            <w:tcW w:w="12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18,952</w:t>
            </w:r>
          </w:p>
        </w:tc>
        <w:tc>
          <w:tcPr>
            <w:tcW w:w="1300" w:type="dxa"/>
            <w:vAlign w:val="bottom"/>
            <w:gridSpan w:val="3"/>
            <w:shd w:val="clear" w:color="auto" w:fill="CFF0FC"/>
          </w:tcPr>
          <w:p>
            <w:pPr>
              <w:jc w:val="right"/>
              <w:spacing w:after="0" w:line="108" w:lineRule="exact"/>
              <w:rPr>
                <w:sz w:val="20"/>
                <w:szCs w:val="20"/>
                <w:color w:val="auto"/>
              </w:rPr>
            </w:pPr>
            <w:r>
              <w:rPr>
                <w:rFonts w:ascii="Arial" w:cs="Arial" w:eastAsia="Arial" w:hAnsi="Arial"/>
                <w:sz w:val="12"/>
                <w:szCs w:val="12"/>
                <w:color w:val="auto"/>
              </w:rPr>
              <w:t>1.5 %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ind w:left="120"/>
              <w:spacing w:after="0" w:line="162" w:lineRule="exact"/>
              <w:rPr>
                <w:sz w:val="20"/>
                <w:szCs w:val="20"/>
                <w:color w:val="auto"/>
              </w:rPr>
            </w:pPr>
            <w:r>
              <w:rPr>
                <w:rFonts w:ascii="Arial" w:cs="Arial" w:eastAsia="Arial" w:hAnsi="Arial"/>
                <w:sz w:val="13"/>
                <w:szCs w:val="13"/>
                <w:color w:val="auto"/>
              </w:rPr>
              <w:t xml:space="preserve">Corp. </w:t>
            </w:r>
            <w:r>
              <w:rPr>
                <w:rFonts w:ascii="Arial" w:cs="Arial" w:eastAsia="Arial" w:hAnsi="Arial"/>
                <w:sz w:val="16"/>
                <w:szCs w:val="16"/>
                <w:color w:val="auto"/>
                <w:vertAlign w:val="superscript"/>
              </w:rPr>
              <w:t>(3)</w:t>
            </w:r>
          </w:p>
        </w:tc>
        <w:tc>
          <w:tcPr>
            <w:tcW w:w="660" w:type="dxa"/>
            <w:vAlign w:val="bottom"/>
            <w:shd w:val="clear" w:color="auto" w:fill="CFF0FC"/>
          </w:tcPr>
          <w:p>
            <w:pPr>
              <w:ind w:left="260"/>
              <w:spacing w:after="0"/>
              <w:rPr>
                <w:sz w:val="20"/>
                <w:szCs w:val="20"/>
                <w:color w:val="auto"/>
              </w:rPr>
            </w:pPr>
            <w:r>
              <w:rPr>
                <w:rFonts w:ascii="Arial" w:cs="Arial" w:eastAsia="Arial" w:hAnsi="Arial"/>
                <w:sz w:val="13"/>
                <w:szCs w:val="13"/>
                <w:color w:val="auto"/>
                <w:w w:val="86"/>
              </w:rPr>
              <w:t>9/2026)</w:t>
            </w:r>
          </w:p>
        </w:tc>
        <w:tc>
          <w:tcPr>
            <w:tcW w:w="17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181"/>
              <w:spacing w:after="0"/>
              <w:rPr>
                <w:sz w:val="20"/>
                <w:szCs w:val="20"/>
                <w:color w:val="auto"/>
              </w:rPr>
            </w:pPr>
            <w:r>
              <w:rPr>
                <w:rFonts w:ascii="Arial" w:cs="Arial" w:eastAsia="Arial" w:hAnsi="Arial"/>
                <w:sz w:val="13"/>
                <w:szCs w:val="13"/>
                <w:color w:val="auto"/>
              </w:rPr>
              <w:t>PIK)</w:t>
            </w: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40" w:type="dxa"/>
            <w:vAlign w:val="bottom"/>
          </w:tcPr>
          <w:p>
            <w:pPr>
              <w:spacing w:after="0"/>
              <w:rPr>
                <w:sz w:val="9"/>
                <w:szCs w:val="9"/>
                <w:color w:val="auto"/>
              </w:rPr>
            </w:pPr>
          </w:p>
        </w:tc>
        <w:tc>
          <w:tcPr>
            <w:tcW w:w="2420" w:type="dxa"/>
            <w:vAlign w:val="bottom"/>
            <w:gridSpan w:val="2"/>
          </w:tcPr>
          <w:p>
            <w:pPr>
              <w:ind w:left="260"/>
              <w:spacing w:after="0" w:line="108" w:lineRule="exact"/>
              <w:rPr>
                <w:sz w:val="20"/>
                <w:szCs w:val="20"/>
                <w:color w:val="auto"/>
              </w:rPr>
            </w:pPr>
            <w:r>
              <w:rPr>
                <w:rFonts w:ascii="Arial" w:cs="Arial" w:eastAsia="Arial" w:hAnsi="Arial"/>
                <w:sz w:val="12"/>
                <w:szCs w:val="12"/>
                <w:color w:val="auto"/>
              </w:rPr>
              <w:t>First-lien loan ($1,370 par, due 9/2026)</w:t>
            </w:r>
          </w:p>
        </w:tc>
        <w:tc>
          <w:tcPr>
            <w:tcW w:w="960" w:type="dxa"/>
            <w:vAlign w:val="bottom"/>
          </w:tcPr>
          <w:p>
            <w:pPr>
              <w:jc w:val="right"/>
              <w:ind w:right="140"/>
              <w:spacing w:after="0" w:line="108" w:lineRule="exact"/>
              <w:rPr>
                <w:sz w:val="20"/>
                <w:szCs w:val="20"/>
                <w:color w:val="auto"/>
              </w:rPr>
            </w:pPr>
            <w:r>
              <w:rPr>
                <w:rFonts w:ascii="Arial" w:cs="Arial" w:eastAsia="Arial" w:hAnsi="Arial"/>
                <w:sz w:val="12"/>
                <w:szCs w:val="12"/>
                <w:color w:val="auto"/>
              </w:rPr>
              <w:t>6/10/2021</w:t>
            </w:r>
          </w:p>
        </w:tc>
        <w:tc>
          <w:tcPr>
            <w:tcW w:w="940" w:type="dxa"/>
            <w:vAlign w:val="bottom"/>
          </w:tcPr>
          <w:p>
            <w:pPr>
              <w:jc w:val="right"/>
              <w:ind w:right="82"/>
              <w:spacing w:after="0" w:line="108" w:lineRule="exact"/>
              <w:rPr>
                <w:sz w:val="20"/>
                <w:szCs w:val="20"/>
                <w:color w:val="auto"/>
              </w:rPr>
            </w:pPr>
            <w:r>
              <w:rPr>
                <w:rFonts w:ascii="Arial" w:cs="Arial" w:eastAsia="Arial" w:hAnsi="Arial"/>
                <w:sz w:val="12"/>
                <w:szCs w:val="12"/>
                <w:color w:val="auto"/>
              </w:rPr>
              <w:t>L + 14.00%</w:t>
            </w:r>
          </w:p>
        </w:tc>
        <w:tc>
          <w:tcPr>
            <w:tcW w:w="1380" w:type="dxa"/>
            <w:vAlign w:val="bottom"/>
          </w:tcPr>
          <w:p>
            <w:pPr>
              <w:jc w:val="right"/>
              <w:ind w:right="201"/>
              <w:spacing w:after="0" w:line="108" w:lineRule="exact"/>
              <w:rPr>
                <w:sz w:val="20"/>
                <w:szCs w:val="20"/>
                <w:color w:val="auto"/>
              </w:rPr>
            </w:pPr>
            <w:r>
              <w:rPr>
                <w:rFonts w:ascii="Arial" w:cs="Arial" w:eastAsia="Arial" w:hAnsi="Arial"/>
                <w:sz w:val="12"/>
                <w:szCs w:val="12"/>
                <w:color w:val="auto"/>
              </w:rPr>
              <w:t>15.00% (incl.</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1,370</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92</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0.0 %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140" w:type="dxa"/>
            <w:vAlign w:val="bottom"/>
          </w:tcPr>
          <w:p>
            <w:pPr>
              <w:spacing w:after="0"/>
              <w:rPr>
                <w:sz w:val="13"/>
                <w:szCs w:val="13"/>
                <w:color w:val="auto"/>
              </w:rPr>
            </w:pPr>
          </w:p>
        </w:tc>
        <w:tc>
          <w:tcPr>
            <w:tcW w:w="660" w:type="dxa"/>
            <w:vAlign w:val="bottom"/>
          </w:tcPr>
          <w:p>
            <w:pPr>
              <w:ind w:left="260"/>
              <w:spacing w:after="0"/>
              <w:rPr>
                <w:sz w:val="20"/>
                <w:szCs w:val="20"/>
                <w:color w:val="auto"/>
              </w:rPr>
            </w:pPr>
            <w:r>
              <w:rPr>
                <w:rFonts w:ascii="Arial" w:cs="Arial" w:eastAsia="Arial" w:hAnsi="Arial"/>
                <w:sz w:val="13"/>
                <w:szCs w:val="13"/>
                <w:color w:val="auto"/>
              </w:rPr>
              <w:t>(16)</w:t>
            </w:r>
          </w:p>
        </w:tc>
        <w:tc>
          <w:tcPr>
            <w:tcW w:w="1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80" w:type="dxa"/>
            <w:vAlign w:val="bottom"/>
          </w:tcPr>
          <w:p>
            <w:pPr>
              <w:jc w:val="right"/>
              <w:ind w:right="181"/>
              <w:spacing w:after="0"/>
              <w:rPr>
                <w:sz w:val="20"/>
                <w:szCs w:val="20"/>
                <w:color w:val="auto"/>
              </w:rPr>
            </w:pPr>
            <w:r>
              <w:rPr>
                <w:rFonts w:ascii="Arial" w:cs="Arial" w:eastAsia="Arial" w:hAnsi="Arial"/>
                <w:sz w:val="13"/>
                <w:szCs w:val="13"/>
                <w:color w:val="auto"/>
              </w:rPr>
              <w:t>14.50% PIK)</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140" w:type="dxa"/>
            <w:vAlign w:val="bottom"/>
            <w:shd w:val="clear" w:color="auto" w:fill="CFF0FC"/>
          </w:tcPr>
          <w:p>
            <w:pPr>
              <w:spacing w:after="0"/>
              <w:rPr>
                <w:sz w:val="9"/>
                <w:szCs w:val="9"/>
                <w:color w:val="auto"/>
              </w:rPr>
            </w:pPr>
          </w:p>
        </w:tc>
        <w:tc>
          <w:tcPr>
            <w:tcW w:w="2420" w:type="dxa"/>
            <w:vAlign w:val="bottom"/>
            <w:gridSpan w:val="2"/>
            <w:shd w:val="clear" w:color="auto" w:fill="CFF0FC"/>
          </w:tcPr>
          <w:p>
            <w:pPr>
              <w:ind w:left="260"/>
              <w:spacing w:after="0" w:line="110" w:lineRule="exact"/>
              <w:rPr>
                <w:sz w:val="20"/>
                <w:szCs w:val="20"/>
                <w:color w:val="auto"/>
              </w:rPr>
            </w:pPr>
            <w:r>
              <w:rPr>
                <w:rFonts w:ascii="Arial" w:cs="Arial" w:eastAsia="Arial" w:hAnsi="Arial"/>
                <w:sz w:val="12"/>
                <w:szCs w:val="12"/>
                <w:color w:val="auto"/>
              </w:rPr>
              <w:t>Subordinated note ($4,740 par, due</w:t>
            </w:r>
          </w:p>
        </w:tc>
        <w:tc>
          <w:tcPr>
            <w:tcW w:w="960" w:type="dxa"/>
            <w:vAlign w:val="bottom"/>
            <w:shd w:val="clear" w:color="auto" w:fill="CFF0FC"/>
          </w:tcPr>
          <w:p>
            <w:pPr>
              <w:jc w:val="right"/>
              <w:ind w:right="140"/>
              <w:spacing w:after="0" w:line="110" w:lineRule="exact"/>
              <w:rPr>
                <w:sz w:val="20"/>
                <w:szCs w:val="20"/>
                <w:color w:val="auto"/>
              </w:rPr>
            </w:pPr>
            <w:r>
              <w:rPr>
                <w:rFonts w:ascii="Arial" w:cs="Arial" w:eastAsia="Arial" w:hAnsi="Arial"/>
                <w:sz w:val="12"/>
                <w:szCs w:val="12"/>
                <w:color w:val="auto"/>
              </w:rPr>
              <w:t>3/16/2021</w:t>
            </w:r>
          </w:p>
        </w:tc>
        <w:tc>
          <w:tcPr>
            <w:tcW w:w="940" w:type="dxa"/>
            <w:vAlign w:val="bottom"/>
            <w:shd w:val="clear" w:color="auto" w:fill="CFF0FC"/>
          </w:tcPr>
          <w:p>
            <w:pPr>
              <w:jc w:val="right"/>
              <w:ind w:right="82"/>
              <w:spacing w:after="0" w:line="110" w:lineRule="exact"/>
              <w:rPr>
                <w:sz w:val="20"/>
                <w:szCs w:val="20"/>
                <w:color w:val="auto"/>
              </w:rPr>
            </w:pPr>
            <w:r>
              <w:rPr>
                <w:rFonts w:ascii="Arial" w:cs="Arial" w:eastAsia="Arial" w:hAnsi="Arial"/>
                <w:sz w:val="12"/>
                <w:szCs w:val="12"/>
                <w:color w:val="auto"/>
              </w:rPr>
              <w:t>L + 1.00%</w:t>
            </w:r>
          </w:p>
        </w:tc>
        <w:tc>
          <w:tcPr>
            <w:tcW w:w="1380" w:type="dxa"/>
            <w:vAlign w:val="bottom"/>
            <w:shd w:val="clear" w:color="auto" w:fill="CFF0FC"/>
          </w:tcPr>
          <w:p>
            <w:pPr>
              <w:jc w:val="right"/>
              <w:ind w:right="181"/>
              <w:spacing w:after="0" w:line="110" w:lineRule="exact"/>
              <w:rPr>
                <w:sz w:val="20"/>
                <w:szCs w:val="20"/>
                <w:color w:val="auto"/>
              </w:rPr>
            </w:pPr>
            <w:r>
              <w:rPr>
                <w:rFonts w:ascii="Arial" w:cs="Arial" w:eastAsia="Arial" w:hAnsi="Arial"/>
                <w:sz w:val="12"/>
                <w:szCs w:val="12"/>
                <w:color w:val="auto"/>
              </w:rPr>
              <w:t>2.00% PIK</w:t>
            </w:r>
          </w:p>
        </w:tc>
        <w:tc>
          <w:tcPr>
            <w:tcW w:w="880" w:type="dxa"/>
            <w:vAlign w:val="bottom"/>
            <w:shd w:val="clear" w:color="auto" w:fill="CFF0FC"/>
          </w:tcPr>
          <w:p>
            <w:pPr>
              <w:jc w:val="right"/>
              <w:spacing w:after="0" w:line="110" w:lineRule="exact"/>
              <w:rPr>
                <w:sz w:val="20"/>
                <w:szCs w:val="20"/>
                <w:color w:val="auto"/>
              </w:rPr>
            </w:pPr>
            <w:r>
              <w:rPr>
                <w:rFonts w:ascii="Arial" w:cs="Arial" w:eastAsia="Arial" w:hAnsi="Arial"/>
                <w:sz w:val="12"/>
                <w:szCs w:val="12"/>
                <w:color w:val="auto"/>
              </w:rPr>
              <w:t>545</w:t>
            </w:r>
          </w:p>
        </w:tc>
        <w:tc>
          <w:tcPr>
            <w:tcW w:w="12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71</w:t>
            </w:r>
          </w:p>
        </w:tc>
        <w:tc>
          <w:tcPr>
            <w:tcW w:w="1300" w:type="dxa"/>
            <w:vAlign w:val="bottom"/>
            <w:gridSpan w:val="3"/>
            <w:shd w:val="clear" w:color="auto" w:fill="CFF0FC"/>
          </w:tcPr>
          <w:p>
            <w:pPr>
              <w:jc w:val="right"/>
              <w:spacing w:after="0" w:line="110" w:lineRule="exact"/>
              <w:rPr>
                <w:sz w:val="20"/>
                <w:szCs w:val="20"/>
                <w:color w:val="auto"/>
              </w:rPr>
            </w:pPr>
            <w:r>
              <w:rPr>
                <w:rFonts w:ascii="Arial" w:cs="Arial" w:eastAsia="Arial" w:hAnsi="Arial"/>
                <w:sz w:val="12"/>
                <w:szCs w:val="12"/>
                <w:color w:val="auto"/>
              </w:rPr>
              <w:t>0.0 %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spacing w:after="0"/>
              <w:rPr>
                <w:sz w:val="14"/>
                <w:szCs w:val="14"/>
                <w:color w:val="auto"/>
              </w:rPr>
            </w:pPr>
          </w:p>
        </w:tc>
        <w:tc>
          <w:tcPr>
            <w:tcW w:w="660" w:type="dxa"/>
            <w:vAlign w:val="bottom"/>
            <w:shd w:val="clear" w:color="auto" w:fill="CFF0FC"/>
          </w:tcPr>
          <w:p>
            <w:pPr>
              <w:ind w:left="260"/>
              <w:spacing w:after="0"/>
              <w:rPr>
                <w:sz w:val="20"/>
                <w:szCs w:val="20"/>
                <w:color w:val="auto"/>
              </w:rPr>
            </w:pPr>
            <w:r>
              <w:rPr>
                <w:rFonts w:ascii="Arial" w:cs="Arial" w:eastAsia="Arial" w:hAnsi="Arial"/>
                <w:sz w:val="13"/>
                <w:szCs w:val="13"/>
                <w:color w:val="auto"/>
                <w:w w:val="86"/>
              </w:rPr>
              <w:t>9/2026)</w:t>
            </w:r>
          </w:p>
        </w:tc>
        <w:tc>
          <w:tcPr>
            <w:tcW w:w="1760" w:type="dxa"/>
            <w:vAlign w:val="bottom"/>
            <w:shd w:val="clear" w:color="auto" w:fill="CFF0FC"/>
          </w:tcPr>
          <w:p>
            <w:pPr>
              <w:jc w:val="right"/>
              <w:ind w:right="1558"/>
              <w:spacing w:after="0"/>
              <w:rPr>
                <w:sz w:val="20"/>
                <w:szCs w:val="20"/>
                <w:color w:val="auto"/>
              </w:rPr>
            </w:pPr>
            <w:r>
              <w:rPr>
                <w:rFonts w:ascii="Arial" w:cs="Arial" w:eastAsia="Arial" w:hAnsi="Arial"/>
                <w:sz w:val="8"/>
                <w:szCs w:val="8"/>
                <w:color w:val="auto"/>
                <w:w w:val="98"/>
              </w:rPr>
              <w:t>(16)</w:t>
            </w:r>
          </w:p>
        </w:tc>
        <w:tc>
          <w:tcPr>
            <w:tcW w:w="9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Designer Brands, Inc. </w:t>
            </w:r>
            <w:r>
              <w:rPr>
                <w:rFonts w:ascii="Arial" w:cs="Arial" w:eastAsia="Arial" w:hAnsi="Arial"/>
                <w:sz w:val="12"/>
                <w:szCs w:val="12"/>
                <w:color w:val="auto"/>
                <w:vertAlign w:val="superscript"/>
              </w:rPr>
              <w:t>(3)(4)</w:t>
            </w:r>
          </w:p>
        </w:tc>
        <w:tc>
          <w:tcPr>
            <w:tcW w:w="2420" w:type="dxa"/>
            <w:vAlign w:val="bottom"/>
            <w:gridSpan w:val="2"/>
          </w:tcPr>
          <w:p>
            <w:pPr>
              <w:ind w:left="260"/>
              <w:spacing w:after="0" w:line="108" w:lineRule="exact"/>
              <w:rPr>
                <w:sz w:val="20"/>
                <w:szCs w:val="20"/>
                <w:color w:val="auto"/>
              </w:rPr>
            </w:pPr>
            <w:r>
              <w:rPr>
                <w:rFonts w:ascii="Arial" w:cs="Arial" w:eastAsia="Arial" w:hAnsi="Arial"/>
                <w:sz w:val="12"/>
                <w:szCs w:val="12"/>
                <w:color w:val="auto"/>
              </w:rPr>
              <w:t>ABL First-lien loan ($46,875 par, due</w:t>
            </w:r>
          </w:p>
        </w:tc>
        <w:tc>
          <w:tcPr>
            <w:tcW w:w="960" w:type="dxa"/>
            <w:vAlign w:val="bottom"/>
          </w:tcPr>
          <w:p>
            <w:pPr>
              <w:jc w:val="right"/>
              <w:ind w:right="140"/>
              <w:spacing w:after="0" w:line="108" w:lineRule="exact"/>
              <w:rPr>
                <w:sz w:val="20"/>
                <w:szCs w:val="20"/>
                <w:color w:val="auto"/>
              </w:rPr>
            </w:pPr>
            <w:r>
              <w:rPr>
                <w:rFonts w:ascii="Arial" w:cs="Arial" w:eastAsia="Arial" w:hAnsi="Arial"/>
                <w:sz w:val="12"/>
                <w:szCs w:val="12"/>
                <w:color w:val="auto"/>
              </w:rPr>
              <w:t>8/7/2020</w:t>
            </w:r>
          </w:p>
        </w:tc>
        <w:tc>
          <w:tcPr>
            <w:tcW w:w="940" w:type="dxa"/>
            <w:vAlign w:val="bottom"/>
          </w:tcPr>
          <w:p>
            <w:pPr>
              <w:jc w:val="right"/>
              <w:ind w:right="82"/>
              <w:spacing w:after="0" w:line="108" w:lineRule="exact"/>
              <w:rPr>
                <w:sz w:val="20"/>
                <w:szCs w:val="20"/>
                <w:color w:val="auto"/>
              </w:rPr>
            </w:pPr>
            <w:r>
              <w:rPr>
                <w:rFonts w:ascii="Arial" w:cs="Arial" w:eastAsia="Arial" w:hAnsi="Arial"/>
                <w:sz w:val="12"/>
                <w:szCs w:val="12"/>
                <w:color w:val="auto"/>
              </w:rPr>
              <w:t>L + 8.50%</w:t>
            </w:r>
          </w:p>
        </w:tc>
        <w:tc>
          <w:tcPr>
            <w:tcW w:w="1380" w:type="dxa"/>
            <w:vAlign w:val="bottom"/>
          </w:tcPr>
          <w:p>
            <w:pPr>
              <w:jc w:val="right"/>
              <w:ind w:right="41"/>
              <w:spacing w:after="0" w:line="108" w:lineRule="exact"/>
              <w:rPr>
                <w:sz w:val="20"/>
                <w:szCs w:val="20"/>
                <w:color w:val="auto"/>
              </w:rPr>
            </w:pPr>
            <w:r>
              <w:rPr>
                <w:rFonts w:ascii="Arial" w:cs="Arial" w:eastAsia="Arial" w:hAnsi="Arial"/>
                <w:sz w:val="12"/>
                <w:szCs w:val="12"/>
                <w:color w:val="auto"/>
              </w:rPr>
              <w:t>9.75 %</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45,974</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48,398</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3.8 %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140" w:type="dxa"/>
            <w:vAlign w:val="bottom"/>
          </w:tcPr>
          <w:p>
            <w:pPr>
              <w:spacing w:after="0"/>
              <w:rPr>
                <w:sz w:val="13"/>
                <w:szCs w:val="13"/>
                <w:color w:val="auto"/>
              </w:rPr>
            </w:pPr>
          </w:p>
        </w:tc>
        <w:tc>
          <w:tcPr>
            <w:tcW w:w="660" w:type="dxa"/>
            <w:vAlign w:val="bottom"/>
          </w:tcPr>
          <w:p>
            <w:pPr>
              <w:ind w:left="260"/>
              <w:spacing w:after="0"/>
              <w:rPr>
                <w:sz w:val="20"/>
                <w:szCs w:val="20"/>
                <w:color w:val="auto"/>
              </w:rPr>
            </w:pPr>
            <w:r>
              <w:rPr>
                <w:rFonts w:ascii="Arial" w:cs="Arial" w:eastAsia="Arial" w:hAnsi="Arial"/>
                <w:sz w:val="13"/>
                <w:szCs w:val="13"/>
                <w:color w:val="auto"/>
                <w:w w:val="86"/>
              </w:rPr>
              <w:t>8/2025)</w:t>
            </w:r>
          </w:p>
        </w:tc>
        <w:tc>
          <w:tcPr>
            <w:tcW w:w="1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140" w:type="dxa"/>
            <w:vAlign w:val="bottom"/>
            <w:shd w:val="clear" w:color="auto" w:fill="CFF0FC"/>
          </w:tcPr>
          <w:p>
            <w:pPr>
              <w:ind w:left="20"/>
              <w:spacing w:after="0" w:line="110" w:lineRule="exact"/>
              <w:rPr>
                <w:sz w:val="20"/>
                <w:szCs w:val="20"/>
                <w:color w:val="auto"/>
              </w:rPr>
            </w:pPr>
            <w:r>
              <w:rPr>
                <w:rFonts w:ascii="Arial" w:cs="Arial" w:eastAsia="Arial" w:hAnsi="Arial"/>
                <w:sz w:val="10"/>
                <w:szCs w:val="10"/>
                <w:color w:val="auto"/>
              </w:rPr>
              <w:t xml:space="preserve">Moran Foods, LLC </w:t>
            </w:r>
            <w:r>
              <w:rPr>
                <w:rFonts w:ascii="Arial" w:cs="Arial" w:eastAsia="Arial" w:hAnsi="Arial"/>
                <w:sz w:val="12"/>
                <w:szCs w:val="12"/>
                <w:color w:val="auto"/>
                <w:vertAlign w:val="superscript"/>
              </w:rPr>
              <w:t>(3)</w:t>
            </w:r>
          </w:p>
        </w:tc>
        <w:tc>
          <w:tcPr>
            <w:tcW w:w="2420" w:type="dxa"/>
            <w:vAlign w:val="bottom"/>
            <w:gridSpan w:val="2"/>
            <w:shd w:val="clear" w:color="auto" w:fill="CFF0FC"/>
          </w:tcPr>
          <w:p>
            <w:pPr>
              <w:ind w:left="260"/>
              <w:spacing w:after="0" w:line="110" w:lineRule="exact"/>
              <w:rPr>
                <w:sz w:val="20"/>
                <w:szCs w:val="20"/>
                <w:color w:val="auto"/>
              </w:rPr>
            </w:pPr>
            <w:r>
              <w:rPr>
                <w:rFonts w:ascii="Arial" w:cs="Arial" w:eastAsia="Arial" w:hAnsi="Arial"/>
                <w:sz w:val="12"/>
                <w:szCs w:val="12"/>
                <w:color w:val="auto"/>
              </w:rPr>
              <w:t>ABL FILO term loan ($33,267 par, due</w:t>
            </w:r>
          </w:p>
        </w:tc>
        <w:tc>
          <w:tcPr>
            <w:tcW w:w="960" w:type="dxa"/>
            <w:vAlign w:val="bottom"/>
            <w:shd w:val="clear" w:color="auto" w:fill="CFF0FC"/>
          </w:tcPr>
          <w:p>
            <w:pPr>
              <w:jc w:val="right"/>
              <w:ind w:right="140"/>
              <w:spacing w:after="0" w:line="110" w:lineRule="exact"/>
              <w:rPr>
                <w:sz w:val="20"/>
                <w:szCs w:val="20"/>
                <w:color w:val="auto"/>
              </w:rPr>
            </w:pPr>
            <w:r>
              <w:rPr>
                <w:rFonts w:ascii="Arial" w:cs="Arial" w:eastAsia="Arial" w:hAnsi="Arial"/>
                <w:sz w:val="12"/>
                <w:szCs w:val="12"/>
                <w:color w:val="auto"/>
              </w:rPr>
              <w:t>4/1/2020</w:t>
            </w:r>
          </w:p>
        </w:tc>
        <w:tc>
          <w:tcPr>
            <w:tcW w:w="940" w:type="dxa"/>
            <w:vAlign w:val="bottom"/>
            <w:shd w:val="clear" w:color="auto" w:fill="CFF0FC"/>
          </w:tcPr>
          <w:p>
            <w:pPr>
              <w:jc w:val="right"/>
              <w:ind w:right="82"/>
              <w:spacing w:after="0" w:line="110" w:lineRule="exact"/>
              <w:rPr>
                <w:sz w:val="20"/>
                <w:szCs w:val="20"/>
                <w:color w:val="auto"/>
              </w:rPr>
            </w:pPr>
            <w:r>
              <w:rPr>
                <w:rFonts w:ascii="Arial" w:cs="Arial" w:eastAsia="Arial" w:hAnsi="Arial"/>
                <w:sz w:val="12"/>
                <w:szCs w:val="12"/>
                <w:color w:val="auto"/>
              </w:rPr>
              <w:t>L + 7.50%</w:t>
            </w:r>
          </w:p>
        </w:tc>
        <w:tc>
          <w:tcPr>
            <w:tcW w:w="1380" w:type="dxa"/>
            <w:vAlign w:val="bottom"/>
            <w:shd w:val="clear" w:color="auto" w:fill="CFF0FC"/>
          </w:tcPr>
          <w:p>
            <w:pPr>
              <w:jc w:val="right"/>
              <w:ind w:right="41"/>
              <w:spacing w:after="0" w:line="110" w:lineRule="exact"/>
              <w:rPr>
                <w:sz w:val="20"/>
                <w:szCs w:val="20"/>
                <w:color w:val="auto"/>
              </w:rPr>
            </w:pPr>
            <w:r>
              <w:rPr>
                <w:rFonts w:ascii="Arial" w:cs="Arial" w:eastAsia="Arial" w:hAnsi="Arial"/>
                <w:sz w:val="12"/>
                <w:szCs w:val="12"/>
                <w:color w:val="auto"/>
              </w:rPr>
              <w:t>9.00 %</w:t>
            </w:r>
          </w:p>
        </w:tc>
        <w:tc>
          <w:tcPr>
            <w:tcW w:w="880" w:type="dxa"/>
            <w:vAlign w:val="bottom"/>
            <w:shd w:val="clear" w:color="auto" w:fill="CFF0FC"/>
          </w:tcPr>
          <w:p>
            <w:pPr>
              <w:jc w:val="right"/>
              <w:spacing w:after="0" w:line="110" w:lineRule="exact"/>
              <w:rPr>
                <w:sz w:val="20"/>
                <w:szCs w:val="20"/>
                <w:color w:val="auto"/>
              </w:rPr>
            </w:pPr>
            <w:r>
              <w:rPr>
                <w:rFonts w:ascii="Arial" w:cs="Arial" w:eastAsia="Arial" w:hAnsi="Arial"/>
                <w:sz w:val="12"/>
                <w:szCs w:val="12"/>
                <w:color w:val="auto"/>
              </w:rPr>
              <w:t>32,864</w:t>
            </w:r>
          </w:p>
        </w:tc>
        <w:tc>
          <w:tcPr>
            <w:tcW w:w="12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33,683</w:t>
            </w:r>
          </w:p>
        </w:tc>
        <w:tc>
          <w:tcPr>
            <w:tcW w:w="1300" w:type="dxa"/>
            <w:vAlign w:val="bottom"/>
            <w:gridSpan w:val="3"/>
            <w:shd w:val="clear" w:color="auto" w:fill="CFF0FC"/>
          </w:tcPr>
          <w:p>
            <w:pPr>
              <w:jc w:val="right"/>
              <w:spacing w:after="0" w:line="110" w:lineRule="exact"/>
              <w:rPr>
                <w:sz w:val="20"/>
                <w:szCs w:val="20"/>
                <w:color w:val="auto"/>
              </w:rPr>
            </w:pPr>
            <w:r>
              <w:rPr>
                <w:rFonts w:ascii="Arial" w:cs="Arial" w:eastAsia="Arial" w:hAnsi="Arial"/>
                <w:sz w:val="12"/>
                <w:szCs w:val="12"/>
                <w:color w:val="auto"/>
              </w:rPr>
              <w:t>2.6 %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spacing w:after="0"/>
              <w:rPr>
                <w:sz w:val="14"/>
                <w:szCs w:val="14"/>
                <w:color w:val="auto"/>
              </w:rPr>
            </w:pPr>
          </w:p>
        </w:tc>
        <w:tc>
          <w:tcPr>
            <w:tcW w:w="660" w:type="dxa"/>
            <w:vAlign w:val="bottom"/>
            <w:shd w:val="clear" w:color="auto" w:fill="CFF0FC"/>
          </w:tcPr>
          <w:p>
            <w:pPr>
              <w:ind w:left="260"/>
              <w:spacing w:after="0"/>
              <w:rPr>
                <w:sz w:val="20"/>
                <w:szCs w:val="20"/>
                <w:color w:val="auto"/>
              </w:rPr>
            </w:pPr>
            <w:r>
              <w:rPr>
                <w:rFonts w:ascii="Arial" w:cs="Arial" w:eastAsia="Arial" w:hAnsi="Arial"/>
                <w:sz w:val="13"/>
                <w:szCs w:val="13"/>
                <w:color w:val="auto"/>
                <w:w w:val="86"/>
              </w:rPr>
              <w:t>4/2024)</w:t>
            </w:r>
          </w:p>
        </w:tc>
        <w:tc>
          <w:tcPr>
            <w:tcW w:w="17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Neuintel, LLC </w:t>
            </w:r>
            <w:r>
              <w:rPr>
                <w:rFonts w:ascii="Arial" w:cs="Arial" w:eastAsia="Arial" w:hAnsi="Arial"/>
                <w:sz w:val="12"/>
                <w:szCs w:val="12"/>
                <w:color w:val="auto"/>
                <w:vertAlign w:val="superscript"/>
              </w:rPr>
              <w:t>(3)(5)</w:t>
            </w:r>
          </w:p>
        </w:tc>
        <w:tc>
          <w:tcPr>
            <w:tcW w:w="2420" w:type="dxa"/>
            <w:vAlign w:val="bottom"/>
            <w:gridSpan w:val="2"/>
          </w:tcPr>
          <w:p>
            <w:pPr>
              <w:ind w:left="260"/>
              <w:spacing w:after="0" w:line="108" w:lineRule="exact"/>
              <w:rPr>
                <w:sz w:val="20"/>
                <w:szCs w:val="20"/>
                <w:color w:val="auto"/>
              </w:rPr>
            </w:pPr>
            <w:r>
              <w:rPr>
                <w:rFonts w:ascii="Arial" w:cs="Arial" w:eastAsia="Arial" w:hAnsi="Arial"/>
                <w:sz w:val="12"/>
                <w:szCs w:val="12"/>
                <w:color w:val="auto"/>
              </w:rPr>
              <w:t>First-lien loan ($52,000 par, due</w:t>
            </w:r>
          </w:p>
        </w:tc>
        <w:tc>
          <w:tcPr>
            <w:tcW w:w="960" w:type="dxa"/>
            <w:vAlign w:val="bottom"/>
          </w:tcPr>
          <w:p>
            <w:pPr>
              <w:jc w:val="right"/>
              <w:ind w:right="140"/>
              <w:spacing w:after="0" w:line="108" w:lineRule="exact"/>
              <w:rPr>
                <w:sz w:val="20"/>
                <w:szCs w:val="20"/>
                <w:color w:val="auto"/>
              </w:rPr>
            </w:pPr>
            <w:r>
              <w:rPr>
                <w:rFonts w:ascii="Arial" w:cs="Arial" w:eastAsia="Arial" w:hAnsi="Arial"/>
                <w:sz w:val="12"/>
                <w:szCs w:val="12"/>
                <w:color w:val="auto"/>
              </w:rPr>
              <w:t>12/20/2021</w:t>
            </w:r>
          </w:p>
        </w:tc>
        <w:tc>
          <w:tcPr>
            <w:tcW w:w="940" w:type="dxa"/>
            <w:vAlign w:val="bottom"/>
          </w:tcPr>
          <w:p>
            <w:pPr>
              <w:jc w:val="right"/>
              <w:ind w:right="82"/>
              <w:spacing w:after="0" w:line="108" w:lineRule="exact"/>
              <w:rPr>
                <w:sz w:val="20"/>
                <w:szCs w:val="20"/>
                <w:color w:val="auto"/>
              </w:rPr>
            </w:pPr>
            <w:r>
              <w:rPr>
                <w:rFonts w:ascii="Arial" w:cs="Arial" w:eastAsia="Arial" w:hAnsi="Arial"/>
                <w:sz w:val="12"/>
                <w:szCs w:val="12"/>
                <w:color w:val="auto"/>
              </w:rPr>
              <w:t>L + 6.25%</w:t>
            </w:r>
          </w:p>
        </w:tc>
        <w:tc>
          <w:tcPr>
            <w:tcW w:w="1380" w:type="dxa"/>
            <w:vAlign w:val="bottom"/>
          </w:tcPr>
          <w:p>
            <w:pPr>
              <w:jc w:val="right"/>
              <w:ind w:right="41"/>
              <w:spacing w:after="0" w:line="108" w:lineRule="exact"/>
              <w:rPr>
                <w:sz w:val="20"/>
                <w:szCs w:val="20"/>
                <w:color w:val="auto"/>
              </w:rPr>
            </w:pPr>
            <w:r>
              <w:rPr>
                <w:rFonts w:ascii="Arial" w:cs="Arial" w:eastAsia="Arial" w:hAnsi="Arial"/>
                <w:sz w:val="12"/>
                <w:szCs w:val="12"/>
                <w:color w:val="auto"/>
              </w:rPr>
              <w:t>7.25 %</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50,811</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50,700</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4.0 %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140" w:type="dxa"/>
            <w:vAlign w:val="bottom"/>
          </w:tcPr>
          <w:p>
            <w:pPr>
              <w:spacing w:after="0"/>
              <w:rPr>
                <w:sz w:val="13"/>
                <w:szCs w:val="13"/>
                <w:color w:val="auto"/>
              </w:rPr>
            </w:pPr>
          </w:p>
        </w:tc>
        <w:tc>
          <w:tcPr>
            <w:tcW w:w="2420" w:type="dxa"/>
            <w:vAlign w:val="bottom"/>
            <w:gridSpan w:val="2"/>
          </w:tcPr>
          <w:p>
            <w:pPr>
              <w:ind w:left="260"/>
              <w:spacing w:after="0"/>
              <w:rPr>
                <w:sz w:val="20"/>
                <w:szCs w:val="20"/>
                <w:color w:val="auto"/>
              </w:rPr>
            </w:pPr>
            <w:r>
              <w:rPr>
                <w:rFonts w:ascii="Arial" w:cs="Arial" w:eastAsia="Arial" w:hAnsi="Arial"/>
                <w:sz w:val="13"/>
                <w:szCs w:val="13"/>
                <w:color w:val="auto"/>
              </w:rPr>
              <w:t>12/2026)</w:t>
            </w: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140" w:type="dxa"/>
            <w:vAlign w:val="bottom"/>
            <w:shd w:val="clear" w:color="auto" w:fill="CFF0FC"/>
          </w:tcPr>
          <w:p>
            <w:pPr>
              <w:ind w:left="20"/>
              <w:spacing w:after="0" w:line="110" w:lineRule="exact"/>
              <w:rPr>
                <w:sz w:val="20"/>
                <w:szCs w:val="20"/>
                <w:color w:val="auto"/>
              </w:rPr>
            </w:pPr>
            <w:r>
              <w:rPr>
                <w:rFonts w:ascii="Arial" w:cs="Arial" w:eastAsia="Arial" w:hAnsi="Arial"/>
                <w:sz w:val="10"/>
                <w:szCs w:val="10"/>
                <w:color w:val="auto"/>
              </w:rPr>
              <w:t xml:space="preserve">Project P Intermediate 2, LLC </w:t>
            </w:r>
            <w:r>
              <w:rPr>
                <w:rFonts w:ascii="Arial" w:cs="Arial" w:eastAsia="Arial" w:hAnsi="Arial"/>
                <w:sz w:val="12"/>
                <w:szCs w:val="12"/>
                <w:color w:val="auto"/>
                <w:vertAlign w:val="superscript"/>
              </w:rPr>
              <w:t>(3)</w:t>
            </w:r>
          </w:p>
        </w:tc>
        <w:tc>
          <w:tcPr>
            <w:tcW w:w="2420" w:type="dxa"/>
            <w:vAlign w:val="bottom"/>
            <w:gridSpan w:val="2"/>
            <w:shd w:val="clear" w:color="auto" w:fill="CFF0FC"/>
          </w:tcPr>
          <w:p>
            <w:pPr>
              <w:ind w:left="260"/>
              <w:spacing w:after="0" w:line="110" w:lineRule="exact"/>
              <w:rPr>
                <w:sz w:val="20"/>
                <w:szCs w:val="20"/>
                <w:color w:val="auto"/>
              </w:rPr>
            </w:pPr>
            <w:r>
              <w:rPr>
                <w:rFonts w:ascii="Arial" w:cs="Arial" w:eastAsia="Arial" w:hAnsi="Arial"/>
                <w:sz w:val="12"/>
                <w:szCs w:val="12"/>
                <w:color w:val="auto"/>
              </w:rPr>
              <w:t>ABL FILO term loan ($75,000 par, due</w:t>
            </w:r>
          </w:p>
        </w:tc>
        <w:tc>
          <w:tcPr>
            <w:tcW w:w="960" w:type="dxa"/>
            <w:vAlign w:val="bottom"/>
            <w:shd w:val="clear" w:color="auto" w:fill="CFF0FC"/>
          </w:tcPr>
          <w:p>
            <w:pPr>
              <w:jc w:val="right"/>
              <w:ind w:right="140"/>
              <w:spacing w:after="0" w:line="110" w:lineRule="exact"/>
              <w:rPr>
                <w:sz w:val="20"/>
                <w:szCs w:val="20"/>
                <w:color w:val="auto"/>
              </w:rPr>
            </w:pPr>
            <w:r>
              <w:rPr>
                <w:rFonts w:ascii="Arial" w:cs="Arial" w:eastAsia="Arial" w:hAnsi="Arial"/>
                <w:sz w:val="12"/>
                <w:szCs w:val="12"/>
                <w:color w:val="auto"/>
              </w:rPr>
              <w:t>11/8/2021</w:t>
            </w:r>
          </w:p>
        </w:tc>
        <w:tc>
          <w:tcPr>
            <w:tcW w:w="940" w:type="dxa"/>
            <w:vAlign w:val="bottom"/>
            <w:shd w:val="clear" w:color="auto" w:fill="CFF0FC"/>
          </w:tcPr>
          <w:p>
            <w:pPr>
              <w:jc w:val="right"/>
              <w:ind w:right="82"/>
              <w:spacing w:after="0" w:line="110" w:lineRule="exact"/>
              <w:rPr>
                <w:sz w:val="20"/>
                <w:szCs w:val="20"/>
                <w:color w:val="auto"/>
              </w:rPr>
            </w:pPr>
            <w:r>
              <w:rPr>
                <w:rFonts w:ascii="Arial" w:cs="Arial" w:eastAsia="Arial" w:hAnsi="Arial"/>
                <w:sz w:val="12"/>
                <w:szCs w:val="12"/>
                <w:color w:val="auto"/>
              </w:rPr>
              <w:t>L + 8.00%</w:t>
            </w:r>
          </w:p>
        </w:tc>
        <w:tc>
          <w:tcPr>
            <w:tcW w:w="1380" w:type="dxa"/>
            <w:vAlign w:val="bottom"/>
            <w:shd w:val="clear" w:color="auto" w:fill="CFF0FC"/>
          </w:tcPr>
          <w:p>
            <w:pPr>
              <w:jc w:val="right"/>
              <w:ind w:right="41"/>
              <w:spacing w:after="0" w:line="110" w:lineRule="exact"/>
              <w:rPr>
                <w:sz w:val="20"/>
                <w:szCs w:val="20"/>
                <w:color w:val="auto"/>
              </w:rPr>
            </w:pPr>
            <w:r>
              <w:rPr>
                <w:rFonts w:ascii="Arial" w:cs="Arial" w:eastAsia="Arial" w:hAnsi="Arial"/>
                <w:sz w:val="12"/>
                <w:szCs w:val="12"/>
                <w:color w:val="auto"/>
              </w:rPr>
              <w:t>9.25 %</w:t>
            </w:r>
          </w:p>
        </w:tc>
        <w:tc>
          <w:tcPr>
            <w:tcW w:w="880" w:type="dxa"/>
            <w:vAlign w:val="bottom"/>
            <w:shd w:val="clear" w:color="auto" w:fill="CFF0FC"/>
          </w:tcPr>
          <w:p>
            <w:pPr>
              <w:jc w:val="right"/>
              <w:spacing w:after="0" w:line="110" w:lineRule="exact"/>
              <w:rPr>
                <w:sz w:val="20"/>
                <w:szCs w:val="20"/>
                <w:color w:val="auto"/>
              </w:rPr>
            </w:pPr>
            <w:r>
              <w:rPr>
                <w:rFonts w:ascii="Arial" w:cs="Arial" w:eastAsia="Arial" w:hAnsi="Arial"/>
                <w:sz w:val="12"/>
                <w:szCs w:val="12"/>
                <w:color w:val="auto"/>
              </w:rPr>
              <w:t>73,541</w:t>
            </w:r>
          </w:p>
        </w:tc>
        <w:tc>
          <w:tcPr>
            <w:tcW w:w="12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74,250</w:t>
            </w:r>
          </w:p>
        </w:tc>
        <w:tc>
          <w:tcPr>
            <w:tcW w:w="1300" w:type="dxa"/>
            <w:vAlign w:val="bottom"/>
            <w:gridSpan w:val="3"/>
            <w:shd w:val="clear" w:color="auto" w:fill="CFF0FC"/>
          </w:tcPr>
          <w:p>
            <w:pPr>
              <w:jc w:val="right"/>
              <w:spacing w:after="0" w:line="110" w:lineRule="exact"/>
              <w:rPr>
                <w:sz w:val="20"/>
                <w:szCs w:val="20"/>
                <w:color w:val="auto"/>
              </w:rPr>
            </w:pPr>
            <w:r>
              <w:rPr>
                <w:rFonts w:ascii="Arial" w:cs="Arial" w:eastAsia="Arial" w:hAnsi="Arial"/>
                <w:sz w:val="12"/>
                <w:szCs w:val="12"/>
                <w:color w:val="auto"/>
              </w:rPr>
              <w:t>5.8 %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spacing w:after="0"/>
              <w:rPr>
                <w:sz w:val="14"/>
                <w:szCs w:val="14"/>
                <w:color w:val="auto"/>
              </w:rPr>
            </w:pPr>
          </w:p>
        </w:tc>
        <w:tc>
          <w:tcPr>
            <w:tcW w:w="660" w:type="dxa"/>
            <w:vAlign w:val="bottom"/>
            <w:shd w:val="clear" w:color="auto" w:fill="CFF0FC"/>
          </w:tcPr>
          <w:p>
            <w:pPr>
              <w:ind w:left="260"/>
              <w:spacing w:after="0"/>
              <w:rPr>
                <w:sz w:val="20"/>
                <w:szCs w:val="20"/>
                <w:color w:val="auto"/>
              </w:rPr>
            </w:pPr>
            <w:r>
              <w:rPr>
                <w:rFonts w:ascii="Arial" w:cs="Arial" w:eastAsia="Arial" w:hAnsi="Arial"/>
                <w:sz w:val="13"/>
                <w:szCs w:val="13"/>
                <w:color w:val="auto"/>
                <w:w w:val="86"/>
              </w:rPr>
              <w:t>5/2026)</w:t>
            </w:r>
          </w:p>
        </w:tc>
        <w:tc>
          <w:tcPr>
            <w:tcW w:w="17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2"/>
                <w:szCs w:val="12"/>
                <w:color w:val="auto"/>
              </w:rPr>
              <w:t>Tango Management Consulting,</w:t>
            </w:r>
          </w:p>
        </w:tc>
        <w:tc>
          <w:tcPr>
            <w:tcW w:w="2420" w:type="dxa"/>
            <w:vAlign w:val="bottom"/>
            <w:gridSpan w:val="2"/>
          </w:tcPr>
          <w:p>
            <w:pPr>
              <w:ind w:left="260"/>
              <w:spacing w:after="0" w:line="108" w:lineRule="exact"/>
              <w:rPr>
                <w:sz w:val="20"/>
                <w:szCs w:val="20"/>
                <w:color w:val="auto"/>
              </w:rPr>
            </w:pPr>
            <w:r>
              <w:rPr>
                <w:rFonts w:ascii="Arial" w:cs="Arial" w:eastAsia="Arial" w:hAnsi="Arial"/>
                <w:sz w:val="12"/>
                <w:szCs w:val="12"/>
                <w:color w:val="auto"/>
              </w:rPr>
              <w:t>First-lien loan ($32,500 par, due</w:t>
            </w:r>
          </w:p>
        </w:tc>
        <w:tc>
          <w:tcPr>
            <w:tcW w:w="960" w:type="dxa"/>
            <w:vAlign w:val="bottom"/>
          </w:tcPr>
          <w:p>
            <w:pPr>
              <w:jc w:val="right"/>
              <w:ind w:right="140"/>
              <w:spacing w:after="0" w:line="108" w:lineRule="exact"/>
              <w:rPr>
                <w:sz w:val="20"/>
                <w:szCs w:val="20"/>
                <w:color w:val="auto"/>
              </w:rPr>
            </w:pPr>
            <w:r>
              <w:rPr>
                <w:rFonts w:ascii="Arial" w:cs="Arial" w:eastAsia="Arial" w:hAnsi="Arial"/>
                <w:sz w:val="12"/>
                <w:szCs w:val="12"/>
                <w:color w:val="auto"/>
              </w:rPr>
              <w:t>12/1/2021</w:t>
            </w:r>
          </w:p>
        </w:tc>
        <w:tc>
          <w:tcPr>
            <w:tcW w:w="940" w:type="dxa"/>
            <w:vAlign w:val="bottom"/>
          </w:tcPr>
          <w:p>
            <w:pPr>
              <w:jc w:val="right"/>
              <w:ind w:right="82"/>
              <w:spacing w:after="0" w:line="108" w:lineRule="exact"/>
              <w:rPr>
                <w:sz w:val="20"/>
                <w:szCs w:val="20"/>
                <w:color w:val="auto"/>
              </w:rPr>
            </w:pPr>
            <w:r>
              <w:rPr>
                <w:rFonts w:ascii="Arial" w:cs="Arial" w:eastAsia="Arial" w:hAnsi="Arial"/>
                <w:sz w:val="12"/>
                <w:szCs w:val="12"/>
                <w:color w:val="auto"/>
              </w:rPr>
              <w:t>L + 6.75%</w:t>
            </w:r>
          </w:p>
        </w:tc>
        <w:tc>
          <w:tcPr>
            <w:tcW w:w="1380" w:type="dxa"/>
            <w:vAlign w:val="bottom"/>
          </w:tcPr>
          <w:p>
            <w:pPr>
              <w:jc w:val="right"/>
              <w:ind w:right="41"/>
              <w:spacing w:after="0" w:line="108" w:lineRule="exact"/>
              <w:rPr>
                <w:sz w:val="20"/>
                <w:szCs w:val="20"/>
                <w:color w:val="auto"/>
              </w:rPr>
            </w:pPr>
            <w:r>
              <w:rPr>
                <w:rFonts w:ascii="Arial" w:cs="Arial" w:eastAsia="Arial" w:hAnsi="Arial"/>
                <w:sz w:val="12"/>
                <w:szCs w:val="12"/>
                <w:color w:val="auto"/>
              </w:rPr>
              <w:t>7.50 %</w:t>
            </w: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31,487</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31,459</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2.5 %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120"/>
              <w:spacing w:after="0" w:line="149" w:lineRule="exact"/>
              <w:rPr>
                <w:sz w:val="20"/>
                <w:szCs w:val="20"/>
                <w:color w:val="auto"/>
              </w:rPr>
            </w:pPr>
            <w:r>
              <w:rPr>
                <w:rFonts w:ascii="Arial" w:cs="Arial" w:eastAsia="Arial" w:hAnsi="Arial"/>
                <w:sz w:val="17"/>
                <w:szCs w:val="17"/>
                <w:color w:val="auto"/>
                <w:vertAlign w:val="subscript"/>
              </w:rPr>
              <w:t>LLC</w:t>
            </w:r>
            <w:r>
              <w:rPr>
                <w:rFonts w:ascii="Arial" w:cs="Arial" w:eastAsia="Arial" w:hAnsi="Arial"/>
                <w:sz w:val="7"/>
                <w:szCs w:val="7"/>
                <w:color w:val="auto"/>
              </w:rPr>
              <w:t xml:space="preserve"> (3)(5)</w:t>
            </w:r>
          </w:p>
        </w:tc>
        <w:tc>
          <w:tcPr>
            <w:tcW w:w="2420" w:type="dxa"/>
            <w:vAlign w:val="bottom"/>
            <w:gridSpan w:val="2"/>
          </w:tcPr>
          <w:p>
            <w:pPr>
              <w:ind w:left="260"/>
              <w:spacing w:after="0"/>
              <w:rPr>
                <w:sz w:val="20"/>
                <w:szCs w:val="20"/>
                <w:color w:val="auto"/>
              </w:rPr>
            </w:pPr>
            <w:r>
              <w:rPr>
                <w:rFonts w:ascii="Arial" w:cs="Arial" w:eastAsia="Arial" w:hAnsi="Arial"/>
                <w:sz w:val="13"/>
                <w:szCs w:val="13"/>
                <w:color w:val="auto"/>
              </w:rPr>
              <w:t>12/2027)</w:t>
            </w: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7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285,555</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283,230</w:t>
            </w: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22.2</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Transportation</w:t>
            </w:r>
          </w:p>
        </w:tc>
        <w:tc>
          <w:tcPr>
            <w:tcW w:w="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40" w:type="dxa"/>
            <w:vAlign w:val="bottom"/>
            <w:shd w:val="clear" w:color="auto" w:fill="CFF0FC"/>
          </w:tcPr>
          <w:p>
            <w:pPr>
              <w:ind w:left="20"/>
              <w:spacing w:after="0" w:line="108" w:lineRule="exact"/>
              <w:rPr>
                <w:sz w:val="20"/>
                <w:szCs w:val="20"/>
                <w:color w:val="auto"/>
              </w:rPr>
            </w:pPr>
            <w:r>
              <w:rPr>
                <w:rFonts w:ascii="Arial" w:cs="Arial" w:eastAsia="Arial" w:hAnsi="Arial"/>
                <w:sz w:val="10"/>
                <w:szCs w:val="10"/>
                <w:color w:val="auto"/>
              </w:rPr>
              <w:t xml:space="preserve">Project44, Inc. </w:t>
            </w:r>
            <w:r>
              <w:rPr>
                <w:rFonts w:ascii="Arial" w:cs="Arial" w:eastAsia="Arial" w:hAnsi="Arial"/>
                <w:sz w:val="12"/>
                <w:szCs w:val="12"/>
                <w:color w:val="auto"/>
                <w:vertAlign w:val="superscript"/>
              </w:rPr>
              <w:t>(3)(5)</w:t>
            </w:r>
          </w:p>
        </w:tc>
        <w:tc>
          <w:tcPr>
            <w:tcW w:w="2420" w:type="dxa"/>
            <w:vAlign w:val="bottom"/>
            <w:gridSpan w:val="2"/>
            <w:shd w:val="clear" w:color="auto" w:fill="CFF0FC"/>
          </w:tcPr>
          <w:p>
            <w:pPr>
              <w:ind w:left="260"/>
              <w:spacing w:after="0" w:line="108" w:lineRule="exact"/>
              <w:rPr>
                <w:sz w:val="20"/>
                <w:szCs w:val="20"/>
                <w:color w:val="auto"/>
              </w:rPr>
            </w:pPr>
            <w:r>
              <w:rPr>
                <w:rFonts w:ascii="Arial" w:cs="Arial" w:eastAsia="Arial" w:hAnsi="Arial"/>
                <w:sz w:val="12"/>
                <w:szCs w:val="12"/>
                <w:color w:val="auto"/>
              </w:rPr>
              <w:t>First-lien loan ($35,139 par, due</w:t>
            </w:r>
          </w:p>
        </w:tc>
        <w:tc>
          <w:tcPr>
            <w:tcW w:w="960" w:type="dxa"/>
            <w:vAlign w:val="bottom"/>
            <w:shd w:val="clear" w:color="auto" w:fill="CFF0FC"/>
          </w:tcPr>
          <w:p>
            <w:pPr>
              <w:jc w:val="right"/>
              <w:ind w:right="140"/>
              <w:spacing w:after="0" w:line="108" w:lineRule="exact"/>
              <w:rPr>
                <w:sz w:val="20"/>
                <w:szCs w:val="20"/>
                <w:color w:val="auto"/>
              </w:rPr>
            </w:pPr>
            <w:r>
              <w:rPr>
                <w:rFonts w:ascii="Arial" w:cs="Arial" w:eastAsia="Arial" w:hAnsi="Arial"/>
                <w:sz w:val="12"/>
                <w:szCs w:val="12"/>
                <w:color w:val="auto"/>
              </w:rPr>
              <w:t>11/12/2021</w:t>
            </w:r>
          </w:p>
        </w:tc>
        <w:tc>
          <w:tcPr>
            <w:tcW w:w="940" w:type="dxa"/>
            <w:vAlign w:val="bottom"/>
            <w:shd w:val="clear" w:color="auto" w:fill="CFF0FC"/>
          </w:tcPr>
          <w:p>
            <w:pPr>
              <w:jc w:val="right"/>
              <w:ind w:right="82"/>
              <w:spacing w:after="0" w:line="108" w:lineRule="exact"/>
              <w:rPr>
                <w:sz w:val="20"/>
                <w:szCs w:val="20"/>
                <w:color w:val="auto"/>
              </w:rPr>
            </w:pPr>
            <w:r>
              <w:rPr>
                <w:rFonts w:ascii="Arial" w:cs="Arial" w:eastAsia="Arial" w:hAnsi="Arial"/>
                <w:sz w:val="12"/>
                <w:szCs w:val="12"/>
                <w:color w:val="auto"/>
              </w:rPr>
              <w:t>L + 6.25%</w:t>
            </w:r>
          </w:p>
        </w:tc>
        <w:tc>
          <w:tcPr>
            <w:tcW w:w="1380" w:type="dxa"/>
            <w:vAlign w:val="bottom"/>
            <w:shd w:val="clear" w:color="auto" w:fill="CFF0FC"/>
          </w:tcPr>
          <w:p>
            <w:pPr>
              <w:jc w:val="right"/>
              <w:ind w:right="41"/>
              <w:spacing w:after="0" w:line="108" w:lineRule="exact"/>
              <w:rPr>
                <w:sz w:val="20"/>
                <w:szCs w:val="20"/>
                <w:color w:val="auto"/>
              </w:rPr>
            </w:pPr>
            <w:r>
              <w:rPr>
                <w:rFonts w:ascii="Arial" w:cs="Arial" w:eastAsia="Arial" w:hAnsi="Arial"/>
                <w:sz w:val="12"/>
                <w:szCs w:val="12"/>
                <w:color w:val="auto"/>
              </w:rPr>
              <w:t>7.25 %</w:t>
            </w: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33,821</w:t>
            </w:r>
          </w:p>
        </w:tc>
        <w:tc>
          <w:tcPr>
            <w:tcW w:w="12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33,901</w:t>
            </w:r>
          </w:p>
        </w:tc>
        <w:tc>
          <w:tcPr>
            <w:tcW w:w="1300" w:type="dxa"/>
            <w:vAlign w:val="bottom"/>
            <w:gridSpan w:val="3"/>
            <w:shd w:val="clear" w:color="auto" w:fill="CFF0FC"/>
          </w:tcPr>
          <w:p>
            <w:pPr>
              <w:jc w:val="right"/>
              <w:spacing w:after="0" w:line="108" w:lineRule="exact"/>
              <w:rPr>
                <w:sz w:val="20"/>
                <w:szCs w:val="20"/>
                <w:color w:val="auto"/>
              </w:rPr>
            </w:pPr>
            <w:r>
              <w:rPr>
                <w:rFonts w:ascii="Arial" w:cs="Arial" w:eastAsia="Arial" w:hAnsi="Arial"/>
                <w:sz w:val="12"/>
                <w:szCs w:val="12"/>
                <w:color w:val="auto"/>
              </w:rPr>
              <w:t>2.7 %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40" w:type="dxa"/>
            <w:vAlign w:val="bottom"/>
            <w:tcBorders>
              <w:bottom w:val="single" w:sz="8" w:color="CFF0FC"/>
            </w:tcBorders>
            <w:shd w:val="clear" w:color="auto" w:fill="CFF0FC"/>
          </w:tcPr>
          <w:p>
            <w:pPr>
              <w:spacing w:after="0"/>
              <w:rPr>
                <w:sz w:val="12"/>
                <w:szCs w:val="12"/>
                <w:color w:val="auto"/>
              </w:rPr>
            </w:pPr>
          </w:p>
        </w:tc>
        <w:tc>
          <w:tcPr>
            <w:tcW w:w="24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3"/>
                <w:szCs w:val="13"/>
                <w:color w:val="auto"/>
              </w:rPr>
              <w:t>11/2027)</w:t>
            </w:r>
          </w:p>
        </w:tc>
        <w:tc>
          <w:tcPr>
            <w:tcW w:w="96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CFF0FC"/>
            </w:tcBorders>
            <w:shd w:val="clear" w:color="auto" w:fill="CFF0FC"/>
          </w:tcPr>
          <w:p>
            <w:pPr>
              <w:spacing w:after="0"/>
              <w:rPr>
                <w:sz w:val="12"/>
                <w:szCs w:val="12"/>
                <w:color w:val="auto"/>
              </w:rPr>
            </w:pPr>
          </w:p>
        </w:tc>
        <w:tc>
          <w:tcPr>
            <w:tcW w:w="138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Total Debt Investments</w:t>
            </w:r>
          </w:p>
        </w:tc>
        <w:tc>
          <w:tcPr>
            <w:tcW w:w="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2,317,552</w:t>
            </w:r>
          </w:p>
        </w:tc>
        <w:tc>
          <w:tcPr>
            <w:tcW w:w="12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2,360,134</w:t>
            </w:r>
          </w:p>
        </w:tc>
        <w:tc>
          <w:tcPr>
            <w:tcW w:w="130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185.0 %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7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Equity and Other Investments</w:t>
            </w:r>
          </w:p>
        </w:tc>
        <w:tc>
          <w:tcPr>
            <w:tcW w:w="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Business Services</w:t>
            </w:r>
          </w:p>
        </w:tc>
        <w:tc>
          <w:tcPr>
            <w:tcW w:w="660" w:type="dxa"/>
            <w:vAlign w:val="bottom"/>
            <w:shd w:val="clear" w:color="auto" w:fill="CFF0FC"/>
          </w:tcPr>
          <w:p>
            <w:pPr>
              <w:spacing w:after="0"/>
              <w:rPr>
                <w:sz w:val="12"/>
                <w:szCs w:val="12"/>
                <w:color w:val="auto"/>
              </w:rPr>
            </w:pPr>
          </w:p>
        </w:tc>
        <w:tc>
          <w:tcPr>
            <w:tcW w:w="17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Dye &amp; Durham, Ltd. </w:t>
            </w:r>
            <w:r>
              <w:rPr>
                <w:rFonts w:ascii="Arial" w:cs="Arial" w:eastAsia="Arial" w:hAnsi="Arial"/>
                <w:sz w:val="12"/>
                <w:szCs w:val="12"/>
                <w:color w:val="auto"/>
                <w:vertAlign w:val="superscript"/>
              </w:rPr>
              <w:t>(4)(12)(14)</w:t>
            </w:r>
          </w:p>
        </w:tc>
        <w:tc>
          <w:tcPr>
            <w:tcW w:w="2420" w:type="dxa"/>
            <w:vAlign w:val="bottom"/>
            <w:gridSpan w:val="2"/>
          </w:tcPr>
          <w:p>
            <w:pPr>
              <w:ind w:left="260"/>
              <w:spacing w:after="0" w:line="108" w:lineRule="exact"/>
              <w:rPr>
                <w:sz w:val="20"/>
                <w:szCs w:val="20"/>
                <w:color w:val="auto"/>
              </w:rPr>
            </w:pPr>
            <w:r>
              <w:rPr>
                <w:rFonts w:ascii="Arial" w:cs="Arial" w:eastAsia="Arial" w:hAnsi="Arial"/>
                <w:sz w:val="12"/>
                <w:szCs w:val="12"/>
                <w:color w:val="auto"/>
              </w:rPr>
              <w:t>Common Shares (126,968 shares)</w:t>
            </w:r>
          </w:p>
        </w:tc>
        <w:tc>
          <w:tcPr>
            <w:tcW w:w="960" w:type="dxa"/>
            <w:vAlign w:val="bottom"/>
          </w:tcPr>
          <w:p>
            <w:pPr>
              <w:jc w:val="right"/>
              <w:ind w:right="140"/>
              <w:spacing w:after="0" w:line="108" w:lineRule="exact"/>
              <w:rPr>
                <w:sz w:val="20"/>
                <w:szCs w:val="20"/>
                <w:color w:val="auto"/>
              </w:rPr>
            </w:pPr>
            <w:r>
              <w:rPr>
                <w:rFonts w:ascii="Arial" w:cs="Arial" w:eastAsia="Arial" w:hAnsi="Arial"/>
                <w:sz w:val="12"/>
                <w:szCs w:val="12"/>
                <w:color w:val="auto"/>
              </w:rPr>
              <w:t>12/3/2021</w:t>
            </w:r>
          </w:p>
        </w:tc>
        <w:tc>
          <w:tcPr>
            <w:tcW w:w="9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3,909</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4,455</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0.4 %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(CAD 5,627)</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140" w:type="dxa"/>
            <w:vAlign w:val="bottom"/>
            <w:shd w:val="clear" w:color="auto" w:fill="CFF0FC"/>
          </w:tcPr>
          <w:p>
            <w:pPr>
              <w:ind w:left="20"/>
              <w:spacing w:after="0" w:line="151" w:lineRule="exact"/>
              <w:rPr>
                <w:sz w:val="20"/>
                <w:szCs w:val="20"/>
                <w:color w:val="auto"/>
              </w:rPr>
            </w:pPr>
            <w:r>
              <w:rPr>
                <w:rFonts w:ascii="Arial" w:cs="Arial" w:eastAsia="Arial" w:hAnsi="Arial"/>
                <w:sz w:val="13"/>
                <w:szCs w:val="13"/>
                <w:color w:val="auto"/>
              </w:rPr>
              <w:t xml:space="preserve">ReliaQuest, LLC </w:t>
            </w:r>
            <w:r>
              <w:rPr>
                <w:rFonts w:ascii="Arial" w:cs="Arial" w:eastAsia="Arial" w:hAnsi="Arial"/>
                <w:sz w:val="16"/>
                <w:szCs w:val="16"/>
                <w:color w:val="auto"/>
                <w:vertAlign w:val="superscript"/>
              </w:rPr>
              <w:t>(13)(14)(15)</w:t>
            </w:r>
          </w:p>
        </w:tc>
        <w:tc>
          <w:tcPr>
            <w:tcW w:w="242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Class A-1 Units (567,683 units)</w:t>
            </w:r>
          </w:p>
        </w:tc>
        <w:tc>
          <w:tcPr>
            <w:tcW w:w="960" w:type="dxa"/>
            <w:vAlign w:val="bottom"/>
            <w:shd w:val="clear" w:color="auto" w:fill="CFF0FC"/>
          </w:tcPr>
          <w:p>
            <w:pPr>
              <w:jc w:val="right"/>
              <w:ind w:right="140"/>
              <w:spacing w:after="0"/>
              <w:rPr>
                <w:sz w:val="20"/>
                <w:szCs w:val="20"/>
                <w:color w:val="auto"/>
              </w:rPr>
            </w:pPr>
            <w:r>
              <w:rPr>
                <w:rFonts w:ascii="Arial" w:cs="Arial" w:eastAsia="Arial" w:hAnsi="Arial"/>
                <w:sz w:val="13"/>
                <w:szCs w:val="13"/>
                <w:color w:val="auto"/>
              </w:rPr>
              <w:t>11/23/2021</w:t>
            </w:r>
          </w:p>
        </w:tc>
        <w:tc>
          <w:tcPr>
            <w:tcW w:w="94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1,120</w:t>
            </w: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0.1 %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40" w:type="dxa"/>
            <w:vAlign w:val="bottom"/>
          </w:tcPr>
          <w:p>
            <w:pPr>
              <w:ind w:left="20"/>
              <w:spacing w:after="0" w:line="148" w:lineRule="exact"/>
              <w:rPr>
                <w:sz w:val="20"/>
                <w:szCs w:val="20"/>
                <w:color w:val="auto"/>
              </w:rPr>
            </w:pPr>
            <w:r>
              <w:rPr>
                <w:rFonts w:ascii="Arial" w:cs="Arial" w:eastAsia="Arial" w:hAnsi="Arial"/>
                <w:sz w:val="13"/>
                <w:szCs w:val="13"/>
                <w:color w:val="auto"/>
              </w:rPr>
              <w:t xml:space="preserve">Sprinklr, Inc. </w:t>
            </w:r>
            <w:r>
              <w:rPr>
                <w:rFonts w:ascii="Arial" w:cs="Arial" w:eastAsia="Arial" w:hAnsi="Arial"/>
                <w:sz w:val="16"/>
                <w:szCs w:val="16"/>
                <w:color w:val="auto"/>
                <w:vertAlign w:val="superscript"/>
              </w:rPr>
              <w:t>(12)(13)(14)</w:t>
            </w:r>
          </w:p>
        </w:tc>
        <w:tc>
          <w:tcPr>
            <w:tcW w:w="2420" w:type="dxa"/>
            <w:vAlign w:val="bottom"/>
            <w:gridSpan w:val="2"/>
          </w:tcPr>
          <w:p>
            <w:pPr>
              <w:ind w:left="260"/>
              <w:spacing w:after="0"/>
              <w:rPr>
                <w:sz w:val="20"/>
                <w:szCs w:val="20"/>
                <w:color w:val="auto"/>
              </w:rPr>
            </w:pPr>
            <w:r>
              <w:rPr>
                <w:rFonts w:ascii="Arial" w:cs="Arial" w:eastAsia="Arial" w:hAnsi="Arial"/>
                <w:sz w:val="13"/>
                <w:szCs w:val="13"/>
                <w:color w:val="auto"/>
              </w:rPr>
              <w:t>Common Shares (484,700 shares)</w:t>
            </w:r>
          </w:p>
        </w:tc>
        <w:tc>
          <w:tcPr>
            <w:tcW w:w="960" w:type="dxa"/>
            <w:vAlign w:val="bottom"/>
          </w:tcPr>
          <w:p>
            <w:pPr>
              <w:jc w:val="right"/>
              <w:ind w:right="140"/>
              <w:spacing w:after="0"/>
              <w:rPr>
                <w:sz w:val="20"/>
                <w:szCs w:val="20"/>
                <w:color w:val="auto"/>
              </w:rPr>
            </w:pPr>
            <w:r>
              <w:rPr>
                <w:rFonts w:ascii="Arial" w:cs="Arial" w:eastAsia="Arial" w:hAnsi="Arial"/>
                <w:sz w:val="13"/>
                <w:szCs w:val="13"/>
                <w:color w:val="auto"/>
              </w:rPr>
              <w:t>6/24/2021</w:t>
            </w: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4,180</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7,692</w:t>
            </w: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0.6 %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 xml:space="preserve">WideOrbit, Inc. </w:t>
            </w:r>
            <w:r>
              <w:rPr>
                <w:rFonts w:ascii="Arial" w:cs="Arial" w:eastAsia="Arial" w:hAnsi="Arial"/>
                <w:sz w:val="16"/>
                <w:szCs w:val="16"/>
                <w:color w:val="auto"/>
                <w:vertAlign w:val="superscript"/>
              </w:rPr>
              <w:t>(13)</w:t>
            </w:r>
          </w:p>
        </w:tc>
        <w:tc>
          <w:tcPr>
            <w:tcW w:w="242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1,567,807 Warrants</w:t>
            </w:r>
          </w:p>
        </w:tc>
        <w:tc>
          <w:tcPr>
            <w:tcW w:w="960" w:type="dxa"/>
            <w:vAlign w:val="bottom"/>
            <w:shd w:val="clear" w:color="auto" w:fill="CFF0FC"/>
          </w:tcPr>
          <w:p>
            <w:pPr>
              <w:jc w:val="right"/>
              <w:ind w:right="140"/>
              <w:spacing w:after="0"/>
              <w:rPr>
                <w:sz w:val="20"/>
                <w:szCs w:val="20"/>
                <w:color w:val="auto"/>
              </w:rPr>
            </w:pPr>
            <w:r>
              <w:rPr>
                <w:rFonts w:ascii="Arial" w:cs="Arial" w:eastAsia="Arial" w:hAnsi="Arial"/>
                <w:sz w:val="13"/>
                <w:szCs w:val="13"/>
                <w:color w:val="auto"/>
              </w:rPr>
              <w:t>7/8/2020</w:t>
            </w:r>
          </w:p>
        </w:tc>
        <w:tc>
          <w:tcPr>
            <w:tcW w:w="9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327</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327</w:t>
            </w:r>
          </w:p>
        </w:tc>
        <w:tc>
          <w:tcPr>
            <w:tcW w:w="2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9,536</w:t>
            </w:r>
          </w:p>
        </w:tc>
        <w:tc>
          <w:tcPr>
            <w:tcW w:w="2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13,594</w:t>
            </w:r>
          </w:p>
        </w:tc>
        <w:tc>
          <w:tcPr>
            <w:tcW w:w="22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1.1 %</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Communications</w:t>
            </w:r>
          </w:p>
        </w:tc>
        <w:tc>
          <w:tcPr>
            <w:tcW w:w="660" w:type="dxa"/>
            <w:vAlign w:val="bottom"/>
            <w:shd w:val="clear" w:color="auto" w:fill="CFF0FC"/>
          </w:tcPr>
          <w:p>
            <w:pPr>
              <w:spacing w:after="0"/>
              <w:rPr>
                <w:sz w:val="12"/>
                <w:szCs w:val="12"/>
                <w:color w:val="auto"/>
              </w:rPr>
            </w:pPr>
          </w:p>
        </w:tc>
        <w:tc>
          <w:tcPr>
            <w:tcW w:w="17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20"/>
              <w:spacing w:after="0" w:line="148" w:lineRule="exact"/>
              <w:rPr>
                <w:sz w:val="20"/>
                <w:szCs w:val="20"/>
                <w:color w:val="auto"/>
              </w:rPr>
            </w:pPr>
            <w:r>
              <w:rPr>
                <w:rFonts w:ascii="Arial" w:cs="Arial" w:eastAsia="Arial" w:hAnsi="Arial"/>
                <w:sz w:val="13"/>
                <w:szCs w:val="13"/>
                <w:color w:val="auto"/>
              </w:rPr>
              <w:t xml:space="preserve">Celtra Technologies, Inc. </w:t>
            </w:r>
            <w:r>
              <w:rPr>
                <w:rFonts w:ascii="Arial" w:cs="Arial" w:eastAsia="Arial" w:hAnsi="Arial"/>
                <w:sz w:val="16"/>
                <w:szCs w:val="16"/>
                <w:color w:val="auto"/>
                <w:vertAlign w:val="superscript"/>
              </w:rPr>
              <w:t>(13)(14)</w:t>
            </w:r>
          </w:p>
        </w:tc>
        <w:tc>
          <w:tcPr>
            <w:tcW w:w="2420" w:type="dxa"/>
            <w:vAlign w:val="bottom"/>
            <w:gridSpan w:val="2"/>
          </w:tcPr>
          <w:p>
            <w:pPr>
              <w:ind w:left="260"/>
              <w:spacing w:after="0"/>
              <w:rPr>
                <w:sz w:val="20"/>
                <w:szCs w:val="20"/>
                <w:color w:val="auto"/>
              </w:rPr>
            </w:pPr>
            <w:r>
              <w:rPr>
                <w:rFonts w:ascii="Arial" w:cs="Arial" w:eastAsia="Arial" w:hAnsi="Arial"/>
                <w:sz w:val="13"/>
                <w:szCs w:val="13"/>
                <w:color w:val="auto"/>
              </w:rPr>
              <w:t>Class A Units (1,250,000 units)</w:t>
            </w:r>
          </w:p>
        </w:tc>
        <w:tc>
          <w:tcPr>
            <w:tcW w:w="960" w:type="dxa"/>
            <w:vAlign w:val="bottom"/>
          </w:tcPr>
          <w:p>
            <w:pPr>
              <w:jc w:val="right"/>
              <w:ind w:right="140"/>
              <w:spacing w:after="0"/>
              <w:rPr>
                <w:sz w:val="20"/>
                <w:szCs w:val="20"/>
                <w:color w:val="auto"/>
              </w:rPr>
            </w:pPr>
            <w:r>
              <w:rPr>
                <w:rFonts w:ascii="Arial" w:cs="Arial" w:eastAsia="Arial" w:hAnsi="Arial"/>
                <w:sz w:val="13"/>
                <w:szCs w:val="13"/>
                <w:color w:val="auto"/>
              </w:rPr>
              <w:t>11/19/2021</w:t>
            </w: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1,250</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1,250</w:t>
            </w: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0.1 %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40" w:type="dxa"/>
            <w:vAlign w:val="bottom"/>
            <w:shd w:val="clear" w:color="auto" w:fill="CFF0FC"/>
          </w:tcPr>
          <w:p>
            <w:pPr>
              <w:ind w:left="20"/>
              <w:spacing w:after="0" w:line="108" w:lineRule="exact"/>
              <w:rPr>
                <w:sz w:val="20"/>
                <w:szCs w:val="20"/>
                <w:color w:val="auto"/>
              </w:rPr>
            </w:pPr>
            <w:r>
              <w:rPr>
                <w:rFonts w:ascii="Arial" w:cs="Arial" w:eastAsia="Arial" w:hAnsi="Arial"/>
                <w:sz w:val="10"/>
                <w:szCs w:val="10"/>
                <w:color w:val="auto"/>
              </w:rPr>
              <w:t xml:space="preserve">IntelePeer Holdings, Inc. </w:t>
            </w:r>
            <w:r>
              <w:rPr>
                <w:rFonts w:ascii="Arial" w:cs="Arial" w:eastAsia="Arial" w:hAnsi="Arial"/>
                <w:sz w:val="12"/>
                <w:szCs w:val="12"/>
                <w:color w:val="auto"/>
                <w:vertAlign w:val="superscript"/>
              </w:rPr>
              <w:t>(13)</w:t>
            </w:r>
          </w:p>
        </w:tc>
        <w:tc>
          <w:tcPr>
            <w:tcW w:w="2420" w:type="dxa"/>
            <w:vAlign w:val="bottom"/>
            <w:gridSpan w:val="2"/>
            <w:shd w:val="clear" w:color="auto" w:fill="CFF0FC"/>
          </w:tcPr>
          <w:p>
            <w:pPr>
              <w:ind w:left="260"/>
              <w:spacing w:after="0" w:line="108" w:lineRule="exact"/>
              <w:rPr>
                <w:sz w:val="20"/>
                <w:szCs w:val="20"/>
                <w:color w:val="auto"/>
              </w:rPr>
            </w:pPr>
            <w:r>
              <w:rPr>
                <w:rFonts w:ascii="Arial" w:cs="Arial" w:eastAsia="Arial" w:hAnsi="Arial"/>
                <w:sz w:val="12"/>
                <w:szCs w:val="12"/>
                <w:color w:val="auto"/>
              </w:rPr>
              <w:t>Series C Preferred Shares (1,816,295</w:t>
            </w:r>
          </w:p>
        </w:tc>
        <w:tc>
          <w:tcPr>
            <w:tcW w:w="960" w:type="dxa"/>
            <w:vAlign w:val="bottom"/>
            <w:shd w:val="clear" w:color="auto" w:fill="CFF0FC"/>
          </w:tcPr>
          <w:p>
            <w:pPr>
              <w:jc w:val="right"/>
              <w:ind w:right="140"/>
              <w:spacing w:after="0" w:line="108" w:lineRule="exact"/>
              <w:rPr>
                <w:sz w:val="20"/>
                <w:szCs w:val="20"/>
                <w:color w:val="auto"/>
              </w:rPr>
            </w:pPr>
            <w:r>
              <w:rPr>
                <w:rFonts w:ascii="Arial" w:cs="Arial" w:eastAsia="Arial" w:hAnsi="Arial"/>
                <w:sz w:val="12"/>
                <w:szCs w:val="12"/>
                <w:color w:val="auto"/>
              </w:rPr>
              <w:t>4/8/2021</w:t>
            </w:r>
          </w:p>
        </w:tc>
        <w:tc>
          <w:tcPr>
            <w:tcW w:w="9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1,816</w:t>
            </w:r>
          </w:p>
        </w:tc>
        <w:tc>
          <w:tcPr>
            <w:tcW w:w="12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2,829</w:t>
            </w:r>
          </w:p>
        </w:tc>
        <w:tc>
          <w:tcPr>
            <w:tcW w:w="1300" w:type="dxa"/>
            <w:vAlign w:val="bottom"/>
            <w:gridSpan w:val="3"/>
            <w:shd w:val="clear" w:color="auto" w:fill="CFF0FC"/>
          </w:tcPr>
          <w:p>
            <w:pPr>
              <w:jc w:val="right"/>
              <w:spacing w:after="0" w:line="108" w:lineRule="exact"/>
              <w:rPr>
                <w:sz w:val="20"/>
                <w:szCs w:val="20"/>
                <w:color w:val="auto"/>
              </w:rPr>
            </w:pPr>
            <w:r>
              <w:rPr>
                <w:rFonts w:ascii="Arial" w:cs="Arial" w:eastAsia="Arial" w:hAnsi="Arial"/>
                <w:sz w:val="12"/>
                <w:szCs w:val="12"/>
                <w:color w:val="auto"/>
              </w:rPr>
              <w:t>0.2 %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spacing w:after="0"/>
              <w:rPr>
                <w:sz w:val="14"/>
                <w:szCs w:val="14"/>
                <w:color w:val="auto"/>
              </w:rPr>
            </w:pPr>
          </w:p>
        </w:tc>
        <w:tc>
          <w:tcPr>
            <w:tcW w:w="2420" w:type="dxa"/>
            <w:vAlign w:val="bottom"/>
            <w:gridSpan w:val="2"/>
            <w:shd w:val="clear" w:color="auto" w:fill="CFF0FC"/>
          </w:tcPr>
          <w:p>
            <w:pPr>
              <w:ind w:left="260"/>
              <w:spacing w:after="0" w:line="162" w:lineRule="exact"/>
              <w:rPr>
                <w:sz w:val="20"/>
                <w:szCs w:val="20"/>
                <w:color w:val="auto"/>
              </w:rPr>
            </w:pPr>
            <w:r>
              <w:rPr>
                <w:rFonts w:ascii="Arial" w:cs="Arial" w:eastAsia="Arial" w:hAnsi="Arial"/>
                <w:sz w:val="13"/>
                <w:szCs w:val="13"/>
                <w:color w:val="auto"/>
              </w:rPr>
              <w:t xml:space="preserve">shares) </w:t>
            </w:r>
            <w:r>
              <w:rPr>
                <w:rFonts w:ascii="Arial" w:cs="Arial" w:eastAsia="Arial" w:hAnsi="Arial"/>
                <w:sz w:val="16"/>
                <w:szCs w:val="16"/>
                <w:color w:val="auto"/>
                <w:vertAlign w:val="superscript"/>
              </w:rPr>
              <w:t>(14)</w:t>
            </w:r>
          </w:p>
        </w:tc>
        <w:tc>
          <w:tcPr>
            <w:tcW w:w="9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40" w:type="dxa"/>
            <w:vAlign w:val="bottom"/>
          </w:tcPr>
          <w:p>
            <w:pPr>
              <w:spacing w:after="0"/>
              <w:rPr>
                <w:sz w:val="9"/>
                <w:szCs w:val="9"/>
                <w:color w:val="auto"/>
              </w:rPr>
            </w:pPr>
          </w:p>
        </w:tc>
        <w:tc>
          <w:tcPr>
            <w:tcW w:w="2420" w:type="dxa"/>
            <w:vAlign w:val="bottom"/>
            <w:gridSpan w:val="2"/>
          </w:tcPr>
          <w:p>
            <w:pPr>
              <w:ind w:left="260"/>
              <w:spacing w:after="0" w:line="108" w:lineRule="exact"/>
              <w:rPr>
                <w:sz w:val="20"/>
                <w:szCs w:val="20"/>
                <w:color w:val="auto"/>
              </w:rPr>
            </w:pPr>
            <w:r>
              <w:rPr>
                <w:rFonts w:ascii="Arial" w:cs="Arial" w:eastAsia="Arial" w:hAnsi="Arial"/>
                <w:sz w:val="12"/>
                <w:szCs w:val="12"/>
                <w:color w:val="auto"/>
              </w:rPr>
              <w:t>Series D Preferred Shares (1,065,916</w:t>
            </w:r>
          </w:p>
        </w:tc>
        <w:tc>
          <w:tcPr>
            <w:tcW w:w="960" w:type="dxa"/>
            <w:vAlign w:val="bottom"/>
          </w:tcPr>
          <w:p>
            <w:pPr>
              <w:jc w:val="right"/>
              <w:ind w:right="140"/>
              <w:spacing w:after="0" w:line="108" w:lineRule="exact"/>
              <w:rPr>
                <w:sz w:val="20"/>
                <w:szCs w:val="20"/>
                <w:color w:val="auto"/>
              </w:rPr>
            </w:pPr>
            <w:r>
              <w:rPr>
                <w:rFonts w:ascii="Arial" w:cs="Arial" w:eastAsia="Arial" w:hAnsi="Arial"/>
                <w:sz w:val="12"/>
                <w:szCs w:val="12"/>
                <w:color w:val="auto"/>
              </w:rPr>
              <w:t>4/8/2021</w:t>
            </w:r>
          </w:p>
        </w:tc>
        <w:tc>
          <w:tcPr>
            <w:tcW w:w="9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1,950</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1,950</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0.2 %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2420" w:type="dxa"/>
            <w:vAlign w:val="bottom"/>
            <w:gridSpan w:val="2"/>
          </w:tcPr>
          <w:p>
            <w:pPr>
              <w:ind w:left="260"/>
              <w:spacing w:after="0" w:line="162" w:lineRule="exact"/>
              <w:rPr>
                <w:sz w:val="20"/>
                <w:szCs w:val="20"/>
                <w:color w:val="auto"/>
              </w:rPr>
            </w:pPr>
            <w:r>
              <w:rPr>
                <w:rFonts w:ascii="Arial" w:cs="Arial" w:eastAsia="Arial" w:hAnsi="Arial"/>
                <w:sz w:val="13"/>
                <w:szCs w:val="13"/>
                <w:color w:val="auto"/>
              </w:rPr>
              <w:t xml:space="preserve">shares) </w:t>
            </w:r>
            <w:r>
              <w:rPr>
                <w:rFonts w:ascii="Arial" w:cs="Arial" w:eastAsia="Arial" w:hAnsi="Arial"/>
                <w:sz w:val="16"/>
                <w:szCs w:val="16"/>
                <w:color w:val="auto"/>
                <w:vertAlign w:val="superscript"/>
              </w:rPr>
              <w:t>(14)</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4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280,000 Warrants</w:t>
            </w:r>
          </w:p>
        </w:tc>
        <w:tc>
          <w:tcPr>
            <w:tcW w:w="960" w:type="dxa"/>
            <w:vAlign w:val="bottom"/>
            <w:shd w:val="clear" w:color="auto" w:fill="CFF0FC"/>
          </w:tcPr>
          <w:p>
            <w:pPr>
              <w:jc w:val="right"/>
              <w:ind w:right="140"/>
              <w:spacing w:after="0"/>
              <w:rPr>
                <w:sz w:val="20"/>
                <w:szCs w:val="20"/>
                <w:color w:val="auto"/>
              </w:rPr>
            </w:pPr>
            <w:r>
              <w:rPr>
                <w:rFonts w:ascii="Arial" w:cs="Arial" w:eastAsia="Arial" w:hAnsi="Arial"/>
                <w:sz w:val="13"/>
                <w:szCs w:val="13"/>
                <w:color w:val="auto"/>
              </w:rPr>
              <w:t>2/28/2020</w:t>
            </w:r>
          </w:p>
        </w:tc>
        <w:tc>
          <w:tcPr>
            <w:tcW w:w="9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290</w:t>
            </w: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2420" w:type="dxa"/>
            <w:vAlign w:val="bottom"/>
            <w:gridSpan w:val="2"/>
          </w:tcPr>
          <w:p>
            <w:pPr>
              <w:ind w:left="260"/>
              <w:spacing w:after="0"/>
              <w:rPr>
                <w:sz w:val="20"/>
                <w:szCs w:val="20"/>
                <w:color w:val="auto"/>
              </w:rPr>
            </w:pPr>
            <w:r>
              <w:rPr>
                <w:rFonts w:ascii="Arial" w:cs="Arial" w:eastAsia="Arial" w:hAnsi="Arial"/>
                <w:sz w:val="13"/>
                <w:szCs w:val="13"/>
                <w:color w:val="auto"/>
              </w:rPr>
              <w:t>106,592 Warrants (14)</w:t>
            </w:r>
          </w:p>
        </w:tc>
        <w:tc>
          <w:tcPr>
            <w:tcW w:w="960" w:type="dxa"/>
            <w:vAlign w:val="bottom"/>
          </w:tcPr>
          <w:p>
            <w:pPr>
              <w:jc w:val="right"/>
              <w:ind w:right="140"/>
              <w:spacing w:after="0"/>
              <w:rPr>
                <w:sz w:val="20"/>
                <w:szCs w:val="20"/>
                <w:color w:val="auto"/>
              </w:rPr>
            </w:pPr>
            <w:r>
              <w:rPr>
                <w:rFonts w:ascii="Arial" w:cs="Arial" w:eastAsia="Arial" w:hAnsi="Arial"/>
                <w:sz w:val="13"/>
                <w:szCs w:val="13"/>
                <w:color w:val="auto"/>
              </w:rPr>
              <w:t>4/8/2021</w:t>
            </w: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39</w:t>
            </w: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176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CFF0FC"/>
            </w:tcBorders>
            <w:shd w:val="clear" w:color="auto" w:fill="CFF0FC"/>
          </w:tcPr>
          <w:p>
            <w:pPr>
              <w:spacing w:after="0"/>
              <w:rPr>
                <w:sz w:val="12"/>
                <w:szCs w:val="12"/>
                <w:color w:val="auto"/>
              </w:rPr>
            </w:pPr>
          </w:p>
        </w:tc>
        <w:tc>
          <w:tcPr>
            <w:tcW w:w="138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5,199</w:t>
            </w:r>
          </w:p>
        </w:tc>
        <w:tc>
          <w:tcPr>
            <w:tcW w:w="2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6,358</w:t>
            </w:r>
          </w:p>
        </w:tc>
        <w:tc>
          <w:tcPr>
            <w:tcW w:w="22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Education</w:t>
            </w:r>
          </w:p>
        </w:tc>
        <w:tc>
          <w:tcPr>
            <w:tcW w:w="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 xml:space="preserve">EMS Linq, Inc. </w:t>
            </w:r>
            <w:r>
              <w:rPr>
                <w:rFonts w:ascii="Arial" w:cs="Arial" w:eastAsia="Arial" w:hAnsi="Arial"/>
                <w:sz w:val="16"/>
                <w:szCs w:val="16"/>
                <w:color w:val="auto"/>
                <w:vertAlign w:val="superscript"/>
              </w:rPr>
              <w:t>(13)(14)</w:t>
            </w:r>
          </w:p>
        </w:tc>
        <w:tc>
          <w:tcPr>
            <w:tcW w:w="242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Class B Units (5,522,526 units)</w:t>
            </w:r>
          </w:p>
        </w:tc>
        <w:tc>
          <w:tcPr>
            <w:tcW w:w="960" w:type="dxa"/>
            <w:vAlign w:val="bottom"/>
            <w:shd w:val="clear" w:color="auto" w:fill="CFF0FC"/>
          </w:tcPr>
          <w:p>
            <w:pPr>
              <w:jc w:val="right"/>
              <w:ind w:right="140"/>
              <w:spacing w:after="0"/>
              <w:rPr>
                <w:sz w:val="20"/>
                <w:szCs w:val="20"/>
                <w:color w:val="auto"/>
              </w:rPr>
            </w:pPr>
            <w:r>
              <w:rPr>
                <w:rFonts w:ascii="Arial" w:cs="Arial" w:eastAsia="Arial" w:hAnsi="Arial"/>
                <w:sz w:val="13"/>
                <w:szCs w:val="13"/>
                <w:color w:val="auto"/>
              </w:rPr>
              <w:t>12/22/2021</w:t>
            </w:r>
          </w:p>
        </w:tc>
        <w:tc>
          <w:tcPr>
            <w:tcW w:w="9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5,523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5,523</w:t>
            </w: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0.4 %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2"/>
                <w:szCs w:val="12"/>
                <w:color w:val="auto"/>
              </w:rPr>
              <w:t>RMCF IV CIV XXXV,</w:t>
            </w:r>
          </w:p>
        </w:tc>
        <w:tc>
          <w:tcPr>
            <w:tcW w:w="2420" w:type="dxa"/>
            <w:vAlign w:val="bottom"/>
            <w:gridSpan w:val="2"/>
          </w:tcPr>
          <w:p>
            <w:pPr>
              <w:ind w:left="260"/>
              <w:spacing w:after="0" w:line="108" w:lineRule="exact"/>
              <w:rPr>
                <w:sz w:val="20"/>
                <w:szCs w:val="20"/>
                <w:color w:val="auto"/>
              </w:rPr>
            </w:pPr>
            <w:r>
              <w:rPr>
                <w:rFonts w:ascii="Arial" w:cs="Arial" w:eastAsia="Arial" w:hAnsi="Arial"/>
                <w:sz w:val="12"/>
                <w:szCs w:val="12"/>
                <w:color w:val="auto"/>
              </w:rPr>
              <w:t>Partnership Interest (11.94%</w:t>
            </w:r>
          </w:p>
        </w:tc>
        <w:tc>
          <w:tcPr>
            <w:tcW w:w="960" w:type="dxa"/>
            <w:vAlign w:val="bottom"/>
          </w:tcPr>
          <w:p>
            <w:pPr>
              <w:jc w:val="right"/>
              <w:ind w:right="140"/>
              <w:spacing w:after="0" w:line="108" w:lineRule="exact"/>
              <w:rPr>
                <w:sz w:val="20"/>
                <w:szCs w:val="20"/>
                <w:color w:val="auto"/>
              </w:rPr>
            </w:pPr>
            <w:r>
              <w:rPr>
                <w:rFonts w:ascii="Arial" w:cs="Arial" w:eastAsia="Arial" w:hAnsi="Arial"/>
                <w:sz w:val="12"/>
                <w:szCs w:val="12"/>
                <w:color w:val="auto"/>
              </w:rPr>
              <w:t>6/8/2021</w:t>
            </w:r>
          </w:p>
        </w:tc>
        <w:tc>
          <w:tcPr>
            <w:tcW w:w="9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1,000</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1,000</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0.1 %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40" w:type="dxa"/>
            <w:vAlign w:val="bottom"/>
          </w:tcPr>
          <w:p>
            <w:pPr>
              <w:ind w:left="120"/>
              <w:spacing w:after="0" w:line="149" w:lineRule="exact"/>
              <w:rPr>
                <w:sz w:val="20"/>
                <w:szCs w:val="20"/>
                <w:color w:val="auto"/>
              </w:rPr>
            </w:pPr>
            <w:r>
              <w:rPr>
                <w:rFonts w:ascii="Arial" w:cs="Arial" w:eastAsia="Arial" w:hAnsi="Arial"/>
                <w:sz w:val="17"/>
                <w:szCs w:val="17"/>
                <w:color w:val="auto"/>
                <w:vertAlign w:val="subscript"/>
              </w:rPr>
              <w:t>LP.</w:t>
            </w:r>
            <w:r>
              <w:rPr>
                <w:rFonts w:ascii="Arial" w:cs="Arial" w:eastAsia="Arial" w:hAnsi="Arial"/>
                <w:sz w:val="7"/>
                <w:szCs w:val="7"/>
                <w:color w:val="auto"/>
              </w:rPr>
              <w:t xml:space="preserve"> (13)(14)</w:t>
            </w:r>
          </w:p>
        </w:tc>
        <w:tc>
          <w:tcPr>
            <w:tcW w:w="2420" w:type="dxa"/>
            <w:vAlign w:val="bottom"/>
            <w:gridSpan w:val="2"/>
          </w:tcPr>
          <w:p>
            <w:pPr>
              <w:ind w:left="260"/>
              <w:spacing w:after="0"/>
              <w:rPr>
                <w:sz w:val="20"/>
                <w:szCs w:val="20"/>
                <w:color w:val="auto"/>
              </w:rPr>
            </w:pPr>
            <w:r>
              <w:rPr>
                <w:rFonts w:ascii="Arial" w:cs="Arial" w:eastAsia="Arial" w:hAnsi="Arial"/>
                <w:sz w:val="13"/>
                <w:szCs w:val="13"/>
                <w:color w:val="auto"/>
              </w:rPr>
              <w:t>ownership)</w:t>
            </w: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176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CFF0FC"/>
            </w:tcBorders>
            <w:shd w:val="clear" w:color="auto" w:fill="CFF0FC"/>
          </w:tcPr>
          <w:p>
            <w:pPr>
              <w:spacing w:after="0"/>
              <w:rPr>
                <w:sz w:val="12"/>
                <w:szCs w:val="12"/>
                <w:color w:val="auto"/>
              </w:rPr>
            </w:pPr>
          </w:p>
        </w:tc>
        <w:tc>
          <w:tcPr>
            <w:tcW w:w="138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6,523</w:t>
            </w:r>
          </w:p>
        </w:tc>
        <w:tc>
          <w:tcPr>
            <w:tcW w:w="2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6,523</w:t>
            </w:r>
          </w:p>
        </w:tc>
        <w:tc>
          <w:tcPr>
            <w:tcW w:w="22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Financial Services</w:t>
            </w:r>
          </w:p>
        </w:tc>
        <w:tc>
          <w:tcPr>
            <w:tcW w:w="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 xml:space="preserve">AvidXchange, Inc. </w:t>
            </w:r>
            <w:r>
              <w:rPr>
                <w:rFonts w:ascii="Arial" w:cs="Arial" w:eastAsia="Arial" w:hAnsi="Arial"/>
                <w:sz w:val="16"/>
                <w:szCs w:val="16"/>
                <w:color w:val="auto"/>
                <w:vertAlign w:val="superscript"/>
              </w:rPr>
              <w:t>(11)(13)(14)</w:t>
            </w:r>
          </w:p>
        </w:tc>
        <w:tc>
          <w:tcPr>
            <w:tcW w:w="242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Common Shares (200,721 shares)</w:t>
            </w:r>
          </w:p>
        </w:tc>
        <w:tc>
          <w:tcPr>
            <w:tcW w:w="960" w:type="dxa"/>
            <w:vAlign w:val="bottom"/>
            <w:shd w:val="clear" w:color="auto" w:fill="CFF0FC"/>
          </w:tcPr>
          <w:p>
            <w:pPr>
              <w:jc w:val="right"/>
              <w:ind w:right="140"/>
              <w:spacing w:after="0"/>
              <w:rPr>
                <w:sz w:val="20"/>
                <w:szCs w:val="20"/>
                <w:color w:val="auto"/>
              </w:rPr>
            </w:pPr>
            <w:r>
              <w:rPr>
                <w:rFonts w:ascii="Arial" w:cs="Arial" w:eastAsia="Arial" w:hAnsi="Arial"/>
                <w:sz w:val="13"/>
                <w:szCs w:val="13"/>
                <w:color w:val="auto"/>
              </w:rPr>
              <w:t>10/15/2021</w:t>
            </w:r>
          </w:p>
        </w:tc>
        <w:tc>
          <w:tcPr>
            <w:tcW w:w="9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1,022</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2,785</w:t>
            </w: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0.2 %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ind w:left="20"/>
              <w:spacing w:after="0" w:line="148" w:lineRule="exact"/>
              <w:rPr>
                <w:sz w:val="20"/>
                <w:szCs w:val="20"/>
                <w:color w:val="auto"/>
              </w:rPr>
            </w:pPr>
            <w:r>
              <w:rPr>
                <w:rFonts w:ascii="Arial" w:cs="Arial" w:eastAsia="Arial" w:hAnsi="Arial"/>
                <w:sz w:val="13"/>
                <w:szCs w:val="13"/>
                <w:color w:val="auto"/>
              </w:rPr>
              <w:t xml:space="preserve">Newport Parent Holdings, LP </w:t>
            </w:r>
            <w:r>
              <w:rPr>
                <w:rFonts w:ascii="Arial" w:cs="Arial" w:eastAsia="Arial" w:hAnsi="Arial"/>
                <w:sz w:val="16"/>
                <w:szCs w:val="16"/>
                <w:color w:val="auto"/>
                <w:vertAlign w:val="superscript"/>
              </w:rPr>
              <w:t>(13)</w:t>
            </w:r>
          </w:p>
        </w:tc>
        <w:tc>
          <w:tcPr>
            <w:tcW w:w="2420" w:type="dxa"/>
            <w:vAlign w:val="bottom"/>
            <w:gridSpan w:val="2"/>
          </w:tcPr>
          <w:p>
            <w:pPr>
              <w:ind w:left="260"/>
              <w:spacing w:after="0"/>
              <w:rPr>
                <w:sz w:val="20"/>
                <w:szCs w:val="20"/>
                <w:color w:val="auto"/>
              </w:rPr>
            </w:pPr>
            <w:r>
              <w:rPr>
                <w:rFonts w:ascii="Arial" w:cs="Arial" w:eastAsia="Arial" w:hAnsi="Arial"/>
                <w:sz w:val="13"/>
                <w:szCs w:val="13"/>
                <w:color w:val="auto"/>
              </w:rPr>
              <w:t>Class A-2 Units (131,569 units)</w:t>
            </w:r>
          </w:p>
        </w:tc>
        <w:tc>
          <w:tcPr>
            <w:tcW w:w="960" w:type="dxa"/>
            <w:vAlign w:val="bottom"/>
          </w:tcPr>
          <w:p>
            <w:pPr>
              <w:jc w:val="right"/>
              <w:ind w:right="140"/>
              <w:spacing w:after="0"/>
              <w:rPr>
                <w:sz w:val="20"/>
                <w:szCs w:val="20"/>
                <w:color w:val="auto"/>
              </w:rPr>
            </w:pPr>
            <w:r>
              <w:rPr>
                <w:rFonts w:ascii="Arial" w:cs="Arial" w:eastAsia="Arial" w:hAnsi="Arial"/>
                <w:sz w:val="13"/>
                <w:szCs w:val="13"/>
                <w:color w:val="auto"/>
              </w:rPr>
              <w:t>12/10/2020</w:t>
            </w: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4,177</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2,443</w:t>
            </w: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0.2 %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4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Oxford Square Capital</w:t>
            </w:r>
          </w:p>
        </w:tc>
        <w:tc>
          <w:tcPr>
            <w:tcW w:w="2420" w:type="dxa"/>
            <w:vAlign w:val="bottom"/>
            <w:gridSpan w:val="2"/>
            <w:shd w:val="clear" w:color="auto" w:fill="CFF0FC"/>
          </w:tcPr>
          <w:p>
            <w:pPr>
              <w:ind w:left="260"/>
              <w:spacing w:after="0" w:line="108" w:lineRule="exact"/>
              <w:rPr>
                <w:sz w:val="20"/>
                <w:szCs w:val="20"/>
                <w:color w:val="auto"/>
              </w:rPr>
            </w:pPr>
            <w:r>
              <w:rPr>
                <w:rFonts w:ascii="Arial" w:cs="Arial" w:eastAsia="Arial" w:hAnsi="Arial"/>
                <w:sz w:val="12"/>
                <w:szCs w:val="12"/>
                <w:color w:val="auto"/>
              </w:rPr>
              <w:t>Common Shares (1,620 shares)</w:t>
            </w:r>
          </w:p>
        </w:tc>
        <w:tc>
          <w:tcPr>
            <w:tcW w:w="960" w:type="dxa"/>
            <w:vAlign w:val="bottom"/>
            <w:shd w:val="clear" w:color="auto" w:fill="CFF0FC"/>
          </w:tcPr>
          <w:p>
            <w:pPr>
              <w:jc w:val="right"/>
              <w:ind w:right="140"/>
              <w:spacing w:after="0" w:line="108" w:lineRule="exact"/>
              <w:rPr>
                <w:sz w:val="20"/>
                <w:szCs w:val="20"/>
                <w:color w:val="auto"/>
              </w:rPr>
            </w:pPr>
            <w:r>
              <w:rPr>
                <w:rFonts w:ascii="Arial" w:cs="Arial" w:eastAsia="Arial" w:hAnsi="Arial"/>
                <w:sz w:val="12"/>
                <w:szCs w:val="12"/>
                <w:color w:val="auto"/>
              </w:rPr>
              <w:t>8/5/2015</w:t>
            </w:r>
          </w:p>
        </w:tc>
        <w:tc>
          <w:tcPr>
            <w:tcW w:w="9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6</w:t>
            </w:r>
          </w:p>
        </w:tc>
        <w:tc>
          <w:tcPr>
            <w:tcW w:w="12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7</w:t>
            </w:r>
          </w:p>
        </w:tc>
        <w:tc>
          <w:tcPr>
            <w:tcW w:w="1300" w:type="dxa"/>
            <w:vAlign w:val="bottom"/>
            <w:gridSpan w:val="3"/>
            <w:shd w:val="clear" w:color="auto" w:fill="CFF0FC"/>
          </w:tcPr>
          <w:p>
            <w:pPr>
              <w:jc w:val="right"/>
              <w:spacing w:after="0" w:line="108" w:lineRule="exact"/>
              <w:rPr>
                <w:sz w:val="20"/>
                <w:szCs w:val="20"/>
                <w:color w:val="auto"/>
              </w:rPr>
            </w:pPr>
            <w:r>
              <w:rPr>
                <w:rFonts w:ascii="Arial" w:cs="Arial" w:eastAsia="Arial" w:hAnsi="Arial"/>
                <w:sz w:val="12"/>
                <w:szCs w:val="12"/>
                <w:color w:val="auto"/>
              </w:rPr>
              <w:t>0.0 %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ind w:left="120"/>
              <w:spacing w:after="0" w:line="162" w:lineRule="exact"/>
              <w:rPr>
                <w:sz w:val="20"/>
                <w:szCs w:val="20"/>
                <w:color w:val="auto"/>
              </w:rPr>
            </w:pPr>
            <w:r>
              <w:rPr>
                <w:rFonts w:ascii="Arial" w:cs="Arial" w:eastAsia="Arial" w:hAnsi="Arial"/>
                <w:sz w:val="18"/>
                <w:szCs w:val="18"/>
                <w:color w:val="auto"/>
                <w:vertAlign w:val="subscript"/>
              </w:rPr>
              <w:t>Corp.</w:t>
            </w:r>
            <w:r>
              <w:rPr>
                <w:rFonts w:ascii="Arial" w:cs="Arial" w:eastAsia="Arial" w:hAnsi="Arial"/>
                <w:sz w:val="7"/>
                <w:szCs w:val="7"/>
                <w:color w:val="auto"/>
              </w:rPr>
              <w:t xml:space="preserve"> (4)(12)</w:t>
            </w:r>
          </w:p>
        </w:tc>
        <w:tc>
          <w:tcPr>
            <w:tcW w:w="66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20"/>
              <w:spacing w:after="0" w:line="148" w:lineRule="exact"/>
              <w:rPr>
                <w:sz w:val="20"/>
                <w:szCs w:val="20"/>
                <w:color w:val="auto"/>
              </w:rPr>
            </w:pPr>
            <w:r>
              <w:rPr>
                <w:rFonts w:ascii="Arial" w:cs="Arial" w:eastAsia="Arial" w:hAnsi="Arial"/>
                <w:sz w:val="13"/>
                <w:szCs w:val="13"/>
                <w:color w:val="auto"/>
              </w:rPr>
              <w:t xml:space="preserve">Passport Labs, Inc. </w:t>
            </w:r>
            <w:r>
              <w:rPr>
                <w:rFonts w:ascii="Arial" w:cs="Arial" w:eastAsia="Arial" w:hAnsi="Arial"/>
                <w:sz w:val="16"/>
                <w:szCs w:val="16"/>
                <w:color w:val="auto"/>
                <w:vertAlign w:val="superscript"/>
              </w:rPr>
              <w:t>(13)(14)</w:t>
            </w:r>
          </w:p>
        </w:tc>
        <w:tc>
          <w:tcPr>
            <w:tcW w:w="2420" w:type="dxa"/>
            <w:vAlign w:val="bottom"/>
            <w:gridSpan w:val="2"/>
          </w:tcPr>
          <w:p>
            <w:pPr>
              <w:ind w:left="260"/>
              <w:spacing w:after="0"/>
              <w:rPr>
                <w:sz w:val="20"/>
                <w:szCs w:val="20"/>
                <w:color w:val="auto"/>
              </w:rPr>
            </w:pPr>
            <w:r>
              <w:rPr>
                <w:rFonts w:ascii="Arial" w:cs="Arial" w:eastAsia="Arial" w:hAnsi="Arial"/>
                <w:sz w:val="13"/>
                <w:szCs w:val="13"/>
                <w:color w:val="auto"/>
              </w:rPr>
              <w:t>17,534 Warrants</w:t>
            </w:r>
          </w:p>
        </w:tc>
        <w:tc>
          <w:tcPr>
            <w:tcW w:w="960" w:type="dxa"/>
            <w:vAlign w:val="bottom"/>
          </w:tcPr>
          <w:p>
            <w:pPr>
              <w:jc w:val="right"/>
              <w:ind w:right="140"/>
              <w:spacing w:after="0"/>
              <w:rPr>
                <w:sz w:val="20"/>
                <w:szCs w:val="20"/>
                <w:color w:val="auto"/>
              </w:rPr>
            </w:pPr>
            <w:r>
              <w:rPr>
                <w:rFonts w:ascii="Arial" w:cs="Arial" w:eastAsia="Arial" w:hAnsi="Arial"/>
                <w:sz w:val="13"/>
                <w:szCs w:val="13"/>
                <w:color w:val="auto"/>
              </w:rPr>
              <w:t>4/28/2021</w:t>
            </w: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192</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192</w:t>
            </w: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 xml:space="preserve">TradingScreen, Inc. </w:t>
            </w:r>
            <w:r>
              <w:rPr>
                <w:rFonts w:ascii="Arial" w:cs="Arial" w:eastAsia="Arial" w:hAnsi="Arial"/>
                <w:sz w:val="16"/>
                <w:szCs w:val="16"/>
                <w:color w:val="auto"/>
                <w:vertAlign w:val="superscript"/>
              </w:rPr>
              <w:t>(13)(14)(15)</w:t>
            </w:r>
          </w:p>
        </w:tc>
        <w:tc>
          <w:tcPr>
            <w:tcW w:w="242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Class A Units (600,000 units)</w:t>
            </w:r>
          </w:p>
        </w:tc>
        <w:tc>
          <w:tcPr>
            <w:tcW w:w="960" w:type="dxa"/>
            <w:vAlign w:val="bottom"/>
            <w:shd w:val="clear" w:color="auto" w:fill="CFF0FC"/>
          </w:tcPr>
          <w:p>
            <w:pPr>
              <w:jc w:val="right"/>
              <w:ind w:right="140"/>
              <w:spacing w:after="0"/>
              <w:rPr>
                <w:sz w:val="20"/>
                <w:szCs w:val="20"/>
                <w:color w:val="auto"/>
              </w:rPr>
            </w:pPr>
            <w:r>
              <w:rPr>
                <w:rFonts w:ascii="Arial" w:cs="Arial" w:eastAsia="Arial" w:hAnsi="Arial"/>
                <w:sz w:val="13"/>
                <w:szCs w:val="13"/>
                <w:color w:val="auto"/>
              </w:rPr>
              <w:t>5/14/2021</w:t>
            </w:r>
          </w:p>
        </w:tc>
        <w:tc>
          <w:tcPr>
            <w:tcW w:w="9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w:t>
            </w:r>
          </w:p>
        </w:tc>
        <w:tc>
          <w:tcPr>
            <w:tcW w:w="2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5,997</w:t>
            </w:r>
          </w:p>
        </w:tc>
        <w:tc>
          <w:tcPr>
            <w:tcW w:w="2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6,027</w:t>
            </w:r>
          </w:p>
        </w:tc>
        <w:tc>
          <w:tcPr>
            <w:tcW w:w="22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0.5 %</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Healthcare</w:t>
            </w:r>
          </w:p>
        </w:tc>
        <w:tc>
          <w:tcPr>
            <w:tcW w:w="660" w:type="dxa"/>
            <w:vAlign w:val="bottom"/>
            <w:shd w:val="clear" w:color="auto" w:fill="CFF0FC"/>
          </w:tcPr>
          <w:p>
            <w:pPr>
              <w:spacing w:after="0"/>
              <w:rPr>
                <w:sz w:val="12"/>
                <w:szCs w:val="12"/>
                <w:color w:val="auto"/>
              </w:rPr>
            </w:pPr>
          </w:p>
        </w:tc>
        <w:tc>
          <w:tcPr>
            <w:tcW w:w="17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Caris Life Sciences, Inc. </w:t>
            </w:r>
            <w:r>
              <w:rPr>
                <w:rFonts w:ascii="Arial" w:cs="Arial" w:eastAsia="Arial" w:hAnsi="Arial"/>
                <w:sz w:val="12"/>
                <w:szCs w:val="12"/>
                <w:color w:val="auto"/>
                <w:vertAlign w:val="superscript"/>
              </w:rPr>
              <w:t>(13)</w:t>
            </w:r>
          </w:p>
        </w:tc>
        <w:tc>
          <w:tcPr>
            <w:tcW w:w="2420" w:type="dxa"/>
            <w:vAlign w:val="bottom"/>
            <w:gridSpan w:val="2"/>
          </w:tcPr>
          <w:p>
            <w:pPr>
              <w:ind w:left="260"/>
              <w:spacing w:after="0" w:line="108" w:lineRule="exact"/>
              <w:rPr>
                <w:sz w:val="20"/>
                <w:szCs w:val="20"/>
                <w:color w:val="auto"/>
              </w:rPr>
            </w:pPr>
            <w:r>
              <w:rPr>
                <w:rFonts w:ascii="Arial" w:cs="Arial" w:eastAsia="Arial" w:hAnsi="Arial"/>
                <w:sz w:val="12"/>
                <w:szCs w:val="12"/>
                <w:color w:val="auto"/>
              </w:rPr>
              <w:t>Series C Preferred Shares (362,319</w:t>
            </w:r>
          </w:p>
        </w:tc>
        <w:tc>
          <w:tcPr>
            <w:tcW w:w="960" w:type="dxa"/>
            <w:vAlign w:val="bottom"/>
          </w:tcPr>
          <w:p>
            <w:pPr>
              <w:jc w:val="right"/>
              <w:ind w:right="140"/>
              <w:spacing w:after="0" w:line="108" w:lineRule="exact"/>
              <w:rPr>
                <w:sz w:val="20"/>
                <w:szCs w:val="20"/>
                <w:color w:val="auto"/>
              </w:rPr>
            </w:pPr>
            <w:r>
              <w:rPr>
                <w:rFonts w:ascii="Arial" w:cs="Arial" w:eastAsia="Arial" w:hAnsi="Arial"/>
                <w:sz w:val="12"/>
                <w:szCs w:val="12"/>
                <w:color w:val="auto"/>
              </w:rPr>
              <w:t>10/13/2020</w:t>
            </w:r>
          </w:p>
        </w:tc>
        <w:tc>
          <w:tcPr>
            <w:tcW w:w="9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1,000</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2,787</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0.2 %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140" w:type="dxa"/>
            <w:vAlign w:val="bottom"/>
          </w:tcPr>
          <w:p>
            <w:pPr>
              <w:spacing w:after="0"/>
              <w:rPr>
                <w:sz w:val="13"/>
                <w:szCs w:val="13"/>
                <w:color w:val="auto"/>
              </w:rPr>
            </w:pPr>
          </w:p>
        </w:tc>
        <w:tc>
          <w:tcPr>
            <w:tcW w:w="660" w:type="dxa"/>
            <w:vAlign w:val="bottom"/>
          </w:tcPr>
          <w:p>
            <w:pPr>
              <w:ind w:left="260"/>
              <w:spacing w:after="0"/>
              <w:rPr>
                <w:sz w:val="20"/>
                <w:szCs w:val="20"/>
                <w:color w:val="auto"/>
              </w:rPr>
            </w:pPr>
            <w:r>
              <w:rPr>
                <w:rFonts w:ascii="Arial" w:cs="Arial" w:eastAsia="Arial" w:hAnsi="Arial"/>
                <w:sz w:val="13"/>
                <w:szCs w:val="13"/>
                <w:color w:val="auto"/>
                <w:w w:val="87"/>
              </w:rPr>
              <w:t>shares)</w:t>
            </w:r>
          </w:p>
        </w:tc>
        <w:tc>
          <w:tcPr>
            <w:tcW w:w="1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140" w:type="dxa"/>
            <w:vAlign w:val="bottom"/>
            <w:shd w:val="clear" w:color="auto" w:fill="CFF0FC"/>
          </w:tcPr>
          <w:p>
            <w:pPr>
              <w:spacing w:after="0"/>
              <w:rPr>
                <w:sz w:val="9"/>
                <w:szCs w:val="9"/>
                <w:color w:val="auto"/>
              </w:rPr>
            </w:pPr>
          </w:p>
        </w:tc>
        <w:tc>
          <w:tcPr>
            <w:tcW w:w="2420" w:type="dxa"/>
            <w:vAlign w:val="bottom"/>
            <w:gridSpan w:val="2"/>
            <w:shd w:val="clear" w:color="auto" w:fill="CFF0FC"/>
          </w:tcPr>
          <w:p>
            <w:pPr>
              <w:ind w:left="260"/>
              <w:spacing w:after="0" w:line="110" w:lineRule="exact"/>
              <w:rPr>
                <w:sz w:val="20"/>
                <w:szCs w:val="20"/>
                <w:color w:val="auto"/>
              </w:rPr>
            </w:pPr>
            <w:r>
              <w:rPr>
                <w:rFonts w:ascii="Arial" w:cs="Arial" w:eastAsia="Arial" w:hAnsi="Arial"/>
                <w:sz w:val="12"/>
                <w:szCs w:val="12"/>
                <w:color w:val="auto"/>
              </w:rPr>
              <w:t>Series D Preferred Shares (1,240,740</w:t>
            </w:r>
          </w:p>
        </w:tc>
        <w:tc>
          <w:tcPr>
            <w:tcW w:w="960" w:type="dxa"/>
            <w:vAlign w:val="bottom"/>
            <w:shd w:val="clear" w:color="auto" w:fill="CFF0FC"/>
          </w:tcPr>
          <w:p>
            <w:pPr>
              <w:jc w:val="right"/>
              <w:ind w:right="140"/>
              <w:spacing w:after="0" w:line="110" w:lineRule="exact"/>
              <w:rPr>
                <w:sz w:val="20"/>
                <w:szCs w:val="20"/>
                <w:color w:val="auto"/>
              </w:rPr>
            </w:pPr>
            <w:r>
              <w:rPr>
                <w:rFonts w:ascii="Arial" w:cs="Arial" w:eastAsia="Arial" w:hAnsi="Arial"/>
                <w:sz w:val="12"/>
                <w:szCs w:val="12"/>
                <w:color w:val="auto"/>
              </w:rPr>
              <w:t>5/11/2021</w:t>
            </w:r>
          </w:p>
        </w:tc>
        <w:tc>
          <w:tcPr>
            <w:tcW w:w="9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0" w:lineRule="exact"/>
              <w:rPr>
                <w:sz w:val="20"/>
                <w:szCs w:val="20"/>
                <w:color w:val="auto"/>
              </w:rPr>
            </w:pPr>
            <w:r>
              <w:rPr>
                <w:rFonts w:ascii="Arial" w:cs="Arial" w:eastAsia="Arial" w:hAnsi="Arial"/>
                <w:sz w:val="12"/>
                <w:szCs w:val="12"/>
                <w:color w:val="auto"/>
              </w:rPr>
              <w:t>10,050</w:t>
            </w:r>
          </w:p>
        </w:tc>
        <w:tc>
          <w:tcPr>
            <w:tcW w:w="122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10,050</w:t>
            </w:r>
          </w:p>
        </w:tc>
        <w:tc>
          <w:tcPr>
            <w:tcW w:w="1300" w:type="dxa"/>
            <w:vAlign w:val="bottom"/>
            <w:gridSpan w:val="3"/>
            <w:shd w:val="clear" w:color="auto" w:fill="CFF0FC"/>
          </w:tcPr>
          <w:p>
            <w:pPr>
              <w:jc w:val="right"/>
              <w:spacing w:after="0" w:line="110" w:lineRule="exact"/>
              <w:rPr>
                <w:sz w:val="20"/>
                <w:szCs w:val="20"/>
                <w:color w:val="auto"/>
              </w:rPr>
            </w:pPr>
            <w:r>
              <w:rPr>
                <w:rFonts w:ascii="Arial" w:cs="Arial" w:eastAsia="Arial" w:hAnsi="Arial"/>
                <w:sz w:val="12"/>
                <w:szCs w:val="12"/>
                <w:color w:val="auto"/>
              </w:rPr>
              <w:t>0.8 %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spacing w:after="0"/>
              <w:rPr>
                <w:sz w:val="14"/>
                <w:szCs w:val="14"/>
                <w:color w:val="auto"/>
              </w:rPr>
            </w:pPr>
          </w:p>
        </w:tc>
        <w:tc>
          <w:tcPr>
            <w:tcW w:w="2420" w:type="dxa"/>
            <w:vAlign w:val="bottom"/>
            <w:gridSpan w:val="2"/>
            <w:shd w:val="clear" w:color="auto" w:fill="CFF0FC"/>
          </w:tcPr>
          <w:p>
            <w:pPr>
              <w:ind w:left="260"/>
              <w:spacing w:after="0" w:line="162" w:lineRule="exact"/>
              <w:rPr>
                <w:sz w:val="20"/>
                <w:szCs w:val="20"/>
                <w:color w:val="auto"/>
              </w:rPr>
            </w:pPr>
            <w:r>
              <w:rPr>
                <w:rFonts w:ascii="Arial" w:cs="Arial" w:eastAsia="Arial" w:hAnsi="Arial"/>
                <w:sz w:val="13"/>
                <w:szCs w:val="13"/>
                <w:color w:val="auto"/>
              </w:rPr>
              <w:t xml:space="preserve">shares) </w:t>
            </w:r>
            <w:r>
              <w:rPr>
                <w:rFonts w:ascii="Arial" w:cs="Arial" w:eastAsia="Arial" w:hAnsi="Arial"/>
                <w:sz w:val="16"/>
                <w:szCs w:val="16"/>
                <w:color w:val="auto"/>
                <w:vertAlign w:val="superscript"/>
              </w:rPr>
              <w:t>(14)</w:t>
            </w:r>
          </w:p>
        </w:tc>
        <w:tc>
          <w:tcPr>
            <w:tcW w:w="9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2420" w:type="dxa"/>
            <w:vAlign w:val="bottom"/>
            <w:gridSpan w:val="2"/>
          </w:tcPr>
          <w:p>
            <w:pPr>
              <w:ind w:left="260"/>
              <w:spacing w:after="0"/>
              <w:rPr>
                <w:sz w:val="20"/>
                <w:szCs w:val="20"/>
                <w:color w:val="auto"/>
              </w:rPr>
            </w:pPr>
            <w:r>
              <w:rPr>
                <w:rFonts w:ascii="Arial" w:cs="Arial" w:eastAsia="Arial" w:hAnsi="Arial"/>
                <w:sz w:val="13"/>
                <w:szCs w:val="13"/>
                <w:color w:val="auto"/>
              </w:rPr>
              <w:t>633,376 Warrants</w:t>
            </w:r>
          </w:p>
        </w:tc>
        <w:tc>
          <w:tcPr>
            <w:tcW w:w="960" w:type="dxa"/>
            <w:vAlign w:val="bottom"/>
          </w:tcPr>
          <w:p>
            <w:pPr>
              <w:jc w:val="right"/>
              <w:ind w:right="140"/>
              <w:spacing w:after="0"/>
              <w:rPr>
                <w:sz w:val="20"/>
                <w:szCs w:val="20"/>
                <w:color w:val="auto"/>
              </w:rPr>
            </w:pPr>
            <w:r>
              <w:rPr>
                <w:rFonts w:ascii="Arial" w:cs="Arial" w:eastAsia="Arial" w:hAnsi="Arial"/>
                <w:sz w:val="13"/>
                <w:szCs w:val="13"/>
                <w:color w:val="auto"/>
              </w:rPr>
              <w:t>9/21/2018</w:t>
            </w: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192</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3,602</w:t>
            </w: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0.3 %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569,991 Warrants</w:t>
            </w:r>
          </w:p>
        </w:tc>
        <w:tc>
          <w:tcPr>
            <w:tcW w:w="960" w:type="dxa"/>
            <w:vAlign w:val="bottom"/>
            <w:shd w:val="clear" w:color="auto" w:fill="CFF0FC"/>
          </w:tcPr>
          <w:p>
            <w:pPr>
              <w:jc w:val="right"/>
              <w:ind w:right="140"/>
              <w:spacing w:after="0"/>
              <w:rPr>
                <w:sz w:val="20"/>
                <w:szCs w:val="20"/>
                <w:color w:val="auto"/>
              </w:rPr>
            </w:pPr>
            <w:r>
              <w:rPr>
                <w:rFonts w:ascii="Arial" w:cs="Arial" w:eastAsia="Arial" w:hAnsi="Arial"/>
                <w:sz w:val="13"/>
                <w:szCs w:val="13"/>
                <w:color w:val="auto"/>
              </w:rPr>
              <w:t>4/2/2020</w:t>
            </w:r>
          </w:p>
        </w:tc>
        <w:tc>
          <w:tcPr>
            <w:tcW w:w="9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3,170</w:t>
            </w: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0.2 %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40" w:type="dxa"/>
            <w:vAlign w:val="bottom"/>
          </w:tcPr>
          <w:p>
            <w:pPr>
              <w:ind w:left="20"/>
              <w:spacing w:after="0" w:line="108" w:lineRule="exact"/>
              <w:rPr>
                <w:sz w:val="20"/>
                <w:szCs w:val="20"/>
                <w:color w:val="auto"/>
              </w:rPr>
            </w:pPr>
            <w:r>
              <w:rPr>
                <w:rFonts w:ascii="Arial" w:cs="Arial" w:eastAsia="Arial" w:hAnsi="Arial"/>
                <w:sz w:val="12"/>
                <w:szCs w:val="12"/>
                <w:color w:val="auto"/>
              </w:rPr>
              <w:t>Valant Medical Solutions,</w:t>
            </w:r>
          </w:p>
        </w:tc>
        <w:tc>
          <w:tcPr>
            <w:tcW w:w="2420" w:type="dxa"/>
            <w:vAlign w:val="bottom"/>
            <w:gridSpan w:val="2"/>
          </w:tcPr>
          <w:p>
            <w:pPr>
              <w:ind w:left="260"/>
              <w:spacing w:after="0" w:line="108" w:lineRule="exact"/>
              <w:rPr>
                <w:sz w:val="20"/>
                <w:szCs w:val="20"/>
                <w:color w:val="auto"/>
              </w:rPr>
            </w:pPr>
            <w:r>
              <w:rPr>
                <w:rFonts w:ascii="Arial" w:cs="Arial" w:eastAsia="Arial" w:hAnsi="Arial"/>
                <w:sz w:val="10"/>
                <w:szCs w:val="10"/>
                <w:color w:val="auto"/>
              </w:rPr>
              <w:t xml:space="preserve">Class A Units (77,144 units) </w:t>
            </w:r>
            <w:r>
              <w:rPr>
                <w:rFonts w:ascii="Arial" w:cs="Arial" w:eastAsia="Arial" w:hAnsi="Arial"/>
                <w:sz w:val="12"/>
                <w:szCs w:val="12"/>
                <w:color w:val="auto"/>
                <w:vertAlign w:val="superscript"/>
              </w:rPr>
              <w:t>(14)</w:t>
            </w:r>
          </w:p>
        </w:tc>
        <w:tc>
          <w:tcPr>
            <w:tcW w:w="960" w:type="dxa"/>
            <w:vAlign w:val="bottom"/>
          </w:tcPr>
          <w:p>
            <w:pPr>
              <w:jc w:val="right"/>
              <w:ind w:right="140"/>
              <w:spacing w:after="0" w:line="108" w:lineRule="exact"/>
              <w:rPr>
                <w:sz w:val="20"/>
                <w:szCs w:val="20"/>
                <w:color w:val="auto"/>
              </w:rPr>
            </w:pPr>
            <w:r>
              <w:rPr>
                <w:rFonts w:ascii="Arial" w:cs="Arial" w:eastAsia="Arial" w:hAnsi="Arial"/>
                <w:sz w:val="12"/>
                <w:szCs w:val="12"/>
                <w:color w:val="auto"/>
              </w:rPr>
              <w:t>3/10/2021</w:t>
            </w:r>
          </w:p>
        </w:tc>
        <w:tc>
          <w:tcPr>
            <w:tcW w:w="9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77</w:t>
            </w:r>
          </w:p>
        </w:tc>
        <w:tc>
          <w:tcPr>
            <w:tcW w:w="12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118</w:t>
            </w:r>
          </w:p>
        </w:tc>
        <w:tc>
          <w:tcPr>
            <w:tcW w:w="130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0.0 %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120"/>
              <w:spacing w:after="0" w:line="162" w:lineRule="exact"/>
              <w:rPr>
                <w:sz w:val="20"/>
                <w:szCs w:val="20"/>
                <w:color w:val="auto"/>
              </w:rPr>
            </w:pPr>
            <w:r>
              <w:rPr>
                <w:rFonts w:ascii="Arial" w:cs="Arial" w:eastAsia="Arial" w:hAnsi="Arial"/>
                <w:sz w:val="18"/>
                <w:szCs w:val="18"/>
                <w:color w:val="auto"/>
                <w:vertAlign w:val="subscript"/>
              </w:rPr>
              <w:t>Inc.</w:t>
            </w:r>
            <w:r>
              <w:rPr>
                <w:rFonts w:ascii="Arial" w:cs="Arial" w:eastAsia="Arial" w:hAnsi="Arial"/>
                <w:sz w:val="7"/>
                <w:szCs w:val="7"/>
                <w:color w:val="auto"/>
              </w:rPr>
              <w:t xml:space="preserve"> (13)(15)</w:t>
            </w:r>
          </w:p>
        </w:tc>
        <w:tc>
          <w:tcPr>
            <w:tcW w:w="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954,478 Warrants</w:t>
            </w:r>
          </w:p>
        </w:tc>
        <w:tc>
          <w:tcPr>
            <w:tcW w:w="960" w:type="dxa"/>
            <w:vAlign w:val="bottom"/>
            <w:shd w:val="clear" w:color="auto" w:fill="CFF0FC"/>
          </w:tcPr>
          <w:p>
            <w:pPr>
              <w:jc w:val="right"/>
              <w:ind w:right="140"/>
              <w:spacing w:after="0"/>
              <w:rPr>
                <w:sz w:val="20"/>
                <w:szCs w:val="20"/>
                <w:color w:val="auto"/>
              </w:rPr>
            </w:pPr>
            <w:r>
              <w:rPr>
                <w:rFonts w:ascii="Arial" w:cs="Arial" w:eastAsia="Arial" w:hAnsi="Arial"/>
                <w:sz w:val="13"/>
                <w:szCs w:val="13"/>
                <w:color w:val="auto"/>
              </w:rPr>
              <w:t>4/8/2019</w:t>
            </w:r>
          </w:p>
        </w:tc>
        <w:tc>
          <w:tcPr>
            <w:tcW w:w="9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w:t>
            </w:r>
          </w:p>
        </w:tc>
        <w:tc>
          <w:tcPr>
            <w:tcW w:w="2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11,850</w:t>
            </w:r>
          </w:p>
        </w:tc>
        <w:tc>
          <w:tcPr>
            <w:tcW w:w="2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20,229</w:t>
            </w:r>
          </w:p>
        </w:tc>
        <w:tc>
          <w:tcPr>
            <w:tcW w:w="22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1.5 %</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Hotel, Gaming and Leisure</w:t>
            </w:r>
          </w:p>
        </w:tc>
        <w:tc>
          <w:tcPr>
            <w:tcW w:w="660" w:type="dxa"/>
            <w:vAlign w:val="bottom"/>
            <w:shd w:val="clear" w:color="auto" w:fill="CFF0FC"/>
          </w:tcPr>
          <w:p>
            <w:pPr>
              <w:spacing w:after="0"/>
              <w:rPr>
                <w:sz w:val="12"/>
                <w:szCs w:val="12"/>
                <w:color w:val="auto"/>
              </w:rPr>
            </w:pPr>
          </w:p>
        </w:tc>
        <w:tc>
          <w:tcPr>
            <w:tcW w:w="17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20"/>
              <w:spacing w:after="0" w:line="148" w:lineRule="exact"/>
              <w:rPr>
                <w:sz w:val="20"/>
                <w:szCs w:val="20"/>
                <w:color w:val="auto"/>
              </w:rPr>
            </w:pPr>
            <w:r>
              <w:rPr>
                <w:rFonts w:ascii="Arial" w:cs="Arial" w:eastAsia="Arial" w:hAnsi="Arial"/>
                <w:sz w:val="13"/>
                <w:szCs w:val="13"/>
                <w:color w:val="auto"/>
              </w:rPr>
              <w:t xml:space="preserve">IRGSE Holding Corp. </w:t>
            </w:r>
            <w:r>
              <w:rPr>
                <w:rFonts w:ascii="Arial" w:cs="Arial" w:eastAsia="Arial" w:hAnsi="Arial"/>
                <w:sz w:val="16"/>
                <w:szCs w:val="16"/>
                <w:color w:val="auto"/>
                <w:vertAlign w:val="superscript"/>
              </w:rPr>
              <w:t>(7)(13)</w:t>
            </w:r>
          </w:p>
        </w:tc>
        <w:tc>
          <w:tcPr>
            <w:tcW w:w="2420" w:type="dxa"/>
            <w:vAlign w:val="bottom"/>
            <w:gridSpan w:val="2"/>
          </w:tcPr>
          <w:p>
            <w:pPr>
              <w:ind w:left="260"/>
              <w:spacing w:after="0"/>
              <w:rPr>
                <w:sz w:val="20"/>
                <w:szCs w:val="20"/>
                <w:color w:val="auto"/>
              </w:rPr>
            </w:pPr>
            <w:r>
              <w:rPr>
                <w:rFonts w:ascii="Arial" w:cs="Arial" w:eastAsia="Arial" w:hAnsi="Arial"/>
                <w:sz w:val="13"/>
                <w:szCs w:val="13"/>
                <w:color w:val="auto"/>
              </w:rPr>
              <w:t>Class A Units (33,790,171 units)</w:t>
            </w:r>
          </w:p>
        </w:tc>
        <w:tc>
          <w:tcPr>
            <w:tcW w:w="960" w:type="dxa"/>
            <w:vAlign w:val="bottom"/>
          </w:tcPr>
          <w:p>
            <w:pPr>
              <w:jc w:val="right"/>
              <w:ind w:right="140"/>
              <w:spacing w:after="0"/>
              <w:rPr>
                <w:sz w:val="20"/>
                <w:szCs w:val="20"/>
                <w:color w:val="auto"/>
              </w:rPr>
            </w:pPr>
            <w:r>
              <w:rPr>
                <w:rFonts w:ascii="Arial" w:cs="Arial" w:eastAsia="Arial" w:hAnsi="Arial"/>
                <w:sz w:val="13"/>
                <w:szCs w:val="13"/>
                <w:color w:val="auto"/>
              </w:rPr>
              <w:t>12/21/2018</w:t>
            </w: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21,842</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17,148</w:t>
            </w: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1.4 %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Class C-1 Units (8,800,000 units)</w:t>
            </w:r>
          </w:p>
        </w:tc>
        <w:tc>
          <w:tcPr>
            <w:tcW w:w="960" w:type="dxa"/>
            <w:vAlign w:val="bottom"/>
            <w:shd w:val="clear" w:color="auto" w:fill="CFF0FC"/>
          </w:tcPr>
          <w:p>
            <w:pPr>
              <w:jc w:val="right"/>
              <w:ind w:right="140"/>
              <w:spacing w:after="0"/>
              <w:rPr>
                <w:sz w:val="20"/>
                <w:szCs w:val="20"/>
                <w:color w:val="auto"/>
              </w:rPr>
            </w:pPr>
            <w:r>
              <w:rPr>
                <w:rFonts w:ascii="Arial" w:cs="Arial" w:eastAsia="Arial" w:hAnsi="Arial"/>
                <w:sz w:val="13"/>
                <w:szCs w:val="13"/>
                <w:color w:val="auto"/>
              </w:rPr>
              <w:t>12/21/2018</w:t>
            </w:r>
          </w:p>
        </w:tc>
        <w:tc>
          <w:tcPr>
            <w:tcW w:w="9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w:t>
            </w:r>
          </w:p>
        </w:tc>
        <w:tc>
          <w:tcPr>
            <w:tcW w:w="2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21,942</w:t>
            </w:r>
          </w:p>
        </w:tc>
        <w:tc>
          <w:tcPr>
            <w:tcW w:w="2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17,191</w:t>
            </w:r>
          </w:p>
        </w:tc>
        <w:tc>
          <w:tcPr>
            <w:tcW w:w="22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1.4 %</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w w:val="96"/>
              </w:rPr>
              <w:t>Human Resource Support Services</w:t>
            </w:r>
          </w:p>
        </w:tc>
        <w:tc>
          <w:tcPr>
            <w:tcW w:w="660" w:type="dxa"/>
            <w:vAlign w:val="bottom"/>
            <w:shd w:val="clear" w:color="auto" w:fill="CFF0FC"/>
          </w:tcPr>
          <w:p>
            <w:pPr>
              <w:spacing w:after="0"/>
              <w:rPr>
                <w:sz w:val="12"/>
                <w:szCs w:val="12"/>
                <w:color w:val="auto"/>
              </w:rPr>
            </w:pPr>
          </w:p>
        </w:tc>
        <w:tc>
          <w:tcPr>
            <w:tcW w:w="17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20"/>
              <w:spacing w:after="0" w:line="149" w:lineRule="exact"/>
              <w:rPr>
                <w:sz w:val="20"/>
                <w:szCs w:val="20"/>
                <w:color w:val="auto"/>
              </w:rPr>
            </w:pPr>
            <w:r>
              <w:rPr>
                <w:rFonts w:ascii="Arial" w:cs="Arial" w:eastAsia="Arial" w:hAnsi="Arial"/>
                <w:sz w:val="17"/>
                <w:szCs w:val="17"/>
                <w:color w:val="auto"/>
                <w:vertAlign w:val="subscript"/>
              </w:rPr>
              <w:t>Axonify, Inc.</w:t>
            </w:r>
            <w:r>
              <w:rPr>
                <w:rFonts w:ascii="Arial" w:cs="Arial" w:eastAsia="Arial" w:hAnsi="Arial"/>
                <w:sz w:val="7"/>
                <w:szCs w:val="7"/>
                <w:color w:val="auto"/>
              </w:rPr>
              <w:t xml:space="preserve"> (4)(13)(14)(15)</w:t>
            </w:r>
          </w:p>
        </w:tc>
        <w:tc>
          <w:tcPr>
            <w:tcW w:w="2420" w:type="dxa"/>
            <w:vAlign w:val="bottom"/>
            <w:gridSpan w:val="2"/>
          </w:tcPr>
          <w:p>
            <w:pPr>
              <w:ind w:left="260"/>
              <w:spacing w:after="0"/>
              <w:rPr>
                <w:sz w:val="20"/>
                <w:szCs w:val="20"/>
                <w:color w:val="auto"/>
              </w:rPr>
            </w:pPr>
            <w:r>
              <w:rPr>
                <w:rFonts w:ascii="Arial" w:cs="Arial" w:eastAsia="Arial" w:hAnsi="Arial"/>
                <w:sz w:val="13"/>
                <w:szCs w:val="13"/>
                <w:color w:val="auto"/>
              </w:rPr>
              <w:t>Class A-1 Units (3,780,000 units)</w:t>
            </w:r>
          </w:p>
        </w:tc>
        <w:tc>
          <w:tcPr>
            <w:tcW w:w="960" w:type="dxa"/>
            <w:vAlign w:val="bottom"/>
          </w:tcPr>
          <w:p>
            <w:pPr>
              <w:jc w:val="right"/>
              <w:ind w:right="140"/>
              <w:spacing w:after="0"/>
              <w:rPr>
                <w:sz w:val="20"/>
                <w:szCs w:val="20"/>
                <w:color w:val="auto"/>
              </w:rPr>
            </w:pPr>
            <w:r>
              <w:rPr>
                <w:rFonts w:ascii="Arial" w:cs="Arial" w:eastAsia="Arial" w:hAnsi="Arial"/>
                <w:sz w:val="13"/>
                <w:szCs w:val="13"/>
                <w:color w:val="auto"/>
              </w:rPr>
              <w:t>5/5/2021</w:t>
            </w: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3,780</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3,780</w:t>
            </w: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0.3 %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40" w:type="dxa"/>
            <w:vAlign w:val="bottom"/>
            <w:shd w:val="clear" w:color="auto" w:fill="CFF0FC"/>
          </w:tcPr>
          <w:p>
            <w:pPr>
              <w:ind w:left="20"/>
              <w:spacing w:after="0" w:line="108" w:lineRule="exact"/>
              <w:rPr>
                <w:sz w:val="20"/>
                <w:szCs w:val="20"/>
                <w:color w:val="auto"/>
              </w:rPr>
            </w:pPr>
            <w:r>
              <w:rPr>
                <w:rFonts w:ascii="Arial" w:cs="Arial" w:eastAsia="Arial" w:hAnsi="Arial"/>
                <w:sz w:val="10"/>
                <w:szCs w:val="10"/>
                <w:color w:val="auto"/>
              </w:rPr>
              <w:t xml:space="preserve">ClearCompany, LLC </w:t>
            </w:r>
            <w:r>
              <w:rPr>
                <w:rFonts w:ascii="Arial" w:cs="Arial" w:eastAsia="Arial" w:hAnsi="Arial"/>
                <w:sz w:val="12"/>
                <w:szCs w:val="12"/>
                <w:color w:val="auto"/>
                <w:vertAlign w:val="superscript"/>
              </w:rPr>
              <w:t>(13)(15)</w:t>
            </w:r>
          </w:p>
        </w:tc>
        <w:tc>
          <w:tcPr>
            <w:tcW w:w="2420" w:type="dxa"/>
            <w:vAlign w:val="bottom"/>
            <w:gridSpan w:val="2"/>
            <w:shd w:val="clear" w:color="auto" w:fill="CFF0FC"/>
          </w:tcPr>
          <w:p>
            <w:pPr>
              <w:ind w:left="260"/>
              <w:spacing w:after="0" w:line="108" w:lineRule="exact"/>
              <w:rPr>
                <w:sz w:val="20"/>
                <w:szCs w:val="20"/>
                <w:color w:val="auto"/>
              </w:rPr>
            </w:pPr>
            <w:r>
              <w:rPr>
                <w:rFonts w:ascii="Arial" w:cs="Arial" w:eastAsia="Arial" w:hAnsi="Arial"/>
                <w:sz w:val="12"/>
                <w:szCs w:val="12"/>
                <w:color w:val="auto"/>
              </w:rPr>
              <w:t>Series A Preferred Units (1,429,228</w:t>
            </w:r>
          </w:p>
        </w:tc>
        <w:tc>
          <w:tcPr>
            <w:tcW w:w="960" w:type="dxa"/>
            <w:vAlign w:val="bottom"/>
            <w:shd w:val="clear" w:color="auto" w:fill="CFF0FC"/>
          </w:tcPr>
          <w:p>
            <w:pPr>
              <w:jc w:val="right"/>
              <w:ind w:right="140"/>
              <w:spacing w:after="0" w:line="108" w:lineRule="exact"/>
              <w:rPr>
                <w:sz w:val="20"/>
                <w:szCs w:val="20"/>
                <w:color w:val="auto"/>
              </w:rPr>
            </w:pPr>
            <w:r>
              <w:rPr>
                <w:rFonts w:ascii="Arial" w:cs="Arial" w:eastAsia="Arial" w:hAnsi="Arial"/>
                <w:sz w:val="12"/>
                <w:szCs w:val="12"/>
                <w:color w:val="auto"/>
              </w:rPr>
              <w:t>8/24/2018</w:t>
            </w:r>
          </w:p>
        </w:tc>
        <w:tc>
          <w:tcPr>
            <w:tcW w:w="9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2,014</w:t>
            </w:r>
          </w:p>
        </w:tc>
        <w:tc>
          <w:tcPr>
            <w:tcW w:w="122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5,035</w:t>
            </w:r>
          </w:p>
        </w:tc>
        <w:tc>
          <w:tcPr>
            <w:tcW w:w="1300" w:type="dxa"/>
            <w:vAlign w:val="bottom"/>
            <w:gridSpan w:val="3"/>
            <w:shd w:val="clear" w:color="auto" w:fill="CFF0FC"/>
          </w:tcPr>
          <w:p>
            <w:pPr>
              <w:jc w:val="right"/>
              <w:spacing w:after="0" w:line="108" w:lineRule="exact"/>
              <w:rPr>
                <w:sz w:val="20"/>
                <w:szCs w:val="20"/>
                <w:color w:val="auto"/>
              </w:rPr>
            </w:pPr>
            <w:r>
              <w:rPr>
                <w:rFonts w:ascii="Arial" w:cs="Arial" w:eastAsia="Arial" w:hAnsi="Arial"/>
                <w:sz w:val="12"/>
                <w:szCs w:val="12"/>
                <w:color w:val="auto"/>
              </w:rPr>
              <w:t>0.4 %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spacing w:after="0"/>
              <w:rPr>
                <w:sz w:val="14"/>
                <w:szCs w:val="14"/>
                <w:color w:val="auto"/>
              </w:rPr>
            </w:pPr>
          </w:p>
        </w:tc>
        <w:tc>
          <w:tcPr>
            <w:tcW w:w="6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units)</w:t>
            </w:r>
          </w:p>
        </w:tc>
        <w:tc>
          <w:tcPr>
            <w:tcW w:w="17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40" w:type="dxa"/>
            <w:vAlign w:val="bottom"/>
          </w:tcPr>
          <w:p>
            <w:pPr>
              <w:ind w:left="20"/>
              <w:spacing w:after="0" w:line="148" w:lineRule="exact"/>
              <w:rPr>
                <w:sz w:val="20"/>
                <w:szCs w:val="20"/>
                <w:color w:val="auto"/>
              </w:rPr>
            </w:pPr>
            <w:r>
              <w:rPr>
                <w:rFonts w:ascii="Arial" w:cs="Arial" w:eastAsia="Arial" w:hAnsi="Arial"/>
                <w:sz w:val="13"/>
                <w:szCs w:val="13"/>
                <w:color w:val="auto"/>
              </w:rPr>
              <w:t xml:space="preserve">DaySmart Holdings, LLC </w:t>
            </w:r>
            <w:r>
              <w:rPr>
                <w:rFonts w:ascii="Arial" w:cs="Arial" w:eastAsia="Arial" w:hAnsi="Arial"/>
                <w:sz w:val="16"/>
                <w:szCs w:val="16"/>
                <w:color w:val="auto"/>
                <w:vertAlign w:val="superscript"/>
              </w:rPr>
              <w:t>(13)(14)(15)</w:t>
            </w:r>
          </w:p>
        </w:tc>
        <w:tc>
          <w:tcPr>
            <w:tcW w:w="2420" w:type="dxa"/>
            <w:vAlign w:val="bottom"/>
            <w:gridSpan w:val="2"/>
          </w:tcPr>
          <w:p>
            <w:pPr>
              <w:ind w:left="260"/>
              <w:spacing w:after="0"/>
              <w:rPr>
                <w:sz w:val="20"/>
                <w:szCs w:val="20"/>
                <w:color w:val="auto"/>
              </w:rPr>
            </w:pPr>
            <w:r>
              <w:rPr>
                <w:rFonts w:ascii="Arial" w:cs="Arial" w:eastAsia="Arial" w:hAnsi="Arial"/>
                <w:sz w:val="13"/>
                <w:szCs w:val="13"/>
                <w:color w:val="auto"/>
              </w:rPr>
              <w:t>Class A Units (166,811 units)</w:t>
            </w:r>
          </w:p>
        </w:tc>
        <w:tc>
          <w:tcPr>
            <w:tcW w:w="960" w:type="dxa"/>
            <w:vAlign w:val="bottom"/>
          </w:tcPr>
          <w:p>
            <w:pPr>
              <w:jc w:val="right"/>
              <w:ind w:right="140"/>
              <w:spacing w:after="0"/>
              <w:rPr>
                <w:sz w:val="20"/>
                <w:szCs w:val="20"/>
                <w:color w:val="auto"/>
              </w:rPr>
            </w:pPr>
            <w:r>
              <w:rPr>
                <w:rFonts w:ascii="Arial" w:cs="Arial" w:eastAsia="Arial" w:hAnsi="Arial"/>
                <w:sz w:val="13"/>
                <w:szCs w:val="13"/>
                <w:color w:val="auto"/>
              </w:rPr>
              <w:t>10/1/2019</w:t>
            </w: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1,347</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2,047</w:t>
            </w:r>
          </w:p>
        </w:tc>
        <w:tc>
          <w:tcPr>
            <w:tcW w:w="1300" w:type="dxa"/>
            <w:vAlign w:val="bottom"/>
            <w:gridSpan w:val="3"/>
          </w:tcPr>
          <w:p>
            <w:pPr>
              <w:jc w:val="right"/>
              <w:spacing w:after="0"/>
              <w:rPr>
                <w:sz w:val="20"/>
                <w:szCs w:val="20"/>
                <w:color w:val="auto"/>
              </w:rPr>
            </w:pPr>
            <w:r>
              <w:rPr>
                <w:rFonts w:ascii="Arial" w:cs="Arial" w:eastAsia="Arial" w:hAnsi="Arial"/>
                <w:sz w:val="13"/>
                <w:szCs w:val="13"/>
                <w:color w:val="auto"/>
              </w:rPr>
              <w:t>0.2 %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176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CFF0FC"/>
            </w:tcBorders>
            <w:shd w:val="clear" w:color="auto" w:fill="CFF0FC"/>
          </w:tcPr>
          <w:p>
            <w:pPr>
              <w:spacing w:after="0"/>
              <w:rPr>
                <w:sz w:val="12"/>
                <w:szCs w:val="12"/>
                <w:color w:val="auto"/>
              </w:rPr>
            </w:pPr>
          </w:p>
        </w:tc>
        <w:tc>
          <w:tcPr>
            <w:tcW w:w="138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7,141</w:t>
            </w:r>
          </w:p>
        </w:tc>
        <w:tc>
          <w:tcPr>
            <w:tcW w:w="2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10,862</w:t>
            </w:r>
          </w:p>
        </w:tc>
        <w:tc>
          <w:tcPr>
            <w:tcW w:w="22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Internet Services</w:t>
            </w:r>
          </w:p>
        </w:tc>
        <w:tc>
          <w:tcPr>
            <w:tcW w:w="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-7164705</wp:posOffset>
            </wp:positionV>
            <wp:extent cx="6858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-7164705</wp:posOffset>
            </wp:positionV>
            <wp:extent cx="6858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-7164705</wp:posOffset>
            </wp:positionV>
            <wp:extent cx="6858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-5073015</wp:posOffset>
            </wp:positionV>
            <wp:extent cx="6858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-5073015</wp:posOffset>
            </wp:positionV>
            <wp:extent cx="6858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-5073015</wp:posOffset>
            </wp:positionV>
            <wp:extent cx="6858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-4224020</wp:posOffset>
            </wp:positionV>
            <wp:extent cx="6858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-4224020</wp:posOffset>
            </wp:positionV>
            <wp:extent cx="6858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-4224020</wp:posOffset>
            </wp:positionV>
            <wp:extent cx="6858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-3289935</wp:posOffset>
            </wp:positionV>
            <wp:extent cx="6858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-3289935</wp:posOffset>
            </wp:positionV>
            <wp:extent cx="6858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-3289935</wp:posOffset>
            </wp:positionV>
            <wp:extent cx="6858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-2827020</wp:posOffset>
            </wp:positionV>
            <wp:extent cx="6858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-2827020</wp:posOffset>
            </wp:positionV>
            <wp:extent cx="6858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-2827020</wp:posOffset>
            </wp:positionV>
            <wp:extent cx="6858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-2175510</wp:posOffset>
            </wp:positionV>
            <wp:extent cx="6858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-2175510</wp:posOffset>
            </wp:positionV>
            <wp:extent cx="6858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-2175510</wp:posOffset>
            </wp:positionV>
            <wp:extent cx="6858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-1172210</wp:posOffset>
            </wp:positionV>
            <wp:extent cx="6858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-1172210</wp:posOffset>
            </wp:positionV>
            <wp:extent cx="6858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-1172210</wp:posOffset>
            </wp:positionV>
            <wp:extent cx="6858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-777875</wp:posOffset>
            </wp:positionV>
            <wp:extent cx="6858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-777875</wp:posOffset>
            </wp:positionV>
            <wp:extent cx="6858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-777875</wp:posOffset>
            </wp:positionV>
            <wp:extent cx="6858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-109220</wp:posOffset>
            </wp:positionV>
            <wp:extent cx="6858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-109220</wp:posOffset>
            </wp:positionV>
            <wp:extent cx="6858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-109220</wp:posOffset>
            </wp:positionV>
            <wp:extent cx="6858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49"/>
        </w:trPr>
        <w:tc>
          <w:tcPr>
            <w:tcW w:w="2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Bayshore Intermediate #2,</w:t>
            </w:r>
          </w:p>
        </w:tc>
        <w:tc>
          <w:tcPr>
            <w:tcW w:w="2420" w:type="dxa"/>
            <w:vAlign w:val="bottom"/>
            <w:gridSpan w:val="3"/>
            <w:shd w:val="clear" w:color="auto" w:fill="CFF0FC"/>
          </w:tcPr>
          <w:p>
            <w:pPr>
              <w:ind w:left="200"/>
              <w:spacing w:after="0"/>
              <w:rPr>
                <w:sz w:val="20"/>
                <w:szCs w:val="20"/>
                <w:color w:val="auto"/>
              </w:rPr>
            </w:pPr>
            <w:r>
              <w:rPr>
                <w:rFonts w:ascii="Arial" w:cs="Arial" w:eastAsia="Arial" w:hAnsi="Arial"/>
                <w:sz w:val="13"/>
                <w:szCs w:val="13"/>
                <w:color w:val="auto"/>
              </w:rPr>
              <w:t>Common Units (12,330,709 units)</w:t>
            </w:r>
          </w:p>
        </w:tc>
        <w:tc>
          <w:tcPr>
            <w:tcW w:w="1160" w:type="dxa"/>
            <w:vAlign w:val="bottom"/>
            <w:gridSpan w:val="2"/>
            <w:shd w:val="clear" w:color="auto" w:fill="CFF0FC"/>
          </w:tcPr>
          <w:p>
            <w:pPr>
              <w:jc w:val="right"/>
              <w:ind w:right="382"/>
              <w:spacing w:after="0"/>
              <w:rPr>
                <w:sz w:val="20"/>
                <w:szCs w:val="20"/>
                <w:color w:val="auto"/>
              </w:rPr>
            </w:pPr>
            <w:r>
              <w:rPr>
                <w:rFonts w:ascii="Arial" w:cs="Arial" w:eastAsia="Arial" w:hAnsi="Arial"/>
                <w:sz w:val="13"/>
                <w:szCs w:val="13"/>
                <w:color w:val="auto"/>
              </w:rPr>
              <w:t>10/1/2021</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12,331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12,331</w:t>
            </w:r>
          </w:p>
        </w:tc>
        <w:tc>
          <w:tcPr>
            <w:tcW w:w="12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ind w:left="120"/>
              <w:spacing w:after="0" w:line="162" w:lineRule="exact"/>
              <w:rPr>
                <w:sz w:val="20"/>
                <w:szCs w:val="20"/>
                <w:color w:val="auto"/>
              </w:rPr>
            </w:pPr>
            <w:r>
              <w:rPr>
                <w:rFonts w:ascii="Arial" w:cs="Arial" w:eastAsia="Arial" w:hAnsi="Arial"/>
                <w:sz w:val="18"/>
                <w:szCs w:val="18"/>
                <w:color w:val="auto"/>
                <w:vertAlign w:val="subscript"/>
              </w:rPr>
              <w:t>L.P.</w:t>
            </w:r>
            <w:r>
              <w:rPr>
                <w:rFonts w:ascii="Arial" w:cs="Arial" w:eastAsia="Arial" w:hAnsi="Arial"/>
                <w:sz w:val="7"/>
                <w:szCs w:val="7"/>
                <w:color w:val="auto"/>
              </w:rPr>
              <w:t xml:space="preserve"> (13)(14)(15)</w:t>
            </w: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0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Lucidworks, Inc. </w:t>
            </w:r>
            <w:r>
              <w:rPr>
                <w:rFonts w:ascii="Arial" w:cs="Arial" w:eastAsia="Arial" w:hAnsi="Arial"/>
                <w:sz w:val="12"/>
                <w:szCs w:val="12"/>
                <w:color w:val="auto"/>
                <w:vertAlign w:val="superscript"/>
              </w:rPr>
              <w:t>(13)</w:t>
            </w:r>
          </w:p>
        </w:tc>
        <w:tc>
          <w:tcPr>
            <w:tcW w:w="2420" w:type="dxa"/>
            <w:vAlign w:val="bottom"/>
            <w:gridSpan w:val="3"/>
          </w:tcPr>
          <w:p>
            <w:pPr>
              <w:ind w:left="200"/>
              <w:spacing w:after="0" w:line="108" w:lineRule="exact"/>
              <w:rPr>
                <w:sz w:val="20"/>
                <w:szCs w:val="20"/>
                <w:color w:val="auto"/>
              </w:rPr>
            </w:pPr>
            <w:r>
              <w:rPr>
                <w:rFonts w:ascii="Arial" w:cs="Arial" w:eastAsia="Arial" w:hAnsi="Arial"/>
                <w:sz w:val="12"/>
                <w:szCs w:val="12"/>
                <w:color w:val="auto"/>
              </w:rPr>
              <w:t>Series F Preferred Shares (199,054</w:t>
            </w:r>
          </w:p>
        </w:tc>
        <w:tc>
          <w:tcPr>
            <w:tcW w:w="1160" w:type="dxa"/>
            <w:vAlign w:val="bottom"/>
            <w:gridSpan w:val="2"/>
          </w:tcPr>
          <w:p>
            <w:pPr>
              <w:jc w:val="right"/>
              <w:ind w:right="382"/>
              <w:spacing w:after="0" w:line="108" w:lineRule="exact"/>
              <w:rPr>
                <w:sz w:val="20"/>
                <w:szCs w:val="20"/>
                <w:color w:val="auto"/>
              </w:rPr>
            </w:pPr>
            <w:r>
              <w:rPr>
                <w:rFonts w:ascii="Arial" w:cs="Arial" w:eastAsia="Arial" w:hAnsi="Arial"/>
                <w:sz w:val="12"/>
                <w:szCs w:val="12"/>
                <w:color w:val="auto"/>
              </w:rPr>
              <w:t>8/2/2019</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800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820</w:t>
            </w:r>
          </w:p>
        </w:tc>
        <w:tc>
          <w:tcPr>
            <w:tcW w:w="120" w:type="dxa"/>
            <w:vAlign w:val="bottom"/>
          </w:tcPr>
          <w:p>
            <w:pPr>
              <w:spacing w:after="0"/>
              <w:rPr>
                <w:sz w:val="9"/>
                <w:szCs w:val="9"/>
                <w:color w:val="auto"/>
              </w:rPr>
            </w:pPr>
          </w:p>
        </w:tc>
        <w:tc>
          <w:tcPr>
            <w:tcW w:w="118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0.1 %</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20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Arial" w:cs="Arial" w:eastAsia="Arial" w:hAnsi="Arial"/>
                <w:sz w:val="13"/>
                <w:szCs w:val="13"/>
                <w:color w:val="auto"/>
              </w:rPr>
              <w:t>shares)</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200" w:type="dxa"/>
            <w:vAlign w:val="bottom"/>
            <w:shd w:val="clear" w:color="auto" w:fill="CFF0FC"/>
          </w:tcPr>
          <w:p>
            <w:pPr>
              <w:ind w:left="20"/>
              <w:spacing w:after="0" w:line="110" w:lineRule="exact"/>
              <w:rPr>
                <w:sz w:val="20"/>
                <w:szCs w:val="20"/>
                <w:color w:val="auto"/>
              </w:rPr>
            </w:pPr>
            <w:r>
              <w:rPr>
                <w:rFonts w:ascii="Arial" w:cs="Arial" w:eastAsia="Arial" w:hAnsi="Arial"/>
                <w:sz w:val="10"/>
                <w:szCs w:val="10"/>
                <w:color w:val="auto"/>
              </w:rPr>
              <w:t xml:space="preserve">Piano Software, Inc. </w:t>
            </w:r>
            <w:r>
              <w:rPr>
                <w:rFonts w:ascii="Arial" w:cs="Arial" w:eastAsia="Arial" w:hAnsi="Arial"/>
                <w:sz w:val="12"/>
                <w:szCs w:val="12"/>
                <w:color w:val="auto"/>
                <w:vertAlign w:val="superscript"/>
              </w:rPr>
              <w:t>(13)(14)</w:t>
            </w:r>
          </w:p>
        </w:tc>
        <w:tc>
          <w:tcPr>
            <w:tcW w:w="2420" w:type="dxa"/>
            <w:vAlign w:val="bottom"/>
            <w:gridSpan w:val="3"/>
            <w:shd w:val="clear" w:color="auto" w:fill="CFF0FC"/>
          </w:tcPr>
          <w:p>
            <w:pPr>
              <w:ind w:left="200"/>
              <w:spacing w:after="0" w:line="110" w:lineRule="exact"/>
              <w:rPr>
                <w:sz w:val="20"/>
                <w:szCs w:val="20"/>
                <w:color w:val="auto"/>
              </w:rPr>
            </w:pPr>
            <w:r>
              <w:rPr>
                <w:rFonts w:ascii="Arial" w:cs="Arial" w:eastAsia="Arial" w:hAnsi="Arial"/>
                <w:sz w:val="12"/>
                <w:szCs w:val="12"/>
                <w:color w:val="auto"/>
              </w:rPr>
              <w:t>Series C-1 Preferred Shares (418,527</w:t>
            </w:r>
          </w:p>
        </w:tc>
        <w:tc>
          <w:tcPr>
            <w:tcW w:w="1160" w:type="dxa"/>
            <w:vAlign w:val="bottom"/>
            <w:gridSpan w:val="2"/>
            <w:shd w:val="clear" w:color="auto" w:fill="CFF0FC"/>
          </w:tcPr>
          <w:p>
            <w:pPr>
              <w:jc w:val="right"/>
              <w:ind w:right="382"/>
              <w:spacing w:after="0" w:line="110" w:lineRule="exact"/>
              <w:rPr>
                <w:sz w:val="20"/>
                <w:szCs w:val="20"/>
                <w:color w:val="auto"/>
              </w:rPr>
            </w:pPr>
            <w:r>
              <w:rPr>
                <w:rFonts w:ascii="Arial" w:cs="Arial" w:eastAsia="Arial" w:hAnsi="Arial"/>
                <w:sz w:val="12"/>
                <w:szCs w:val="12"/>
                <w:color w:val="auto"/>
              </w:rPr>
              <w:t>12/22/2021</w:t>
            </w: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tcBorders>
              <w:right w:val="single" w:sz="8" w:color="CFF0FC"/>
            </w:tcBorders>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3,000</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spacing w:after="0" w:line="110" w:lineRule="exact"/>
              <w:rPr>
                <w:sz w:val="20"/>
                <w:szCs w:val="20"/>
                <w:color w:val="auto"/>
              </w:rPr>
            </w:pPr>
            <w:r>
              <w:rPr>
                <w:rFonts w:ascii="Arial" w:cs="Arial" w:eastAsia="Arial" w:hAnsi="Arial"/>
                <w:sz w:val="12"/>
                <w:szCs w:val="12"/>
                <w:color w:val="auto"/>
              </w:rPr>
              <w:t>3,000</w:t>
            </w:r>
          </w:p>
        </w:tc>
        <w:tc>
          <w:tcPr>
            <w:tcW w:w="120" w:type="dxa"/>
            <w:vAlign w:val="bottom"/>
            <w:shd w:val="clear" w:color="auto" w:fill="CFF0FC"/>
          </w:tcPr>
          <w:p>
            <w:pPr>
              <w:spacing w:after="0"/>
              <w:rPr>
                <w:sz w:val="9"/>
                <w:szCs w:val="9"/>
                <w:color w:val="auto"/>
              </w:rPr>
            </w:pPr>
          </w:p>
        </w:tc>
        <w:tc>
          <w:tcPr>
            <w:tcW w:w="1180" w:type="dxa"/>
            <w:vAlign w:val="bottom"/>
            <w:gridSpan w:val="3"/>
            <w:shd w:val="clear" w:color="auto" w:fill="CFF0FC"/>
          </w:tcPr>
          <w:p>
            <w:pPr>
              <w:jc w:val="right"/>
              <w:spacing w:after="0" w:line="110" w:lineRule="exact"/>
              <w:rPr>
                <w:sz w:val="20"/>
                <w:szCs w:val="20"/>
                <w:color w:val="auto"/>
              </w:rPr>
            </w:pPr>
            <w:r>
              <w:rPr>
                <w:rFonts w:ascii="Arial" w:cs="Arial" w:eastAsia="Arial" w:hAnsi="Arial"/>
                <w:sz w:val="12"/>
                <w:szCs w:val="12"/>
                <w:color w:val="auto"/>
              </w:rPr>
              <w:t>0.2 %</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00" w:type="dxa"/>
            <w:vAlign w:val="bottom"/>
            <w:tcBorders>
              <w:bottom w:val="single" w:sz="8" w:color="CFF0FC"/>
            </w:tcBorders>
            <w:shd w:val="clear" w:color="auto" w:fill="CFF0FC"/>
          </w:tcPr>
          <w:p>
            <w:pPr>
              <w:spacing w:after="0"/>
              <w:rPr>
                <w:sz w:val="12"/>
                <w:szCs w:val="12"/>
                <w:color w:val="auto"/>
              </w:rPr>
            </w:pPr>
          </w:p>
        </w:tc>
        <w:tc>
          <w:tcPr>
            <w:tcW w:w="12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3"/>
                <w:szCs w:val="13"/>
                <w:color w:val="auto"/>
              </w:rPr>
              <w:t>shares)</w:t>
            </w:r>
          </w:p>
        </w:tc>
        <w:tc>
          <w:tcPr>
            <w:tcW w:w="1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right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16,131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16,151</w:t>
            </w:r>
          </w:p>
        </w:tc>
        <w:tc>
          <w:tcPr>
            <w:tcW w:w="120" w:type="dxa"/>
            <w:vAlign w:val="bottom"/>
          </w:tcPr>
          <w:p>
            <w:pPr>
              <w:spacing w:after="0"/>
              <w:rPr>
                <w:sz w:val="12"/>
                <w:szCs w:val="12"/>
                <w:color w:val="auto"/>
              </w:rPr>
            </w:pPr>
          </w:p>
        </w:tc>
        <w:tc>
          <w:tcPr>
            <w:tcW w:w="118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1.3 %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Marketing Services</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00" w:type="dxa"/>
            <w:vAlign w:val="bottom"/>
          </w:tcPr>
          <w:p>
            <w:pPr>
              <w:ind w:left="20"/>
              <w:spacing w:after="0" w:line="108" w:lineRule="exact"/>
              <w:rPr>
                <w:sz w:val="20"/>
                <w:szCs w:val="20"/>
                <w:color w:val="auto"/>
              </w:rPr>
            </w:pPr>
            <w:r>
              <w:rPr>
                <w:rFonts w:ascii="Arial" w:cs="Arial" w:eastAsia="Arial" w:hAnsi="Arial"/>
                <w:sz w:val="10"/>
                <w:szCs w:val="10"/>
                <w:color w:val="auto"/>
              </w:rPr>
              <w:t xml:space="preserve">Validity, Inc. </w:t>
            </w:r>
            <w:r>
              <w:rPr>
                <w:rFonts w:ascii="Arial" w:cs="Arial" w:eastAsia="Arial" w:hAnsi="Arial"/>
                <w:sz w:val="12"/>
                <w:szCs w:val="12"/>
                <w:color w:val="auto"/>
                <w:vertAlign w:val="superscript"/>
              </w:rPr>
              <w:t>(13)</w:t>
            </w:r>
          </w:p>
        </w:tc>
        <w:tc>
          <w:tcPr>
            <w:tcW w:w="2420" w:type="dxa"/>
            <w:vAlign w:val="bottom"/>
            <w:gridSpan w:val="3"/>
          </w:tcPr>
          <w:p>
            <w:pPr>
              <w:ind w:left="200"/>
              <w:spacing w:after="0" w:line="108" w:lineRule="exact"/>
              <w:rPr>
                <w:sz w:val="20"/>
                <w:szCs w:val="20"/>
                <w:color w:val="auto"/>
              </w:rPr>
            </w:pPr>
            <w:r>
              <w:rPr>
                <w:rFonts w:ascii="Arial" w:cs="Arial" w:eastAsia="Arial" w:hAnsi="Arial"/>
                <w:sz w:val="12"/>
                <w:szCs w:val="12"/>
                <w:color w:val="auto"/>
              </w:rPr>
              <w:t>Series A Preferred Shares (3,840,000</w:t>
            </w:r>
          </w:p>
        </w:tc>
        <w:tc>
          <w:tcPr>
            <w:tcW w:w="1160" w:type="dxa"/>
            <w:vAlign w:val="bottom"/>
            <w:gridSpan w:val="2"/>
          </w:tcPr>
          <w:p>
            <w:pPr>
              <w:jc w:val="right"/>
              <w:ind w:right="382"/>
              <w:spacing w:after="0" w:line="108" w:lineRule="exact"/>
              <w:rPr>
                <w:sz w:val="20"/>
                <w:szCs w:val="20"/>
                <w:color w:val="auto"/>
              </w:rPr>
            </w:pPr>
            <w:r>
              <w:rPr>
                <w:rFonts w:ascii="Arial" w:cs="Arial" w:eastAsia="Arial" w:hAnsi="Arial"/>
                <w:sz w:val="12"/>
                <w:szCs w:val="12"/>
                <w:color w:val="auto"/>
              </w:rPr>
              <w:t>5/31/2018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3,840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13,824</w:t>
            </w:r>
          </w:p>
        </w:tc>
        <w:tc>
          <w:tcPr>
            <w:tcW w:w="120" w:type="dxa"/>
            <w:vAlign w:val="bottom"/>
          </w:tcPr>
          <w:p>
            <w:pPr>
              <w:spacing w:after="0"/>
              <w:rPr>
                <w:sz w:val="9"/>
                <w:szCs w:val="9"/>
                <w:color w:val="auto"/>
              </w:rPr>
            </w:pPr>
          </w:p>
        </w:tc>
        <w:tc>
          <w:tcPr>
            <w:tcW w:w="118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1.1 %</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200" w:type="dxa"/>
            <w:vAlign w:val="bottom"/>
          </w:tcPr>
          <w:p>
            <w:pPr>
              <w:spacing w:after="0"/>
              <w:rPr>
                <w:sz w:val="14"/>
                <w:szCs w:val="14"/>
                <w:color w:val="auto"/>
              </w:rPr>
            </w:pPr>
          </w:p>
        </w:tc>
        <w:tc>
          <w:tcPr>
            <w:tcW w:w="1220" w:type="dxa"/>
            <w:vAlign w:val="bottom"/>
            <w:gridSpan w:val="2"/>
          </w:tcPr>
          <w:p>
            <w:pPr>
              <w:ind w:left="200"/>
              <w:spacing w:after="0"/>
              <w:rPr>
                <w:sz w:val="20"/>
                <w:szCs w:val="20"/>
                <w:color w:val="auto"/>
              </w:rPr>
            </w:pPr>
            <w:r>
              <w:rPr>
                <w:rFonts w:ascii="Arial" w:cs="Arial" w:eastAsia="Arial" w:hAnsi="Arial"/>
                <w:sz w:val="13"/>
                <w:szCs w:val="13"/>
                <w:color w:val="auto"/>
              </w:rPr>
              <w:t>shares)</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Oil, Gas and Consumable fuels</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20"/>
              <w:spacing w:after="0" w:line="148" w:lineRule="exact"/>
              <w:rPr>
                <w:sz w:val="20"/>
                <w:szCs w:val="20"/>
                <w:color w:val="auto"/>
              </w:rPr>
            </w:pPr>
            <w:r>
              <w:rPr>
                <w:rFonts w:ascii="Arial" w:cs="Arial" w:eastAsia="Arial" w:hAnsi="Arial"/>
                <w:sz w:val="13"/>
                <w:szCs w:val="13"/>
                <w:color w:val="auto"/>
              </w:rPr>
              <w:t xml:space="preserve">SMPA Holdings, LLC </w:t>
            </w:r>
            <w:r>
              <w:rPr>
                <w:rFonts w:ascii="Arial" w:cs="Arial" w:eastAsia="Arial" w:hAnsi="Arial"/>
                <w:sz w:val="16"/>
                <w:szCs w:val="16"/>
                <w:color w:val="auto"/>
                <w:vertAlign w:val="superscript"/>
              </w:rPr>
              <w:t>(6)</w:t>
            </w:r>
          </w:p>
        </w:tc>
        <w:tc>
          <w:tcPr>
            <w:tcW w:w="2420" w:type="dxa"/>
            <w:vAlign w:val="bottom"/>
            <w:gridSpan w:val="3"/>
          </w:tcPr>
          <w:p>
            <w:pPr>
              <w:ind w:left="200"/>
              <w:spacing w:after="0"/>
              <w:rPr>
                <w:sz w:val="20"/>
                <w:szCs w:val="20"/>
                <w:color w:val="auto"/>
              </w:rPr>
            </w:pPr>
            <w:r>
              <w:rPr>
                <w:rFonts w:ascii="Arial" w:cs="Arial" w:eastAsia="Arial" w:hAnsi="Arial"/>
                <w:sz w:val="13"/>
                <w:szCs w:val="13"/>
                <w:color w:val="auto"/>
              </w:rPr>
              <w:t>Common Units (15,000 units)</w:t>
            </w:r>
          </w:p>
        </w:tc>
        <w:tc>
          <w:tcPr>
            <w:tcW w:w="1160" w:type="dxa"/>
            <w:vAlign w:val="bottom"/>
            <w:gridSpan w:val="2"/>
          </w:tcPr>
          <w:p>
            <w:pPr>
              <w:jc w:val="right"/>
              <w:ind w:right="382"/>
              <w:spacing w:after="0"/>
              <w:rPr>
                <w:sz w:val="20"/>
                <w:szCs w:val="20"/>
                <w:color w:val="auto"/>
              </w:rPr>
            </w:pPr>
            <w:r>
              <w:rPr>
                <w:rFonts w:ascii="Arial" w:cs="Arial" w:eastAsia="Arial" w:hAnsi="Arial"/>
                <w:sz w:val="13"/>
                <w:szCs w:val="13"/>
                <w:color w:val="auto"/>
              </w:rPr>
              <w:t>12/24/2020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3,892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18,242</w:t>
            </w:r>
          </w:p>
        </w:tc>
        <w:tc>
          <w:tcPr>
            <w:tcW w:w="120" w:type="dxa"/>
            <w:vAlign w:val="bottom"/>
          </w:tcPr>
          <w:p>
            <w:pPr>
              <w:spacing w:after="0"/>
              <w:rPr>
                <w:sz w:val="12"/>
                <w:szCs w:val="12"/>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1.4 %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Pharmaceuticals</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20"/>
              <w:spacing w:after="0" w:line="148" w:lineRule="exact"/>
              <w:rPr>
                <w:sz w:val="20"/>
                <w:szCs w:val="20"/>
                <w:color w:val="auto"/>
              </w:rPr>
            </w:pPr>
            <w:r>
              <w:rPr>
                <w:rFonts w:ascii="Arial" w:cs="Arial" w:eastAsia="Arial" w:hAnsi="Arial"/>
                <w:sz w:val="13"/>
                <w:szCs w:val="13"/>
                <w:color w:val="auto"/>
              </w:rPr>
              <w:t xml:space="preserve">TherapeuticsMD, Inc. </w:t>
            </w:r>
            <w:r>
              <w:rPr>
                <w:rFonts w:ascii="Arial" w:cs="Arial" w:eastAsia="Arial" w:hAnsi="Arial"/>
                <w:sz w:val="16"/>
                <w:szCs w:val="16"/>
                <w:color w:val="auto"/>
                <w:vertAlign w:val="superscript"/>
              </w:rPr>
              <w:t>(13)</w:t>
            </w:r>
          </w:p>
        </w:tc>
        <w:tc>
          <w:tcPr>
            <w:tcW w:w="1220" w:type="dxa"/>
            <w:vAlign w:val="bottom"/>
            <w:gridSpan w:val="2"/>
          </w:tcPr>
          <w:p>
            <w:pPr>
              <w:ind w:left="200"/>
              <w:spacing w:after="0"/>
              <w:rPr>
                <w:sz w:val="20"/>
                <w:szCs w:val="20"/>
                <w:color w:val="auto"/>
              </w:rPr>
            </w:pPr>
            <w:r>
              <w:rPr>
                <w:rFonts w:ascii="Arial" w:cs="Arial" w:eastAsia="Arial" w:hAnsi="Arial"/>
                <w:sz w:val="13"/>
                <w:szCs w:val="13"/>
                <w:color w:val="auto"/>
                <w:w w:val="96"/>
              </w:rPr>
              <w:t>712,817 Warrants</w:t>
            </w:r>
          </w:p>
        </w:tc>
        <w:tc>
          <w:tcPr>
            <w:tcW w:w="1200" w:type="dxa"/>
            <w:vAlign w:val="bottom"/>
          </w:tcPr>
          <w:p>
            <w:pPr>
              <w:spacing w:after="0"/>
              <w:rPr>
                <w:sz w:val="12"/>
                <w:szCs w:val="12"/>
                <w:color w:val="auto"/>
              </w:rPr>
            </w:pPr>
          </w:p>
        </w:tc>
        <w:tc>
          <w:tcPr>
            <w:tcW w:w="1160" w:type="dxa"/>
            <w:vAlign w:val="bottom"/>
            <w:gridSpan w:val="2"/>
          </w:tcPr>
          <w:p>
            <w:pPr>
              <w:jc w:val="right"/>
              <w:ind w:right="382"/>
              <w:spacing w:after="0"/>
              <w:rPr>
                <w:sz w:val="20"/>
                <w:szCs w:val="20"/>
                <w:color w:val="auto"/>
              </w:rPr>
            </w:pPr>
            <w:r>
              <w:rPr>
                <w:rFonts w:ascii="Arial" w:cs="Arial" w:eastAsia="Arial" w:hAnsi="Arial"/>
                <w:sz w:val="13"/>
                <w:szCs w:val="13"/>
                <w:color w:val="auto"/>
              </w:rPr>
              <w:t>8/5/2020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1,029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121</w:t>
            </w:r>
          </w:p>
        </w:tc>
        <w:tc>
          <w:tcPr>
            <w:tcW w:w="120" w:type="dxa"/>
            <w:vAlign w:val="bottom"/>
          </w:tcPr>
          <w:p>
            <w:pPr>
              <w:spacing w:after="0"/>
              <w:rPr>
                <w:sz w:val="12"/>
                <w:szCs w:val="12"/>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0.0 %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Retail and Consumer Products</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20"/>
              <w:spacing w:after="0" w:line="148" w:lineRule="exact"/>
              <w:rPr>
                <w:sz w:val="20"/>
                <w:szCs w:val="20"/>
                <w:color w:val="auto"/>
              </w:rPr>
            </w:pPr>
            <w:r>
              <w:rPr>
                <w:rFonts w:ascii="Arial" w:cs="Arial" w:eastAsia="Arial" w:hAnsi="Arial"/>
                <w:sz w:val="13"/>
                <w:szCs w:val="13"/>
                <w:color w:val="auto"/>
              </w:rPr>
              <w:t xml:space="preserve">American Achievement, Corp. </w:t>
            </w:r>
            <w:r>
              <w:rPr>
                <w:rFonts w:ascii="Arial" w:cs="Arial" w:eastAsia="Arial" w:hAnsi="Arial"/>
                <w:sz w:val="16"/>
                <w:szCs w:val="16"/>
                <w:color w:val="auto"/>
                <w:vertAlign w:val="superscript"/>
              </w:rPr>
              <w:t>(13)(14)</w:t>
            </w:r>
          </w:p>
        </w:tc>
        <w:tc>
          <w:tcPr>
            <w:tcW w:w="2420" w:type="dxa"/>
            <w:vAlign w:val="bottom"/>
            <w:gridSpan w:val="3"/>
          </w:tcPr>
          <w:p>
            <w:pPr>
              <w:ind w:left="200"/>
              <w:spacing w:after="0"/>
              <w:rPr>
                <w:sz w:val="20"/>
                <w:szCs w:val="20"/>
                <w:color w:val="auto"/>
              </w:rPr>
            </w:pPr>
            <w:r>
              <w:rPr>
                <w:rFonts w:ascii="Arial" w:cs="Arial" w:eastAsia="Arial" w:hAnsi="Arial"/>
                <w:sz w:val="13"/>
                <w:szCs w:val="13"/>
                <w:color w:val="auto"/>
              </w:rPr>
              <w:t>Class A Units (687 units)</w:t>
            </w:r>
          </w:p>
        </w:tc>
        <w:tc>
          <w:tcPr>
            <w:tcW w:w="1160" w:type="dxa"/>
            <w:vAlign w:val="bottom"/>
            <w:gridSpan w:val="2"/>
          </w:tcPr>
          <w:p>
            <w:pPr>
              <w:jc w:val="right"/>
              <w:ind w:right="382"/>
              <w:spacing w:after="0"/>
              <w:rPr>
                <w:sz w:val="20"/>
                <w:szCs w:val="20"/>
                <w:color w:val="auto"/>
              </w:rPr>
            </w:pPr>
            <w:r>
              <w:rPr>
                <w:rFonts w:ascii="Arial" w:cs="Arial" w:eastAsia="Arial" w:hAnsi="Arial"/>
                <w:sz w:val="13"/>
                <w:szCs w:val="13"/>
                <w:color w:val="auto"/>
              </w:rPr>
              <w:t>3/16/2021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2"/>
                <w:szCs w:val="12"/>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0.0 %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00" w:type="dxa"/>
            <w:vAlign w:val="bottom"/>
            <w:shd w:val="clear" w:color="auto" w:fill="CFF0FC"/>
          </w:tcPr>
          <w:p>
            <w:pPr>
              <w:ind w:left="20"/>
              <w:spacing w:after="0" w:line="108" w:lineRule="exact"/>
              <w:rPr>
                <w:sz w:val="20"/>
                <w:szCs w:val="20"/>
                <w:color w:val="auto"/>
              </w:rPr>
            </w:pPr>
            <w:r>
              <w:rPr>
                <w:rFonts w:ascii="Arial" w:cs="Arial" w:eastAsia="Arial" w:hAnsi="Arial"/>
                <w:sz w:val="10"/>
                <w:szCs w:val="10"/>
                <w:color w:val="auto"/>
              </w:rPr>
              <w:t xml:space="preserve">Copper Bidco, LLC </w:t>
            </w:r>
            <w:r>
              <w:rPr>
                <w:rFonts w:ascii="Arial" w:cs="Arial" w:eastAsia="Arial" w:hAnsi="Arial"/>
                <w:sz w:val="12"/>
                <w:szCs w:val="12"/>
                <w:color w:val="auto"/>
                <w:vertAlign w:val="superscript"/>
              </w:rPr>
              <w:t>(11)</w:t>
            </w:r>
          </w:p>
        </w:tc>
        <w:tc>
          <w:tcPr>
            <w:tcW w:w="2420" w:type="dxa"/>
            <w:vAlign w:val="bottom"/>
            <w:gridSpan w:val="3"/>
            <w:shd w:val="clear" w:color="auto" w:fill="CFF0FC"/>
          </w:tcPr>
          <w:p>
            <w:pPr>
              <w:ind w:left="200"/>
              <w:spacing w:after="0" w:line="108" w:lineRule="exact"/>
              <w:rPr>
                <w:sz w:val="20"/>
                <w:szCs w:val="20"/>
                <w:color w:val="auto"/>
              </w:rPr>
            </w:pPr>
            <w:r>
              <w:rPr>
                <w:rFonts w:ascii="Arial" w:cs="Arial" w:eastAsia="Arial" w:hAnsi="Arial"/>
                <w:sz w:val="12"/>
                <w:szCs w:val="12"/>
                <w:color w:val="auto"/>
              </w:rPr>
              <w:t>Trust Certificates (132,928</w:t>
            </w:r>
          </w:p>
        </w:tc>
        <w:tc>
          <w:tcPr>
            <w:tcW w:w="1160" w:type="dxa"/>
            <w:vAlign w:val="bottom"/>
            <w:gridSpan w:val="2"/>
            <w:shd w:val="clear" w:color="auto" w:fill="CFF0FC"/>
          </w:tcPr>
          <w:p>
            <w:pPr>
              <w:jc w:val="right"/>
              <w:ind w:right="382"/>
              <w:spacing w:after="0" w:line="108" w:lineRule="exact"/>
              <w:rPr>
                <w:sz w:val="20"/>
                <w:szCs w:val="20"/>
                <w:color w:val="auto"/>
              </w:rPr>
            </w:pPr>
            <w:r>
              <w:rPr>
                <w:rFonts w:ascii="Arial" w:cs="Arial" w:eastAsia="Arial" w:hAnsi="Arial"/>
                <w:sz w:val="12"/>
                <w:szCs w:val="12"/>
                <w:color w:val="auto"/>
              </w:rPr>
              <w:t>12/7/2020</w:t>
            </w: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tcBorders>
              <w:right w:val="single" w:sz="8" w:color="CFF0FC"/>
            </w:tcBorders>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493</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1,562</w:t>
            </w:r>
          </w:p>
        </w:tc>
        <w:tc>
          <w:tcPr>
            <w:tcW w:w="120" w:type="dxa"/>
            <w:vAlign w:val="bottom"/>
            <w:shd w:val="clear" w:color="auto" w:fill="CFF0FC"/>
          </w:tcPr>
          <w:p>
            <w:pPr>
              <w:spacing w:after="0"/>
              <w:rPr>
                <w:sz w:val="9"/>
                <w:szCs w:val="9"/>
                <w:color w:val="auto"/>
              </w:rPr>
            </w:pPr>
          </w:p>
        </w:tc>
        <w:tc>
          <w:tcPr>
            <w:tcW w:w="1180" w:type="dxa"/>
            <w:vAlign w:val="bottom"/>
            <w:gridSpan w:val="3"/>
            <w:shd w:val="clear" w:color="auto" w:fill="CFF0FC"/>
          </w:tcPr>
          <w:p>
            <w:pPr>
              <w:jc w:val="right"/>
              <w:spacing w:after="0" w:line="108" w:lineRule="exact"/>
              <w:rPr>
                <w:sz w:val="20"/>
                <w:szCs w:val="20"/>
                <w:color w:val="auto"/>
              </w:rPr>
            </w:pPr>
            <w:r>
              <w:rPr>
                <w:rFonts w:ascii="Arial" w:cs="Arial" w:eastAsia="Arial" w:hAnsi="Arial"/>
                <w:sz w:val="12"/>
                <w:szCs w:val="12"/>
                <w:color w:val="auto"/>
              </w:rPr>
              <w:t>0.1 %</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Certificates)</w:t>
            </w: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2420" w:type="dxa"/>
            <w:vAlign w:val="bottom"/>
            <w:gridSpan w:val="3"/>
          </w:tcPr>
          <w:p>
            <w:pPr>
              <w:ind w:left="200"/>
              <w:spacing w:after="0" w:line="108" w:lineRule="exact"/>
              <w:rPr>
                <w:sz w:val="20"/>
                <w:szCs w:val="20"/>
                <w:color w:val="auto"/>
              </w:rPr>
            </w:pPr>
            <w:r>
              <w:rPr>
                <w:rFonts w:ascii="Arial" w:cs="Arial" w:eastAsia="Arial" w:hAnsi="Arial"/>
                <w:sz w:val="12"/>
                <w:szCs w:val="12"/>
                <w:color w:val="auto"/>
              </w:rPr>
              <w:t>Trust Certificates (996,958</w:t>
            </w:r>
          </w:p>
        </w:tc>
        <w:tc>
          <w:tcPr>
            <w:tcW w:w="1160" w:type="dxa"/>
            <w:vAlign w:val="bottom"/>
            <w:gridSpan w:val="2"/>
          </w:tcPr>
          <w:p>
            <w:pPr>
              <w:jc w:val="right"/>
              <w:ind w:right="382"/>
              <w:spacing w:after="0" w:line="108" w:lineRule="exact"/>
              <w:rPr>
                <w:sz w:val="20"/>
                <w:szCs w:val="20"/>
                <w:color w:val="auto"/>
              </w:rPr>
            </w:pPr>
            <w:r>
              <w:rPr>
                <w:rFonts w:ascii="Arial" w:cs="Arial" w:eastAsia="Arial" w:hAnsi="Arial"/>
                <w:sz w:val="12"/>
                <w:szCs w:val="12"/>
                <w:color w:val="auto"/>
              </w:rPr>
              <w:t>1/30/2021</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12,792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21,933</w:t>
            </w:r>
          </w:p>
        </w:tc>
        <w:tc>
          <w:tcPr>
            <w:tcW w:w="120" w:type="dxa"/>
            <w:vAlign w:val="bottom"/>
          </w:tcPr>
          <w:p>
            <w:pPr>
              <w:spacing w:after="0"/>
              <w:rPr>
                <w:sz w:val="9"/>
                <w:szCs w:val="9"/>
                <w:color w:val="auto"/>
              </w:rPr>
            </w:pPr>
          </w:p>
        </w:tc>
        <w:tc>
          <w:tcPr>
            <w:tcW w:w="118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1.7 %</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20" w:type="dxa"/>
            <w:vAlign w:val="bottom"/>
            <w:gridSpan w:val="2"/>
          </w:tcPr>
          <w:p>
            <w:pPr>
              <w:ind w:left="200"/>
              <w:spacing w:after="0" w:line="162" w:lineRule="exact"/>
              <w:rPr>
                <w:sz w:val="20"/>
                <w:szCs w:val="20"/>
                <w:color w:val="auto"/>
              </w:rPr>
            </w:pPr>
            <w:r>
              <w:rPr>
                <w:rFonts w:ascii="Arial" w:cs="Arial" w:eastAsia="Arial" w:hAnsi="Arial"/>
                <w:sz w:val="13"/>
                <w:szCs w:val="13"/>
                <w:color w:val="auto"/>
              </w:rPr>
              <w:t xml:space="preserve">Certificates) </w:t>
            </w:r>
            <w:r>
              <w:rPr>
                <w:rFonts w:ascii="Arial" w:cs="Arial" w:eastAsia="Arial" w:hAnsi="Arial"/>
                <w:sz w:val="16"/>
                <w:szCs w:val="16"/>
                <w:color w:val="auto"/>
                <w:vertAlign w:val="superscript"/>
              </w:rPr>
              <w:t>(14)</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 xml:space="preserve">Neuintel, LLC </w:t>
            </w:r>
            <w:r>
              <w:rPr>
                <w:rFonts w:ascii="Arial" w:cs="Arial" w:eastAsia="Arial" w:hAnsi="Arial"/>
                <w:sz w:val="16"/>
                <w:szCs w:val="16"/>
                <w:color w:val="auto"/>
                <w:vertAlign w:val="superscript"/>
              </w:rPr>
              <w:t>(13)(14)(15)</w:t>
            </w:r>
          </w:p>
        </w:tc>
        <w:tc>
          <w:tcPr>
            <w:tcW w:w="2420" w:type="dxa"/>
            <w:vAlign w:val="bottom"/>
            <w:gridSpan w:val="3"/>
            <w:shd w:val="clear" w:color="auto" w:fill="CFF0FC"/>
          </w:tcPr>
          <w:p>
            <w:pPr>
              <w:ind w:left="200"/>
              <w:spacing w:after="0"/>
              <w:rPr>
                <w:sz w:val="20"/>
                <w:szCs w:val="20"/>
                <w:color w:val="auto"/>
              </w:rPr>
            </w:pPr>
            <w:r>
              <w:rPr>
                <w:rFonts w:ascii="Arial" w:cs="Arial" w:eastAsia="Arial" w:hAnsi="Arial"/>
                <w:sz w:val="13"/>
                <w:szCs w:val="13"/>
                <w:color w:val="auto"/>
              </w:rPr>
              <w:t>Class A Units (1,176,494 units)</w:t>
            </w:r>
          </w:p>
        </w:tc>
        <w:tc>
          <w:tcPr>
            <w:tcW w:w="1160" w:type="dxa"/>
            <w:vAlign w:val="bottom"/>
            <w:gridSpan w:val="2"/>
            <w:shd w:val="clear" w:color="auto" w:fill="CFF0FC"/>
          </w:tcPr>
          <w:p>
            <w:pPr>
              <w:jc w:val="right"/>
              <w:ind w:right="382"/>
              <w:spacing w:after="0"/>
              <w:rPr>
                <w:sz w:val="20"/>
                <w:szCs w:val="20"/>
                <w:color w:val="auto"/>
              </w:rPr>
            </w:pPr>
            <w:r>
              <w:rPr>
                <w:rFonts w:ascii="Arial" w:cs="Arial" w:eastAsia="Arial" w:hAnsi="Arial"/>
                <w:sz w:val="13"/>
                <w:szCs w:val="13"/>
                <w:color w:val="auto"/>
              </w:rPr>
              <w:t>12/21/2021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3,000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3,000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0.2 %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16,285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26,545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2.0 %</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20"/>
              <w:spacing w:after="0"/>
              <w:rPr>
                <w:sz w:val="20"/>
                <w:szCs w:val="20"/>
                <w:color w:val="auto"/>
              </w:rPr>
            </w:pPr>
            <w:r>
              <w:rPr>
                <w:rFonts w:ascii="Arial" w:cs="Arial" w:eastAsia="Arial" w:hAnsi="Arial"/>
                <w:sz w:val="13"/>
                <w:szCs w:val="13"/>
                <w:b w:val="1"/>
                <w:bCs w:val="1"/>
                <w:color w:val="auto"/>
              </w:rPr>
              <w:t>Structured Products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0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Bain Capital Credit CLO Ltd,</w:t>
            </w:r>
          </w:p>
        </w:tc>
        <w:tc>
          <w:tcPr>
            <w:tcW w:w="2420" w:type="dxa"/>
            <w:vAlign w:val="bottom"/>
            <w:gridSpan w:val="3"/>
            <w:shd w:val="clear" w:color="auto" w:fill="CFF0FC"/>
          </w:tcPr>
          <w:p>
            <w:pPr>
              <w:ind w:left="200"/>
              <w:spacing w:after="0" w:line="108" w:lineRule="exact"/>
              <w:rPr>
                <w:sz w:val="20"/>
                <w:szCs w:val="20"/>
                <w:color w:val="auto"/>
              </w:rPr>
            </w:pPr>
            <w:r>
              <w:rPr>
                <w:rFonts w:ascii="Arial" w:cs="Arial" w:eastAsia="Arial" w:hAnsi="Arial"/>
                <w:sz w:val="12"/>
                <w:szCs w:val="12"/>
                <w:color w:val="auto"/>
              </w:rPr>
              <w:t>Structured Product ($500 par, due</w:t>
            </w:r>
          </w:p>
        </w:tc>
        <w:tc>
          <w:tcPr>
            <w:tcW w:w="1160" w:type="dxa"/>
            <w:vAlign w:val="bottom"/>
            <w:gridSpan w:val="2"/>
            <w:shd w:val="clear" w:color="auto" w:fill="CFF0FC"/>
          </w:tcPr>
          <w:p>
            <w:pPr>
              <w:jc w:val="right"/>
              <w:ind w:right="382"/>
              <w:spacing w:after="0" w:line="108" w:lineRule="exact"/>
              <w:rPr>
                <w:sz w:val="20"/>
                <w:szCs w:val="20"/>
                <w:color w:val="auto"/>
              </w:rPr>
            </w:pPr>
            <w:r>
              <w:rPr>
                <w:rFonts w:ascii="Arial" w:cs="Arial" w:eastAsia="Arial" w:hAnsi="Arial"/>
                <w:sz w:val="12"/>
                <w:szCs w:val="12"/>
                <w:color w:val="auto"/>
              </w:rPr>
              <w:t>10/15/2020</w:t>
            </w:r>
          </w:p>
        </w:tc>
        <w:tc>
          <w:tcPr>
            <w:tcW w:w="560" w:type="dxa"/>
            <w:vAlign w:val="bottom"/>
            <w:gridSpan w:val="3"/>
            <w:shd w:val="clear" w:color="auto" w:fill="CFF0FC"/>
          </w:tcPr>
          <w:p>
            <w:pPr>
              <w:ind w:left="20"/>
              <w:spacing w:after="0" w:line="108" w:lineRule="exact"/>
              <w:rPr>
                <w:sz w:val="20"/>
                <w:szCs w:val="20"/>
                <w:color w:val="auto"/>
              </w:rPr>
            </w:pPr>
            <w:r>
              <w:rPr>
                <w:rFonts w:ascii="Arial" w:cs="Arial" w:eastAsia="Arial" w:hAnsi="Arial"/>
                <w:sz w:val="12"/>
                <w:szCs w:val="12"/>
                <w:color w:val="auto"/>
                <w:w w:val="95"/>
              </w:rPr>
              <w:t>L + 5.35%</w:t>
            </w:r>
          </w:p>
        </w:tc>
        <w:tc>
          <w:tcPr>
            <w:tcW w:w="82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21"/>
              <w:spacing w:after="0" w:line="108" w:lineRule="exact"/>
              <w:rPr>
                <w:sz w:val="20"/>
                <w:szCs w:val="20"/>
                <w:color w:val="auto"/>
              </w:rPr>
            </w:pPr>
            <w:r>
              <w:rPr>
                <w:rFonts w:ascii="Arial" w:cs="Arial" w:eastAsia="Arial" w:hAnsi="Arial"/>
                <w:sz w:val="12"/>
                <w:szCs w:val="12"/>
                <w:color w:val="auto"/>
              </w:rPr>
              <w:t>5.47 %</w:t>
            </w:r>
          </w:p>
        </w:tc>
        <w:tc>
          <w:tcPr>
            <w:tcW w:w="120" w:type="dxa"/>
            <w:vAlign w:val="bottom"/>
            <w:shd w:val="clear" w:color="auto" w:fill="CFF0FC"/>
          </w:tcPr>
          <w:p>
            <w:pPr>
              <w:spacing w:after="0"/>
              <w:rPr>
                <w:sz w:val="9"/>
                <w:szCs w:val="9"/>
                <w:color w:val="auto"/>
              </w:rPr>
            </w:pPr>
          </w:p>
        </w:tc>
        <w:tc>
          <w:tcPr>
            <w:tcW w:w="760" w:type="dxa"/>
            <w:vAlign w:val="bottom"/>
            <w:tcBorders>
              <w:right w:val="single" w:sz="8" w:color="CFF0FC"/>
            </w:tcBorders>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417</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463</w:t>
            </w:r>
          </w:p>
        </w:tc>
        <w:tc>
          <w:tcPr>
            <w:tcW w:w="120" w:type="dxa"/>
            <w:vAlign w:val="bottom"/>
            <w:shd w:val="clear" w:color="auto" w:fill="CFF0FC"/>
          </w:tcPr>
          <w:p>
            <w:pPr>
              <w:spacing w:after="0"/>
              <w:rPr>
                <w:sz w:val="9"/>
                <w:szCs w:val="9"/>
                <w:color w:val="auto"/>
              </w:rPr>
            </w:pPr>
          </w:p>
        </w:tc>
        <w:tc>
          <w:tcPr>
            <w:tcW w:w="1180" w:type="dxa"/>
            <w:vAlign w:val="bottom"/>
            <w:gridSpan w:val="3"/>
            <w:shd w:val="clear" w:color="auto" w:fill="CFF0FC"/>
          </w:tcPr>
          <w:p>
            <w:pPr>
              <w:jc w:val="right"/>
              <w:spacing w:after="0" w:line="108" w:lineRule="exact"/>
              <w:rPr>
                <w:sz w:val="20"/>
                <w:szCs w:val="20"/>
                <w:color w:val="auto"/>
              </w:rPr>
            </w:pPr>
            <w:r>
              <w:rPr>
                <w:rFonts w:ascii="Arial" w:cs="Arial" w:eastAsia="Arial" w:hAnsi="Arial"/>
                <w:sz w:val="12"/>
                <w:szCs w:val="12"/>
                <w:color w:val="auto"/>
              </w:rPr>
              <w:t>0.0 %</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FF0FC"/>
          </w:tcPr>
          <w:p>
            <w:pPr>
              <w:ind w:left="120"/>
              <w:spacing w:after="0" w:line="162" w:lineRule="exact"/>
              <w:rPr>
                <w:sz w:val="20"/>
                <w:szCs w:val="20"/>
                <w:color w:val="auto"/>
              </w:rPr>
            </w:pPr>
            <w:r>
              <w:rPr>
                <w:rFonts w:ascii="Arial" w:cs="Arial" w:eastAsia="Arial" w:hAnsi="Arial"/>
                <w:sz w:val="13"/>
                <w:szCs w:val="13"/>
                <w:color w:val="auto"/>
              </w:rPr>
              <w:t xml:space="preserve">Series 2018-1A </w:t>
            </w:r>
            <w:r>
              <w:rPr>
                <w:rFonts w:ascii="Arial" w:cs="Arial" w:eastAsia="Arial" w:hAnsi="Arial"/>
                <w:sz w:val="16"/>
                <w:szCs w:val="16"/>
                <w:color w:val="auto"/>
                <w:vertAlign w:val="superscript"/>
              </w:rPr>
              <w:t>(3)(4)(11)</w:t>
            </w:r>
          </w:p>
        </w:tc>
        <w:tc>
          <w:tcPr>
            <w:tcW w:w="10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4/2031)</w:t>
            </w: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00" w:type="dxa"/>
            <w:vAlign w:val="bottom"/>
          </w:tcPr>
          <w:p>
            <w:pPr>
              <w:ind w:left="20"/>
              <w:spacing w:after="0" w:line="108" w:lineRule="exact"/>
              <w:rPr>
                <w:sz w:val="20"/>
                <w:szCs w:val="20"/>
                <w:color w:val="auto"/>
              </w:rPr>
            </w:pPr>
            <w:r>
              <w:rPr>
                <w:rFonts w:ascii="Arial" w:cs="Arial" w:eastAsia="Arial" w:hAnsi="Arial"/>
                <w:sz w:val="12"/>
                <w:szCs w:val="12"/>
                <w:color w:val="auto"/>
              </w:rPr>
              <w:t>Carlyle Global Market Strategies</w:t>
            </w:r>
          </w:p>
        </w:tc>
        <w:tc>
          <w:tcPr>
            <w:tcW w:w="2420" w:type="dxa"/>
            <w:vAlign w:val="bottom"/>
            <w:gridSpan w:val="3"/>
          </w:tcPr>
          <w:p>
            <w:pPr>
              <w:ind w:left="200"/>
              <w:spacing w:after="0" w:line="108" w:lineRule="exact"/>
              <w:rPr>
                <w:sz w:val="20"/>
                <w:szCs w:val="20"/>
                <w:color w:val="auto"/>
              </w:rPr>
            </w:pPr>
            <w:r>
              <w:rPr>
                <w:rFonts w:ascii="Arial" w:cs="Arial" w:eastAsia="Arial" w:hAnsi="Arial"/>
                <w:sz w:val="12"/>
                <w:szCs w:val="12"/>
                <w:color w:val="auto"/>
              </w:rPr>
              <w:t>Structured Product ($1,550 par, due</w:t>
            </w:r>
          </w:p>
        </w:tc>
        <w:tc>
          <w:tcPr>
            <w:tcW w:w="1160" w:type="dxa"/>
            <w:vAlign w:val="bottom"/>
            <w:gridSpan w:val="2"/>
          </w:tcPr>
          <w:p>
            <w:pPr>
              <w:jc w:val="right"/>
              <w:ind w:right="382"/>
              <w:spacing w:after="0" w:line="108" w:lineRule="exact"/>
              <w:rPr>
                <w:sz w:val="20"/>
                <w:szCs w:val="20"/>
                <w:color w:val="auto"/>
              </w:rPr>
            </w:pPr>
            <w:r>
              <w:rPr>
                <w:rFonts w:ascii="Arial" w:cs="Arial" w:eastAsia="Arial" w:hAnsi="Arial"/>
                <w:sz w:val="12"/>
                <w:szCs w:val="12"/>
                <w:color w:val="auto"/>
              </w:rPr>
              <w:t>8/11/2020</w:t>
            </w:r>
          </w:p>
        </w:tc>
        <w:tc>
          <w:tcPr>
            <w:tcW w:w="560" w:type="dxa"/>
            <w:vAlign w:val="bottom"/>
            <w:gridSpan w:val="3"/>
          </w:tcPr>
          <w:p>
            <w:pPr>
              <w:ind w:left="20"/>
              <w:spacing w:after="0" w:line="108" w:lineRule="exact"/>
              <w:rPr>
                <w:sz w:val="20"/>
                <w:szCs w:val="20"/>
                <w:color w:val="auto"/>
              </w:rPr>
            </w:pPr>
            <w:r>
              <w:rPr>
                <w:rFonts w:ascii="Arial" w:cs="Arial" w:eastAsia="Arial" w:hAnsi="Arial"/>
                <w:sz w:val="12"/>
                <w:szCs w:val="12"/>
                <w:color w:val="auto"/>
                <w:w w:val="95"/>
              </w:rPr>
              <w:t>L + 5.75%</w:t>
            </w:r>
          </w:p>
        </w:tc>
        <w:tc>
          <w:tcPr>
            <w:tcW w:w="820" w:type="dxa"/>
            <w:vAlign w:val="bottom"/>
          </w:tcPr>
          <w:p>
            <w:pPr>
              <w:spacing w:after="0"/>
              <w:rPr>
                <w:sz w:val="9"/>
                <w:szCs w:val="9"/>
                <w:color w:val="auto"/>
              </w:rPr>
            </w:pPr>
          </w:p>
        </w:tc>
        <w:tc>
          <w:tcPr>
            <w:tcW w:w="680" w:type="dxa"/>
            <w:vAlign w:val="bottom"/>
            <w:gridSpan w:val="2"/>
          </w:tcPr>
          <w:p>
            <w:pPr>
              <w:jc w:val="right"/>
              <w:ind w:right="21"/>
              <w:spacing w:after="0" w:line="108" w:lineRule="exact"/>
              <w:rPr>
                <w:sz w:val="20"/>
                <w:szCs w:val="20"/>
                <w:color w:val="auto"/>
              </w:rPr>
            </w:pPr>
            <w:r>
              <w:rPr>
                <w:rFonts w:ascii="Arial" w:cs="Arial" w:eastAsia="Arial" w:hAnsi="Arial"/>
                <w:sz w:val="12"/>
                <w:szCs w:val="12"/>
                <w:color w:val="auto"/>
              </w:rPr>
              <w:t>5.88 %</w:t>
            </w:r>
          </w:p>
        </w:tc>
        <w:tc>
          <w:tcPr>
            <w:tcW w:w="120" w:type="dxa"/>
            <w:vAlign w:val="bottom"/>
          </w:tcPr>
          <w:p>
            <w:pPr>
              <w:spacing w:after="0"/>
              <w:rPr>
                <w:sz w:val="9"/>
                <w:szCs w:val="9"/>
                <w:color w:val="auto"/>
              </w:rPr>
            </w:pPr>
          </w:p>
        </w:tc>
        <w:tc>
          <w:tcPr>
            <w:tcW w:w="76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1,223</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1,464</w:t>
            </w:r>
          </w:p>
        </w:tc>
        <w:tc>
          <w:tcPr>
            <w:tcW w:w="120" w:type="dxa"/>
            <w:vAlign w:val="bottom"/>
          </w:tcPr>
          <w:p>
            <w:pPr>
              <w:spacing w:after="0"/>
              <w:rPr>
                <w:sz w:val="9"/>
                <w:szCs w:val="9"/>
                <w:color w:val="auto"/>
              </w:rPr>
            </w:pPr>
          </w:p>
        </w:tc>
        <w:tc>
          <w:tcPr>
            <w:tcW w:w="1180" w:type="dxa"/>
            <w:vAlign w:val="bottom"/>
            <w:gridSpan w:val="3"/>
          </w:tcPr>
          <w:p>
            <w:pPr>
              <w:jc w:val="right"/>
              <w:spacing w:after="0" w:line="108" w:lineRule="exact"/>
              <w:rPr>
                <w:sz w:val="20"/>
                <w:szCs w:val="20"/>
                <w:color w:val="auto"/>
              </w:rPr>
            </w:pPr>
            <w:r>
              <w:rPr>
                <w:rFonts w:ascii="Arial" w:cs="Arial" w:eastAsia="Arial" w:hAnsi="Arial"/>
                <w:sz w:val="12"/>
                <w:szCs w:val="12"/>
                <w:color w:val="auto"/>
              </w:rPr>
              <w:t>0.1 %</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00" w:type="dxa"/>
            <w:vAlign w:val="bottom"/>
          </w:tcPr>
          <w:p>
            <w:pPr>
              <w:ind w:left="120"/>
              <w:spacing w:after="0" w:line="122" w:lineRule="exact"/>
              <w:rPr>
                <w:sz w:val="20"/>
                <w:szCs w:val="20"/>
                <w:color w:val="auto"/>
              </w:rPr>
            </w:pPr>
            <w:r>
              <w:rPr>
                <w:rFonts w:ascii="Arial" w:cs="Arial" w:eastAsia="Arial" w:hAnsi="Arial"/>
                <w:sz w:val="13"/>
                <w:szCs w:val="13"/>
                <w:color w:val="auto"/>
              </w:rPr>
              <w:t>CLO Ltd, Series 2018-1A</w:t>
            </w:r>
          </w:p>
        </w:tc>
        <w:tc>
          <w:tcPr>
            <w:tcW w:w="1080" w:type="dxa"/>
            <w:vAlign w:val="bottom"/>
          </w:tcPr>
          <w:p>
            <w:pPr>
              <w:ind w:left="200"/>
              <w:spacing w:after="0" w:line="122" w:lineRule="exact"/>
              <w:rPr>
                <w:sz w:val="20"/>
                <w:szCs w:val="20"/>
                <w:color w:val="auto"/>
              </w:rPr>
            </w:pPr>
            <w:r>
              <w:rPr>
                <w:rFonts w:ascii="Arial" w:cs="Arial" w:eastAsia="Arial" w:hAnsi="Arial"/>
                <w:sz w:val="13"/>
                <w:szCs w:val="13"/>
                <w:color w:val="auto"/>
              </w:rPr>
              <w:t>4/2031)</w:t>
            </w: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200" w:type="dxa"/>
            <w:vAlign w:val="bottom"/>
          </w:tcPr>
          <w:p>
            <w:pPr>
              <w:ind w:left="120"/>
              <w:spacing w:after="0"/>
              <w:rPr>
                <w:sz w:val="20"/>
                <w:szCs w:val="20"/>
                <w:color w:val="auto"/>
              </w:rPr>
            </w:pPr>
            <w:r>
              <w:rPr>
                <w:rFonts w:ascii="Arial" w:cs="Arial" w:eastAsia="Arial" w:hAnsi="Arial"/>
                <w:sz w:val="8"/>
                <w:szCs w:val="8"/>
                <w:color w:val="auto"/>
              </w:rPr>
              <w:t>(3)(4)(11)</w:t>
            </w: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3"/>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20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Carlyle Global Market Strategies</w:t>
            </w:r>
          </w:p>
        </w:tc>
        <w:tc>
          <w:tcPr>
            <w:tcW w:w="2420" w:type="dxa"/>
            <w:vAlign w:val="bottom"/>
            <w:gridSpan w:val="3"/>
            <w:shd w:val="clear" w:color="auto" w:fill="CFF0FC"/>
          </w:tcPr>
          <w:p>
            <w:pPr>
              <w:ind w:left="200"/>
              <w:spacing w:after="0" w:line="108" w:lineRule="exact"/>
              <w:rPr>
                <w:sz w:val="20"/>
                <w:szCs w:val="20"/>
                <w:color w:val="auto"/>
              </w:rPr>
            </w:pPr>
            <w:r>
              <w:rPr>
                <w:rFonts w:ascii="Arial" w:cs="Arial" w:eastAsia="Arial" w:hAnsi="Arial"/>
                <w:sz w:val="12"/>
                <w:szCs w:val="12"/>
                <w:color w:val="auto"/>
              </w:rPr>
              <w:t>Structured Product ($4,150 par, due</w:t>
            </w:r>
          </w:p>
        </w:tc>
        <w:tc>
          <w:tcPr>
            <w:tcW w:w="1160" w:type="dxa"/>
            <w:vAlign w:val="bottom"/>
            <w:gridSpan w:val="2"/>
            <w:shd w:val="clear" w:color="auto" w:fill="CFF0FC"/>
          </w:tcPr>
          <w:p>
            <w:pPr>
              <w:jc w:val="right"/>
              <w:ind w:right="382"/>
              <w:spacing w:after="0" w:line="108" w:lineRule="exact"/>
              <w:rPr>
                <w:sz w:val="20"/>
                <w:szCs w:val="20"/>
                <w:color w:val="auto"/>
              </w:rPr>
            </w:pPr>
            <w:r>
              <w:rPr>
                <w:rFonts w:ascii="Arial" w:cs="Arial" w:eastAsia="Arial" w:hAnsi="Arial"/>
                <w:sz w:val="12"/>
                <w:szCs w:val="12"/>
                <w:color w:val="auto"/>
              </w:rPr>
              <w:t>9/3/2020</w:t>
            </w:r>
          </w:p>
        </w:tc>
        <w:tc>
          <w:tcPr>
            <w:tcW w:w="560" w:type="dxa"/>
            <w:vAlign w:val="bottom"/>
            <w:gridSpan w:val="3"/>
            <w:shd w:val="clear" w:color="auto" w:fill="CFF0FC"/>
          </w:tcPr>
          <w:p>
            <w:pPr>
              <w:ind w:left="20"/>
              <w:spacing w:after="0" w:line="108" w:lineRule="exact"/>
              <w:rPr>
                <w:sz w:val="20"/>
                <w:szCs w:val="20"/>
                <w:color w:val="auto"/>
              </w:rPr>
            </w:pPr>
            <w:r>
              <w:rPr>
                <w:rFonts w:ascii="Arial" w:cs="Arial" w:eastAsia="Arial" w:hAnsi="Arial"/>
                <w:sz w:val="12"/>
                <w:szCs w:val="12"/>
                <w:color w:val="auto"/>
                <w:w w:val="95"/>
              </w:rPr>
              <w:t>L + 6.15%</w:t>
            </w:r>
          </w:p>
        </w:tc>
        <w:tc>
          <w:tcPr>
            <w:tcW w:w="82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21"/>
              <w:spacing w:after="0" w:line="108" w:lineRule="exact"/>
              <w:rPr>
                <w:sz w:val="20"/>
                <w:szCs w:val="20"/>
                <w:color w:val="auto"/>
              </w:rPr>
            </w:pPr>
            <w:r>
              <w:rPr>
                <w:rFonts w:ascii="Arial" w:cs="Arial" w:eastAsia="Arial" w:hAnsi="Arial"/>
                <w:sz w:val="12"/>
                <w:szCs w:val="12"/>
                <w:color w:val="auto"/>
              </w:rPr>
              <w:t>6.27 %</w:t>
            </w:r>
          </w:p>
        </w:tc>
        <w:tc>
          <w:tcPr>
            <w:tcW w:w="120" w:type="dxa"/>
            <w:vAlign w:val="bottom"/>
            <w:shd w:val="clear" w:color="auto" w:fill="CFF0FC"/>
          </w:tcPr>
          <w:p>
            <w:pPr>
              <w:spacing w:after="0"/>
              <w:rPr>
                <w:sz w:val="9"/>
                <w:szCs w:val="9"/>
                <w:color w:val="auto"/>
              </w:rPr>
            </w:pPr>
          </w:p>
        </w:tc>
        <w:tc>
          <w:tcPr>
            <w:tcW w:w="760" w:type="dxa"/>
            <w:vAlign w:val="bottom"/>
            <w:tcBorders>
              <w:right w:val="single" w:sz="8" w:color="CFF0FC"/>
            </w:tcBorders>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3,455</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spacing w:after="0" w:line="108" w:lineRule="exact"/>
              <w:rPr>
                <w:sz w:val="20"/>
                <w:szCs w:val="20"/>
                <w:color w:val="auto"/>
              </w:rPr>
            </w:pPr>
            <w:r>
              <w:rPr>
                <w:rFonts w:ascii="Arial" w:cs="Arial" w:eastAsia="Arial" w:hAnsi="Arial"/>
                <w:sz w:val="12"/>
                <w:szCs w:val="12"/>
                <w:color w:val="auto"/>
              </w:rPr>
              <w:t>3,865</w:t>
            </w:r>
          </w:p>
        </w:tc>
        <w:tc>
          <w:tcPr>
            <w:tcW w:w="120" w:type="dxa"/>
            <w:vAlign w:val="bottom"/>
            <w:shd w:val="clear" w:color="auto" w:fill="CFF0FC"/>
          </w:tcPr>
          <w:p>
            <w:pPr>
              <w:spacing w:after="0"/>
              <w:rPr>
                <w:sz w:val="9"/>
                <w:szCs w:val="9"/>
                <w:color w:val="auto"/>
              </w:rPr>
            </w:pPr>
          </w:p>
        </w:tc>
        <w:tc>
          <w:tcPr>
            <w:tcW w:w="1180" w:type="dxa"/>
            <w:vAlign w:val="bottom"/>
            <w:gridSpan w:val="3"/>
            <w:shd w:val="clear" w:color="auto" w:fill="CFF0FC"/>
          </w:tcPr>
          <w:p>
            <w:pPr>
              <w:jc w:val="right"/>
              <w:spacing w:after="0" w:line="108" w:lineRule="exact"/>
              <w:rPr>
                <w:sz w:val="20"/>
                <w:szCs w:val="20"/>
                <w:color w:val="auto"/>
              </w:rPr>
            </w:pPr>
            <w:r>
              <w:rPr>
                <w:rFonts w:ascii="Arial" w:cs="Arial" w:eastAsia="Arial" w:hAnsi="Arial"/>
                <w:sz w:val="12"/>
                <w:szCs w:val="12"/>
                <w:color w:val="auto"/>
              </w:rPr>
              <w:t>0.3 %</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00" w:type="dxa"/>
            <w:vAlign w:val="bottom"/>
            <w:shd w:val="clear" w:color="auto" w:fill="CFF0FC"/>
          </w:tcPr>
          <w:p>
            <w:pPr>
              <w:ind w:left="120"/>
              <w:spacing w:after="0" w:line="122" w:lineRule="exact"/>
              <w:rPr>
                <w:sz w:val="20"/>
                <w:szCs w:val="20"/>
                <w:color w:val="auto"/>
              </w:rPr>
            </w:pPr>
            <w:r>
              <w:rPr>
                <w:rFonts w:ascii="Arial" w:cs="Arial" w:eastAsia="Arial" w:hAnsi="Arial"/>
                <w:sz w:val="13"/>
                <w:szCs w:val="13"/>
                <w:color w:val="auto"/>
              </w:rPr>
              <w:t>CLO Ltd, Series 2017-4A</w:t>
            </w:r>
          </w:p>
        </w:tc>
        <w:tc>
          <w:tcPr>
            <w:tcW w:w="1080" w:type="dxa"/>
            <w:vAlign w:val="bottom"/>
            <w:shd w:val="clear" w:color="auto" w:fill="CFF0FC"/>
          </w:tcPr>
          <w:p>
            <w:pPr>
              <w:ind w:left="200"/>
              <w:spacing w:after="0" w:line="122" w:lineRule="exact"/>
              <w:rPr>
                <w:sz w:val="20"/>
                <w:szCs w:val="20"/>
                <w:color w:val="auto"/>
              </w:rPr>
            </w:pPr>
            <w:r>
              <w:rPr>
                <w:rFonts w:ascii="Arial" w:cs="Arial" w:eastAsia="Arial" w:hAnsi="Arial"/>
                <w:sz w:val="13"/>
                <w:szCs w:val="13"/>
                <w:color w:val="auto"/>
              </w:rPr>
              <w:t>1/2030)</w:t>
            </w:r>
          </w:p>
        </w:tc>
        <w:tc>
          <w:tcPr>
            <w:tcW w:w="14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8"/>
                <w:szCs w:val="8"/>
                <w:color w:val="auto"/>
              </w:rPr>
              <w:t>(3)(4)(11)</w:t>
            </w:r>
          </w:p>
        </w:tc>
        <w:tc>
          <w:tcPr>
            <w:tcW w:w="10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12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right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5,095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5,792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0.4 %</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200" w:type="dxa"/>
            <w:vAlign w:val="bottom"/>
            <w:shd w:val="clear" w:color="auto" w:fill="CFF0FC"/>
          </w:tcPr>
          <w:p>
            <w:pPr>
              <w:ind w:left="20"/>
              <w:spacing w:after="0" w:line="102" w:lineRule="exact"/>
              <w:rPr>
                <w:sz w:val="20"/>
                <w:szCs w:val="20"/>
                <w:color w:val="auto"/>
              </w:rPr>
            </w:pPr>
            <w:r>
              <w:rPr>
                <w:rFonts w:ascii="Arial" w:cs="Arial" w:eastAsia="Arial" w:hAnsi="Arial"/>
                <w:sz w:val="10"/>
                <w:szCs w:val="10"/>
                <w:b w:val="1"/>
                <w:bCs w:val="1"/>
                <w:color w:val="auto"/>
              </w:rPr>
              <w:t>Total Equity and Other</w:t>
            </w:r>
          </w:p>
        </w:tc>
        <w:tc>
          <w:tcPr>
            <w:tcW w:w="10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760" w:type="dxa"/>
            <w:vAlign w:val="bottom"/>
            <w:tcBorders>
              <w:top w:val="single" w:sz="8" w:color="auto"/>
              <w:right w:val="single" w:sz="8" w:color="CFF0FC"/>
            </w:tcBorders>
            <w:gridSpan w:val="2"/>
            <w:shd w:val="clear" w:color="auto" w:fill="CFF0FC"/>
          </w:tcPr>
          <w:p>
            <w:pPr>
              <w:jc w:val="right"/>
              <w:spacing w:after="0" w:line="102" w:lineRule="exact"/>
              <w:rPr>
                <w:sz w:val="20"/>
                <w:szCs w:val="20"/>
                <w:color w:val="auto"/>
              </w:rPr>
            </w:pPr>
            <w:r>
              <w:rPr>
                <w:rFonts w:ascii="Arial" w:cs="Arial" w:eastAsia="Arial" w:hAnsi="Arial"/>
                <w:sz w:val="10"/>
                <w:szCs w:val="10"/>
                <w:color w:val="auto"/>
              </w:rPr>
              <w:t>114,460</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780" w:type="dxa"/>
            <w:vAlign w:val="bottom"/>
            <w:tcBorders>
              <w:top w:val="single" w:sz="8" w:color="auto"/>
            </w:tcBorders>
            <w:gridSpan w:val="2"/>
            <w:shd w:val="clear" w:color="auto" w:fill="CFF0FC"/>
          </w:tcPr>
          <w:p>
            <w:pPr>
              <w:jc w:val="right"/>
              <w:spacing w:after="0" w:line="102" w:lineRule="exact"/>
              <w:rPr>
                <w:sz w:val="20"/>
                <w:szCs w:val="20"/>
                <w:color w:val="auto"/>
              </w:rPr>
            </w:pPr>
            <w:r>
              <w:rPr>
                <w:rFonts w:ascii="Arial" w:cs="Arial" w:eastAsia="Arial" w:hAnsi="Arial"/>
                <w:sz w:val="10"/>
                <w:szCs w:val="10"/>
                <w:color w:val="auto"/>
              </w:rPr>
              <w:t>161,459</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80" w:type="dxa"/>
            <w:vAlign w:val="bottom"/>
            <w:tcBorders>
              <w:top w:val="single" w:sz="8" w:color="auto"/>
            </w:tcBorders>
            <w:shd w:val="clear" w:color="auto" w:fill="CFF0FC"/>
          </w:tcPr>
          <w:p>
            <w:pPr>
              <w:jc w:val="right"/>
              <w:spacing w:after="0" w:line="102" w:lineRule="exact"/>
              <w:rPr>
                <w:sz w:val="20"/>
                <w:szCs w:val="20"/>
                <w:color w:val="auto"/>
              </w:rPr>
            </w:pPr>
            <w:r>
              <w:rPr>
                <w:rFonts w:ascii="Arial" w:cs="Arial" w:eastAsia="Arial" w:hAnsi="Arial"/>
                <w:sz w:val="10"/>
                <w:szCs w:val="10"/>
                <w:color w:val="auto"/>
              </w:rPr>
              <w:t>12.6</w:t>
            </w:r>
          </w:p>
        </w:tc>
        <w:tc>
          <w:tcPr>
            <w:tcW w:w="100" w:type="dxa"/>
            <w:vAlign w:val="bottom"/>
            <w:shd w:val="clear" w:color="auto" w:fill="CFF0FC"/>
          </w:tcPr>
          <w:p>
            <w:pPr>
              <w:spacing w:after="0" w:line="102" w:lineRule="exact"/>
              <w:rPr>
                <w:sz w:val="20"/>
                <w:szCs w:val="20"/>
                <w:color w:val="auto"/>
              </w:rPr>
            </w:pPr>
            <w:r>
              <w:rPr>
                <w:rFonts w:ascii="Arial" w:cs="Arial" w:eastAsia="Arial" w:hAnsi="Arial"/>
                <w:sz w:val="10"/>
                <w:szCs w:val="10"/>
                <w:color w:val="auto"/>
                <w:w w:val="89"/>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3"/>
                <w:szCs w:val="13"/>
                <w:b w:val="1"/>
                <w:bCs w:val="1"/>
                <w:color w:val="auto"/>
              </w:rPr>
              <w:t>Investments</w:t>
            </w:r>
          </w:p>
        </w:tc>
        <w:tc>
          <w:tcPr>
            <w:tcW w:w="10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right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Total Investments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76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2,432,012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78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2,521,593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197.6 %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10"/>
          </w:tcPr>
          <w:p>
            <w:pPr>
              <w:jc w:val="right"/>
              <w:ind w:right="609"/>
              <w:spacing w:after="0"/>
              <w:rPr>
                <w:sz w:val="20"/>
                <w:szCs w:val="20"/>
                <w:color w:val="auto"/>
              </w:rPr>
            </w:pPr>
            <w:r>
              <w:rPr>
                <w:rFonts w:ascii="Arial" w:cs="Arial" w:eastAsia="Arial" w:hAnsi="Arial"/>
                <w:sz w:val="14"/>
                <w:szCs w:val="14"/>
                <w:b w:val="1"/>
                <w:bCs w:val="1"/>
                <w:color w:val="auto"/>
              </w:rPr>
              <w:t>Interest Rate Swaps as of December 31, 2021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Company</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2"/>
              </w:rPr>
              <w:t>Notional</w:t>
            </w:r>
          </w:p>
        </w:tc>
        <w:tc>
          <w:tcPr>
            <w:tcW w:w="240" w:type="dxa"/>
            <w:vAlign w:val="bottom"/>
          </w:tcPr>
          <w:p>
            <w:pPr>
              <w:spacing w:after="0"/>
              <w:rPr>
                <w:sz w:val="11"/>
                <w:szCs w:val="11"/>
                <w:color w:val="auto"/>
              </w:rPr>
            </w:pPr>
          </w:p>
        </w:tc>
        <w:tc>
          <w:tcPr>
            <w:tcW w:w="1320" w:type="dxa"/>
            <w:vAlign w:val="bottom"/>
            <w:gridSpan w:val="4"/>
          </w:tcPr>
          <w:p>
            <w:pPr>
              <w:jc w:val="center"/>
              <w:ind w:right="169"/>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Upfront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150"/>
              <w:spacing w:after="0" w:line="133" w:lineRule="exact"/>
              <w:rPr>
                <w:sz w:val="20"/>
                <w:szCs w:val="20"/>
                <w:color w:val="auto"/>
              </w:rPr>
            </w:pPr>
            <w:r>
              <w:rPr>
                <w:rFonts w:ascii="Arial" w:cs="Arial" w:eastAsia="Arial" w:hAnsi="Arial"/>
                <w:sz w:val="14"/>
                <w:szCs w:val="14"/>
                <w:b w:val="1"/>
                <w:bCs w:val="1"/>
                <w:color w:val="auto"/>
                <w:w w:val="94"/>
              </w:rPr>
              <w:t>Change in</w:t>
            </w:r>
          </w:p>
        </w:tc>
        <w:tc>
          <w:tcPr>
            <w:tcW w:w="1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4"/>
          </w:tcPr>
          <w:p>
            <w:pPr>
              <w:jc w:val="center"/>
              <w:ind w:right="169"/>
              <w:spacing w:after="0" w:line="149"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2"/>
                <w:szCs w:val="12"/>
                <w:color w:val="auto"/>
              </w:rPr>
            </w:pPr>
          </w:p>
        </w:tc>
        <w:tc>
          <w:tcPr>
            <w:tcW w:w="1120" w:type="dxa"/>
            <w:vAlign w:val="bottom"/>
            <w:gridSpan w:val="4"/>
          </w:tcPr>
          <w:p>
            <w:pPr>
              <w:jc w:val="right"/>
              <w:ind w:right="340"/>
              <w:spacing w:after="0" w:line="149" w:lineRule="exact"/>
              <w:rPr>
                <w:sz w:val="20"/>
                <w:szCs w:val="20"/>
                <w:color w:val="auto"/>
              </w:rPr>
            </w:pPr>
            <w:r>
              <w:rPr>
                <w:rFonts w:ascii="Arial" w:cs="Arial" w:eastAsia="Arial" w:hAnsi="Arial"/>
                <w:sz w:val="14"/>
                <w:szCs w:val="14"/>
                <w:b w:val="1"/>
                <w:bCs w:val="1"/>
                <w:color w:val="auto"/>
                <w:w w:val="91"/>
              </w:rPr>
              <w:t>(Payments)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85"/>
        </w:trPr>
        <w:tc>
          <w:tcPr>
            <w:tcW w:w="2200" w:type="dxa"/>
            <w:vAlign w:val="bottom"/>
          </w:tcPr>
          <w:p>
            <w:pPr>
              <w:spacing w:after="0"/>
              <w:rPr>
                <w:sz w:val="16"/>
                <w:szCs w:val="16"/>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Receives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Pays</w:t>
            </w: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320" w:type="dxa"/>
            <w:vAlign w:val="bottom"/>
            <w:gridSpan w:val="4"/>
          </w:tcPr>
          <w:p>
            <w:pPr>
              <w:jc w:val="center"/>
              <w:ind w:right="169"/>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Receipts</w:t>
            </w:r>
          </w:p>
        </w:tc>
        <w:tc>
          <w:tcPr>
            <w:tcW w:w="120" w:type="dxa"/>
            <w:vAlign w:val="bottom"/>
          </w:tcPr>
          <w:p>
            <w:pPr>
              <w:spacing w:after="0"/>
              <w:rPr>
                <w:sz w:val="16"/>
                <w:szCs w:val="16"/>
                <w:color w:val="auto"/>
              </w:rPr>
            </w:pPr>
          </w:p>
        </w:tc>
        <w:tc>
          <w:tcPr>
            <w:tcW w:w="12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Gains / (Losses)</w:t>
            </w:r>
          </w:p>
        </w:tc>
        <w:tc>
          <w:tcPr>
            <w:tcW w:w="0" w:type="dxa"/>
            <w:vAlign w:val="bottom"/>
          </w:tcPr>
          <w:p>
            <w:pPr>
              <w:spacing w:after="0"/>
              <w:rPr>
                <w:sz w:val="1"/>
                <w:szCs w:val="1"/>
                <w:color w:val="auto"/>
              </w:rPr>
            </w:pPr>
          </w:p>
        </w:tc>
      </w:tr>
      <w:tr>
        <w:trPr>
          <w:trHeight w:val="196"/>
        </w:trPr>
        <w:tc>
          <w:tcPr>
            <w:tcW w:w="220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2"/>
                <w:szCs w:val="22"/>
                <w:color w:val="auto"/>
                <w:vertAlign w:val="superscript"/>
              </w:rPr>
              <w:t>(a)</w:t>
            </w:r>
          </w:p>
        </w:tc>
        <w:tc>
          <w:tcPr>
            <w:tcW w:w="108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rPr>
              <w:t>L</w:t>
            </w:r>
          </w:p>
        </w:tc>
        <w:tc>
          <w:tcPr>
            <w:tcW w:w="14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0"/>
              </w:rPr>
              <w:t>0.16%</w:t>
            </w:r>
          </w:p>
        </w:tc>
        <w:tc>
          <w:tcPr>
            <w:tcW w:w="120" w:type="dxa"/>
            <w:vAlign w:val="bottom"/>
            <w:shd w:val="clear" w:color="auto" w:fill="CFF0FC"/>
          </w:tcPr>
          <w:p>
            <w:pPr>
              <w:spacing w:after="0"/>
              <w:rPr>
                <w:sz w:val="17"/>
                <w:szCs w:val="17"/>
                <w:color w:val="auto"/>
              </w:rPr>
            </w:pPr>
          </w:p>
        </w:tc>
        <w:tc>
          <w:tcPr>
            <w:tcW w:w="120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7/30/2022</w:t>
            </w:r>
          </w:p>
        </w:tc>
        <w:tc>
          <w:tcPr>
            <w:tcW w:w="1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13,440</w:t>
            </w:r>
          </w:p>
        </w:tc>
        <w:tc>
          <w:tcPr>
            <w:tcW w:w="24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ind w:right="261"/>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3"/>
              </w:rPr>
              <w:t>4.50%</w:t>
            </w:r>
          </w:p>
        </w:tc>
        <w:tc>
          <w:tcPr>
            <w:tcW w:w="1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3"/>
              </w:rPr>
              <w:t>L + 2.37%</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1,192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(2,287 )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w:t>
            </w:r>
          </w:p>
        </w:tc>
        <w:tc>
          <w:tcPr>
            <w:tcW w:w="10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3"/>
              </w:rPr>
              <w:t>4.50%</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3"/>
              </w:rPr>
              <w:t>L + 1.59%</w:t>
            </w:r>
          </w:p>
        </w:tc>
        <w:tc>
          <w:tcPr>
            <w:tcW w:w="13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751</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(1,390 )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3"/>
              </w:rPr>
              <w:t>4.50%</w:t>
            </w:r>
          </w:p>
        </w:tc>
        <w:tc>
          <w:tcPr>
            <w:tcW w:w="1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3"/>
              </w:rPr>
              <w:t>L + 1.60%</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7,500</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(208 )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w:t>
            </w:r>
          </w:p>
        </w:tc>
        <w:tc>
          <w:tcPr>
            <w:tcW w:w="1220" w:type="dxa"/>
            <w:vAlign w:val="bottom"/>
            <w:gridSpan w:val="2"/>
            <w:shd w:val="clear" w:color="auto" w:fill="CFF0FC"/>
          </w:tcPr>
          <w:p>
            <w:pPr>
              <w:jc w:val="center"/>
              <w:ind w:right="140"/>
              <w:spacing w:after="0" w:line="202" w:lineRule="exact"/>
              <w:rPr>
                <w:sz w:val="20"/>
                <w:szCs w:val="20"/>
                <w:color w:val="auto"/>
              </w:rPr>
            </w:pPr>
            <w:r>
              <w:rPr>
                <w:rFonts w:ascii="Arial" w:cs="Arial" w:eastAsia="Arial" w:hAnsi="Arial"/>
                <w:sz w:val="18"/>
                <w:szCs w:val="18"/>
                <w:color w:val="auto"/>
                <w:w w:val="93"/>
              </w:rPr>
              <w:t>L + 2.11%</w:t>
            </w:r>
          </w:p>
        </w:tc>
        <w:tc>
          <w:tcPr>
            <w:tcW w:w="12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4.50%</w:t>
            </w:r>
          </w:p>
        </w:tc>
        <w:tc>
          <w:tcPr>
            <w:tcW w:w="13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27,531</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tcBorders>
              <w:right w:val="single" w:sz="8" w:color="CFF0FC"/>
            </w:tcBorders>
            <w:gridSpan w:val="2"/>
            <w:shd w:val="clear" w:color="auto" w:fill="CFF0FC"/>
          </w:tcPr>
          <w:p>
            <w:pPr>
              <w:jc w:val="right"/>
              <w:ind w:right="109"/>
              <w:spacing w:after="0" w:line="202" w:lineRule="exact"/>
              <w:rPr>
                <w:sz w:val="20"/>
                <w:szCs w:val="20"/>
                <w:color w:val="auto"/>
              </w:rPr>
            </w:pPr>
            <w:r>
              <w:rPr>
                <w:rFonts w:ascii="Arial" w:cs="Arial" w:eastAsia="Arial" w:hAnsi="Arial"/>
                <w:sz w:val="18"/>
                <w:szCs w:val="18"/>
                <w:color w:val="auto"/>
              </w:rPr>
              <w:t>(328 )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621</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w:t>
            </w:r>
          </w:p>
        </w:tc>
        <w:tc>
          <w:tcPr>
            <w:tcW w:w="122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93"/>
              </w:rPr>
              <w:t>L + 2.11%</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0"/>
              </w:rPr>
              <w:t>4.50%</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2,160</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9"/>
              <w:spacing w:after="0" w:line="202" w:lineRule="exact"/>
              <w:rPr>
                <w:sz w:val="20"/>
                <w:szCs w:val="20"/>
                <w:color w:val="auto"/>
              </w:rPr>
            </w:pPr>
            <w:r>
              <w:rPr>
                <w:rFonts w:ascii="Arial" w:cs="Arial" w:eastAsia="Arial" w:hAnsi="Arial"/>
                <w:sz w:val="18"/>
                <w:szCs w:val="18"/>
                <w:color w:val="auto"/>
              </w:rPr>
              <w:t>(26 )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w:t>
            </w:r>
          </w:p>
        </w:tc>
        <w:tc>
          <w:tcPr>
            <w:tcW w:w="1220" w:type="dxa"/>
            <w:vAlign w:val="bottom"/>
            <w:gridSpan w:val="2"/>
            <w:shd w:val="clear" w:color="auto" w:fill="CFF0FC"/>
          </w:tcPr>
          <w:p>
            <w:pPr>
              <w:jc w:val="center"/>
              <w:ind w:right="140"/>
              <w:spacing w:after="0" w:line="202" w:lineRule="exact"/>
              <w:rPr>
                <w:sz w:val="20"/>
                <w:szCs w:val="20"/>
                <w:color w:val="auto"/>
              </w:rPr>
            </w:pPr>
            <w:r>
              <w:rPr>
                <w:rFonts w:ascii="Arial" w:cs="Arial" w:eastAsia="Arial" w:hAnsi="Arial"/>
                <w:sz w:val="18"/>
                <w:szCs w:val="18"/>
                <w:color w:val="auto"/>
                <w:w w:val="93"/>
              </w:rPr>
              <w:t>L + 2.11%</w:t>
            </w:r>
          </w:p>
        </w:tc>
        <w:tc>
          <w:tcPr>
            <w:tcW w:w="12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4.50%</w:t>
            </w:r>
          </w:p>
        </w:tc>
        <w:tc>
          <w:tcPr>
            <w:tcW w:w="13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42,819</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tcBorders>
              <w:right w:val="single" w:sz="8" w:color="CFF0FC"/>
            </w:tcBorders>
            <w:gridSpan w:val="2"/>
            <w:shd w:val="clear" w:color="auto" w:fill="CFF0FC"/>
          </w:tcPr>
          <w:p>
            <w:pPr>
              <w:jc w:val="right"/>
              <w:ind w:right="109"/>
              <w:spacing w:after="0" w:line="202" w:lineRule="exact"/>
              <w:rPr>
                <w:sz w:val="20"/>
                <w:szCs w:val="20"/>
                <w:color w:val="auto"/>
              </w:rPr>
            </w:pPr>
            <w:r>
              <w:rPr>
                <w:rFonts w:ascii="Arial" w:cs="Arial" w:eastAsia="Arial" w:hAnsi="Arial"/>
                <w:sz w:val="18"/>
                <w:szCs w:val="18"/>
                <w:color w:val="auto"/>
              </w:rPr>
              <w:t>(510 )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394</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3"/>
              </w:rPr>
              <w:t>4.50%</w:t>
            </w:r>
          </w:p>
        </w:tc>
        <w:tc>
          <w:tcPr>
            <w:tcW w:w="1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3"/>
              </w:rPr>
              <w:t>L + 1.99%</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1/22/2023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150,000</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3,061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(3,994 )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(a)(e)</w:t>
            </w:r>
          </w:p>
        </w:tc>
        <w:tc>
          <w:tcPr>
            <w:tcW w:w="1220" w:type="dxa"/>
            <w:vAlign w:val="bottom"/>
            <w:gridSpan w:val="2"/>
            <w:shd w:val="clear" w:color="auto" w:fill="CFF0FC"/>
          </w:tcPr>
          <w:p>
            <w:pPr>
              <w:jc w:val="center"/>
              <w:ind w:right="140"/>
              <w:spacing w:after="0" w:line="202" w:lineRule="exact"/>
              <w:rPr>
                <w:sz w:val="20"/>
                <w:szCs w:val="20"/>
                <w:color w:val="auto"/>
              </w:rPr>
            </w:pPr>
            <w:r>
              <w:rPr>
                <w:rFonts w:ascii="Arial" w:cs="Arial" w:eastAsia="Arial" w:hAnsi="Arial"/>
                <w:sz w:val="18"/>
                <w:szCs w:val="18"/>
                <w:color w:val="auto"/>
                <w:w w:val="93"/>
              </w:rPr>
              <w:t>L + 2.28%</w:t>
            </w:r>
          </w:p>
        </w:tc>
        <w:tc>
          <w:tcPr>
            <w:tcW w:w="12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3.875%</w:t>
            </w:r>
          </w:p>
        </w:tc>
        <w:tc>
          <w:tcPr>
            <w:tcW w:w="13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2,500</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tcBorders>
              <w:right w:val="single" w:sz="8" w:color="CFF0FC"/>
            </w:tcBorders>
            <w:gridSpan w:val="2"/>
            <w:shd w:val="clear" w:color="auto" w:fill="CFF0FC"/>
          </w:tcPr>
          <w:p>
            <w:pPr>
              <w:jc w:val="right"/>
              <w:ind w:right="189"/>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3"/>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(a)(b)</w:t>
            </w:r>
          </w:p>
        </w:tc>
        <w:tc>
          <w:tcPr>
            <w:tcW w:w="122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rPr>
              <w:t>L</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0"/>
              </w:rPr>
              <w:t>1.47%</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7/30/2021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89"/>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(a)(b)</w:t>
            </w:r>
          </w:p>
        </w:tc>
        <w:tc>
          <w:tcPr>
            <w:tcW w:w="1220" w:type="dxa"/>
            <w:vAlign w:val="bottom"/>
            <w:tcBorders>
              <w:bottom w:val="single" w:sz="8" w:color="CFF0FC"/>
            </w:tcBorders>
            <w:gridSpan w:val="2"/>
            <w:shd w:val="clear" w:color="auto" w:fill="CFF0FC"/>
          </w:tcPr>
          <w:p>
            <w:pPr>
              <w:jc w:val="center"/>
              <w:ind w:right="140"/>
              <w:spacing w:after="0" w:line="202" w:lineRule="exact"/>
              <w:rPr>
                <w:sz w:val="20"/>
                <w:szCs w:val="20"/>
                <w:color w:val="auto"/>
              </w:rPr>
            </w:pPr>
            <w:r>
              <w:rPr>
                <w:rFonts w:ascii="Arial" w:cs="Arial" w:eastAsia="Arial" w:hAnsi="Arial"/>
                <w:sz w:val="18"/>
                <w:szCs w:val="18"/>
                <w:color w:val="auto"/>
              </w:rPr>
              <w:t>L</w:t>
            </w:r>
          </w:p>
        </w:tc>
        <w:tc>
          <w:tcPr>
            <w:tcW w:w="1200" w:type="dxa"/>
            <w:vAlign w:val="bottom"/>
            <w:tcBorders>
              <w:bottom w:val="single" w:sz="8" w:color="CFF0FC"/>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0.326%</w:t>
            </w:r>
          </w:p>
        </w:tc>
        <w:tc>
          <w:tcPr>
            <w:tcW w:w="1320" w:type="dxa"/>
            <w:vAlign w:val="bottom"/>
            <w:tcBorders>
              <w:bottom w:val="single" w:sz="8" w:color="CFF0FC"/>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6/9/2023</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410,950</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4,265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2,380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(6,699 )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(a)(c)(d)</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1"/>
              </w:rPr>
              <w:t>3.875%</w:t>
            </w:r>
          </w:p>
        </w:tc>
        <w:tc>
          <w:tcPr>
            <w:tcW w:w="1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3"/>
              </w:rPr>
              <w:t>L + 2.25%</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11/1/2024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3,996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(10,720 )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(a)(c)(d)</w:t>
            </w:r>
          </w:p>
        </w:tc>
        <w:tc>
          <w:tcPr>
            <w:tcW w:w="10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3.875%</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3"/>
              </w:rPr>
              <w:t>L + 2.46%</w:t>
            </w:r>
          </w:p>
        </w:tc>
        <w:tc>
          <w:tcPr>
            <w:tcW w:w="13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377</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(1,676 )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3"/>
                <w:szCs w:val="23"/>
                <w:color w:val="auto"/>
                <w:vertAlign w:val="superscript"/>
              </w:rPr>
              <w:t>(a)(c)</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3"/>
              </w:rPr>
              <w:t>2.50%</w:t>
            </w:r>
          </w:p>
        </w:tc>
        <w:tc>
          <w:tcPr>
            <w:tcW w:w="1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3"/>
              </w:rPr>
              <w:t>L + 1.91%</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8/1/2026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c>
          <w:tcPr>
            <w:tcW w:w="1560" w:type="dxa"/>
            <w:vAlign w:val="bottom"/>
            <w:gridSpan w:val="5"/>
          </w:tcPr>
          <w:p>
            <w:pPr>
              <w:jc w:val="right"/>
              <w:ind w:right="109"/>
              <w:spacing w:after="0" w:line="202" w:lineRule="exact"/>
              <w:rPr>
                <w:sz w:val="20"/>
                <w:szCs w:val="20"/>
                <w:color w:val="auto"/>
              </w:rPr>
            </w:pPr>
            <w:r>
              <w:rPr>
                <w:rFonts w:ascii="Arial" w:cs="Arial" w:eastAsia="Arial" w:hAnsi="Arial"/>
                <w:sz w:val="18"/>
                <w:szCs w:val="18"/>
                <w:color w:val="auto"/>
              </w:rPr>
              <w:t>(10,239 )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(10,239 )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650,000</w:t>
            </w:r>
          </w:p>
        </w:tc>
        <w:tc>
          <w:tcPr>
            <w:tcW w:w="24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(5,866</w:t>
            </w:r>
          </w:p>
        </w:tc>
        <w:tc>
          <w:tcPr>
            <w:tcW w:w="240" w:type="dxa"/>
            <w:vAlign w:val="bottom"/>
            <w:tcBorders>
              <w:right w:val="single" w:sz="8" w:color="CFF0FC"/>
            </w:tcBorders>
            <w:shd w:val="clear" w:color="auto" w:fill="CFF0FC"/>
          </w:tcPr>
          <w:p>
            <w:pPr>
              <w:jc w:val="right"/>
              <w:ind w:right="109"/>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(22,635</w:t>
            </w:r>
          </w:p>
        </w:tc>
        <w:tc>
          <w:tcPr>
            <w:tcW w:w="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20"/>
              <w:spacing w:after="0" w:line="202" w:lineRule="exact"/>
              <w:rPr>
                <w:sz w:val="20"/>
                <w:szCs w:val="20"/>
                <w:color w:val="auto"/>
              </w:rPr>
            </w:pPr>
            <w:r>
              <w:rPr>
                <w:rFonts w:ascii="Arial" w:cs="Arial" w:eastAsia="Arial" w:hAnsi="Arial"/>
                <w:sz w:val="18"/>
                <w:szCs w:val="18"/>
                <w:color w:val="auto"/>
              </w:rPr>
              <w:t>Cash collateral</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4,185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43"/>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Total derivatives</w:t>
            </w:r>
          </w:p>
        </w:tc>
        <w:tc>
          <w:tcPr>
            <w:tcW w:w="10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gridSpan w:val="2"/>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1,060,950</w:t>
            </w:r>
          </w:p>
        </w:tc>
        <w:tc>
          <w:tcPr>
            <w:tcW w:w="2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61"/>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2,584</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2,380</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(29,334</w:t>
            </w:r>
          </w:p>
        </w:tc>
        <w:tc>
          <w:tcPr>
            <w:tcW w:w="1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2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-6271260</wp:posOffset>
            </wp:positionV>
            <wp:extent cx="6858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-6271260</wp:posOffset>
            </wp:positionV>
            <wp:extent cx="6858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-6271260</wp:posOffset>
            </wp:positionV>
            <wp:extent cx="6858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-4891405</wp:posOffset>
            </wp:positionV>
            <wp:extent cx="6858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-4891405</wp:posOffset>
            </wp:positionV>
            <wp:extent cx="6858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-4891405</wp:posOffset>
            </wp:positionV>
            <wp:extent cx="6858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-3931285</wp:posOffset>
            </wp:positionV>
            <wp:extent cx="6858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-3931285</wp:posOffset>
            </wp:positionV>
            <wp:extent cx="6858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-3931285</wp:posOffset>
            </wp:positionV>
            <wp:extent cx="6858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-3656965</wp:posOffset>
            </wp:positionV>
            <wp:extent cx="6858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-3656965</wp:posOffset>
            </wp:positionV>
            <wp:extent cx="6858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-3656965</wp:posOffset>
            </wp:positionV>
            <wp:extent cx="6858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-1556385</wp:posOffset>
            </wp:positionV>
            <wp:extent cx="7683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-1556385</wp:posOffset>
            </wp:positionV>
            <wp:extent cx="6858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-1556385</wp:posOffset>
            </wp:positionV>
            <wp:extent cx="6858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-1556385</wp:posOffset>
            </wp:positionV>
            <wp:extent cx="6858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-504825</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-487680</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-504825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-487680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-504825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-487680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301" w:right="299" w:bottom="1440" w:gutter="0" w:footer="0" w:header="0"/>
        </w:sectPr>
      </w:pPr>
    </w:p>
    <w:bookmarkStart w:id="15" w:name="page16"/>
    <w:bookmarkEnd w:id="15"/>
    <w:p>
      <w:pPr>
        <w:ind w:left="1020" w:hanging="503"/>
        <w:spacing w:after="0"/>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11" w:lineRule="exact"/>
        <w:rPr>
          <w:rFonts w:ascii="Arial" w:cs="Arial" w:eastAsia="Arial" w:hAnsi="Arial"/>
          <w:sz w:val="18"/>
          <w:szCs w:val="18"/>
          <w:color w:val="auto"/>
        </w:rPr>
      </w:pPr>
    </w:p>
    <w:p>
      <w:pPr>
        <w:ind w:left="1020" w:hanging="503"/>
        <w:spacing w:after="0" w:line="234"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Interest rate swap was terminated or matured during the period.</w:t>
      </w:r>
    </w:p>
    <w:p>
      <w:pPr>
        <w:ind w:left="1020" w:right="180" w:hanging="503"/>
        <w:spacing w:after="0" w:line="234"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Instrument is used in a hedge accounting relationship. The associated change in fair value is recorded along with the change in fair value of the hedged item within interest expense.</w:t>
      </w:r>
    </w:p>
    <w:p>
      <w:pPr>
        <w:spacing w:after="0" w:line="1" w:lineRule="exact"/>
        <w:rPr>
          <w:rFonts w:ascii="Arial" w:cs="Arial" w:eastAsia="Arial" w:hAnsi="Arial"/>
          <w:sz w:val="18"/>
          <w:szCs w:val="18"/>
          <w:color w:val="auto"/>
        </w:rPr>
      </w:pPr>
    </w:p>
    <w:p>
      <w:pPr>
        <w:ind w:left="1020" w:right="160" w:hanging="503"/>
        <w:spacing w:after="0" w:line="234"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$2.5 million in aggregate notional value of these instruments is no longer designated as instruments in a hedge accounting relationship. The associated change in fair value of the de-designated portion is recorded within unrealized gain/(loss).</w:t>
      </w:r>
    </w:p>
    <w:p>
      <w:pPr>
        <w:spacing w:after="0" w:line="1" w:lineRule="exact"/>
        <w:rPr>
          <w:rFonts w:ascii="Arial" w:cs="Arial" w:eastAsia="Arial" w:hAnsi="Arial"/>
          <w:sz w:val="18"/>
          <w:szCs w:val="18"/>
          <w:color w:val="auto"/>
        </w:rPr>
      </w:pPr>
    </w:p>
    <w:p>
      <w:pPr>
        <w:ind w:left="1020" w:hanging="503"/>
        <w:spacing w:after="0" w:line="243"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fair market value of this instrument is presented net with the $2.5 million in aggregate notional value of instruments no longer designated as instruments in a hedge accounting relationship.</w:t>
      </w:r>
    </w:p>
    <w:p>
      <w:pPr>
        <w:spacing w:after="0" w:line="158"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11" w:lineRule="exact"/>
        <w:rPr>
          <w:rFonts w:ascii="Arial" w:cs="Arial" w:eastAsia="Arial" w:hAnsi="Arial"/>
          <w:sz w:val="18"/>
          <w:szCs w:val="18"/>
          <w:color w:val="auto"/>
        </w:rPr>
      </w:pPr>
    </w:p>
    <w:p>
      <w:pPr>
        <w:ind w:left="520" w:hanging="512"/>
        <w:spacing w:after="0" w:line="234"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1" w:lineRule="exact"/>
        <w:rPr>
          <w:rFonts w:ascii="Arial" w:cs="Arial" w:eastAsia="Arial" w:hAnsi="Arial"/>
          <w:sz w:val="18"/>
          <w:szCs w:val="18"/>
          <w:color w:val="auto"/>
        </w:rPr>
      </w:pPr>
    </w:p>
    <w:p>
      <w:pPr>
        <w:ind w:left="520" w:right="80" w:hanging="512"/>
        <w:spacing w:after="0" w:line="248"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Investment contains a variable rate structure, subject to an interest rate floor. Variable rate investments bear interest at a rate that may be determined by reference to either London Interbank Offered Rate (“LIBOR” or “L”),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2021.</w:t>
      </w:r>
    </w:p>
    <w:p>
      <w:pPr>
        <w:spacing w:after="0" w:line="3" w:lineRule="exact"/>
        <w:rPr>
          <w:rFonts w:ascii="Arial" w:cs="Arial" w:eastAsia="Arial" w:hAnsi="Arial"/>
          <w:sz w:val="17"/>
          <w:szCs w:val="17"/>
          <w:color w:val="auto"/>
        </w:rPr>
      </w:pPr>
    </w:p>
    <w:p>
      <w:pPr>
        <w:ind w:left="520" w:right="20" w:hanging="512"/>
        <w:spacing w:after="0" w:line="248"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13.9% of total assets as of December 31, 2021.</w:t>
      </w:r>
    </w:p>
    <w:p>
      <w:pPr>
        <w:spacing w:after="0" w:line="1" w:lineRule="exact"/>
        <w:rPr>
          <w:rFonts w:ascii="Arial" w:cs="Arial" w:eastAsia="Arial" w:hAnsi="Arial"/>
          <w:sz w:val="17"/>
          <w:szCs w:val="17"/>
          <w:color w:val="auto"/>
        </w:rPr>
      </w:pPr>
    </w:p>
    <w:p>
      <w:pPr>
        <w:ind w:left="520" w:right="40" w:hanging="512"/>
        <w:spacing w:after="0" w:line="248"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2" w:lineRule="exact"/>
        <w:rPr>
          <w:rFonts w:ascii="Arial" w:cs="Arial" w:eastAsia="Arial" w:hAnsi="Arial"/>
          <w:sz w:val="17"/>
          <w:szCs w:val="17"/>
          <w:color w:val="auto"/>
        </w:rPr>
      </w:pPr>
    </w:p>
    <w:p>
      <w:pPr>
        <w:jc w:val="both"/>
        <w:ind w:left="520" w:right="260" w:hanging="512"/>
        <w:spacing w:after="0" w:line="239"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year ended December 31, 2021in which the Company was an Affiliated Person of the portfolio company are as follows: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Non-controlled, Affiliated Investments during the year ended December 31,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7"/>
              <w:spacing w:after="0"/>
              <w:rPr>
                <w:sz w:val="20"/>
                <w:szCs w:val="20"/>
                <w:color w:val="auto"/>
              </w:rPr>
            </w:pPr>
            <w:r>
              <w:rPr>
                <w:rFonts w:ascii="Arial" w:cs="Arial" w:eastAsia="Arial" w:hAnsi="Arial"/>
                <w:sz w:val="13"/>
                <w:szCs w:val="13"/>
                <w:b w:val="1"/>
                <w:bCs w:val="1"/>
                <w:color w:val="auto"/>
              </w:rPr>
              <w:t>Fair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88"/>
              </w:rPr>
              <w:t>Net Change</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7"/>
              <w:spacing w:after="0"/>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8"/>
              </w:rPr>
              <w:t>Value at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79"/>
              </w:rPr>
              <w:t>Gross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79"/>
              </w:rPr>
              <w:t>Gross</w:t>
            </w: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Realized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88"/>
              </w:rPr>
              <w:t>Value at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86"/>
              </w:rPr>
              <w:t>Other</w:t>
            </w:r>
          </w:p>
        </w:tc>
        <w:tc>
          <w:tcPr>
            <w:tcW w:w="20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7"/>
              </w:rPr>
              <w:t>Interest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40" w:type="dxa"/>
            <w:vAlign w:val="bottom"/>
            <w:vMerge w:val="restart"/>
          </w:tcPr>
          <w:p>
            <w:pPr>
              <w:ind w:left="600"/>
              <w:spacing w:after="0"/>
              <w:rPr>
                <w:sz w:val="20"/>
                <w:szCs w:val="20"/>
                <w:color w:val="auto"/>
              </w:rPr>
            </w:pPr>
            <w:r>
              <w:rPr>
                <w:rFonts w:ascii="Arial" w:cs="Arial" w:eastAsia="Arial" w:hAnsi="Arial"/>
                <w:sz w:val="13"/>
                <w:szCs w:val="13"/>
                <w:b w:val="1"/>
                <w:bCs w:val="1"/>
                <w:color w:val="auto"/>
              </w:rPr>
              <w:t>Company</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85"/>
              </w:rPr>
              <w:t>December 31,</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8"/>
              </w:rPr>
              <w:t>In Unrealized</w:t>
            </w:r>
          </w:p>
        </w:tc>
        <w:tc>
          <w:tcPr>
            <w:tcW w:w="2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Transfers</w:t>
            </w:r>
          </w:p>
        </w:tc>
        <w:tc>
          <w:tcPr>
            <w:tcW w:w="200" w:type="dxa"/>
            <w:vAlign w:val="bottom"/>
          </w:tcPr>
          <w:p>
            <w:pPr>
              <w:spacing w:after="0"/>
              <w:rPr>
                <w:sz w:val="10"/>
                <w:szCs w:val="10"/>
                <w:color w:val="auto"/>
              </w:rPr>
            </w:pPr>
          </w:p>
        </w:tc>
        <w:tc>
          <w:tcPr>
            <w:tcW w:w="8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5"/>
              </w:rPr>
              <w:t>December 31,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2"/>
              </w:rPr>
              <w:t>2020</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Additions (a)</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5"/>
              </w:rPr>
              <w:t>Reductions (b)</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Gain/(Loss)</w:t>
            </w:r>
          </w:p>
        </w:tc>
        <w:tc>
          <w:tcPr>
            <w:tcW w:w="2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Gain/(Loss)(d)</w:t>
            </w:r>
          </w:p>
        </w:tc>
        <w:tc>
          <w:tcPr>
            <w:tcW w:w="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2"/>
              </w:rPr>
              <w:t>2021</w:t>
            </w:r>
          </w:p>
        </w:tc>
        <w:tc>
          <w:tcPr>
            <w:tcW w:w="200" w:type="dxa"/>
            <w:vAlign w:val="bottom"/>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Income</w:t>
            </w:r>
          </w:p>
        </w:tc>
        <w:tc>
          <w:tcPr>
            <w:tcW w:w="200" w:type="dxa"/>
            <w:vAlign w:val="bottom"/>
          </w:tcPr>
          <w:p>
            <w:pPr>
              <w:spacing w:after="0"/>
              <w:rPr>
                <w:sz w:val="14"/>
                <w:szCs w:val="14"/>
                <w:color w:val="auto"/>
              </w:rPr>
            </w:pPr>
          </w:p>
        </w:tc>
        <w:tc>
          <w:tcPr>
            <w:tcW w:w="5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1740" w:type="dxa"/>
            <w:vAlign w:val="bottom"/>
            <w:shd w:val="clear" w:color="auto" w:fill="CFF0FC"/>
          </w:tcPr>
          <w:p>
            <w:pPr>
              <w:ind w:left="20"/>
              <w:spacing w:after="0" w:line="102" w:lineRule="exact"/>
              <w:rPr>
                <w:sz w:val="20"/>
                <w:szCs w:val="20"/>
                <w:color w:val="auto"/>
              </w:rPr>
            </w:pPr>
            <w:r>
              <w:rPr>
                <w:rFonts w:ascii="Arial" w:cs="Arial" w:eastAsia="Arial" w:hAnsi="Arial"/>
                <w:sz w:val="10"/>
                <w:szCs w:val="10"/>
                <w:color w:val="auto"/>
              </w:rPr>
              <w:t>MD America Energy,</w:t>
            </w:r>
          </w:p>
        </w:tc>
        <w:tc>
          <w:tcPr>
            <w:tcW w:w="100" w:type="dxa"/>
            <w:vAlign w:val="bottom"/>
            <w:vMerge w:val="restart"/>
            <w:shd w:val="clear" w:color="auto" w:fill="CFF0FC"/>
          </w:tcPr>
          <w:p>
            <w:pPr>
              <w:spacing w:after="0"/>
              <w:rPr>
                <w:sz w:val="8"/>
                <w:szCs w:val="8"/>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12,892</w:t>
            </w:r>
          </w:p>
        </w:tc>
        <w:tc>
          <w:tcPr>
            <w:tcW w:w="240" w:type="dxa"/>
            <w:vAlign w:val="bottom"/>
            <w:vMerge w:val="restart"/>
            <w:shd w:val="clear" w:color="auto" w:fill="CFF0FC"/>
          </w:tcPr>
          <w:p>
            <w:pPr>
              <w:spacing w:after="0"/>
              <w:rPr>
                <w:sz w:val="8"/>
                <w:szCs w:val="8"/>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CFF0FC"/>
          </w:tcPr>
          <w:p>
            <w:pPr>
              <w:ind w:left="700"/>
              <w:spacing w:after="0"/>
              <w:rPr>
                <w:sz w:val="20"/>
                <w:szCs w:val="20"/>
                <w:color w:val="auto"/>
              </w:rPr>
            </w:pPr>
            <w:r>
              <w:rPr>
                <w:rFonts w:ascii="Arial" w:cs="Arial" w:eastAsia="Arial" w:hAnsi="Arial"/>
                <w:sz w:val="13"/>
                <w:szCs w:val="13"/>
                <w:color w:val="auto"/>
                <w:w w:val="91"/>
              </w:rPr>
              <w:t>—</w:t>
            </w:r>
          </w:p>
        </w:tc>
        <w:tc>
          <w:tcPr>
            <w:tcW w:w="240" w:type="dxa"/>
            <w:vAlign w:val="bottom"/>
            <w:vMerge w:val="restart"/>
            <w:shd w:val="clear" w:color="auto" w:fill="CFF0FC"/>
          </w:tcPr>
          <w:p>
            <w:pPr>
              <w:spacing w:after="0"/>
              <w:rPr>
                <w:sz w:val="8"/>
                <w:szCs w:val="8"/>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(225 )</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14,350</w:t>
            </w:r>
          </w:p>
        </w:tc>
        <w:tc>
          <w:tcPr>
            <w:tcW w:w="1180" w:type="dxa"/>
            <w:vAlign w:val="bottom"/>
            <w:gridSpan w:val="2"/>
            <w:vMerge w:val="restart"/>
            <w:shd w:val="clear" w:color="auto" w:fill="CFF0FC"/>
          </w:tcPr>
          <w:p>
            <w:pPr>
              <w:jc w:val="right"/>
              <w:ind w:right="837"/>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3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3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27,017</w:t>
            </w:r>
          </w:p>
        </w:tc>
        <w:tc>
          <w:tcPr>
            <w:tcW w:w="3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740</w:t>
            </w:r>
          </w:p>
        </w:tc>
        <w:tc>
          <w:tcPr>
            <w:tcW w:w="40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838</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FF0FC"/>
          </w:tcPr>
          <w:p>
            <w:pPr>
              <w:ind w:left="120"/>
              <w:spacing w:after="0" w:line="148" w:lineRule="exact"/>
              <w:rPr>
                <w:sz w:val="20"/>
                <w:szCs w:val="20"/>
                <w:color w:val="auto"/>
              </w:rPr>
            </w:pPr>
            <w:r>
              <w:rPr>
                <w:rFonts w:ascii="Arial" w:cs="Arial" w:eastAsia="Arial" w:hAnsi="Arial"/>
                <w:sz w:val="13"/>
                <w:szCs w:val="13"/>
                <w:color w:val="auto"/>
              </w:rPr>
              <w:t xml:space="preserve">LLC </w:t>
            </w:r>
            <w:r>
              <w:rPr>
                <w:rFonts w:ascii="Arial" w:cs="Arial" w:eastAsia="Arial" w:hAnsi="Arial"/>
                <w:sz w:val="16"/>
                <w:szCs w:val="16"/>
                <w:color w:val="auto"/>
                <w:vertAlign w:val="superscript"/>
              </w:rPr>
              <w:t>(c)</w:t>
            </w:r>
          </w:p>
        </w:tc>
        <w:tc>
          <w:tcPr>
            <w:tcW w:w="100" w:type="dxa"/>
            <w:vAlign w:val="bottom"/>
            <w:vMerge w:val="continue"/>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880" w:type="dxa"/>
            <w:vAlign w:val="bottom"/>
            <w:vMerge w:val="continue"/>
            <w:shd w:val="clear" w:color="auto" w:fill="CFF0FC"/>
          </w:tcPr>
          <w:p>
            <w:pPr>
              <w:spacing w:after="0"/>
              <w:rPr>
                <w:sz w:val="12"/>
                <w:szCs w:val="12"/>
                <w:color w:val="auto"/>
              </w:rPr>
            </w:pPr>
          </w:p>
        </w:tc>
        <w:tc>
          <w:tcPr>
            <w:tcW w:w="240" w:type="dxa"/>
            <w:vAlign w:val="bottom"/>
            <w:vMerge w:val="continue"/>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240" w:type="dxa"/>
            <w:vAlign w:val="bottom"/>
            <w:vMerge w:val="continue"/>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1120" w:type="dxa"/>
            <w:vAlign w:val="bottom"/>
            <w:gridSpan w:val="2"/>
            <w:vMerge w:val="continue"/>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800" w:type="dxa"/>
            <w:vAlign w:val="bottom"/>
            <w:vMerge w:val="continue"/>
            <w:shd w:val="clear" w:color="auto" w:fill="CFF0FC"/>
          </w:tcPr>
          <w:p>
            <w:pPr>
              <w:spacing w:after="0"/>
              <w:rPr>
                <w:sz w:val="12"/>
                <w:szCs w:val="12"/>
                <w:color w:val="auto"/>
              </w:rPr>
            </w:pPr>
          </w:p>
        </w:tc>
        <w:tc>
          <w:tcPr>
            <w:tcW w:w="1180" w:type="dxa"/>
            <w:vAlign w:val="bottom"/>
            <w:gridSpan w:val="2"/>
            <w:vMerge w:val="continue"/>
            <w:shd w:val="clear" w:color="auto" w:fill="CFF0FC"/>
          </w:tcPr>
          <w:p>
            <w:pPr>
              <w:spacing w:after="0"/>
              <w:rPr>
                <w:sz w:val="12"/>
                <w:szCs w:val="12"/>
                <w:color w:val="auto"/>
              </w:rPr>
            </w:pPr>
          </w:p>
        </w:tc>
        <w:tc>
          <w:tcPr>
            <w:tcW w:w="160" w:type="dxa"/>
            <w:vAlign w:val="bottom"/>
            <w:vMerge w:val="continue"/>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340" w:type="dxa"/>
            <w:vAlign w:val="bottom"/>
            <w:gridSpan w:val="2"/>
            <w:vMerge w:val="continue"/>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420" w:type="dxa"/>
            <w:vAlign w:val="bottom"/>
            <w:vMerge w:val="continue"/>
            <w:shd w:val="clear" w:color="auto" w:fill="CFF0FC"/>
          </w:tcPr>
          <w:p>
            <w:pPr>
              <w:spacing w:after="0"/>
              <w:rPr>
                <w:sz w:val="12"/>
                <w:szCs w:val="12"/>
                <w:color w:val="auto"/>
              </w:rPr>
            </w:pPr>
          </w:p>
        </w:tc>
        <w:tc>
          <w:tcPr>
            <w:tcW w:w="400" w:type="dxa"/>
            <w:vAlign w:val="bottom"/>
            <w:gridSpan w:val="2"/>
            <w:vMerge w:val="continue"/>
            <w:shd w:val="clear" w:color="auto" w:fill="CFF0FC"/>
          </w:tcPr>
          <w:p>
            <w:pPr>
              <w:spacing w:after="0"/>
              <w:rPr>
                <w:sz w:val="12"/>
                <w:szCs w:val="12"/>
                <w:color w:val="auto"/>
              </w:rPr>
            </w:pPr>
          </w:p>
        </w:tc>
        <w:tc>
          <w:tcPr>
            <w:tcW w:w="3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4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12,892</w:t>
            </w:r>
          </w:p>
        </w:tc>
        <w:tc>
          <w:tcPr>
            <w:tcW w:w="240" w:type="dxa"/>
            <w:vAlign w:val="bottom"/>
          </w:tcPr>
          <w:p>
            <w:pPr>
              <w:spacing w:after="0"/>
              <w:rPr>
                <w:sz w:val="12"/>
                <w:szCs w:val="12"/>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840" w:type="dxa"/>
            <w:vAlign w:val="bottom"/>
          </w:tcPr>
          <w:p>
            <w:pPr>
              <w:ind w:left="700"/>
              <w:spacing w:after="0" w:line="129" w:lineRule="exact"/>
              <w:rPr>
                <w:sz w:val="20"/>
                <w:szCs w:val="20"/>
                <w:color w:val="auto"/>
              </w:rPr>
            </w:pPr>
            <w:r>
              <w:rPr>
                <w:rFonts w:ascii="Arial" w:cs="Arial" w:eastAsia="Arial" w:hAnsi="Arial"/>
                <w:sz w:val="13"/>
                <w:szCs w:val="13"/>
                <w:b w:val="1"/>
                <w:bCs w:val="1"/>
                <w:color w:val="auto"/>
                <w:w w:val="91"/>
              </w:rPr>
              <w:t>—</w:t>
            </w:r>
          </w:p>
        </w:tc>
        <w:tc>
          <w:tcPr>
            <w:tcW w:w="240" w:type="dxa"/>
            <w:vAlign w:val="bottom"/>
          </w:tcPr>
          <w:p>
            <w:pPr>
              <w:spacing w:after="0"/>
              <w:rPr>
                <w:sz w:val="12"/>
                <w:szCs w:val="12"/>
                <w:color w:val="auto"/>
              </w:rPr>
            </w:pPr>
          </w:p>
        </w:tc>
        <w:tc>
          <w:tcPr>
            <w:tcW w:w="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1120" w:type="dxa"/>
            <w:vAlign w:val="bottom"/>
            <w:gridSpan w:val="2"/>
          </w:tcPr>
          <w:p>
            <w:pPr>
              <w:jc w:val="right"/>
              <w:ind w:right="160"/>
              <w:spacing w:after="0" w:line="129" w:lineRule="exact"/>
              <w:rPr>
                <w:sz w:val="20"/>
                <w:szCs w:val="20"/>
                <w:color w:val="auto"/>
              </w:rPr>
            </w:pPr>
            <w:r>
              <w:rPr>
                <w:rFonts w:ascii="Arial" w:cs="Arial" w:eastAsia="Arial" w:hAnsi="Arial"/>
                <w:sz w:val="13"/>
                <w:szCs w:val="13"/>
                <w:b w:val="1"/>
                <w:bCs w:val="1"/>
                <w:color w:val="auto"/>
              </w:rPr>
              <w:t>(225 )</w:t>
            </w:r>
          </w:p>
        </w:tc>
        <w:tc>
          <w:tcPr>
            <w:tcW w:w="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14,350</w:t>
            </w:r>
          </w:p>
        </w:tc>
        <w:tc>
          <w:tcPr>
            <w:tcW w:w="1180" w:type="dxa"/>
            <w:vAlign w:val="bottom"/>
            <w:gridSpan w:val="2"/>
          </w:tcPr>
          <w:p>
            <w:pPr>
              <w:jc w:val="right"/>
              <w:ind w:right="837"/>
              <w:spacing w:after="0" w:line="12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ind w:left="20"/>
              <w:spacing w:after="0" w:line="129" w:lineRule="exact"/>
              <w:rPr>
                <w:sz w:val="20"/>
                <w:szCs w:val="20"/>
                <w:color w:val="auto"/>
              </w:rPr>
            </w:pPr>
            <w:r>
              <w:rPr>
                <w:rFonts w:ascii="Arial" w:cs="Arial" w:eastAsia="Arial" w:hAnsi="Arial"/>
                <w:sz w:val="13"/>
                <w:szCs w:val="13"/>
                <w:b w:val="1"/>
                <w:bCs w:val="1"/>
                <w:color w:val="auto"/>
                <w:w w:val="91"/>
              </w:rPr>
              <w:t>—</w:t>
            </w:r>
          </w:p>
        </w:tc>
        <w:tc>
          <w:tcPr>
            <w:tcW w:w="300" w:type="dxa"/>
            <w:vAlign w:val="bottom"/>
            <w:gridSpan w:val="2"/>
          </w:tcPr>
          <w:p>
            <w:pPr>
              <w:jc w:val="right"/>
              <w:ind w:right="20"/>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Pr>
          <w:p>
            <w:pPr>
              <w:ind w:left="540"/>
              <w:spacing w:after="0" w:line="129" w:lineRule="exact"/>
              <w:rPr>
                <w:sz w:val="20"/>
                <w:szCs w:val="20"/>
                <w:color w:val="auto"/>
              </w:rPr>
            </w:pPr>
            <w:r>
              <w:rPr>
                <w:rFonts w:ascii="Arial" w:cs="Arial" w:eastAsia="Arial" w:hAnsi="Arial"/>
                <w:sz w:val="13"/>
                <w:szCs w:val="13"/>
                <w:b w:val="1"/>
                <w:bCs w:val="1"/>
                <w:color w:val="auto"/>
                <w:w w:val="91"/>
              </w:rPr>
              <w:t>—</w:t>
            </w:r>
          </w:p>
        </w:tc>
        <w:tc>
          <w:tcPr>
            <w:tcW w:w="34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27,017</w:t>
            </w:r>
          </w:p>
        </w:tc>
        <w:tc>
          <w:tcPr>
            <w:tcW w:w="30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4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740</w:t>
            </w:r>
          </w:p>
        </w:tc>
        <w:tc>
          <w:tcPr>
            <w:tcW w:w="400" w:type="dxa"/>
            <w:vAlign w:val="bottom"/>
            <w:gridSpan w:val="2"/>
          </w:tcPr>
          <w:p>
            <w:pPr>
              <w:jc w:val="right"/>
              <w:ind w:right="57"/>
              <w:spacing w:after="0" w:line="12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838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-125095</wp:posOffset>
            </wp:positionV>
            <wp:extent cx="7747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-125095</wp:posOffset>
            </wp:positionV>
            <wp:extent cx="7683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-125095</wp:posOffset>
            </wp:positionV>
            <wp:extent cx="76835"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-125095</wp:posOffset>
            </wp:positionV>
            <wp:extent cx="6858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-125095</wp:posOffset>
            </wp:positionV>
            <wp:extent cx="6858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-125095</wp:posOffset>
            </wp:positionV>
            <wp:extent cx="6858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-125095</wp:posOffset>
            </wp:positionV>
            <wp:extent cx="6858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-125095</wp:posOffset>
            </wp:positionV>
            <wp:extent cx="6858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wp:posOffset>
            </wp:positionV>
            <wp:extent cx="6858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5" w:lineRule="exact"/>
        <w:rPr>
          <w:sz w:val="20"/>
          <w:szCs w:val="20"/>
          <w:color w:val="auto"/>
        </w:rPr>
      </w:pPr>
    </w:p>
    <w:p>
      <w:pPr>
        <w:ind w:left="1020" w:right="80" w:hanging="503"/>
        <w:spacing w:after="0" w:line="244"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20" w:right="200" w:hanging="503"/>
        <w:spacing w:after="0" w:line="234"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2" w:lineRule="exact"/>
        <w:rPr>
          <w:rFonts w:ascii="Arial" w:cs="Arial" w:eastAsia="Arial" w:hAnsi="Arial"/>
          <w:sz w:val="18"/>
          <w:szCs w:val="18"/>
          <w:color w:val="auto"/>
        </w:rPr>
      </w:pPr>
    </w:p>
    <w:p>
      <w:pPr>
        <w:ind w:left="1020" w:hanging="503"/>
        <w:spacing w:after="0" w:line="234"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Includes investment in SMPA Holdings, LLC of 15,000 common equity units.</w:t>
      </w:r>
    </w:p>
    <w:p>
      <w:pPr>
        <w:ind w:left="1020" w:right="500" w:hanging="503"/>
        <w:spacing w:after="0" w:line="271" w:lineRule="auto"/>
        <w:tabs>
          <w:tab w:leader="none" w:pos="10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In the consolidated statement of operations for the six months ended June 30, 2021, there is a realized loss on non-controlled, affiliated investments of $33 related to an escrow receivable for an investment in AFS Technologies, Inc. that is no longer held.</w:t>
      </w:r>
    </w:p>
    <w:p>
      <w:pPr>
        <w:spacing w:after="0" w:line="55" w:lineRule="exact"/>
        <w:rPr>
          <w:rFonts w:ascii="Arial" w:cs="Arial" w:eastAsia="Arial" w:hAnsi="Arial"/>
          <w:sz w:val="17"/>
          <w:szCs w:val="17"/>
          <w:color w:val="auto"/>
        </w:rPr>
      </w:pPr>
    </w:p>
    <w:p>
      <w:pPr>
        <w:ind w:left="520" w:right="200" w:hanging="512"/>
        <w:spacing w:after="0" w:line="284"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2021 in which the Company was an Affiliated Person of and was deemed to Control a portfolio company are as follows: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year ended December 31,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ind w:right="97"/>
              <w:spacing w:after="0"/>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85"/>
              </w:rPr>
              <w:t>Net Change</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ind w:right="77"/>
              <w:spacing w:after="0"/>
              <w:rPr>
                <w:sz w:val="20"/>
                <w:szCs w:val="20"/>
                <w:color w:val="auto"/>
              </w:rPr>
            </w:pPr>
            <w:r>
              <w:rPr>
                <w:rFonts w:ascii="Arial" w:cs="Arial" w:eastAsia="Arial" w:hAnsi="Arial"/>
                <w:sz w:val="13"/>
                <w:szCs w:val="13"/>
                <w:b w:val="1"/>
                <w:bCs w:val="1"/>
                <w:color w:val="auto"/>
                <w:w w:val="92"/>
              </w:rPr>
              <w:t>Fair</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ind w:right="97"/>
              <w:spacing w:after="0" w:line="122" w:lineRule="exact"/>
              <w:rPr>
                <w:sz w:val="20"/>
                <w:szCs w:val="20"/>
                <w:color w:val="auto"/>
              </w:rPr>
            </w:pPr>
            <w:r>
              <w:rPr>
                <w:rFonts w:ascii="Arial" w:cs="Arial" w:eastAsia="Arial" w:hAnsi="Arial"/>
                <w:sz w:val="13"/>
                <w:szCs w:val="13"/>
                <w:b w:val="1"/>
                <w:bCs w:val="1"/>
                <w:color w:val="auto"/>
                <w:w w:val="88"/>
              </w:rPr>
              <w:t>Value at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Gross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85"/>
              </w:rPr>
              <w:t>Gross</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Realized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88"/>
              </w:rPr>
              <w:t>Value at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7"/>
              </w:rPr>
              <w:t>Interest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60" w:type="dxa"/>
            <w:vAlign w:val="bottom"/>
            <w:vMerge w:val="restart"/>
          </w:tcPr>
          <w:p>
            <w:pPr>
              <w:ind w:left="520"/>
              <w:spacing w:after="0"/>
              <w:rPr>
                <w:sz w:val="20"/>
                <w:szCs w:val="20"/>
                <w:color w:val="auto"/>
              </w:rPr>
            </w:pPr>
            <w:r>
              <w:rPr>
                <w:rFonts w:ascii="Arial" w:cs="Arial" w:eastAsia="Arial" w:hAnsi="Arial"/>
                <w:sz w:val="13"/>
                <w:szCs w:val="13"/>
                <w:b w:val="1"/>
                <w:bCs w:val="1"/>
                <w:color w:val="auto"/>
              </w:rPr>
              <w:t>Company</w:t>
            </w:r>
          </w:p>
        </w:tc>
        <w:tc>
          <w:tcPr>
            <w:tcW w:w="100" w:type="dxa"/>
            <w:vAlign w:val="bottom"/>
          </w:tcPr>
          <w:p>
            <w:pPr>
              <w:spacing w:after="0"/>
              <w:rPr>
                <w:sz w:val="10"/>
                <w:szCs w:val="10"/>
                <w:color w:val="auto"/>
              </w:rPr>
            </w:pPr>
          </w:p>
        </w:tc>
        <w:tc>
          <w:tcPr>
            <w:tcW w:w="8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7"/>
              </w:rPr>
              <w:t>December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1"/>
              </w:rPr>
              <w:t>In Unrealized</w:t>
            </w:r>
          </w:p>
        </w:tc>
        <w:tc>
          <w:tcPr>
            <w:tcW w:w="2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Transfers</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7"/>
              </w:rPr>
              <w:t>December 31,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5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2"/>
              </w:rPr>
              <w:t>2020</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8"/>
              </w:rPr>
              <w:t>Additions (a)</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Reductions (b)</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6"/>
              </w:rPr>
              <w:t>Gain/(Loss)</w:t>
            </w:r>
          </w:p>
        </w:tc>
        <w:tc>
          <w:tcPr>
            <w:tcW w:w="2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Gain/(Losses)</w:t>
            </w:r>
          </w:p>
        </w:tc>
        <w:tc>
          <w:tcPr>
            <w:tcW w:w="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9"/>
              </w:rPr>
              <w:t>2021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7"/>
              </w:rPr>
              <w:t>Income</w:t>
            </w:r>
          </w:p>
        </w:tc>
        <w:tc>
          <w:tcPr>
            <w:tcW w:w="200" w:type="dxa"/>
            <w:vAlign w:val="bottom"/>
          </w:tcPr>
          <w:p>
            <w:pPr>
              <w:spacing w:after="0"/>
              <w:rPr>
                <w:sz w:val="14"/>
                <w:szCs w:val="14"/>
                <w:color w:val="auto"/>
              </w:rPr>
            </w:pPr>
          </w:p>
        </w:tc>
        <w:tc>
          <w:tcPr>
            <w:tcW w:w="5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IRGSE Holding Corp.</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36,676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5,653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00" w:type="dxa"/>
            <w:vAlign w:val="bottom"/>
            <w:shd w:val="clear" w:color="auto" w:fill="CFF0FC"/>
          </w:tcPr>
          <w:p>
            <w:pPr>
              <w:ind w:left="860"/>
              <w:spacing w:after="0" w:line="142" w:lineRule="exact"/>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17,450</w:t>
            </w: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757"/>
              <w:spacing w:after="0" w:line="142" w:lineRule="exact"/>
              <w:rPr>
                <w:sz w:val="20"/>
                <w:szCs w:val="20"/>
                <w:color w:val="auto"/>
              </w:rPr>
            </w:pPr>
            <w:r>
              <w:rPr>
                <w:rFonts w:ascii="Arial" w:cs="Arial" w:eastAsia="Arial" w:hAnsi="Arial"/>
                <w:sz w:val="13"/>
                <w:szCs w:val="13"/>
                <w:color w:val="auto"/>
                <w:w w:val="82"/>
              </w:rPr>
              <w:t>$</w:t>
            </w:r>
          </w:p>
        </w:tc>
        <w:tc>
          <w:tcPr>
            <w:tcW w:w="16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17"/>
              <w:spacing w:after="0" w:line="142" w:lineRule="exact"/>
              <w:rPr>
                <w:sz w:val="20"/>
                <w:szCs w:val="20"/>
                <w:color w:val="auto"/>
              </w:rPr>
            </w:pPr>
            <w:r>
              <w:rPr>
                <w:rFonts w:ascii="Arial" w:cs="Arial" w:eastAsia="Arial" w:hAnsi="Arial"/>
                <w:sz w:val="13"/>
                <w:szCs w:val="13"/>
                <w:color w:val="auto"/>
                <w:w w:val="82"/>
              </w:rPr>
              <w:t>$</w:t>
            </w:r>
          </w:p>
        </w:tc>
        <w:tc>
          <w:tcPr>
            <w:tcW w:w="180" w:type="dxa"/>
            <w:vAlign w:val="bottom"/>
            <w:shd w:val="clear" w:color="auto" w:fill="CFF0FC"/>
          </w:tcPr>
          <w:p>
            <w:pPr>
              <w:ind w:left="40"/>
              <w:spacing w:after="0" w:line="142" w:lineRule="exact"/>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59,779</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17</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4,039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60" w:type="dxa"/>
            <w:vAlign w:val="bottom"/>
          </w:tcPr>
          <w:p>
            <w:pPr>
              <w:ind w:left="20"/>
              <w:spacing w:after="0" w:line="108" w:lineRule="exact"/>
              <w:rPr>
                <w:sz w:val="20"/>
                <w:szCs w:val="20"/>
                <w:color w:val="auto"/>
              </w:rPr>
            </w:pPr>
            <w:r>
              <w:rPr>
                <w:rFonts w:ascii="Arial" w:cs="Arial" w:eastAsia="Arial" w:hAnsi="Arial"/>
                <w:sz w:val="12"/>
                <w:szCs w:val="12"/>
                <w:color w:val="auto"/>
              </w:rPr>
              <w:t>Mississippi Resources,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ind w:left="86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vMerge w:val="restart"/>
          </w:tcPr>
          <w:p>
            <w:pPr>
              <w:ind w:left="4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560" w:type="dxa"/>
            <w:vAlign w:val="bottom"/>
          </w:tcPr>
          <w:p>
            <w:pPr>
              <w:ind w:left="120"/>
              <w:spacing w:after="0"/>
              <w:rPr>
                <w:sz w:val="20"/>
                <w:szCs w:val="20"/>
                <w:color w:val="auto"/>
              </w:rPr>
            </w:pPr>
            <w:r>
              <w:rPr>
                <w:rFonts w:ascii="Arial" w:cs="Arial" w:eastAsia="Arial" w:hAnsi="Arial"/>
                <w:sz w:val="13"/>
                <w:szCs w:val="13"/>
                <w:color w:val="auto"/>
              </w:rPr>
              <w:t>LLC</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60" w:type="dxa"/>
            <w:vAlign w:val="bottom"/>
            <w:tcBorders>
              <w:bottom w:val="single" w:sz="8" w:color="CFF0FC"/>
            </w:tcBorders>
            <w:shd w:val="clear" w:color="auto" w:fill="CFF0FC"/>
          </w:tcPr>
          <w:p>
            <w:pPr>
              <w:ind w:left="20"/>
              <w:spacing w:after="0" w:line="129" w:lineRule="exact"/>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36,676</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5,653</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FF0FC"/>
          </w:tcPr>
          <w:p>
            <w:pPr>
              <w:ind w:left="860"/>
              <w:spacing w:after="0" w:line="129" w:lineRule="exact"/>
              <w:rPr>
                <w:sz w:val="20"/>
                <w:szCs w:val="20"/>
                <w:color w:val="auto"/>
              </w:rPr>
            </w:pPr>
            <w:r>
              <w:rPr>
                <w:rFonts w:ascii="Arial" w:cs="Arial" w:eastAsia="Arial" w:hAnsi="Arial"/>
                <w:sz w:val="13"/>
                <w:szCs w:val="13"/>
                <w:b w:val="1"/>
                <w:bCs w:val="1"/>
                <w:color w:val="auto"/>
                <w:w w:val="91"/>
              </w:rPr>
              <w:t>—</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17,450</w:t>
            </w:r>
          </w:p>
        </w:tc>
        <w:tc>
          <w:tcPr>
            <w:tcW w:w="2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757"/>
              <w:spacing w:after="0" w:line="129" w:lineRule="exact"/>
              <w:rPr>
                <w:sz w:val="20"/>
                <w:szCs w:val="20"/>
                <w:color w:val="auto"/>
              </w:rPr>
            </w:pPr>
            <w:r>
              <w:rPr>
                <w:rFonts w:ascii="Arial" w:cs="Arial" w:eastAsia="Arial" w:hAnsi="Arial"/>
                <w:sz w:val="13"/>
                <w:szCs w:val="13"/>
                <w:b w:val="1"/>
                <w:bCs w:val="1"/>
                <w:color w:val="auto"/>
                <w:w w:val="82"/>
              </w:rPr>
              <w:t>$</w:t>
            </w:r>
          </w:p>
        </w:tc>
        <w:tc>
          <w:tcPr>
            <w:tcW w:w="160" w:type="dxa"/>
            <w:vAlign w:val="bottom"/>
            <w:tcBorders>
              <w:bottom w:val="single" w:sz="8" w:color="auto"/>
            </w:tcBorders>
            <w:shd w:val="clear" w:color="auto" w:fill="CFF0FC"/>
          </w:tcPr>
          <w:p>
            <w:pPr>
              <w:ind w:left="20"/>
              <w:spacing w:after="0" w:line="129" w:lineRule="exact"/>
              <w:rPr>
                <w:sz w:val="20"/>
                <w:szCs w:val="20"/>
                <w:color w:val="auto"/>
              </w:rPr>
            </w:pPr>
            <w:r>
              <w:rPr>
                <w:rFonts w:ascii="Arial" w:cs="Arial" w:eastAsia="Arial" w:hAnsi="Arial"/>
                <w:sz w:val="13"/>
                <w:szCs w:val="13"/>
                <w:b w:val="1"/>
                <w:bCs w:val="1"/>
                <w:color w:val="auto"/>
                <w:w w:val="91"/>
              </w:rPr>
              <w:t>—</w:t>
            </w:r>
          </w:p>
        </w:tc>
        <w:tc>
          <w:tcPr>
            <w:tcW w:w="2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617"/>
              <w:spacing w:after="0" w:line="129" w:lineRule="exact"/>
              <w:rPr>
                <w:sz w:val="20"/>
                <w:szCs w:val="20"/>
                <w:color w:val="auto"/>
              </w:rPr>
            </w:pPr>
            <w:r>
              <w:rPr>
                <w:rFonts w:ascii="Arial" w:cs="Arial" w:eastAsia="Arial" w:hAnsi="Arial"/>
                <w:sz w:val="13"/>
                <w:szCs w:val="13"/>
                <w:b w:val="1"/>
                <w:bCs w:val="1"/>
                <w:color w:val="auto"/>
                <w:w w:val="82"/>
              </w:rPr>
              <w:t>$</w:t>
            </w:r>
          </w:p>
        </w:tc>
        <w:tc>
          <w:tcPr>
            <w:tcW w:w="180" w:type="dxa"/>
            <w:vAlign w:val="bottom"/>
            <w:tcBorders>
              <w:bottom w:val="single" w:sz="8" w:color="auto"/>
            </w:tcBorders>
            <w:shd w:val="clear" w:color="auto" w:fill="CFF0FC"/>
          </w:tcPr>
          <w:p>
            <w:pPr>
              <w:ind w:left="40"/>
              <w:spacing w:after="0" w:line="129" w:lineRule="exact"/>
              <w:rPr>
                <w:sz w:val="20"/>
                <w:szCs w:val="20"/>
                <w:color w:val="auto"/>
              </w:rPr>
            </w:pPr>
            <w:r>
              <w:rPr>
                <w:rFonts w:ascii="Arial" w:cs="Arial" w:eastAsia="Arial" w:hAnsi="Arial"/>
                <w:sz w:val="13"/>
                <w:szCs w:val="13"/>
                <w:b w:val="1"/>
                <w:bCs w:val="1"/>
                <w:color w:val="auto"/>
                <w:w w:val="91"/>
              </w:rPr>
              <w:t>—</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59,779</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17</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3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4,039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-25400</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-8255</wp:posOffset>
            </wp:positionV>
            <wp:extent cx="768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-25400</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-8255</wp:posOffset>
            </wp:positionV>
            <wp:extent cx="768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-25400</wp:posOffset>
            </wp:positionV>
            <wp:extent cx="774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-8255</wp:posOffset>
            </wp:positionV>
            <wp:extent cx="7747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-25400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-8255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-25400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-25400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-8255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6" w:lineRule="exact"/>
        <w:rPr>
          <w:sz w:val="20"/>
          <w:szCs w:val="20"/>
          <w:color w:val="auto"/>
        </w:rPr>
      </w:pPr>
    </w:p>
    <w:p>
      <w:pPr>
        <w:ind w:left="1020" w:right="80" w:hanging="503"/>
        <w:spacing w:after="0" w:line="244"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20" w:right="200" w:hanging="503"/>
        <w:spacing w:after="0" w:line="239"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148" w:lineRule="exact"/>
        <w:rPr>
          <w:rFonts w:ascii="Arial" w:cs="Arial" w:eastAsia="Arial" w:hAnsi="Arial"/>
          <w:sz w:val="18"/>
          <w:szCs w:val="18"/>
          <w:color w:val="auto"/>
        </w:rPr>
      </w:pPr>
    </w:p>
    <w:p>
      <w:pPr>
        <w:ind w:left="520" w:right="620" w:hanging="512"/>
        <w:spacing w:after="0" w:line="24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2021, the estimated cost basis of investments for U.S. federal tax purposes was $2,445,863, resulting in estimated gross unrealized gains and losses of $156,819 and $79,599, respectively.</w:t>
      </w:r>
    </w:p>
    <w:p>
      <w:pPr>
        <w:ind w:left="520" w:right="60" w:hanging="512"/>
        <w:spacing w:after="0" w:line="23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spacing w:after="0" w:line="1" w:lineRule="exact"/>
        <w:rPr>
          <w:rFonts w:ascii="Arial" w:cs="Arial" w:eastAsia="Arial" w:hAnsi="Arial"/>
          <w:sz w:val="18"/>
          <w:szCs w:val="18"/>
          <w:color w:val="auto"/>
        </w:rPr>
      </w:pPr>
    </w:p>
    <w:p>
      <w:pPr>
        <w:ind w:left="520" w:right="60" w:hanging="512"/>
        <w:spacing w:after="0" w:line="23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(“Topic ASC 820”), unless otherwise indicated, the fair values of all investments were determined using significant unobservable inputs and are considered Level 3 investments. See Note 6 for further information related to investments at fair value.</w:t>
      </w:r>
    </w:p>
    <w:p>
      <w:pPr>
        <w:spacing w:after="0" w:line="2" w:lineRule="exact"/>
        <w:rPr>
          <w:rFonts w:ascii="Arial" w:cs="Arial" w:eastAsia="Arial" w:hAnsi="Arial"/>
          <w:sz w:val="18"/>
          <w:szCs w:val="18"/>
          <w:color w:val="auto"/>
        </w:rPr>
      </w:pPr>
    </w:p>
    <w:p>
      <w:pPr>
        <w:ind w:left="520" w:right="100" w:hanging="512"/>
        <w:spacing w:after="0" w:line="23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spacing w:after="0" w:line="1" w:lineRule="exact"/>
        <w:rPr>
          <w:rFonts w:ascii="Arial" w:cs="Arial" w:eastAsia="Arial" w:hAnsi="Arial"/>
          <w:sz w:val="18"/>
          <w:szCs w:val="18"/>
          <w:color w:val="auto"/>
        </w:rPr>
      </w:pPr>
    </w:p>
    <w:p>
      <w:pPr>
        <w:ind w:left="520" w:right="100" w:hanging="512"/>
        <w:spacing w:after="0" w:line="23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spacing w:after="0" w:line="1" w:lineRule="exact"/>
        <w:rPr>
          <w:rFonts w:ascii="Arial" w:cs="Arial" w:eastAsia="Arial" w:hAnsi="Arial"/>
          <w:sz w:val="18"/>
          <w:szCs w:val="18"/>
          <w:color w:val="auto"/>
        </w:rPr>
      </w:pPr>
    </w:p>
    <w:p>
      <w:pPr>
        <w:ind w:left="520" w:hanging="512"/>
        <w:spacing w:after="0" w:line="23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investment is non-income producing.</w:t>
      </w:r>
    </w:p>
    <w:p>
      <w:pPr>
        <w:ind w:left="520" w:right="260" w:hanging="512"/>
        <w:spacing w:after="0" w:line="23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transaction exempt from registration under the Securities Act of 1933, and may be deemed to be “restricted securities” under the Securities Act. As of December 31, 2021, the aggregate fair value of these securities is $83,839, or 6.6%% of the Company’s net assets.</w:t>
      </w:r>
    </w:p>
    <w:p>
      <w:pPr>
        <w:spacing w:after="0" w:line="2" w:lineRule="exact"/>
        <w:rPr>
          <w:rFonts w:ascii="Arial" w:cs="Arial" w:eastAsia="Arial" w:hAnsi="Arial"/>
          <w:sz w:val="18"/>
          <w:szCs w:val="18"/>
          <w:color w:val="auto"/>
        </w:rPr>
      </w:pPr>
    </w:p>
    <w:p>
      <w:pPr>
        <w:ind w:left="520" w:hanging="512"/>
        <w:spacing w:after="0" w:line="23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Investment is on non-accrual status as of December 31, 2021.</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jc w:val="center"/>
        <w:ind w:right="40"/>
        <w:spacing w:after="0"/>
        <w:rPr>
          <w:sz w:val="20"/>
          <w:szCs w:val="20"/>
          <w:color w:val="auto"/>
        </w:rPr>
      </w:pPr>
      <w:r>
        <w:rPr>
          <w:rFonts w:ascii="Arial" w:cs="Arial" w:eastAsia="Arial" w:hAnsi="Arial"/>
          <w:sz w:val="18"/>
          <w:szCs w:val="18"/>
          <w:b w:val="1"/>
          <w:bCs w:val="1"/>
          <w:color w:val="auto"/>
        </w:rPr>
        <w:t>Sixth Street Specialty Lending,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share amounts)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00" w:type="dxa"/>
            <w:vAlign w:val="bottom"/>
          </w:tcPr>
          <w:p>
            <w:pPr>
              <w:spacing w:after="0"/>
              <w:rPr>
                <w:sz w:val="14"/>
                <w:szCs w:val="14"/>
                <w:color w:val="auto"/>
              </w:rPr>
            </w:pPr>
          </w:p>
        </w:tc>
        <w:tc>
          <w:tcPr>
            <w:tcW w:w="1680" w:type="dxa"/>
            <w:vAlign w:val="bottom"/>
            <w:tcBorders>
              <w:bottom w:val="single" w:sz="8" w:color="auto"/>
            </w:tcBorders>
            <w:gridSpan w:val="4"/>
          </w:tcPr>
          <w:p>
            <w:pPr>
              <w:jc w:val="right"/>
              <w:ind w:right="378"/>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4"/>
                <w:szCs w:val="14"/>
                <w:color w:val="auto"/>
              </w:rPr>
            </w:pPr>
          </w:p>
        </w:tc>
        <w:tc>
          <w:tcPr>
            <w:tcW w:w="160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3"/>
                <w:szCs w:val="13"/>
                <w:b w:val="1"/>
                <w:bCs w:val="1"/>
                <w:color w:val="auto"/>
              </w:rPr>
              <w:t>Treasury Stock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w w:val="89"/>
              </w:rPr>
              <w:t>Paid in Capital in</w:t>
            </w:r>
          </w:p>
        </w:tc>
        <w:tc>
          <w:tcPr>
            <w:tcW w:w="80" w:type="dxa"/>
            <w:vAlign w:val="bottom"/>
          </w:tcPr>
          <w:p>
            <w:pPr>
              <w:spacing w:after="0"/>
              <w:rPr>
                <w:sz w:val="14"/>
                <w:szCs w:val="14"/>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w w:val="90"/>
              </w:rPr>
              <w:t>Distributable</w:t>
            </w:r>
          </w:p>
        </w:tc>
        <w:tc>
          <w:tcPr>
            <w:tcW w:w="140" w:type="dxa"/>
            <w:vAlign w:val="bottom"/>
          </w:tcPr>
          <w:p>
            <w:pPr>
              <w:spacing w:after="0"/>
              <w:rPr>
                <w:sz w:val="14"/>
                <w:szCs w:val="14"/>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Total Net</w:t>
            </w:r>
          </w:p>
        </w:tc>
        <w:tc>
          <w:tcPr>
            <w:tcW w:w="0" w:type="dxa"/>
            <w:vAlign w:val="bottom"/>
          </w:tcPr>
          <w:p>
            <w:pPr>
              <w:spacing w:after="0"/>
              <w:rPr>
                <w:sz w:val="1"/>
                <w:szCs w:val="1"/>
                <w:color w:val="auto"/>
              </w:rPr>
            </w:pPr>
          </w:p>
        </w:tc>
      </w:tr>
      <w:tr>
        <w:trPr>
          <w:trHeight w:val="103"/>
        </w:trPr>
        <w:tc>
          <w:tcPr>
            <w:tcW w:w="4000" w:type="dxa"/>
            <w:vAlign w:val="bottom"/>
          </w:tcPr>
          <w:p>
            <w:pPr>
              <w:spacing w:after="0"/>
              <w:rPr>
                <w:sz w:val="8"/>
                <w:szCs w:val="8"/>
                <w:color w:val="auto"/>
              </w:rPr>
            </w:pPr>
          </w:p>
        </w:tc>
        <w:tc>
          <w:tcPr>
            <w:tcW w:w="72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jc w:val="right"/>
              <w:ind w:right="198"/>
              <w:spacing w:after="0" w:line="103" w:lineRule="exact"/>
              <w:rPr>
                <w:sz w:val="20"/>
                <w:szCs w:val="20"/>
                <w:color w:val="auto"/>
              </w:rPr>
            </w:pPr>
            <w:r>
              <w:rPr>
                <w:rFonts w:ascii="Arial" w:cs="Arial" w:eastAsia="Arial" w:hAnsi="Arial"/>
                <w:sz w:val="10"/>
                <w:szCs w:val="10"/>
                <w:b w:val="1"/>
                <w:bCs w:val="1"/>
                <w:color w:val="auto"/>
              </w:rPr>
              <w:t>Par</w:t>
            </w:r>
          </w:p>
        </w:tc>
        <w:tc>
          <w:tcPr>
            <w:tcW w:w="220" w:type="dxa"/>
            <w:vAlign w:val="bottom"/>
          </w:tcPr>
          <w:p>
            <w:pPr>
              <w:spacing w:after="0"/>
              <w:rPr>
                <w:sz w:val="8"/>
                <w:szCs w:val="8"/>
                <w:color w:val="auto"/>
              </w:rPr>
            </w:pP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gridSpan w:val="2"/>
            <w:vMerge w:val="restart"/>
          </w:tcPr>
          <w:p>
            <w:pPr>
              <w:jc w:val="right"/>
              <w:ind w:right="417"/>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78"/>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8"/>
              </w:rPr>
              <w:t>Excess of Par</w:t>
            </w:r>
          </w:p>
        </w:tc>
        <w:tc>
          <w:tcPr>
            <w:tcW w:w="8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Assets</w:t>
            </w:r>
          </w:p>
        </w:tc>
        <w:tc>
          <w:tcPr>
            <w:tcW w:w="0" w:type="dxa"/>
            <w:vAlign w:val="bottom"/>
          </w:tcPr>
          <w:p>
            <w:pPr>
              <w:spacing w:after="0"/>
              <w:rPr>
                <w:sz w:val="1"/>
                <w:szCs w:val="1"/>
                <w:color w:val="auto"/>
              </w:rPr>
            </w:pPr>
          </w:p>
        </w:tc>
      </w:tr>
      <w:tr>
        <w:trPr>
          <w:trHeight w:val="142"/>
        </w:trPr>
        <w:tc>
          <w:tcPr>
            <w:tcW w:w="400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Balance at December 31, 2021</w:t>
            </w: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75,771,542</w:t>
            </w: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761</w:t>
            </w:r>
          </w:p>
        </w:tc>
        <w:tc>
          <w:tcPr>
            <w:tcW w:w="220" w:type="dxa"/>
            <w:vAlign w:val="bottom"/>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296,044</w:t>
            </w:r>
          </w:p>
        </w:tc>
        <w:tc>
          <w:tcPr>
            <w:tcW w:w="22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(4,291</w:t>
            </w:r>
          </w:p>
        </w:tc>
        <w:tc>
          <w:tcPr>
            <w:tcW w:w="200" w:type="dxa"/>
            <w:vAlign w:val="bottom"/>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1,189,275</w:t>
            </w:r>
          </w:p>
        </w:tc>
        <w:tc>
          <w:tcPr>
            <w:tcW w:w="2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90,103</w:t>
            </w:r>
          </w:p>
        </w:tc>
        <w:tc>
          <w:tcPr>
            <w:tcW w:w="2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1,275,848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100"/>
              <w:spacing w:after="0"/>
              <w:rPr>
                <w:sz w:val="20"/>
                <w:szCs w:val="20"/>
                <w:color w:val="auto"/>
              </w:rPr>
            </w:pPr>
            <w:r>
              <w:rPr>
                <w:rFonts w:ascii="Arial" w:cs="Arial" w:eastAsia="Arial" w:hAnsi="Arial"/>
                <w:sz w:val="13"/>
                <w:szCs w:val="13"/>
                <w:color w:val="auto"/>
              </w:rPr>
              <w:t>Net increase in net assets resulting from operations: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Net investment income</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35,712</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000" w:type="dxa"/>
            <w:vAlign w:val="bottom"/>
          </w:tcPr>
          <w:p>
            <w:pPr>
              <w:ind w:left="160"/>
              <w:spacing w:after="0" w:line="108" w:lineRule="exact"/>
              <w:rPr>
                <w:sz w:val="20"/>
                <w:szCs w:val="20"/>
                <w:color w:val="auto"/>
              </w:rPr>
            </w:pPr>
            <w:r>
              <w:rPr>
                <w:rFonts w:ascii="Arial" w:cs="Arial" w:eastAsia="Arial" w:hAnsi="Arial"/>
                <w:sz w:val="12"/>
                <w:szCs w:val="12"/>
                <w:color w:val="auto"/>
              </w:rPr>
              <w:t>Net change in unrealized losses on investments and</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(8,495 )</w:t>
            </w:r>
          </w:p>
        </w:tc>
        <w:tc>
          <w:tcPr>
            <w:tcW w:w="140" w:type="dxa"/>
            <w:vAlign w:val="bottom"/>
          </w:tcPr>
          <w:p>
            <w:pPr>
              <w:spacing w:after="0"/>
              <w:rPr>
                <w:sz w:val="9"/>
                <w:szCs w:val="9"/>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(8,495 )</w:t>
            </w:r>
          </w:p>
        </w:tc>
        <w:tc>
          <w:tcPr>
            <w:tcW w:w="0" w:type="dxa"/>
            <w:vAlign w:val="bottom"/>
          </w:tcPr>
          <w:p>
            <w:pPr>
              <w:spacing w:after="0"/>
              <w:rPr>
                <w:sz w:val="1"/>
                <w:szCs w:val="1"/>
                <w:color w:val="auto"/>
              </w:rPr>
            </w:pPr>
          </w:p>
        </w:tc>
      </w:tr>
      <w:tr>
        <w:trPr>
          <w:trHeight w:val="161"/>
        </w:trPr>
        <w:tc>
          <w:tcPr>
            <w:tcW w:w="4000" w:type="dxa"/>
            <w:vAlign w:val="bottom"/>
          </w:tcPr>
          <w:p>
            <w:pPr>
              <w:ind w:left="260"/>
              <w:spacing w:after="0"/>
              <w:rPr>
                <w:sz w:val="20"/>
                <w:szCs w:val="20"/>
                <w:color w:val="auto"/>
              </w:rPr>
            </w:pPr>
            <w:r>
              <w:rPr>
                <w:rFonts w:ascii="Arial" w:cs="Arial" w:eastAsia="Arial" w:hAnsi="Arial"/>
                <w:sz w:val="13"/>
                <w:szCs w:val="13"/>
                <w:color w:val="auto"/>
              </w:rPr>
              <w:t>foreign currency translation</w:t>
            </w: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4000" w:type="dxa"/>
            <w:vAlign w:val="bottom"/>
            <w:shd w:val="clear" w:color="auto" w:fill="CFF0FC"/>
          </w:tcPr>
          <w:p>
            <w:pPr>
              <w:ind w:left="160"/>
              <w:spacing w:after="0" w:line="109" w:lineRule="exact"/>
              <w:rPr>
                <w:sz w:val="20"/>
                <w:szCs w:val="20"/>
                <w:color w:val="auto"/>
              </w:rPr>
            </w:pPr>
            <w:r>
              <w:rPr>
                <w:rFonts w:ascii="Arial" w:cs="Arial" w:eastAsia="Arial" w:hAnsi="Arial"/>
                <w:sz w:val="12"/>
                <w:szCs w:val="12"/>
                <w:color w:val="auto"/>
              </w:rPr>
              <w:t>Net realized gains on investments and foreign</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12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13,668</w:t>
            </w: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13,668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currency transactions</w:t>
            </w:r>
          </w:p>
        </w:tc>
        <w:tc>
          <w:tcPr>
            <w:tcW w:w="7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tcPr>
          <w:p>
            <w:pPr>
              <w:ind w:left="100"/>
              <w:spacing w:after="0"/>
              <w:rPr>
                <w:sz w:val="20"/>
                <w:szCs w:val="20"/>
                <w:color w:val="auto"/>
              </w:rPr>
            </w:pPr>
            <w:r>
              <w:rPr>
                <w:rFonts w:ascii="Arial" w:cs="Arial" w:eastAsia="Arial" w:hAnsi="Arial"/>
                <w:sz w:val="13"/>
                <w:szCs w:val="13"/>
                <w:color w:val="auto"/>
              </w:rPr>
              <w:t>Dividends to stockholders: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Stock issued in connection with dividend reinvestment plan</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299,138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6,771</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ind w:left="160"/>
              <w:spacing w:after="0"/>
              <w:rPr>
                <w:sz w:val="20"/>
                <w:szCs w:val="20"/>
                <w:color w:val="auto"/>
              </w:rPr>
            </w:pPr>
            <w:r>
              <w:rPr>
                <w:rFonts w:ascii="Arial" w:cs="Arial" w:eastAsia="Arial" w:hAnsi="Arial"/>
                <w:sz w:val="13"/>
                <w:szCs w:val="13"/>
                <w:color w:val="auto"/>
              </w:rPr>
              <w:t>Dividends declared from net investment income</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(39,522 )</w:t>
            </w:r>
          </w:p>
        </w:tc>
        <w:tc>
          <w:tcPr>
            <w:tcW w:w="14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(39,522 )</w:t>
            </w:r>
          </w:p>
        </w:tc>
        <w:tc>
          <w:tcPr>
            <w:tcW w:w="0" w:type="dxa"/>
            <w:vAlign w:val="bottom"/>
          </w:tcPr>
          <w:p>
            <w:pPr>
              <w:spacing w:after="0"/>
              <w:rPr>
                <w:sz w:val="1"/>
                <w:szCs w:val="1"/>
                <w:color w:val="auto"/>
              </w:rPr>
            </w:pPr>
          </w:p>
        </w:tc>
      </w:tr>
      <w:tr>
        <w:trPr>
          <w:trHeight w:val="108"/>
        </w:trPr>
        <w:tc>
          <w:tcPr>
            <w:tcW w:w="4000" w:type="dxa"/>
            <w:vAlign w:val="bottom"/>
            <w:shd w:val="clear" w:color="auto" w:fill="CFF0FC"/>
          </w:tcPr>
          <w:p>
            <w:pPr>
              <w:ind w:left="100"/>
              <w:spacing w:after="0" w:line="108" w:lineRule="exact"/>
              <w:rPr>
                <w:sz w:val="20"/>
                <w:szCs w:val="20"/>
                <w:color w:val="auto"/>
              </w:rPr>
            </w:pPr>
            <w:r>
              <w:rPr>
                <w:rFonts w:ascii="Arial" w:cs="Arial" w:eastAsia="Arial" w:hAnsi="Arial"/>
                <w:sz w:val="12"/>
                <w:szCs w:val="12"/>
                <w:color w:val="auto"/>
              </w:rPr>
              <w:t>Tax reclassification of stockholders' equity in accordance with</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(351 )</w:t>
            </w:r>
          </w:p>
        </w:tc>
        <w:tc>
          <w:tcPr>
            <w:tcW w:w="80" w:type="dxa"/>
            <w:vAlign w:val="bottom"/>
            <w:shd w:val="clear" w:color="auto" w:fill="CFF0FC"/>
          </w:tcPr>
          <w:p>
            <w:pPr>
              <w:spacing w:after="0"/>
              <w:rPr>
                <w:sz w:val="9"/>
                <w:szCs w:val="9"/>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351</w:t>
            </w: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ind w:left="180"/>
              <w:spacing w:after="0" w:line="148" w:lineRule="exact"/>
              <w:rPr>
                <w:sz w:val="20"/>
                <w:szCs w:val="20"/>
                <w:color w:val="auto"/>
              </w:rPr>
            </w:pPr>
            <w:r>
              <w:rPr>
                <w:rFonts w:ascii="Arial" w:cs="Arial" w:eastAsia="Arial" w:hAnsi="Arial"/>
                <w:sz w:val="13"/>
                <w:szCs w:val="13"/>
                <w:color w:val="auto"/>
              </w:rPr>
              <w:t xml:space="preserve">GAAP </w:t>
            </w:r>
            <w:r>
              <w:rPr>
                <w:rFonts w:ascii="Arial" w:cs="Arial" w:eastAsia="Arial" w:hAnsi="Arial"/>
                <w:sz w:val="16"/>
                <w:szCs w:val="16"/>
                <w:color w:val="auto"/>
                <w:vertAlign w:val="superscript"/>
              </w:rPr>
              <w:t>(1)</w:t>
            </w:r>
          </w:p>
        </w:tc>
        <w:tc>
          <w:tcPr>
            <w:tcW w:w="7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2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at March 31, 2022</w:t>
            </w:r>
          </w:p>
        </w:tc>
        <w:tc>
          <w:tcPr>
            <w:tcW w:w="7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76,070,680</w:t>
            </w:r>
          </w:p>
        </w:tc>
        <w:tc>
          <w:tcPr>
            <w:tcW w:w="22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6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764</w:t>
            </w:r>
          </w:p>
        </w:tc>
        <w:tc>
          <w:tcPr>
            <w:tcW w:w="2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296,044</w:t>
            </w:r>
          </w:p>
        </w:tc>
        <w:tc>
          <w:tcPr>
            <w:tcW w:w="220" w:type="dxa"/>
            <w:vAlign w:val="bottom"/>
          </w:tcPr>
          <w:p>
            <w:pPr>
              <w:spacing w:after="0"/>
              <w:rPr>
                <w:sz w:val="12"/>
                <w:szCs w:val="12"/>
                <w:color w:val="auto"/>
              </w:rPr>
            </w:pPr>
          </w:p>
        </w:tc>
        <w:tc>
          <w:tcPr>
            <w:tcW w:w="180" w:type="dxa"/>
            <w:vAlign w:val="bottom"/>
          </w:tcPr>
          <w:p>
            <w:pPr>
              <w:jc w:val="right"/>
              <w:ind w:right="37"/>
              <w:spacing w:after="0" w:line="142" w:lineRule="exact"/>
              <w:rPr>
                <w:sz w:val="20"/>
                <w:szCs w:val="20"/>
                <w:color w:val="auto"/>
              </w:rPr>
            </w:pPr>
            <w:r>
              <w:rPr>
                <w:rFonts w:ascii="Arial" w:cs="Arial" w:eastAsia="Arial" w:hAnsi="Arial"/>
                <w:sz w:val="13"/>
                <w:szCs w:val="13"/>
                <w:b w:val="1"/>
                <w:bCs w:val="1"/>
                <w:color w:val="auto"/>
                <w:w w:val="82"/>
              </w:rPr>
              <w:t>$</w:t>
            </w:r>
          </w:p>
        </w:tc>
        <w:tc>
          <w:tcPr>
            <w:tcW w:w="820" w:type="dxa"/>
            <w:vAlign w:val="bottom"/>
            <w:gridSpan w:val="2"/>
          </w:tcPr>
          <w:p>
            <w:pPr>
              <w:jc w:val="right"/>
              <w:ind w:right="77"/>
              <w:spacing w:after="0" w:line="142" w:lineRule="exact"/>
              <w:rPr>
                <w:sz w:val="20"/>
                <w:szCs w:val="20"/>
                <w:color w:val="auto"/>
              </w:rPr>
            </w:pPr>
            <w:r>
              <w:rPr>
                <w:rFonts w:ascii="Arial" w:cs="Arial" w:eastAsia="Arial" w:hAnsi="Arial"/>
                <w:sz w:val="13"/>
                <w:szCs w:val="13"/>
                <w:b w:val="1"/>
                <w:bCs w:val="1"/>
                <w:color w:val="auto"/>
              </w:rPr>
              <w:t>(4,291 )</w:t>
            </w:r>
          </w:p>
        </w:tc>
        <w:tc>
          <w:tcPr>
            <w:tcW w:w="1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10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1,195,695</w:t>
            </w:r>
          </w:p>
        </w:tc>
        <w:tc>
          <w:tcPr>
            <w:tcW w:w="2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8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91,817</w:t>
            </w:r>
          </w:p>
        </w:tc>
        <w:tc>
          <w:tcPr>
            <w:tcW w:w="20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1,283,985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0" w:type="dxa"/>
            <w:vAlign w:val="bottom"/>
            <w:shd w:val="clear" w:color="auto" w:fill="CFF0FC"/>
          </w:tcPr>
          <w:p>
            <w:pPr>
              <w:ind w:left="100"/>
              <w:spacing w:after="0" w:line="129" w:lineRule="exact"/>
              <w:rPr>
                <w:sz w:val="20"/>
                <w:szCs w:val="20"/>
                <w:color w:val="auto"/>
              </w:rPr>
            </w:pPr>
            <w:r>
              <w:rPr>
                <w:rFonts w:ascii="Arial" w:cs="Arial" w:eastAsia="Arial" w:hAnsi="Arial"/>
                <w:sz w:val="13"/>
                <w:szCs w:val="13"/>
                <w:color w:val="auto"/>
              </w:rPr>
              <w:t>Net increase in net assets resulting from operations:</w:t>
            </w: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tcPr>
          <w:p>
            <w:pPr>
              <w:ind w:left="160"/>
              <w:spacing w:after="0"/>
              <w:rPr>
                <w:sz w:val="20"/>
                <w:szCs w:val="20"/>
                <w:color w:val="auto"/>
              </w:rPr>
            </w:pPr>
            <w:r>
              <w:rPr>
                <w:rFonts w:ascii="Arial" w:cs="Arial" w:eastAsia="Arial" w:hAnsi="Arial"/>
                <w:sz w:val="13"/>
                <w:szCs w:val="13"/>
                <w:color w:val="auto"/>
              </w:rPr>
              <w:t>Net investment income</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40,822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40,822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000" w:type="dxa"/>
            <w:vAlign w:val="bottom"/>
            <w:shd w:val="clear" w:color="auto" w:fill="CFF0FC"/>
          </w:tcPr>
          <w:p>
            <w:pPr>
              <w:ind w:left="160"/>
              <w:spacing w:after="0" w:line="108" w:lineRule="exact"/>
              <w:rPr>
                <w:sz w:val="20"/>
                <w:szCs w:val="20"/>
                <w:color w:val="auto"/>
              </w:rPr>
            </w:pPr>
            <w:r>
              <w:rPr>
                <w:rFonts w:ascii="Arial" w:cs="Arial" w:eastAsia="Arial" w:hAnsi="Arial"/>
                <w:sz w:val="12"/>
                <w:szCs w:val="12"/>
                <w:color w:val="auto"/>
              </w:rPr>
              <w:t>Net change in unrealized losses on investments and</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12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10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(54,751 )</w:t>
            </w:r>
          </w:p>
        </w:tc>
        <w:tc>
          <w:tcPr>
            <w:tcW w:w="140" w:type="dxa"/>
            <w:vAlign w:val="bottom"/>
            <w:shd w:val="clear" w:color="auto" w:fill="CFF0FC"/>
          </w:tcPr>
          <w:p>
            <w:pPr>
              <w:spacing w:after="0"/>
              <w:rPr>
                <w:sz w:val="9"/>
                <w:szCs w:val="9"/>
                <w:color w:val="auto"/>
              </w:rPr>
            </w:pPr>
          </w:p>
        </w:tc>
        <w:tc>
          <w:tcPr>
            <w:tcW w:w="9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(54,751 )</w:t>
            </w:r>
          </w:p>
        </w:tc>
        <w:tc>
          <w:tcPr>
            <w:tcW w:w="0" w:type="dxa"/>
            <w:vAlign w:val="bottom"/>
          </w:tcPr>
          <w:p>
            <w:pPr>
              <w:spacing w:after="0"/>
              <w:rPr>
                <w:sz w:val="1"/>
                <w:szCs w:val="1"/>
                <w:color w:val="auto"/>
              </w:rPr>
            </w:pPr>
          </w:p>
        </w:tc>
      </w:tr>
      <w:tr>
        <w:trPr>
          <w:trHeight w:val="162"/>
        </w:trPr>
        <w:tc>
          <w:tcPr>
            <w:tcW w:w="4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foreign currency translation</w:t>
            </w:r>
          </w:p>
        </w:tc>
        <w:tc>
          <w:tcPr>
            <w:tcW w:w="7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00" w:type="dxa"/>
            <w:vAlign w:val="bottom"/>
          </w:tcPr>
          <w:p>
            <w:pPr>
              <w:ind w:left="160"/>
              <w:spacing w:after="0" w:line="108" w:lineRule="exact"/>
              <w:rPr>
                <w:sz w:val="20"/>
                <w:szCs w:val="20"/>
                <w:color w:val="auto"/>
              </w:rPr>
            </w:pPr>
            <w:r>
              <w:rPr>
                <w:rFonts w:ascii="Arial" w:cs="Arial" w:eastAsia="Arial" w:hAnsi="Arial"/>
                <w:sz w:val="12"/>
                <w:szCs w:val="12"/>
                <w:color w:val="auto"/>
              </w:rPr>
              <w:t>Net realized gains on investments and foreign</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404</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404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00" w:type="dxa"/>
            <w:vAlign w:val="bottom"/>
          </w:tcPr>
          <w:p>
            <w:pPr>
              <w:ind w:left="260"/>
              <w:spacing w:after="0"/>
              <w:rPr>
                <w:sz w:val="20"/>
                <w:szCs w:val="20"/>
                <w:color w:val="auto"/>
              </w:rPr>
            </w:pPr>
            <w:r>
              <w:rPr>
                <w:rFonts w:ascii="Arial" w:cs="Arial" w:eastAsia="Arial" w:hAnsi="Arial"/>
                <w:sz w:val="13"/>
                <w:szCs w:val="13"/>
                <w:color w:val="auto"/>
              </w:rPr>
              <w:t>currency transactions</w:t>
            </w: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Dividends to stockholders:</w:t>
            </w: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ind w:left="160"/>
              <w:spacing w:after="0"/>
              <w:rPr>
                <w:sz w:val="20"/>
                <w:szCs w:val="20"/>
                <w:color w:val="auto"/>
              </w:rPr>
            </w:pPr>
            <w:r>
              <w:rPr>
                <w:rFonts w:ascii="Arial" w:cs="Arial" w:eastAsia="Arial" w:hAnsi="Arial"/>
                <w:sz w:val="13"/>
                <w:szCs w:val="13"/>
                <w:color w:val="auto"/>
              </w:rPr>
              <w:t>Stock issued in connection with dividend reinvestment plan</w:t>
            </w:r>
          </w:p>
        </w:tc>
        <w:tc>
          <w:tcPr>
            <w:tcW w:w="720" w:type="dxa"/>
            <w:vAlign w:val="bottom"/>
          </w:tcPr>
          <w:p>
            <w:pPr>
              <w:jc w:val="right"/>
              <w:spacing w:after="0"/>
              <w:rPr>
                <w:sz w:val="20"/>
                <w:szCs w:val="20"/>
                <w:color w:val="auto"/>
              </w:rPr>
            </w:pPr>
            <w:r>
              <w:rPr>
                <w:rFonts w:ascii="Arial" w:cs="Arial" w:eastAsia="Arial" w:hAnsi="Arial"/>
                <w:sz w:val="13"/>
                <w:szCs w:val="13"/>
                <w:color w:val="auto"/>
              </w:rPr>
              <w:t>268,835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5,836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5,838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Dividends declared from net investment income</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(34,339 )</w:t>
            </w: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(34,339 )</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at June 30, 2022</w:t>
            </w:r>
          </w:p>
        </w:tc>
        <w:tc>
          <w:tcPr>
            <w:tcW w:w="7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76,339,515</w:t>
            </w:r>
          </w:p>
        </w:tc>
        <w:tc>
          <w:tcPr>
            <w:tcW w:w="22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6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766</w:t>
            </w:r>
          </w:p>
        </w:tc>
        <w:tc>
          <w:tcPr>
            <w:tcW w:w="2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296,044</w:t>
            </w:r>
          </w:p>
        </w:tc>
        <w:tc>
          <w:tcPr>
            <w:tcW w:w="220" w:type="dxa"/>
            <w:vAlign w:val="bottom"/>
          </w:tcPr>
          <w:p>
            <w:pPr>
              <w:spacing w:after="0"/>
              <w:rPr>
                <w:sz w:val="12"/>
                <w:szCs w:val="12"/>
                <w:color w:val="auto"/>
              </w:rPr>
            </w:pPr>
          </w:p>
        </w:tc>
        <w:tc>
          <w:tcPr>
            <w:tcW w:w="180" w:type="dxa"/>
            <w:vAlign w:val="bottom"/>
          </w:tcPr>
          <w:p>
            <w:pPr>
              <w:jc w:val="right"/>
              <w:ind w:right="37"/>
              <w:spacing w:after="0" w:line="142" w:lineRule="exact"/>
              <w:rPr>
                <w:sz w:val="20"/>
                <w:szCs w:val="20"/>
                <w:color w:val="auto"/>
              </w:rPr>
            </w:pPr>
            <w:r>
              <w:rPr>
                <w:rFonts w:ascii="Arial" w:cs="Arial" w:eastAsia="Arial" w:hAnsi="Arial"/>
                <w:sz w:val="13"/>
                <w:szCs w:val="13"/>
                <w:b w:val="1"/>
                <w:bCs w:val="1"/>
                <w:color w:val="auto"/>
                <w:w w:val="82"/>
              </w:rPr>
              <w:t>$</w:t>
            </w:r>
          </w:p>
        </w:tc>
        <w:tc>
          <w:tcPr>
            <w:tcW w:w="820" w:type="dxa"/>
            <w:vAlign w:val="bottom"/>
            <w:gridSpan w:val="2"/>
          </w:tcPr>
          <w:p>
            <w:pPr>
              <w:jc w:val="right"/>
              <w:ind w:right="77"/>
              <w:spacing w:after="0" w:line="142" w:lineRule="exact"/>
              <w:rPr>
                <w:sz w:val="20"/>
                <w:szCs w:val="20"/>
                <w:color w:val="auto"/>
              </w:rPr>
            </w:pPr>
            <w:r>
              <w:rPr>
                <w:rFonts w:ascii="Arial" w:cs="Arial" w:eastAsia="Arial" w:hAnsi="Arial"/>
                <w:sz w:val="13"/>
                <w:szCs w:val="13"/>
                <w:b w:val="1"/>
                <w:bCs w:val="1"/>
                <w:color w:val="auto"/>
              </w:rPr>
              <w:t>(4,291 )</w:t>
            </w:r>
          </w:p>
        </w:tc>
        <w:tc>
          <w:tcPr>
            <w:tcW w:w="1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10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1,201,531</w:t>
            </w:r>
          </w:p>
        </w:tc>
        <w:tc>
          <w:tcPr>
            <w:tcW w:w="2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8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43,953</w:t>
            </w:r>
          </w:p>
        </w:tc>
        <w:tc>
          <w:tcPr>
            <w:tcW w:w="20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1,241,959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-1068070</wp:posOffset>
            </wp:positionV>
            <wp:extent cx="76835"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-1068070</wp:posOffset>
            </wp:positionV>
            <wp:extent cx="7747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-1068070</wp:posOffset>
            </wp:positionV>
            <wp:extent cx="76835"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-1068070</wp:posOffset>
            </wp:positionV>
            <wp:extent cx="6858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-1068070</wp:posOffset>
            </wp:positionV>
            <wp:extent cx="6858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-1068070</wp:posOffset>
            </wp:positionV>
            <wp:extent cx="6858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-1068070</wp:posOffset>
            </wp:positionV>
            <wp:extent cx="6858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-125095</wp:posOffset>
            </wp:positionV>
            <wp:extent cx="76835"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-125095</wp:posOffset>
            </wp:positionV>
            <wp:extent cx="7747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-125095</wp:posOffset>
            </wp:positionV>
            <wp:extent cx="76835"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-125095</wp:posOffset>
            </wp:positionV>
            <wp:extent cx="6858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-125095</wp:posOffset>
            </wp:positionV>
            <wp:extent cx="6858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-125095</wp:posOffset>
            </wp:positionV>
            <wp:extent cx="6858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wp:posOffset>
            </wp:positionV>
            <wp:extent cx="6858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76"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tax year end is March 31</w:t>
      </w:r>
      <w:r>
        <w:rPr>
          <w:rFonts w:ascii="Arial" w:cs="Arial" w:eastAsia="Arial" w:hAnsi="Arial"/>
          <w:sz w:val="24"/>
          <w:szCs w:val="24"/>
          <w:color w:val="auto"/>
          <w:vertAlign w:val="superscript"/>
        </w:rPr>
        <w:t>st</w:t>
      </w:r>
      <w:r>
        <w:rPr>
          <w:rFonts w:ascii="Arial" w:cs="Arial" w:eastAsia="Arial" w:hAnsi="Arial"/>
          <w:sz w:val="18"/>
          <w:szCs w:val="18"/>
          <w:color w:val="auto"/>
        </w:rPr>
        <w:t>.</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8" w:name="page19"/>
    <w:bookmarkEnd w:id="18"/>
    <w:p>
      <w:pPr>
        <w:jc w:val="center"/>
        <w:ind w:right="40"/>
        <w:spacing w:after="0"/>
        <w:rPr>
          <w:sz w:val="20"/>
          <w:szCs w:val="20"/>
          <w:color w:val="auto"/>
        </w:rPr>
      </w:pPr>
      <w:r>
        <w:rPr>
          <w:rFonts w:ascii="Arial" w:cs="Arial" w:eastAsia="Arial" w:hAnsi="Arial"/>
          <w:sz w:val="18"/>
          <w:szCs w:val="18"/>
          <w:b w:val="1"/>
          <w:bCs w:val="1"/>
          <w:color w:val="auto"/>
        </w:rPr>
        <w:t>Sixth Street Specialty Lending,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share amounts)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20" w:type="dxa"/>
            <w:vAlign w:val="bottom"/>
          </w:tcPr>
          <w:p>
            <w:pPr>
              <w:spacing w:after="0"/>
              <w:rPr>
                <w:sz w:val="16"/>
                <w:szCs w:val="16"/>
                <w:color w:val="auto"/>
              </w:rPr>
            </w:pPr>
          </w:p>
        </w:tc>
        <w:tc>
          <w:tcPr>
            <w:tcW w:w="186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6"/>
                <w:szCs w:val="16"/>
                <w:color w:val="auto"/>
              </w:rPr>
            </w:pPr>
          </w:p>
        </w:tc>
        <w:tc>
          <w:tcPr>
            <w:tcW w:w="1700" w:type="dxa"/>
            <w:vAlign w:val="bottom"/>
            <w:gridSpan w:val="5"/>
          </w:tcPr>
          <w:p>
            <w:pPr>
              <w:jc w:val="right"/>
              <w:ind w:right="408"/>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Par</w:t>
            </w:r>
          </w:p>
        </w:tc>
        <w:tc>
          <w:tcPr>
            <w:tcW w:w="2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Paid in Capital</w:t>
            </w:r>
          </w:p>
        </w:tc>
        <w:tc>
          <w:tcPr>
            <w:tcW w:w="100" w:type="dxa"/>
            <w:vAlign w:val="bottom"/>
          </w:tcPr>
          <w:p>
            <w:pPr>
              <w:spacing w:after="0"/>
              <w:rPr>
                <w:sz w:val="11"/>
                <w:szCs w:val="11"/>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Distributable</w:t>
            </w:r>
          </w:p>
        </w:tc>
        <w:tc>
          <w:tcPr>
            <w:tcW w:w="140" w:type="dxa"/>
            <w:vAlign w:val="bottom"/>
          </w:tcPr>
          <w:p>
            <w:pPr>
              <w:spacing w:after="0"/>
              <w:rPr>
                <w:sz w:val="11"/>
                <w:szCs w:val="11"/>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Total Net</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8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308"/>
              <w:spacing w:after="0"/>
              <w:rPr>
                <w:sz w:val="20"/>
                <w:szCs w:val="20"/>
                <w:color w:val="auto"/>
              </w:rPr>
            </w:pPr>
            <w:r>
              <w:rPr>
                <w:rFonts w:ascii="Arial" w:cs="Arial" w:eastAsia="Arial" w:hAnsi="Arial"/>
                <w:sz w:val="14"/>
                <w:szCs w:val="14"/>
                <w:b w:val="1"/>
                <w:bCs w:val="1"/>
                <w:color w:val="auto"/>
                <w:w w:val="96"/>
              </w:rPr>
              <w:t>Cost</w:t>
            </w:r>
          </w:p>
        </w:tc>
        <w:tc>
          <w:tcPr>
            <w:tcW w:w="10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in</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Excess of Par</w:t>
            </w:r>
          </w:p>
        </w:tc>
        <w:tc>
          <w:tcPr>
            <w:tcW w:w="100" w:type="dxa"/>
            <w:vAlign w:val="bottom"/>
          </w:tcPr>
          <w:p>
            <w:pPr>
              <w:spacing w:after="0"/>
              <w:rPr>
                <w:sz w:val="16"/>
                <w:szCs w:val="16"/>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69"/>
        </w:trPr>
        <w:tc>
          <w:tcPr>
            <w:tcW w:w="39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67,684,209</w:t>
            </w: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680</w:t>
            </w:r>
          </w:p>
        </w:tc>
        <w:tc>
          <w:tcPr>
            <w:tcW w:w="240" w:type="dxa"/>
            <w:vAlign w:val="bottom"/>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296,044</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(4,291</w:t>
            </w:r>
          </w:p>
        </w:tc>
        <w:tc>
          <w:tcPr>
            <w:tcW w:w="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1,025,676</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139,250</w:t>
            </w: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1,161,315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120"/>
              <w:spacing w:after="0" w:line="135" w:lineRule="exact"/>
              <w:rPr>
                <w:sz w:val="20"/>
                <w:szCs w:val="20"/>
                <w:color w:val="auto"/>
              </w:rPr>
            </w:pPr>
            <w:r>
              <w:rPr>
                <w:rFonts w:ascii="Arial" w:cs="Arial" w:eastAsia="Arial" w:hAnsi="Arial"/>
                <w:sz w:val="14"/>
                <w:szCs w:val="14"/>
                <w:color w:val="auto"/>
              </w:rPr>
              <w:t>Cumulative effect adjustment for the adoption of ASU</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920" w:type="dxa"/>
            <w:vAlign w:val="bottom"/>
          </w:tcPr>
          <w:p>
            <w:pPr>
              <w:ind w:left="220"/>
              <w:spacing w:after="0" w:line="189" w:lineRule="exact"/>
              <w:rPr>
                <w:sz w:val="20"/>
                <w:szCs w:val="20"/>
                <w:color w:val="auto"/>
              </w:rPr>
            </w:pPr>
            <w:r>
              <w:rPr>
                <w:rFonts w:ascii="Arial" w:cs="Arial" w:eastAsia="Arial" w:hAnsi="Arial"/>
                <w:sz w:val="14"/>
                <w:szCs w:val="14"/>
                <w:color w:val="auto"/>
              </w:rPr>
              <w:t xml:space="preserve">2020-06 </w:t>
            </w:r>
            <w:r>
              <w:rPr>
                <w:rFonts w:ascii="Arial" w:cs="Arial" w:eastAsia="Arial" w:hAnsi="Arial"/>
                <w:sz w:val="19"/>
                <w:szCs w:val="19"/>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(457 )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(285 )</w:t>
            </w: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increase in net assets resulting from operations:</w:t>
            </w: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200"/>
              <w:spacing w:after="0"/>
              <w:rPr>
                <w:sz w:val="20"/>
                <w:szCs w:val="20"/>
                <w:color w:val="auto"/>
              </w:rPr>
            </w:pPr>
            <w:r>
              <w:rPr>
                <w:rFonts w:ascii="Arial" w:cs="Arial" w:eastAsia="Arial" w:hAnsi="Arial"/>
                <w:sz w:val="14"/>
                <w:szCs w:val="14"/>
                <w:color w:val="auto"/>
              </w:rPr>
              <w:t>Net investment income</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32,310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32,310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9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Net change in unrealized gains on investments and</w:t>
            </w: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foreign currency translation</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9,755</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920" w:type="dxa"/>
            <w:vAlign w:val="bottom"/>
          </w:tcPr>
          <w:p>
            <w:pPr>
              <w:ind w:left="200"/>
              <w:spacing w:after="0" w:line="143" w:lineRule="exact"/>
              <w:rPr>
                <w:sz w:val="20"/>
                <w:szCs w:val="20"/>
                <w:color w:val="auto"/>
              </w:rPr>
            </w:pPr>
            <w:r>
              <w:rPr>
                <w:rFonts w:ascii="Arial" w:cs="Arial" w:eastAsia="Arial" w:hAnsi="Arial"/>
                <w:sz w:val="14"/>
                <w:szCs w:val="14"/>
                <w:color w:val="auto"/>
              </w:rPr>
              <w:t>Net realized gains on investments and foreign</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20" w:type="dxa"/>
            <w:vAlign w:val="bottom"/>
          </w:tcPr>
          <w:p>
            <w:pPr>
              <w:ind w:left="300"/>
              <w:spacing w:after="0"/>
              <w:rPr>
                <w:sz w:val="20"/>
                <w:szCs w:val="20"/>
                <w:color w:val="auto"/>
              </w:rPr>
            </w:pPr>
            <w:r>
              <w:rPr>
                <w:rFonts w:ascii="Arial" w:cs="Arial" w:eastAsia="Arial" w:hAnsi="Arial"/>
                <w:sz w:val="14"/>
                <w:szCs w:val="14"/>
                <w:color w:val="auto"/>
              </w:rPr>
              <w:t>currency transactions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14,587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14,587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92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rPr>
              <w:t>Increase in Net Assets Resulting from Capital Share</w:t>
            </w: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Transactions:</w:t>
            </w: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920" w:type="dxa"/>
            <w:vAlign w:val="bottom"/>
          </w:tcPr>
          <w:p>
            <w:pPr>
              <w:ind w:left="200"/>
              <w:spacing w:after="0" w:line="143" w:lineRule="exact"/>
              <w:rPr>
                <w:sz w:val="20"/>
                <w:szCs w:val="20"/>
                <w:color w:val="auto"/>
              </w:rPr>
            </w:pPr>
            <w:r>
              <w:rPr>
                <w:rFonts w:ascii="Arial" w:cs="Arial" w:eastAsia="Arial" w:hAnsi="Arial"/>
                <w:sz w:val="14"/>
                <w:szCs w:val="14"/>
                <w:color w:val="auto"/>
              </w:rPr>
              <w:t>Issuance of common stock, net of offering and</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20" w:type="dxa"/>
            <w:vAlign w:val="bottom"/>
          </w:tcPr>
          <w:p>
            <w:pPr>
              <w:ind w:left="300"/>
              <w:spacing w:after="0"/>
              <w:rPr>
                <w:sz w:val="20"/>
                <w:szCs w:val="20"/>
                <w:color w:val="auto"/>
              </w:rPr>
            </w:pPr>
            <w:r>
              <w:rPr>
                <w:rFonts w:ascii="Arial" w:cs="Arial" w:eastAsia="Arial" w:hAnsi="Arial"/>
                <w:sz w:val="14"/>
                <w:szCs w:val="14"/>
                <w:color w:val="auto"/>
              </w:rPr>
              <w:t>underwriting costs</w:t>
            </w:r>
          </w:p>
        </w:tc>
        <w:tc>
          <w:tcPr>
            <w:tcW w:w="860" w:type="dxa"/>
            <w:vAlign w:val="bottom"/>
          </w:tcPr>
          <w:p>
            <w:pPr>
              <w:jc w:val="right"/>
              <w:spacing w:after="0"/>
              <w:rPr>
                <w:sz w:val="20"/>
                <w:szCs w:val="20"/>
                <w:color w:val="auto"/>
              </w:rPr>
            </w:pPr>
            <w:r>
              <w:rPr>
                <w:rFonts w:ascii="Arial" w:cs="Arial" w:eastAsia="Arial" w:hAnsi="Arial"/>
                <w:sz w:val="14"/>
                <w:szCs w:val="14"/>
                <w:color w:val="auto"/>
              </w:rPr>
              <w:t>4,049,689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85,904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85,945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Dividends to stockholders:</w:t>
            </w: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200"/>
              <w:spacing w:after="0"/>
              <w:rPr>
                <w:sz w:val="20"/>
                <w:szCs w:val="20"/>
                <w:color w:val="auto"/>
              </w:rPr>
            </w:pPr>
            <w:r>
              <w:rPr>
                <w:rFonts w:ascii="Arial" w:cs="Arial" w:eastAsia="Arial" w:hAnsi="Arial"/>
                <w:sz w:val="14"/>
                <w:szCs w:val="14"/>
                <w:color w:val="auto"/>
              </w:rPr>
              <w:t>Stock issued in connection with dividend reinvestment plan</w:t>
            </w:r>
          </w:p>
        </w:tc>
        <w:tc>
          <w:tcPr>
            <w:tcW w:w="860" w:type="dxa"/>
            <w:vAlign w:val="bottom"/>
          </w:tcPr>
          <w:p>
            <w:pPr>
              <w:jc w:val="right"/>
              <w:spacing w:after="0"/>
              <w:rPr>
                <w:sz w:val="20"/>
                <w:szCs w:val="20"/>
                <w:color w:val="auto"/>
              </w:rPr>
            </w:pPr>
            <w:r>
              <w:rPr>
                <w:rFonts w:ascii="Arial" w:cs="Arial" w:eastAsia="Arial" w:hAnsi="Arial"/>
                <w:sz w:val="14"/>
                <w:szCs w:val="14"/>
                <w:color w:val="auto"/>
              </w:rPr>
              <w:t>236,100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4,707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Dividends declared from net investment income</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(123,004 )</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(123,004 )</w:t>
            </w:r>
          </w:p>
        </w:tc>
        <w:tc>
          <w:tcPr>
            <w:tcW w:w="0" w:type="dxa"/>
            <w:vAlign w:val="bottom"/>
          </w:tcPr>
          <w:p>
            <w:pPr>
              <w:spacing w:after="0"/>
              <w:rPr>
                <w:sz w:val="1"/>
                <w:szCs w:val="1"/>
                <w:color w:val="auto"/>
              </w:rPr>
            </w:pPr>
          </w:p>
        </w:tc>
      </w:tr>
      <w:tr>
        <w:trPr>
          <w:trHeight w:val="135"/>
        </w:trPr>
        <w:tc>
          <w:tcPr>
            <w:tcW w:w="3920" w:type="dxa"/>
            <w:vAlign w:val="bottom"/>
          </w:tcPr>
          <w:p>
            <w:pPr>
              <w:ind w:left="120"/>
              <w:spacing w:after="0" w:line="135" w:lineRule="exact"/>
              <w:rPr>
                <w:sz w:val="20"/>
                <w:szCs w:val="20"/>
                <w:color w:val="auto"/>
              </w:rPr>
            </w:pPr>
            <w:r>
              <w:rPr>
                <w:rFonts w:ascii="Arial" w:cs="Arial" w:eastAsia="Arial" w:hAnsi="Arial"/>
                <w:sz w:val="14"/>
                <w:szCs w:val="14"/>
                <w:color w:val="auto"/>
                <w:w w:val="99"/>
              </w:rPr>
              <w:t>Tax reclassification of stockholders' equity in accordance with</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220"/>
              <w:spacing w:after="0" w:line="175" w:lineRule="exact"/>
              <w:rPr>
                <w:sz w:val="20"/>
                <w:szCs w:val="20"/>
                <w:color w:val="auto"/>
              </w:rPr>
            </w:pPr>
            <w:r>
              <w:rPr>
                <w:rFonts w:ascii="Arial" w:cs="Arial" w:eastAsia="Arial" w:hAnsi="Arial"/>
                <w:sz w:val="14"/>
                <w:szCs w:val="14"/>
                <w:color w:val="auto"/>
              </w:rPr>
              <w:t xml:space="preserve">GAAP </w:t>
            </w:r>
            <w:r>
              <w:rPr>
                <w:rFonts w:ascii="Arial" w:cs="Arial" w:eastAsia="Arial" w:hAnsi="Arial"/>
                <w:sz w:val="19"/>
                <w:szCs w:val="19"/>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(460 )</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71,969,998</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723</w:t>
            </w:r>
          </w:p>
        </w:tc>
        <w:tc>
          <w:tcPr>
            <w:tcW w:w="24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296,044</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(4,291</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1,115,370</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73,530</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1,185,332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920" w:type="dxa"/>
            <w:vAlign w:val="bottom"/>
          </w:tcPr>
          <w:p>
            <w:pPr>
              <w:ind w:left="120"/>
              <w:spacing w:after="0" w:line="156" w:lineRule="exact"/>
              <w:rPr>
                <w:sz w:val="20"/>
                <w:szCs w:val="20"/>
                <w:color w:val="auto"/>
              </w:rPr>
            </w:pPr>
            <w:r>
              <w:rPr>
                <w:rFonts w:ascii="Arial" w:cs="Arial" w:eastAsia="Arial" w:hAnsi="Arial"/>
                <w:sz w:val="14"/>
                <w:szCs w:val="14"/>
                <w:color w:val="auto"/>
              </w:rPr>
              <w:t>Net increase in net assets resulting from operations:</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9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investment income</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27,388</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27,388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920" w:type="dxa"/>
            <w:vAlign w:val="bottom"/>
          </w:tcPr>
          <w:p>
            <w:pPr>
              <w:ind w:left="200"/>
              <w:spacing w:after="0" w:line="143" w:lineRule="exact"/>
              <w:rPr>
                <w:sz w:val="20"/>
                <w:szCs w:val="20"/>
                <w:color w:val="auto"/>
              </w:rPr>
            </w:pPr>
            <w:r>
              <w:rPr>
                <w:rFonts w:ascii="Arial" w:cs="Arial" w:eastAsia="Arial" w:hAnsi="Arial"/>
                <w:sz w:val="14"/>
                <w:szCs w:val="14"/>
                <w:color w:val="auto"/>
              </w:rPr>
              <w:t>Net change in unrealized gains on investments and</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20" w:type="dxa"/>
            <w:vAlign w:val="bottom"/>
          </w:tcPr>
          <w:p>
            <w:pPr>
              <w:ind w:left="300"/>
              <w:spacing w:after="0"/>
              <w:rPr>
                <w:sz w:val="20"/>
                <w:szCs w:val="20"/>
                <w:color w:val="auto"/>
              </w:rPr>
            </w:pPr>
            <w:r>
              <w:rPr>
                <w:rFonts w:ascii="Arial" w:cs="Arial" w:eastAsia="Arial" w:hAnsi="Arial"/>
                <w:sz w:val="14"/>
                <w:szCs w:val="14"/>
                <w:color w:val="auto"/>
              </w:rPr>
              <w:t>foreign currency translation</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28,945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28,945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9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Net realized gains on investments and foreign</w:t>
            </w: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currency transactions</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2,021</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920" w:type="dxa"/>
            <w:vAlign w:val="bottom"/>
          </w:tcPr>
          <w:p>
            <w:pPr>
              <w:ind w:left="120"/>
              <w:spacing w:after="0" w:line="143" w:lineRule="exact"/>
              <w:rPr>
                <w:sz w:val="20"/>
                <w:szCs w:val="20"/>
                <w:color w:val="auto"/>
              </w:rPr>
            </w:pPr>
            <w:r>
              <w:rPr>
                <w:rFonts w:ascii="Arial" w:cs="Arial" w:eastAsia="Arial" w:hAnsi="Arial"/>
                <w:sz w:val="14"/>
                <w:szCs w:val="14"/>
                <w:color w:val="auto"/>
              </w:rPr>
              <w:t>Decrease in Net Assets Resulting from Capital Share</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20" w:type="dxa"/>
            <w:vAlign w:val="bottom"/>
          </w:tcPr>
          <w:p>
            <w:pPr>
              <w:ind w:left="220"/>
              <w:spacing w:after="0"/>
              <w:rPr>
                <w:sz w:val="20"/>
                <w:szCs w:val="20"/>
                <w:color w:val="auto"/>
              </w:rPr>
            </w:pPr>
            <w:r>
              <w:rPr>
                <w:rFonts w:ascii="Arial" w:cs="Arial" w:eastAsia="Arial" w:hAnsi="Arial"/>
                <w:sz w:val="14"/>
                <w:szCs w:val="14"/>
                <w:color w:val="auto"/>
              </w:rPr>
              <w:t>Transactions:</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9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Issuance of common stock, net of offering and</w:t>
            </w: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underwriting costs</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(41 )</w:t>
            </w: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175"/>
        </w:trPr>
        <w:tc>
          <w:tcPr>
            <w:tcW w:w="3920" w:type="dxa"/>
            <w:vAlign w:val="bottom"/>
          </w:tcPr>
          <w:p>
            <w:pPr>
              <w:ind w:left="120"/>
              <w:spacing w:after="0"/>
              <w:rPr>
                <w:sz w:val="20"/>
                <w:szCs w:val="20"/>
                <w:color w:val="auto"/>
              </w:rPr>
            </w:pPr>
            <w:r>
              <w:rPr>
                <w:rFonts w:ascii="Arial" w:cs="Arial" w:eastAsia="Arial" w:hAnsi="Arial"/>
                <w:sz w:val="14"/>
                <w:szCs w:val="14"/>
                <w:color w:val="auto"/>
              </w:rPr>
              <w:t>Dividends to stockholders:</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 issued in connection with dividend reinvestment plan</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679,685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14,292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200"/>
              <w:spacing w:after="0"/>
              <w:rPr>
                <w:sz w:val="20"/>
                <w:szCs w:val="20"/>
                <w:color w:val="auto"/>
              </w:rPr>
            </w:pPr>
            <w:r>
              <w:rPr>
                <w:rFonts w:ascii="Arial" w:cs="Arial" w:eastAsia="Arial" w:hAnsi="Arial"/>
                <w:sz w:val="14"/>
                <w:szCs w:val="14"/>
                <w:color w:val="auto"/>
              </w:rPr>
              <w:t>Dividends declared from net investment income</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(34,130 )</w:t>
            </w:r>
          </w:p>
        </w:tc>
        <w:tc>
          <w:tcPr>
            <w:tcW w:w="14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(34,130 )</w:t>
            </w:r>
          </w:p>
        </w:tc>
        <w:tc>
          <w:tcPr>
            <w:tcW w:w="0" w:type="dxa"/>
            <w:vAlign w:val="bottom"/>
          </w:tcPr>
          <w:p>
            <w:pPr>
              <w:spacing w:after="0"/>
              <w:rPr>
                <w:sz w:val="1"/>
                <w:szCs w:val="1"/>
                <w:color w:val="auto"/>
              </w:rPr>
            </w:pPr>
          </w:p>
        </w:tc>
      </w:tr>
      <w:tr>
        <w:trPr>
          <w:trHeight w:val="209"/>
        </w:trPr>
        <w:tc>
          <w:tcPr>
            <w:tcW w:w="3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72,649,683</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729</w:t>
            </w:r>
          </w:p>
        </w:tc>
        <w:tc>
          <w:tcPr>
            <w:tcW w:w="24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296,044</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(4,291</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1,129,621</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97,754</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1,223,813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-1550670</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-1534160</wp:posOffset>
            </wp:positionV>
            <wp:extent cx="768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-1550670</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-1534160</wp:posOffset>
            </wp:positionV>
            <wp:extent cx="768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-1550670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-1534160</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-1550670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-1534160</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-1550670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-1534160</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-1550670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-1534160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-1534160</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-24765</wp:posOffset>
            </wp:positionV>
            <wp:extent cx="768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-8255</wp:posOffset>
            </wp:positionV>
            <wp:extent cx="768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-24765</wp:posOffset>
            </wp:positionV>
            <wp:extent cx="768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-8255</wp:posOffset>
            </wp:positionV>
            <wp:extent cx="7683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-8255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80" w:hanging="47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tax year end is March 31</w:t>
      </w:r>
      <w:r>
        <w:rPr>
          <w:rFonts w:ascii="Arial" w:cs="Arial" w:eastAsia="Arial" w:hAnsi="Arial"/>
          <w:sz w:val="24"/>
          <w:szCs w:val="24"/>
          <w:color w:val="auto"/>
          <w:vertAlign w:val="superscript"/>
        </w:rPr>
        <w:t>st</w:t>
      </w:r>
      <w:r>
        <w:rPr>
          <w:rFonts w:ascii="Arial" w:cs="Arial" w:eastAsia="Arial" w:hAnsi="Arial"/>
          <w:sz w:val="18"/>
          <w:szCs w:val="18"/>
          <w:color w:val="auto"/>
        </w:rPr>
        <w:t>.</w:t>
      </w: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Note 2 for further information related to the adoption of ASU 2020-06.</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 w:name="page20"/>
    <w:bookmarkEnd w:id="19"/>
    <w:p>
      <w:pPr>
        <w:jc w:val="center"/>
        <w:ind w:right="40"/>
        <w:spacing w:after="0"/>
        <w:rPr>
          <w:sz w:val="20"/>
          <w:szCs w:val="20"/>
          <w:color w:val="auto"/>
        </w:rPr>
      </w:pPr>
      <w:r>
        <w:rPr>
          <w:rFonts w:ascii="Arial" w:cs="Arial" w:eastAsia="Arial" w:hAnsi="Arial"/>
          <w:sz w:val="18"/>
          <w:szCs w:val="18"/>
          <w:b w:val="1"/>
          <w:bCs w:val="1"/>
          <w:color w:val="auto"/>
        </w:rPr>
        <w:t>Sixth Street Specialty Lending,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2"/>
          </w:tcPr>
          <w:p>
            <w:pPr>
              <w:jc w:val="right"/>
              <w:ind w:right="521"/>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5"/>
                <w:szCs w:val="15"/>
                <w:color w:val="auto"/>
              </w:rPr>
            </w:pPr>
          </w:p>
        </w:tc>
        <w:tc>
          <w:tcPr>
            <w:tcW w:w="1660" w:type="dxa"/>
            <w:vAlign w:val="bottom"/>
            <w:gridSpan w:val="2"/>
          </w:tcPr>
          <w:p>
            <w:pPr>
              <w:jc w:val="right"/>
              <w:ind w:right="341"/>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jc w:val="right"/>
              <w:ind w:right="681"/>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6"/>
                <w:szCs w:val="16"/>
                <w:color w:val="auto"/>
              </w:rPr>
            </w:pPr>
          </w:p>
        </w:tc>
        <w:tc>
          <w:tcPr>
            <w:tcW w:w="1660" w:type="dxa"/>
            <w:vAlign w:val="bottom"/>
            <w:gridSpan w:val="2"/>
          </w:tcPr>
          <w:p>
            <w:pPr>
              <w:jc w:val="right"/>
              <w:ind w:right="481"/>
              <w:spacing w:after="0"/>
              <w:rPr>
                <w:sz w:val="20"/>
                <w:szCs w:val="20"/>
                <w:color w:val="auto"/>
              </w:rPr>
            </w:pPr>
            <w:r>
              <w:rPr>
                <w:rFonts w:ascii="Arial" w:cs="Arial" w:eastAsia="Arial" w:hAnsi="Arial"/>
                <w:sz w:val="14"/>
                <w:szCs w:val="14"/>
                <w:b w:val="1"/>
                <w:bCs w:val="1"/>
                <w:color w:val="auto"/>
              </w:rPr>
              <w:t>June 30, 2021</w:t>
            </w:r>
          </w:p>
        </w:tc>
      </w:tr>
      <w:tr>
        <w:trPr>
          <w:trHeight w:val="196"/>
        </w:trPr>
        <w:tc>
          <w:tcPr>
            <w:tcW w:w="7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Increase in net assets resulting from operations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27,360</w:t>
            </w:r>
          </w:p>
        </w:tc>
        <w:tc>
          <w:tcPr>
            <w:tcW w:w="28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115,006</w:t>
            </w:r>
          </w:p>
        </w:tc>
        <w:tc>
          <w:tcPr>
            <w:tcW w:w="100" w:type="dxa"/>
            <w:vAlign w:val="bottom"/>
          </w:tcPr>
          <w:p>
            <w:pPr>
              <w:spacing w:after="0"/>
              <w:rPr>
                <w:sz w:val="17"/>
                <w:szCs w:val="17"/>
                <w:color w:val="auto"/>
              </w:rPr>
            </w:pPr>
          </w:p>
        </w:tc>
      </w:tr>
      <w:tr>
        <w:trPr>
          <w:trHeight w:val="162"/>
        </w:trPr>
        <w:tc>
          <w:tcPr>
            <w:tcW w:w="73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Adjustments to reconcile increase in net assets resulting from operations</w:t>
            </w:r>
          </w:p>
        </w:tc>
        <w:tc>
          <w:tcPr>
            <w:tcW w:w="20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 net cash provided by (used in) operating activities:</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320" w:type="dxa"/>
            <w:vAlign w:val="bottom"/>
          </w:tcPr>
          <w:p>
            <w:pPr>
              <w:ind w:left="380"/>
              <w:spacing w:after="0" w:line="202" w:lineRule="exact"/>
              <w:rPr>
                <w:sz w:val="20"/>
                <w:szCs w:val="20"/>
                <w:color w:val="auto"/>
              </w:rPr>
            </w:pPr>
            <w:r>
              <w:rPr>
                <w:rFonts w:ascii="Arial" w:cs="Arial" w:eastAsia="Arial" w:hAnsi="Arial"/>
                <w:sz w:val="18"/>
                <w:szCs w:val="18"/>
                <w:color w:val="auto"/>
              </w:rPr>
              <w:t>Net change in unrealized (gains) losses on investments</w:t>
            </w: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64,524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(41,396 )</w:t>
            </w:r>
          </w:p>
        </w:tc>
      </w:tr>
      <w:tr>
        <w:trPr>
          <w:trHeight w:val="203"/>
        </w:trPr>
        <w:tc>
          <w:tcPr>
            <w:tcW w:w="73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Net change in unrealized (gains) on foreign currency transactions</w:t>
            </w:r>
          </w:p>
        </w:tc>
        <w:tc>
          <w:tcPr>
            <w:tcW w:w="20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(5,872 )</w:t>
            </w: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(578 )</w:t>
            </w:r>
          </w:p>
        </w:tc>
      </w:tr>
      <w:tr>
        <w:trPr>
          <w:trHeight w:val="203"/>
        </w:trPr>
        <w:tc>
          <w:tcPr>
            <w:tcW w:w="7320" w:type="dxa"/>
            <w:vAlign w:val="bottom"/>
          </w:tcPr>
          <w:p>
            <w:pPr>
              <w:ind w:left="380"/>
              <w:spacing w:after="0" w:line="202" w:lineRule="exact"/>
              <w:rPr>
                <w:sz w:val="20"/>
                <w:szCs w:val="20"/>
                <w:color w:val="auto"/>
              </w:rPr>
            </w:pPr>
            <w:r>
              <w:rPr>
                <w:rFonts w:ascii="Arial" w:cs="Arial" w:eastAsia="Arial" w:hAnsi="Arial"/>
                <w:sz w:val="18"/>
                <w:szCs w:val="18"/>
                <w:color w:val="auto"/>
              </w:rPr>
              <w:t>Net change in unrealized losses on interest rate swaps</w:t>
            </w: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4,594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3,273</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Net realized (gains) on investments</w:t>
            </w:r>
          </w:p>
        </w:tc>
        <w:tc>
          <w:tcPr>
            <w:tcW w:w="20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(14,104 )</w:t>
            </w: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(16,608 )</w:t>
            </w:r>
          </w:p>
        </w:tc>
      </w:tr>
      <w:tr>
        <w:trPr>
          <w:trHeight w:val="203"/>
        </w:trPr>
        <w:tc>
          <w:tcPr>
            <w:tcW w:w="7320" w:type="dxa"/>
            <w:vAlign w:val="bottom"/>
          </w:tcPr>
          <w:p>
            <w:pPr>
              <w:ind w:left="380"/>
              <w:spacing w:after="0" w:line="202" w:lineRule="exact"/>
              <w:rPr>
                <w:sz w:val="20"/>
                <w:szCs w:val="20"/>
                <w:color w:val="auto"/>
              </w:rPr>
            </w:pPr>
            <w:r>
              <w:rPr>
                <w:rFonts w:ascii="Arial" w:cs="Arial" w:eastAsia="Arial" w:hAnsi="Arial"/>
                <w:sz w:val="18"/>
                <w:szCs w:val="18"/>
                <w:color w:val="auto"/>
              </w:rPr>
              <w:t>Net realized (gains) losses on foreign currency transactions</w:t>
            </w:r>
          </w:p>
        </w:tc>
        <w:tc>
          <w:tcPr>
            <w:tcW w:w="200" w:type="dxa"/>
            <w:vAlign w:val="bottom"/>
          </w:tcPr>
          <w:p>
            <w:pPr>
              <w:spacing w:after="0"/>
              <w:rPr>
                <w:sz w:val="17"/>
                <w:szCs w:val="17"/>
                <w:color w:val="auto"/>
              </w:rPr>
            </w:pPr>
          </w:p>
        </w:tc>
        <w:tc>
          <w:tcPr>
            <w:tcW w:w="186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(57 )</w:t>
            </w:r>
          </w:p>
        </w:tc>
        <w:tc>
          <w:tcPr>
            <w:tcW w:w="2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Net amortization of discount on investments</w:t>
            </w:r>
          </w:p>
        </w:tc>
        <w:tc>
          <w:tcPr>
            <w:tcW w:w="20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(9,421 )</w:t>
            </w: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(10,553 )</w:t>
            </w:r>
          </w:p>
        </w:tc>
      </w:tr>
      <w:tr>
        <w:trPr>
          <w:trHeight w:val="202"/>
        </w:trPr>
        <w:tc>
          <w:tcPr>
            <w:tcW w:w="7320" w:type="dxa"/>
            <w:vAlign w:val="bottom"/>
          </w:tcPr>
          <w:p>
            <w:pPr>
              <w:ind w:left="380"/>
              <w:spacing w:after="0" w:line="202" w:lineRule="exact"/>
              <w:rPr>
                <w:sz w:val="20"/>
                <w:szCs w:val="20"/>
                <w:color w:val="auto"/>
              </w:rPr>
            </w:pPr>
            <w:r>
              <w:rPr>
                <w:rFonts w:ascii="Arial" w:cs="Arial" w:eastAsia="Arial" w:hAnsi="Arial"/>
                <w:sz w:val="18"/>
                <w:szCs w:val="18"/>
                <w:color w:val="auto"/>
              </w:rPr>
              <w:t>Amortization of deferred financing costs</w:t>
            </w: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2,882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2,860</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Amortization of discount on debt</w:t>
            </w: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378</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380"/>
              <w:spacing w:after="0" w:line="202" w:lineRule="exact"/>
              <w:rPr>
                <w:sz w:val="20"/>
                <w:szCs w:val="20"/>
                <w:color w:val="auto"/>
              </w:rPr>
            </w:pPr>
            <w:r>
              <w:rPr>
                <w:rFonts w:ascii="Arial" w:cs="Arial" w:eastAsia="Arial" w:hAnsi="Arial"/>
                <w:sz w:val="18"/>
                <w:szCs w:val="18"/>
                <w:color w:val="auto"/>
              </w:rPr>
              <w:t>Purchases and originations of investments, net</w:t>
            </w:r>
          </w:p>
        </w:tc>
        <w:tc>
          <w:tcPr>
            <w:tcW w:w="200" w:type="dxa"/>
            <w:vAlign w:val="bottom"/>
          </w:tcPr>
          <w:p>
            <w:pPr>
              <w:spacing w:after="0"/>
              <w:rPr>
                <w:sz w:val="17"/>
                <w:szCs w:val="17"/>
                <w:color w:val="auto"/>
              </w:rPr>
            </w:pPr>
          </w:p>
        </w:tc>
        <w:tc>
          <w:tcPr>
            <w:tcW w:w="186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(438,388 )</w:t>
            </w:r>
          </w:p>
        </w:tc>
        <w:tc>
          <w:tcPr>
            <w:tcW w:w="200" w:type="dxa"/>
            <w:vAlign w:val="bottom"/>
          </w:tcPr>
          <w:p>
            <w:pPr>
              <w:spacing w:after="0"/>
              <w:rPr>
                <w:sz w:val="17"/>
                <w:szCs w:val="17"/>
                <w:color w:val="auto"/>
              </w:rPr>
            </w:pP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(439,203 )</w:t>
            </w:r>
          </w:p>
        </w:tc>
      </w:tr>
      <w:tr>
        <w:trPr>
          <w:trHeight w:val="203"/>
        </w:trPr>
        <w:tc>
          <w:tcPr>
            <w:tcW w:w="73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Proceeds from investments, net</w:t>
            </w: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19,381</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42,385</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380"/>
              <w:spacing w:after="0" w:line="202" w:lineRule="exact"/>
              <w:rPr>
                <w:sz w:val="20"/>
                <w:szCs w:val="20"/>
                <w:color w:val="auto"/>
              </w:rPr>
            </w:pPr>
            <w:r>
              <w:rPr>
                <w:rFonts w:ascii="Arial" w:cs="Arial" w:eastAsia="Arial" w:hAnsi="Arial"/>
                <w:sz w:val="18"/>
                <w:szCs w:val="18"/>
                <w:color w:val="auto"/>
              </w:rPr>
              <w:t>Repayments on investments</w:t>
            </w: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370,086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198,432</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Paid-in-kind interest</w:t>
            </w:r>
          </w:p>
        </w:tc>
        <w:tc>
          <w:tcPr>
            <w:tcW w:w="20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(6,762 )</w:t>
            </w: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(4,183 )</w:t>
            </w:r>
          </w:p>
        </w:tc>
      </w:tr>
      <w:tr>
        <w:trPr>
          <w:trHeight w:val="203"/>
        </w:trPr>
        <w:tc>
          <w:tcPr>
            <w:tcW w:w="732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Interest receivable</w:t>
            </w:r>
          </w:p>
        </w:tc>
        <w:tc>
          <w:tcPr>
            <w:tcW w:w="20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(1,479 )</w:t>
            </w: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(5,469 )</w:t>
            </w:r>
          </w:p>
        </w:tc>
      </w:tr>
      <w:tr>
        <w:trPr>
          <w:trHeight w:val="203"/>
        </w:trPr>
        <w:tc>
          <w:tcPr>
            <w:tcW w:w="7320" w:type="dxa"/>
            <w:vAlign w:val="bottom"/>
          </w:tcPr>
          <w:p>
            <w:pPr>
              <w:ind w:left="380"/>
              <w:spacing w:after="0" w:line="202" w:lineRule="exact"/>
              <w:rPr>
                <w:sz w:val="20"/>
                <w:szCs w:val="20"/>
                <w:color w:val="auto"/>
              </w:rPr>
            </w:pPr>
            <w:r>
              <w:rPr>
                <w:rFonts w:ascii="Arial" w:cs="Arial" w:eastAsia="Arial" w:hAnsi="Arial"/>
                <w:sz w:val="18"/>
                <w:szCs w:val="18"/>
                <w:color w:val="auto"/>
              </w:rPr>
              <w:t>Interest receivable paid-in-kind</w:t>
            </w: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391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(1,413 )</w:t>
            </w: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12,164</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380"/>
              <w:spacing w:after="0" w:line="202" w:lineRule="exact"/>
              <w:rPr>
                <w:sz w:val="20"/>
                <w:szCs w:val="20"/>
                <w:color w:val="auto"/>
              </w:rPr>
            </w:pPr>
            <w:r>
              <w:rPr>
                <w:rFonts w:ascii="Arial" w:cs="Arial" w:eastAsia="Arial" w:hAnsi="Arial"/>
                <w:sz w:val="18"/>
                <w:szCs w:val="18"/>
                <w:color w:val="auto"/>
              </w:rPr>
              <w:t>Management fees payable to affiliate</w:t>
            </w: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852</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Incentive fees on net investment income payable to affiliate</w:t>
            </w:r>
          </w:p>
        </w:tc>
        <w:tc>
          <w:tcPr>
            <w:tcW w:w="20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(3,065 )</w:t>
            </w: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(257 )</w:t>
            </w:r>
          </w:p>
        </w:tc>
      </w:tr>
      <w:tr>
        <w:trPr>
          <w:trHeight w:val="203"/>
        </w:trPr>
        <w:tc>
          <w:tcPr>
            <w:tcW w:w="7320" w:type="dxa"/>
            <w:vAlign w:val="bottom"/>
          </w:tcPr>
          <w:p>
            <w:pPr>
              <w:ind w:left="380"/>
              <w:spacing w:after="0" w:line="202" w:lineRule="exact"/>
              <w:rPr>
                <w:sz w:val="20"/>
                <w:szCs w:val="20"/>
                <w:color w:val="auto"/>
              </w:rPr>
            </w:pPr>
            <w:r>
              <w:rPr>
                <w:rFonts w:ascii="Arial" w:cs="Arial" w:eastAsia="Arial" w:hAnsi="Arial"/>
                <w:sz w:val="18"/>
                <w:szCs w:val="18"/>
                <w:color w:val="auto"/>
              </w:rPr>
              <w:t>Incentive fees on net capital gains accrued to affiliate</w:t>
            </w:r>
          </w:p>
        </w:tc>
        <w:tc>
          <w:tcPr>
            <w:tcW w:w="200" w:type="dxa"/>
            <w:vAlign w:val="bottom"/>
          </w:tcPr>
          <w:p>
            <w:pPr>
              <w:spacing w:after="0"/>
              <w:rPr>
                <w:sz w:val="17"/>
                <w:szCs w:val="17"/>
                <w:color w:val="auto"/>
              </w:rPr>
            </w:pPr>
          </w:p>
        </w:tc>
        <w:tc>
          <w:tcPr>
            <w:tcW w:w="186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(7,699 )</w:t>
            </w:r>
          </w:p>
        </w:tc>
        <w:tc>
          <w:tcPr>
            <w:tcW w:w="2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10,104</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Payable to affiliate</w:t>
            </w: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640</w:t>
            </w:r>
          </w:p>
        </w:tc>
        <w:tc>
          <w:tcPr>
            <w:tcW w:w="100" w:type="dxa"/>
            <w:vAlign w:val="bottom"/>
            <w:shd w:val="clear" w:color="auto" w:fill="CFF0FC"/>
          </w:tcPr>
          <w:p>
            <w:pPr>
              <w:spacing w:after="0"/>
              <w:rPr>
                <w:sz w:val="17"/>
                <w:szCs w:val="17"/>
                <w:color w:val="auto"/>
              </w:rPr>
            </w:pPr>
          </w:p>
        </w:tc>
      </w:tr>
      <w:tr>
        <w:trPr>
          <w:trHeight w:val="202"/>
        </w:trPr>
        <w:tc>
          <w:tcPr>
            <w:tcW w:w="7320" w:type="dxa"/>
            <w:vAlign w:val="bottom"/>
          </w:tcPr>
          <w:p>
            <w:pPr>
              <w:ind w:left="380"/>
              <w:spacing w:after="0" w:line="202" w:lineRule="exact"/>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7"/>
                <w:szCs w:val="17"/>
                <w:color w:val="auto"/>
              </w:rPr>
            </w:pPr>
          </w:p>
        </w:tc>
        <w:tc>
          <w:tcPr>
            <w:tcW w:w="186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(37,018 )</w:t>
            </w:r>
          </w:p>
        </w:tc>
        <w:tc>
          <w:tcPr>
            <w:tcW w:w="200" w:type="dxa"/>
            <w:vAlign w:val="bottom"/>
          </w:tcPr>
          <w:p>
            <w:pPr>
              <w:spacing w:after="0"/>
              <w:rPr>
                <w:sz w:val="17"/>
                <w:szCs w:val="17"/>
                <w:color w:val="auto"/>
              </w:rPr>
            </w:pP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(16,351 )</w:t>
            </w:r>
          </w:p>
        </w:tc>
      </w:tr>
      <w:tr>
        <w:trPr>
          <w:trHeight w:val="196"/>
        </w:trPr>
        <w:tc>
          <w:tcPr>
            <w:tcW w:w="73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(34,726</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(148,476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73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Borrowings on debt</w:t>
            </w: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498,755</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827,256</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Repayments on debt</w:t>
            </w:r>
          </w:p>
        </w:tc>
        <w:tc>
          <w:tcPr>
            <w:tcW w:w="200" w:type="dxa"/>
            <w:vAlign w:val="bottom"/>
          </w:tcPr>
          <w:p>
            <w:pPr>
              <w:spacing w:after="0"/>
              <w:rPr>
                <w:sz w:val="17"/>
                <w:szCs w:val="17"/>
                <w:color w:val="auto"/>
              </w:rPr>
            </w:pPr>
          </w:p>
        </w:tc>
        <w:tc>
          <w:tcPr>
            <w:tcW w:w="186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(387,635 )</w:t>
            </w:r>
          </w:p>
        </w:tc>
        <w:tc>
          <w:tcPr>
            <w:tcW w:w="200" w:type="dxa"/>
            <w:vAlign w:val="bottom"/>
          </w:tcPr>
          <w:p>
            <w:pPr>
              <w:spacing w:after="0"/>
              <w:rPr>
                <w:sz w:val="17"/>
                <w:szCs w:val="17"/>
                <w:color w:val="auto"/>
              </w:rPr>
            </w:pP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(615,482 )</w:t>
            </w: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financing costs</w:t>
            </w:r>
          </w:p>
        </w:tc>
        <w:tc>
          <w:tcPr>
            <w:tcW w:w="20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(4,296 )</w:t>
            </w: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(7,901 )</w:t>
            </w: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Proceeds from issuance of common stock, net of offering and underwriting costs</w:t>
            </w:r>
          </w:p>
        </w:tc>
        <w:tc>
          <w:tcPr>
            <w:tcW w:w="200" w:type="dxa"/>
            <w:vAlign w:val="bottom"/>
          </w:tcPr>
          <w:p>
            <w:pPr>
              <w:spacing w:after="0"/>
              <w:rPr>
                <w:sz w:val="17"/>
                <w:szCs w:val="17"/>
                <w:color w:val="auto"/>
              </w:rPr>
            </w:pPr>
          </w:p>
        </w:tc>
        <w:tc>
          <w:tcPr>
            <w:tcW w:w="1860" w:type="dxa"/>
            <w:vAlign w:val="bottom"/>
            <w:gridSpan w:val="2"/>
          </w:tcPr>
          <w:p>
            <w:pPr>
              <w:jc w:val="right"/>
              <w:ind w:right="22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85,904</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Dividends paid to stockholders</w:t>
            </w:r>
          </w:p>
        </w:tc>
        <w:tc>
          <w:tcPr>
            <w:tcW w:w="20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(60,888 )</w:t>
            </w: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(136,081 )</w:t>
            </w:r>
          </w:p>
        </w:tc>
      </w:tr>
      <w:tr>
        <w:trPr>
          <w:trHeight w:val="196"/>
        </w:trPr>
        <w:tc>
          <w:tcPr>
            <w:tcW w:w="732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20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45,936</w:t>
            </w:r>
          </w:p>
        </w:tc>
        <w:tc>
          <w:tcPr>
            <w:tcW w:w="28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153,696</w:t>
            </w:r>
          </w:p>
        </w:tc>
        <w:tc>
          <w:tcPr>
            <w:tcW w:w="100" w:type="dxa"/>
            <w:vAlign w:val="bottom"/>
            <w:tcBorders>
              <w:top w:val="single" w:sz="8" w:color="CFF0FC"/>
            </w:tcBorders>
          </w:tcPr>
          <w:p>
            <w:pPr>
              <w:spacing w:after="0"/>
              <w:rPr>
                <w:sz w:val="17"/>
                <w:szCs w:val="17"/>
                <w:color w:val="auto"/>
              </w:rPr>
            </w:pPr>
          </w:p>
        </w:tc>
      </w:tr>
      <w:tr>
        <w:trPr>
          <w:trHeight w:val="196"/>
        </w:trPr>
        <w:tc>
          <w:tcPr>
            <w:tcW w:w="732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Net Increase in Cash, Cash Equivalents, and Restricted Cash</w:t>
            </w: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11,210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5,220</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restricted cash, beginning of period</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15,967</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13,274</w:t>
            </w:r>
          </w:p>
        </w:tc>
        <w:tc>
          <w:tcPr>
            <w:tcW w:w="100" w:type="dxa"/>
            <w:vAlign w:val="bottom"/>
          </w:tcPr>
          <w:p>
            <w:pPr>
              <w:spacing w:after="0"/>
              <w:rPr>
                <w:sz w:val="17"/>
                <w:szCs w:val="17"/>
                <w:color w:val="auto"/>
              </w:rPr>
            </w:pPr>
          </w:p>
        </w:tc>
      </w:tr>
      <w:tr>
        <w:trPr>
          <w:trHeight w:val="236"/>
        </w:trPr>
        <w:tc>
          <w:tcPr>
            <w:tcW w:w="73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27,177</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18,494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320" w:type="dxa"/>
            <w:vAlign w:val="bottom"/>
          </w:tcPr>
          <w:p>
            <w:pPr>
              <w:ind w:left="20"/>
              <w:spacing w:after="0" w:line="183" w:lineRule="exact"/>
              <w:rPr>
                <w:sz w:val="20"/>
                <w:szCs w:val="20"/>
                <w:color w:val="auto"/>
              </w:rPr>
            </w:pPr>
            <w:r>
              <w:rPr>
                <w:rFonts w:ascii="Arial" w:cs="Arial" w:eastAsia="Arial" w:hAnsi="Arial"/>
                <w:sz w:val="18"/>
                <w:szCs w:val="18"/>
                <w:color w:val="auto"/>
              </w:rPr>
              <w:t>Supplemental Information:</w:t>
            </w: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3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Interest paid during the period</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17,833</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12,779</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380"/>
              <w:spacing w:after="0" w:line="202" w:lineRule="exact"/>
              <w:rPr>
                <w:sz w:val="20"/>
                <w:szCs w:val="20"/>
                <w:color w:val="auto"/>
              </w:rPr>
            </w:pPr>
            <w:r>
              <w:rPr>
                <w:rFonts w:ascii="Arial" w:cs="Arial" w:eastAsia="Arial" w:hAnsi="Arial"/>
                <w:sz w:val="18"/>
                <w:szCs w:val="18"/>
                <w:color w:val="auto"/>
              </w:rPr>
              <w:t>Excise and other taxes paid during the period</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1,600</w:t>
            </w:r>
          </w:p>
        </w:tc>
        <w:tc>
          <w:tcPr>
            <w:tcW w:w="28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4,215</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Dividends declared during the period</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73,861</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157,134</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Non-Cash Financing Activities:</w:t>
            </w: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7320" w:type="dxa"/>
            <w:vAlign w:val="bottom"/>
          </w:tcPr>
          <w:p>
            <w:pPr>
              <w:ind w:left="380"/>
              <w:spacing w:after="0"/>
              <w:rPr>
                <w:sz w:val="20"/>
                <w:szCs w:val="20"/>
                <w:color w:val="auto"/>
              </w:rPr>
            </w:pPr>
            <w:r>
              <w:rPr>
                <w:rFonts w:ascii="Arial" w:cs="Arial" w:eastAsia="Arial" w:hAnsi="Arial"/>
                <w:sz w:val="18"/>
                <w:szCs w:val="18"/>
                <w:color w:val="auto"/>
              </w:rPr>
              <w:t>Reinvestment of dividends during the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12,613</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19,007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-2259965</wp:posOffset>
            </wp:positionV>
            <wp:extent cx="76835"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-2259965</wp:posOffset>
            </wp:positionV>
            <wp:extent cx="6858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-1480185</wp:posOffset>
            </wp:positionV>
            <wp:extent cx="76835"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-1480185</wp:posOffset>
            </wp:positionV>
            <wp:extent cx="6858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-942975</wp:posOffset>
            </wp:positionV>
            <wp:extent cx="768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-925830</wp:posOffset>
            </wp:positionV>
            <wp:extent cx="768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-942975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-925830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18"/>
          <w:szCs w:val="18"/>
          <w:b w:val="1"/>
          <w:bCs w:val="1"/>
          <w:color w:val="auto"/>
        </w:rPr>
        <w:t>Sixth Street Specialty Lending,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178" w:lineRule="exact"/>
        <w:rPr>
          <w:sz w:val="20"/>
          <w:szCs w:val="20"/>
          <w:color w:val="auto"/>
        </w:rPr>
      </w:pPr>
    </w:p>
    <w:p>
      <w:pPr>
        <w:ind w:right="8040" w:firstLine="8"/>
        <w:spacing w:after="0" w:line="362" w:lineRule="auto"/>
        <w:tabs>
          <w:tab w:leader="none" w:pos="1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right="80" w:firstLine="255"/>
        <w:spacing w:after="0" w:line="272" w:lineRule="auto"/>
        <w:rPr>
          <w:sz w:val="20"/>
          <w:szCs w:val="20"/>
          <w:color w:val="auto"/>
        </w:rPr>
      </w:pPr>
      <w:r>
        <w:rPr>
          <w:rFonts w:ascii="Arial" w:cs="Arial" w:eastAsia="Arial" w:hAnsi="Arial"/>
          <w:sz w:val="16"/>
          <w:szCs w:val="16"/>
          <w:color w:val="auto"/>
        </w:rPr>
        <w:t>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 On June 1, 2011, the Company formed a wholly-owned subsidiary, TC Lending, LLC, a Delaware limited liability company. On March 22, 2012, the Company formed a wholly-owned subsidiary, Sixth Street SL SPV, LLC, a Delaware limited liability company. On May 19, 2014, the Company formed a wholly-owned subsidiary, Sixth Street SL Holding, LLC, a Delaware limited liability company. On December 9, 2020, the Company formed a wholly-owned subsidiary, Sixth Street Specialty Lending Sub, LLC, a Cayman Islands limited liability company.</w:t>
      </w:r>
    </w:p>
    <w:p>
      <w:pPr>
        <w:spacing w:after="0" w:line="168" w:lineRule="exact"/>
        <w:rPr>
          <w:sz w:val="20"/>
          <w:szCs w:val="20"/>
          <w:color w:val="auto"/>
        </w:rPr>
      </w:pPr>
    </w:p>
    <w:p>
      <w:pPr>
        <w:ind w:right="620" w:firstLine="255"/>
        <w:spacing w:after="0" w:line="261"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04" w:lineRule="exact"/>
        <w:rPr>
          <w:sz w:val="20"/>
          <w:szCs w:val="20"/>
          <w:color w:val="auto"/>
        </w:rPr>
      </w:pPr>
    </w:p>
    <w:p>
      <w:pPr>
        <w:ind w:right="200" w:firstLine="255"/>
        <w:spacing w:after="0" w:line="241"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9" w:lineRule="exact"/>
        <w:rPr>
          <w:sz w:val="20"/>
          <w:szCs w:val="20"/>
          <w:color w:val="auto"/>
        </w:rPr>
      </w:pPr>
    </w:p>
    <w:p>
      <w:pPr>
        <w:ind w:firstLine="255"/>
        <w:spacing w:after="0" w:line="241" w:lineRule="auto"/>
        <w:rPr>
          <w:sz w:val="20"/>
          <w:szCs w:val="20"/>
          <w:color w:val="auto"/>
        </w:rPr>
      </w:pPr>
      <w:r>
        <w:rPr>
          <w:rFonts w:ascii="Arial" w:cs="Arial" w:eastAsia="Arial" w:hAnsi="Arial"/>
          <w:sz w:val="18"/>
          <w:szCs w:val="18"/>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2021, which was filed with the Securities and Exchange Commission (“SEC”), on February 17, 2022.</w:t>
      </w:r>
    </w:p>
    <w:p>
      <w:pPr>
        <w:spacing w:after="0" w:line="189" w:lineRule="exact"/>
        <w:rPr>
          <w:sz w:val="20"/>
          <w:szCs w:val="20"/>
          <w:color w:val="auto"/>
        </w:rPr>
      </w:pPr>
    </w:p>
    <w:p>
      <w:pPr>
        <w:ind w:right="920" w:firstLine="255"/>
        <w:spacing w:after="0" w:line="261"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194" w:lineRule="exact"/>
        <w:rPr>
          <w:sz w:val="20"/>
          <w:szCs w:val="20"/>
          <w:color w:val="auto"/>
        </w:rPr>
      </w:pPr>
    </w:p>
    <w:p>
      <w:pPr>
        <w:ind w:right="8680" w:firstLine="8"/>
        <w:spacing w:after="0" w:line="362" w:lineRule="auto"/>
        <w:tabs>
          <w:tab w:leader="none" w:pos="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1" w:lineRule="exact"/>
        <w:rPr>
          <w:sz w:val="20"/>
          <w:szCs w:val="20"/>
          <w:color w:val="auto"/>
        </w:rPr>
      </w:pPr>
    </w:p>
    <w:p>
      <w:pPr>
        <w:jc w:val="both"/>
        <w:ind w:right="20" w:firstLine="255"/>
        <w:spacing w:after="0" w:line="24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Cash and Cash Equivalents</w:t>
      </w:r>
    </w:p>
    <w:p>
      <w:pPr>
        <w:spacing w:after="0" w:line="104" w:lineRule="exact"/>
        <w:rPr>
          <w:sz w:val="20"/>
          <w:szCs w:val="20"/>
          <w:color w:val="auto"/>
        </w:rPr>
      </w:pPr>
    </w:p>
    <w:p>
      <w:pPr>
        <w:ind w:right="120" w:firstLine="255"/>
        <w:spacing w:after="0" w:line="284" w:lineRule="auto"/>
        <w:rPr>
          <w:sz w:val="20"/>
          <w:szCs w:val="20"/>
          <w:color w:val="auto"/>
        </w:rPr>
      </w:pPr>
      <w:r>
        <w:rPr>
          <w:rFonts w:ascii="Arial" w:cs="Arial" w:eastAsia="Arial" w:hAnsi="Arial"/>
          <w:sz w:val="16"/>
          <w:szCs w:val="16"/>
          <w:color w:val="auto"/>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04" w:lineRule="exact"/>
        <w:rPr>
          <w:sz w:val="20"/>
          <w:szCs w:val="20"/>
          <w:color w:val="auto"/>
        </w:rPr>
      </w:pPr>
    </w:p>
    <w:p>
      <w:pPr>
        <w:ind w:right="40" w:firstLine="255"/>
        <w:spacing w:after="0" w:line="279" w:lineRule="auto"/>
        <w:rPr>
          <w:sz w:val="20"/>
          <w:szCs w:val="20"/>
          <w:color w:val="auto"/>
        </w:rPr>
      </w:pPr>
      <w:r>
        <w:rPr>
          <w:rFonts w:ascii="Arial" w:cs="Arial" w:eastAsia="Arial" w:hAnsi="Arial"/>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9" w:lineRule="exact"/>
        <w:rPr>
          <w:sz w:val="20"/>
          <w:szCs w:val="20"/>
          <w:color w:val="auto"/>
        </w:rPr>
      </w:pPr>
    </w:p>
    <w:p>
      <w:pPr>
        <w:ind w:right="320" w:firstLine="255"/>
        <w:spacing w:after="0" w:line="279" w:lineRule="auto"/>
        <w:rPr>
          <w:sz w:val="20"/>
          <w:szCs w:val="20"/>
          <w:color w:val="auto"/>
        </w:rPr>
      </w:pPr>
      <w:r>
        <w:rPr>
          <w:rFonts w:ascii="Arial" w:cs="Arial" w:eastAsia="Arial" w:hAnsi="Arial"/>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59" w:lineRule="exact"/>
        <w:rPr>
          <w:sz w:val="20"/>
          <w:szCs w:val="20"/>
          <w:color w:val="auto"/>
        </w:rPr>
      </w:pPr>
    </w:p>
    <w:p>
      <w:pPr>
        <w:ind w:firstLine="255"/>
        <w:spacing w:after="0" w:line="239" w:lineRule="auto"/>
        <w:rPr>
          <w:sz w:val="20"/>
          <w:szCs w:val="20"/>
          <w:color w:val="auto"/>
        </w:rPr>
      </w:pPr>
      <w:r>
        <w:rPr>
          <w:rFonts w:ascii="Arial" w:cs="Arial" w:eastAsia="Arial" w:hAnsi="Arial"/>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04" w:lineRule="exact"/>
        <w:rPr>
          <w:sz w:val="20"/>
          <w:szCs w:val="20"/>
          <w:color w:val="auto"/>
        </w:rPr>
      </w:pPr>
    </w:p>
    <w:p>
      <w:pPr>
        <w:ind w:left="520" w:right="80" w:hanging="257"/>
        <w:spacing w:after="0" w:line="261"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420" w:hanging="257"/>
        <w:spacing w:after="0" w:line="261"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03" w:lineRule="exact"/>
        <w:rPr>
          <w:rFonts w:ascii="Arial" w:cs="Arial" w:eastAsia="Arial" w:hAnsi="Arial"/>
          <w:sz w:val="18"/>
          <w:szCs w:val="18"/>
          <w:color w:val="auto"/>
        </w:rPr>
      </w:pPr>
    </w:p>
    <w:p>
      <w:pPr>
        <w:ind w:left="520" w:right="100" w:hanging="257"/>
        <w:spacing w:after="0" w:line="248"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conducts this valuation process on a quarterly basis.</w:t>
      </w:r>
    </w:p>
    <w:p>
      <w:pPr>
        <w:spacing w:after="0" w:line="212" w:lineRule="exact"/>
        <w:rPr>
          <w:sz w:val="20"/>
          <w:szCs w:val="20"/>
          <w:color w:val="auto"/>
        </w:rPr>
      </w:pPr>
    </w:p>
    <w:p>
      <w:pPr>
        <w:ind w:right="140" w:firstLine="255"/>
        <w:spacing w:after="0" w:line="262"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June 30, 2022,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2" w:name="page23"/>
    <w:bookmarkEnd w:id="22"/>
    <w:p>
      <w:pPr>
        <w:ind w:right="60" w:firstLine="255"/>
        <w:spacing w:after="0" w:line="225" w:lineRule="auto"/>
        <w:rPr>
          <w:sz w:val="20"/>
          <w:szCs w:val="20"/>
          <w:color w:val="auto"/>
        </w:rPr>
      </w:pPr>
      <w:r>
        <w:rPr>
          <w:rFonts w:ascii="Arial" w:cs="Arial" w:eastAsia="Arial" w:hAnsi="Arial"/>
          <w:sz w:val="18"/>
          <w:szCs w:val="18"/>
          <w:color w:val="auto"/>
        </w:rPr>
        <w:t xml:space="preserve">The Company applies Financial Accounting Standards Board Accounting Standards Codification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1—Valuations based on quoted prices in active markets for identical assets or liabilities that the Company has the ability to access.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Level 2—Valuations based on quoted prices in markets that are not active or for which all significant inputs are observable, either directly or indirectly.</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98" w:lineRule="exact"/>
        <w:rPr>
          <w:sz w:val="20"/>
          <w:szCs w:val="20"/>
          <w:color w:val="auto"/>
        </w:rPr>
      </w:pPr>
    </w:p>
    <w:p>
      <w:pPr>
        <w:ind w:right="140" w:firstLine="255"/>
        <w:spacing w:after="0" w:line="210"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66" w:lineRule="exact"/>
        <w:rPr>
          <w:sz w:val="20"/>
          <w:szCs w:val="20"/>
          <w:color w:val="auto"/>
        </w:rPr>
      </w:pPr>
    </w:p>
    <w:p>
      <w:pPr>
        <w:ind w:right="100" w:firstLine="255"/>
        <w:spacing w:after="0" w:line="21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62" w:lineRule="exact"/>
        <w:rPr>
          <w:sz w:val="20"/>
          <w:szCs w:val="20"/>
          <w:color w:val="auto"/>
        </w:rPr>
      </w:pPr>
    </w:p>
    <w:p>
      <w:pPr>
        <w:ind w:right="20" w:firstLine="255"/>
        <w:spacing w:after="0" w:line="224" w:lineRule="auto"/>
        <w:rPr>
          <w:sz w:val="20"/>
          <w:szCs w:val="20"/>
          <w:color w:val="auto"/>
        </w:rPr>
      </w:pPr>
      <w:r>
        <w:rPr>
          <w:rFonts w:ascii="Arial" w:cs="Arial" w:eastAsia="Arial" w:hAnsi="Arial"/>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77" w:lineRule="exact"/>
        <w:rPr>
          <w:sz w:val="20"/>
          <w:szCs w:val="20"/>
          <w:color w:val="auto"/>
        </w:rPr>
      </w:pPr>
    </w:p>
    <w:p>
      <w:pPr>
        <w:ind w:firstLine="255"/>
        <w:spacing w:after="0" w:line="238" w:lineRule="auto"/>
        <w:rPr>
          <w:sz w:val="20"/>
          <w:szCs w:val="20"/>
          <w:color w:val="auto"/>
        </w:rPr>
      </w:pPr>
      <w:r>
        <w:rPr>
          <w:rFonts w:ascii="Arial" w:cs="Arial" w:eastAsia="Arial" w:hAnsi="Arial"/>
          <w:sz w:val="17"/>
          <w:szCs w:val="17"/>
          <w:color w:val="auto"/>
        </w:rPr>
        <w:t xml:space="preserve">The Company recognizes all derivative instruments as assets or liabilities at fair value in its consolidated financial statements, pursuant to ASC Topic 815 </w:t>
      </w:r>
      <w:r>
        <w:rPr>
          <w:rFonts w:ascii="Arial" w:cs="Arial" w:eastAsia="Arial" w:hAnsi="Arial"/>
          <w:sz w:val="17"/>
          <w:szCs w:val="17"/>
          <w:i w:val="1"/>
          <w:iCs w:val="1"/>
          <w:color w:val="auto"/>
        </w:rPr>
        <w:t>Derivatives and Hedgin</w:t>
      </w:r>
      <w:r>
        <w:rPr>
          <w:rFonts w:ascii="Arial" w:cs="Arial" w:eastAsia="Arial" w:hAnsi="Arial"/>
          <w:sz w:val="17"/>
          <w:szCs w:val="17"/>
          <w:color w:val="auto"/>
        </w:rPr>
        <w:t xml:space="preserve">g, further clarified by the FASB’s issuance of the Accounting Standards Update (“ASU”) No. 2017-12,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 which was adopted in 2019 by the Company. For all derivative instruments designated in a hedge accounting relationship, the entire change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177" w:lineRule="exact"/>
        <w:rPr>
          <w:sz w:val="20"/>
          <w:szCs w:val="20"/>
          <w:color w:val="auto"/>
        </w:rPr>
      </w:pPr>
    </w:p>
    <w:p>
      <w:pPr>
        <w:ind w:right="220" w:firstLine="255"/>
        <w:spacing w:after="0" w:line="214"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Derivatives, including the Company’s interest rate swaps, for which broker quotes are available are typically valued at those broker quotes.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77" w:lineRule="exact"/>
        <w:rPr>
          <w:sz w:val="20"/>
          <w:szCs w:val="20"/>
          <w:color w:val="auto"/>
        </w:rPr>
      </w:pPr>
    </w:p>
    <w:p>
      <w:pPr>
        <w:ind w:right="40" w:firstLine="255"/>
        <w:spacing w:after="0" w:line="21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77" w:lineRule="exact"/>
        <w:rPr>
          <w:sz w:val="20"/>
          <w:szCs w:val="20"/>
          <w:color w:val="auto"/>
        </w:rPr>
      </w:pPr>
    </w:p>
    <w:p>
      <w:pPr>
        <w:ind w:left="520" w:right="580" w:hanging="257"/>
        <w:spacing w:after="0" w:line="235"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53" w:lineRule="exact"/>
        <w:rPr>
          <w:rFonts w:ascii="Arial" w:cs="Arial" w:eastAsia="Arial" w:hAnsi="Arial"/>
          <w:sz w:val="18"/>
          <w:szCs w:val="18"/>
          <w:color w:val="auto"/>
        </w:rPr>
      </w:pPr>
    </w:p>
    <w:p>
      <w:pPr>
        <w:ind w:left="520" w:hanging="257"/>
        <w:spacing w:after="0" w:line="235"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62" w:lineRule="exact"/>
        <w:rPr>
          <w:sz w:val="20"/>
          <w:szCs w:val="20"/>
          <w:color w:val="auto"/>
        </w:rPr>
      </w:pPr>
    </w:p>
    <w:p>
      <w:pPr>
        <w:ind w:right="100" w:firstLine="255"/>
        <w:spacing w:after="0" w:line="212"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78" w:lineRule="exact"/>
        <w:rPr>
          <w:sz w:val="20"/>
          <w:szCs w:val="20"/>
          <w:color w:val="auto"/>
        </w:rPr>
      </w:pPr>
    </w:p>
    <w:p>
      <w:pPr>
        <w:ind w:right="140" w:firstLine="255"/>
        <w:spacing w:after="0" w:line="291"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04" w:lineRule="exact"/>
        <w:rPr>
          <w:sz w:val="20"/>
          <w:szCs w:val="20"/>
          <w:color w:val="auto"/>
        </w:rPr>
      </w:pPr>
    </w:p>
    <w:p>
      <w:pPr>
        <w:ind w:right="260" w:firstLine="255"/>
        <w:spacing w:after="0" w:line="261" w:lineRule="auto"/>
        <w:rPr>
          <w:sz w:val="20"/>
          <w:szCs w:val="20"/>
          <w:color w:val="auto"/>
        </w:rPr>
      </w:pPr>
      <w:r>
        <w:rPr>
          <w:rFonts w:ascii="Arial" w:cs="Arial" w:eastAsia="Arial" w:hAnsi="Arial"/>
          <w:sz w:val="18"/>
          <w:szCs w:val="18"/>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04" w:lineRule="exact"/>
        <w:rPr>
          <w:sz w:val="20"/>
          <w:szCs w:val="20"/>
          <w:color w:val="auto"/>
        </w:rPr>
      </w:pPr>
    </w:p>
    <w:p>
      <w:pPr>
        <w:ind w:right="220" w:firstLine="255"/>
        <w:spacing w:after="0" w:line="248"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04" w:lineRule="exact"/>
        <w:rPr>
          <w:sz w:val="20"/>
          <w:szCs w:val="20"/>
          <w:color w:val="auto"/>
        </w:rPr>
      </w:pPr>
    </w:p>
    <w:p>
      <w:pPr>
        <w:ind w:right="100" w:firstLine="255"/>
        <w:spacing w:after="0" w:line="270"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4" w:lineRule="exact"/>
        <w:rPr>
          <w:sz w:val="20"/>
          <w:szCs w:val="20"/>
          <w:color w:val="auto"/>
        </w:rPr>
      </w:pPr>
    </w:p>
    <w:p>
      <w:pPr>
        <w:ind w:right="180" w:firstLine="255"/>
        <w:spacing w:after="0" w:line="261"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71" w:lineRule="exact"/>
        <w:rPr>
          <w:sz w:val="20"/>
          <w:szCs w:val="20"/>
          <w:color w:val="auto"/>
        </w:rPr>
      </w:pPr>
    </w:p>
    <w:p>
      <w:pPr>
        <w:ind w:right="20" w:firstLine="255"/>
        <w:spacing w:after="0" w:line="257"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5" w:lineRule="exact"/>
        <w:rPr>
          <w:sz w:val="20"/>
          <w:szCs w:val="20"/>
          <w:color w:val="auto"/>
        </w:rPr>
      </w:pPr>
    </w:p>
    <w:p>
      <w:pPr>
        <w:ind w:firstLine="255"/>
        <w:spacing w:after="0" w:line="248"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Other Income</w:t>
      </w:r>
    </w:p>
    <w:p>
      <w:pPr>
        <w:spacing w:after="0" w:line="104" w:lineRule="exact"/>
        <w:rPr>
          <w:sz w:val="20"/>
          <w:szCs w:val="20"/>
          <w:color w:val="auto"/>
        </w:rPr>
      </w:pPr>
    </w:p>
    <w:p>
      <w:pPr>
        <w:ind w:firstLine="255"/>
        <w:spacing w:after="0" w:line="248"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12" w:lineRule="exact"/>
        <w:rPr>
          <w:sz w:val="20"/>
          <w:szCs w:val="20"/>
          <w:color w:val="auto"/>
        </w:rPr>
      </w:pPr>
    </w:p>
    <w:p>
      <w:pPr>
        <w:ind w:right="80" w:firstLine="255"/>
        <w:spacing w:after="0"/>
        <w:rPr>
          <w:sz w:val="20"/>
          <w:szCs w:val="20"/>
          <w:color w:val="auto"/>
        </w:rPr>
      </w:pPr>
      <w:r>
        <w:rPr>
          <w:rFonts w:ascii="Arial" w:cs="Arial" w:eastAsia="Arial" w:hAnsi="Arial"/>
          <w:sz w:val="18"/>
          <w:szCs w:val="18"/>
          <w:color w:val="auto"/>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04" w:lineRule="exact"/>
        <w:rPr>
          <w:sz w:val="20"/>
          <w:szCs w:val="20"/>
          <w:color w:val="auto"/>
        </w:rPr>
      </w:pPr>
    </w:p>
    <w:p>
      <w:pPr>
        <w:ind w:right="80" w:firstLine="255"/>
        <w:spacing w:after="0" w:line="243"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8" w:lineRule="exact"/>
        <w:rPr>
          <w:sz w:val="20"/>
          <w:szCs w:val="20"/>
          <w:color w:val="auto"/>
        </w:rPr>
      </w:pPr>
    </w:p>
    <w:p>
      <w:pPr>
        <w:ind w:right="140" w:firstLine="255"/>
        <w:spacing w:after="0" w:line="261"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Including Excise Taxes</w:t>
      </w:r>
    </w:p>
    <w:p>
      <w:pPr>
        <w:spacing w:after="0" w:line="104" w:lineRule="exact"/>
        <w:rPr>
          <w:sz w:val="20"/>
          <w:szCs w:val="20"/>
          <w:color w:val="auto"/>
        </w:rPr>
      </w:pPr>
    </w:p>
    <w:p>
      <w:pPr>
        <w:ind w:right="100" w:firstLine="255"/>
        <w:spacing w:after="0" w:line="241" w:lineRule="auto"/>
        <w:rPr>
          <w:sz w:val="20"/>
          <w:szCs w:val="20"/>
          <w:color w:val="auto"/>
        </w:rPr>
      </w:pPr>
      <w:r>
        <w:rPr>
          <w:rFonts w:ascii="Arial" w:cs="Arial" w:eastAsia="Arial" w:hAnsi="Arial"/>
          <w:sz w:val="18"/>
          <w:szCs w:val="18"/>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89" w:lineRule="exact"/>
        <w:rPr>
          <w:sz w:val="20"/>
          <w:szCs w:val="20"/>
          <w:color w:val="auto"/>
        </w:rPr>
      </w:pPr>
    </w:p>
    <w:p>
      <w:pPr>
        <w:ind w:right="80" w:firstLine="255"/>
        <w:spacing w:after="0" w:line="241"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9" w:lineRule="exact"/>
        <w:rPr>
          <w:sz w:val="20"/>
          <w:szCs w:val="20"/>
          <w:color w:val="auto"/>
        </w:rPr>
      </w:pPr>
    </w:p>
    <w:p>
      <w:pPr>
        <w:ind w:right="100" w:firstLine="255"/>
        <w:spacing w:after="0" w:line="284" w:lineRule="auto"/>
        <w:rPr>
          <w:sz w:val="20"/>
          <w:szCs w:val="20"/>
          <w:color w:val="auto"/>
        </w:rPr>
      </w:pPr>
      <w:r>
        <w:rPr>
          <w:rFonts w:ascii="Arial" w:cs="Arial" w:eastAsia="Arial" w:hAnsi="Arial"/>
          <w:sz w:val="16"/>
          <w:szCs w:val="16"/>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55" w:lineRule="exact"/>
        <w:rPr>
          <w:sz w:val="20"/>
          <w:szCs w:val="20"/>
          <w:color w:val="auto"/>
        </w:rPr>
      </w:pPr>
    </w:p>
    <w:p>
      <w:pPr>
        <w:ind w:right="200" w:firstLine="255"/>
        <w:spacing w:after="0" w:line="248" w:lineRule="auto"/>
        <w:rPr>
          <w:sz w:val="20"/>
          <w:szCs w:val="20"/>
          <w:color w:val="auto"/>
        </w:rPr>
      </w:pPr>
      <w:r>
        <w:rPr>
          <w:rFonts w:ascii="Arial" w:cs="Arial" w:eastAsia="Arial" w:hAnsi="Arial"/>
          <w:sz w:val="18"/>
          <w:szCs w:val="18"/>
          <w:color w:val="auto"/>
        </w:rPr>
        <w:t>For the three and six months ended June 30, 2022 the Company recorded a net expense of $0.8 million and $1.1 million, respectively, for U.S. federal excise tax and other taxes. For the three and six months ended June 30, 2021, the Company recorded a net expense of $0.2 million and $0.6 million, respectively, for U.S. federal excise tax and other taxes.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04" w:lineRule="exact"/>
        <w:rPr>
          <w:sz w:val="20"/>
          <w:szCs w:val="20"/>
          <w:color w:val="auto"/>
        </w:rPr>
      </w:pPr>
    </w:p>
    <w:p>
      <w:pPr>
        <w:ind w:right="260" w:firstLine="255"/>
        <w:spacing w:after="0" w:line="248"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82" w:lineRule="exact"/>
        <w:rPr>
          <w:sz w:val="20"/>
          <w:szCs w:val="20"/>
          <w:color w:val="auto"/>
        </w:rPr>
      </w:pPr>
    </w:p>
    <w:p>
      <w:pPr>
        <w:ind w:right="80" w:firstLine="255"/>
        <w:spacing w:after="0" w:line="284"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2021</w:t>
      </w:r>
    </w:p>
    <w:p>
      <w:pPr>
        <w:spacing w:after="0" w:line="212" w:lineRule="exact"/>
        <w:rPr>
          <w:sz w:val="20"/>
          <w:szCs w:val="20"/>
          <w:color w:val="auto"/>
        </w:rPr>
      </w:pPr>
    </w:p>
    <w:p>
      <w:pPr>
        <w:ind w:firstLine="255"/>
        <w:spacing w:after="0" w:line="270" w:lineRule="auto"/>
        <w:rPr>
          <w:sz w:val="20"/>
          <w:szCs w:val="20"/>
          <w:color w:val="auto"/>
        </w:rPr>
      </w:pPr>
      <w:r>
        <w:rPr>
          <w:rFonts w:ascii="Arial" w:cs="Arial" w:eastAsia="Arial" w:hAnsi="Arial"/>
          <w:sz w:val="16"/>
          <w:szCs w:val="16"/>
          <w:color w:val="auto"/>
        </w:rPr>
        <w:t>In August 2020, the Financial Accounting Standards Board issued Accounting Standards Update 2020-06 (“ASU 2020-06”) “Debt – Debt with Conversion and Other Options (Subtopic 470-20) and Derivatives and Hedging—Contracts in Entity’s Own Equity (Subtopic 815-40): Accounting for Convertible Instruments and Contracts in an Entity’s Own Equity.” This guidance reduces the number of accounting models for convertible instruments and makes targeted improvements to the disclosures for convertible instruments and earnings per share guidance. ASU 2020-06 is effective for public business entities for annual and interim periods in fiscal years beginning after December 15, 2021 with early adoption permitted. The Company early adopted ASU 2020-06 under the modified retrospective basis during the period ended March 31, 2021. The impact of the Company’s adoption under the modified retrospective basis required a cumulative effect adjustment to opening net assets for the remaining unamortized discount on the 2022 Convertible Notes, and a requirement for the Company to calculate diluted earnings per share using the if-converted method which assumes full share settlement for the aggregate value of the 2022 Convertible Notes. The Company’s adoption of this guidance did not have a material impact on the Company’s financial position, results of operations, cash flows or notes to the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12" w:lineRule="exact"/>
        <w:rPr>
          <w:sz w:val="20"/>
          <w:szCs w:val="20"/>
          <w:color w:val="auto"/>
        </w:rPr>
      </w:pPr>
    </w:p>
    <w:p>
      <w:pPr>
        <w:ind w:right="60" w:firstLine="255"/>
        <w:spacing w:after="0" w:line="239" w:lineRule="auto"/>
        <w:rPr>
          <w:sz w:val="20"/>
          <w:szCs w:val="20"/>
          <w:color w:val="auto"/>
        </w:rPr>
      </w:pPr>
      <w:r>
        <w:rPr>
          <w:rFonts w:ascii="Arial" w:cs="Arial" w:eastAsia="Arial" w:hAnsi="Arial"/>
          <w:sz w:val="18"/>
          <w:szCs w:val="18"/>
          <w:color w:val="auto"/>
        </w:rPr>
        <w:t>In March 2020, the Financial Accounting Standards Board issued Accounting Standards Update 2020-04 (“ASU 2020-04”) “Reference Rate Reform (Topic 848): Facilitation of the Effects of Reference Rate Reform on Financial Reporting,” and in January 2021, the Financial Accounting Standards Board issued Accounting Standards Update 2021-01 (“ASU 2021-01”) “Reference Rate Reform (Topic 848): Scope.” This guidance provides optional expedients and exceptions for applying generally accepted accounting principles to contract modifications and hedging relationships, subject to meeting certain criteria, that reference LIBOR or another reference rate expected to be discontinued. ASU 2020-04 and ASU 2021-01 are effective for all entities as of March 12, 2020 through December 31, 2022. The Company expects that the adoption of this guidance will not have a material impact on the Company’s financial position, result of operations or cash flows.</w:t>
      </w:r>
    </w:p>
    <w:p>
      <w:pPr>
        <w:spacing w:after="0" w:line="173" w:lineRule="exact"/>
        <w:rPr>
          <w:sz w:val="20"/>
          <w:szCs w:val="20"/>
          <w:color w:val="auto"/>
        </w:rPr>
      </w:pPr>
    </w:p>
    <w:p>
      <w:pPr>
        <w:ind w:right="7660" w:firstLine="8"/>
        <w:spacing w:after="0" w:line="362" w:lineRule="auto"/>
        <w:tabs>
          <w:tab w:leader="none" w:pos="1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1" w:lineRule="exact"/>
        <w:rPr>
          <w:sz w:val="20"/>
          <w:szCs w:val="20"/>
          <w:color w:val="auto"/>
        </w:rPr>
      </w:pPr>
    </w:p>
    <w:p>
      <w:pPr>
        <w:ind w:right="20" w:firstLine="255"/>
        <w:spacing w:after="0" w:line="276"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61" w:lineRule="exact"/>
        <w:rPr>
          <w:sz w:val="20"/>
          <w:szCs w:val="20"/>
          <w:color w:val="auto"/>
        </w:rPr>
      </w:pPr>
    </w:p>
    <w:p>
      <w:pPr>
        <w:ind w:right="200" w:firstLine="255"/>
        <w:spacing w:after="0" w:line="248" w:lineRule="auto"/>
        <w:rPr>
          <w:sz w:val="20"/>
          <w:szCs w:val="20"/>
          <w:color w:val="auto"/>
        </w:rPr>
      </w:pPr>
      <w:r>
        <w:rPr>
          <w:rFonts w:ascii="Arial" w:cs="Arial" w:eastAsia="Arial" w:hAnsi="Arial"/>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82" w:lineRule="exact"/>
        <w:rPr>
          <w:sz w:val="20"/>
          <w:szCs w:val="20"/>
          <w:color w:val="auto"/>
        </w:rPr>
      </w:pPr>
    </w:p>
    <w:p>
      <w:pPr>
        <w:ind w:right="20" w:firstLine="255"/>
        <w:spacing w:after="0" w:line="248" w:lineRule="auto"/>
        <w:rPr>
          <w:sz w:val="20"/>
          <w:szCs w:val="20"/>
          <w:color w:val="auto"/>
        </w:rPr>
      </w:pPr>
      <w:r>
        <w:rPr>
          <w:rFonts w:ascii="Arial" w:cs="Arial" w:eastAsia="Arial" w:hAnsi="Arial"/>
          <w:sz w:val="18"/>
          <w:szCs w:val="18"/>
          <w:color w:val="auto"/>
        </w:rPr>
        <w:t>In November 2021, the Board renewed the Administration Agreement. Unless earlier terminated as described below, the Administration Agreement will remain in effect until November 2022, and may be extended subject to required approvals. The Administration Agreement may be terminated by either party without penalty on 60 days’ written notice to the other party.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6" w:name="page27"/>
    <w:bookmarkEnd w:id="26"/>
    <w:p>
      <w:pPr>
        <w:ind w:firstLine="255"/>
        <w:spacing w:after="0" w:line="252"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183" w:lineRule="exact"/>
        <w:rPr>
          <w:sz w:val="20"/>
          <w:szCs w:val="20"/>
          <w:color w:val="auto"/>
        </w:rPr>
      </w:pPr>
    </w:p>
    <w:p>
      <w:pPr>
        <w:ind w:right="40" w:firstLine="255"/>
        <w:spacing w:after="0" w:line="262" w:lineRule="auto"/>
        <w:rPr>
          <w:sz w:val="20"/>
          <w:szCs w:val="20"/>
          <w:color w:val="auto"/>
        </w:rPr>
      </w:pPr>
      <w:r>
        <w:rPr>
          <w:rFonts w:ascii="Arial" w:cs="Arial" w:eastAsia="Arial" w:hAnsi="Arial"/>
          <w:sz w:val="17"/>
          <w:szCs w:val="17"/>
          <w:color w:val="auto"/>
        </w:rPr>
        <w:t>For the three and six months ended June 30, 2022, the Company incurred expenses of $0.8 million and $1.4 million, respectively, for administrative services payable to the Adviser under the terms of the Administration Agreement. For the three and six months ended June 30, 2021 the Company incurred expenses of $0.8 million and $2.5 million, respectively, for administrative services payable to the Adviser under the terms of the Administration Agreement, which is included in other general and administrative expenses in the consolidated statements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04" w:lineRule="exact"/>
        <w:rPr>
          <w:sz w:val="20"/>
          <w:szCs w:val="20"/>
          <w:color w:val="auto"/>
        </w:rPr>
      </w:pPr>
    </w:p>
    <w:p>
      <w:pPr>
        <w:ind w:right="80" w:firstLine="255"/>
        <w:spacing w:after="0" w:line="241"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9" w:lineRule="exact"/>
        <w:rPr>
          <w:sz w:val="20"/>
          <w:szCs w:val="20"/>
          <w:color w:val="auto"/>
        </w:rPr>
      </w:pPr>
    </w:p>
    <w:p>
      <w:pPr>
        <w:ind w:firstLine="255"/>
        <w:spacing w:after="0" w:line="248"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2" w:lineRule="exact"/>
        <w:rPr>
          <w:sz w:val="20"/>
          <w:szCs w:val="20"/>
          <w:color w:val="auto"/>
        </w:rPr>
      </w:pPr>
    </w:p>
    <w:p>
      <w:pPr>
        <w:ind w:right="40" w:firstLine="255"/>
        <w:spacing w:after="0" w:line="291" w:lineRule="auto"/>
        <w:rPr>
          <w:sz w:val="20"/>
          <w:szCs w:val="20"/>
          <w:color w:val="auto"/>
        </w:rPr>
      </w:pPr>
      <w:r>
        <w:rPr>
          <w:rFonts w:ascii="Arial" w:cs="Arial" w:eastAsia="Arial" w:hAnsi="Arial"/>
          <w:sz w:val="17"/>
          <w:szCs w:val="17"/>
          <w:color w:val="auto"/>
        </w:rPr>
        <w:t>For the three and six months ended June 30, 2022, Management Fees (gross of waivers) were $9.5 million and $18.8 million, respectively. For the three and six months ended June 30, 2021, Management Fees (gross of waivers) were $9.4 million and $18.2 million, respectively.</w:t>
      </w:r>
    </w:p>
    <w:p>
      <w:pPr>
        <w:spacing w:after="0" w:line="147" w:lineRule="exact"/>
        <w:rPr>
          <w:sz w:val="20"/>
          <w:szCs w:val="20"/>
          <w:color w:val="auto"/>
        </w:rPr>
      </w:pPr>
    </w:p>
    <w:p>
      <w:pPr>
        <w:ind w:firstLine="255"/>
        <w:spacing w:after="0" w:line="274" w:lineRule="auto"/>
        <w:rPr>
          <w:sz w:val="20"/>
          <w:szCs w:val="20"/>
          <w:color w:val="auto"/>
        </w:rPr>
      </w:pPr>
      <w:r>
        <w:rPr>
          <w:rFonts w:ascii="Arial" w:cs="Arial" w:eastAsia="Arial" w:hAnsi="Arial"/>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on the average value of the Company’s gross assets as of the end of the two most recently completed calendar quarters that exceeds the product of (i) 200% and (ii) the average value of our net asset value at the end of the two most recently completed calendar quarters. Any waived Management Fees are not subject to recoupment by the Adviser. For the three and six months ended June 30, 2022, Management Fees of less than $0.1 million have been waived pursuant to the Leverage Waiver. For the three and six months ended June 30, 2021, Management Fees of $0.1 million have been waived pursuant to the Leverage Waiver.</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04" w:lineRule="exact"/>
        <w:rPr>
          <w:sz w:val="20"/>
          <w:szCs w:val="20"/>
          <w:color w:val="auto"/>
        </w:rPr>
      </w:pPr>
    </w:p>
    <w:p>
      <w:pPr>
        <w:ind w:left="520" w:right="120" w:hanging="257"/>
        <w:spacing w:after="0" w:line="274"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55" w:lineRule="exact"/>
        <w:rPr>
          <w:rFonts w:ascii="Arial" w:cs="Arial" w:eastAsia="Arial" w:hAnsi="Arial"/>
          <w:sz w:val="16"/>
          <w:szCs w:val="16"/>
          <w:color w:val="auto"/>
        </w:rPr>
      </w:pPr>
    </w:p>
    <w:p>
      <w:pPr>
        <w:ind w:left="520" w:right="120"/>
        <w:spacing w:after="0" w:line="261" w:lineRule="auto"/>
        <w:rPr>
          <w:rFonts w:ascii="Arial" w:cs="Arial" w:eastAsia="Arial" w:hAnsi="Arial"/>
          <w:sz w:val="16"/>
          <w:szCs w:val="16"/>
          <w:color w:val="auto"/>
        </w:rPr>
      </w:pPr>
      <w:r>
        <w:rPr>
          <w:rFonts w:ascii="Arial" w:cs="Arial" w:eastAsia="Arial" w:hAnsi="Arial"/>
          <w:sz w:val="18"/>
          <w:szCs w:val="18"/>
          <w:color w:val="auto"/>
        </w:rPr>
        <w:t>Pre-Incentive Fee net investment income means dividends, interest and fee income accrued by the Company during the calendar quarter, minus the Company’s operating expenses for the quarter (including the Management Fee, expenses payable under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7" w:name="page28"/>
    <w:bookmarkEnd w:id="27"/>
    <w:p>
      <w:pPr>
        <w:ind w:left="520" w:right="160"/>
        <w:spacing w:after="0" w:line="241" w:lineRule="auto"/>
        <w:rPr>
          <w:sz w:val="20"/>
          <w:szCs w:val="20"/>
          <w:color w:val="auto"/>
        </w:rPr>
      </w:pPr>
      <w:r>
        <w:rPr>
          <w:rFonts w:ascii="Arial" w:cs="Arial" w:eastAsia="Arial" w:hAnsi="Arial"/>
          <w:sz w:val="18"/>
          <w:szCs w:val="18"/>
          <w:color w:val="auto"/>
        </w:rPr>
        <w:t>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81" w:lineRule="exact"/>
        <w:rPr>
          <w:sz w:val="20"/>
          <w:szCs w:val="20"/>
          <w:color w:val="auto"/>
        </w:rPr>
      </w:pPr>
    </w:p>
    <w:p>
      <w:pPr>
        <w:ind w:left="520" w:hanging="257"/>
        <w:spacing w:after="0" w:line="271" w:lineRule="auto"/>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was intended to ensure that for each fiscal year following the completion of the IPO, the portion of the Company’s realized capital gains that accrued prior to March 31, 2014, was subject to an Incentive Fee rate of 15% and the portion of the Company’s realized capital gains that accrued beginning April 1, 2014 is subject to an Incentive Fee rate of 17.5%.</w:t>
      </w:r>
    </w:p>
    <w:p>
      <w:pPr>
        <w:spacing w:after="0" w:line="169" w:lineRule="exact"/>
        <w:rPr>
          <w:sz w:val="20"/>
          <w:szCs w:val="20"/>
          <w:color w:val="auto"/>
        </w:rPr>
      </w:pPr>
    </w:p>
    <w:p>
      <w:pPr>
        <w:ind w:right="440" w:firstLine="255"/>
        <w:spacing w:after="0" w:line="291"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7" w:lineRule="exact"/>
        <w:rPr>
          <w:sz w:val="20"/>
          <w:szCs w:val="20"/>
          <w:color w:val="auto"/>
        </w:rPr>
      </w:pPr>
    </w:p>
    <w:p>
      <w:pPr>
        <w:ind w:right="200" w:firstLine="255"/>
        <w:spacing w:after="0" w:line="291" w:lineRule="auto"/>
        <w:rPr>
          <w:sz w:val="20"/>
          <w:szCs w:val="20"/>
          <w:color w:val="auto"/>
        </w:rPr>
      </w:pPr>
      <w:r>
        <w:rPr>
          <w:rFonts w:ascii="Arial" w:cs="Arial" w:eastAsia="Arial" w:hAnsi="Arial"/>
          <w:sz w:val="17"/>
          <w:szCs w:val="17"/>
          <w:color w:val="auto"/>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p>
    <w:p>
      <w:pPr>
        <w:spacing w:after="0" w:line="147" w:lineRule="exact"/>
        <w:rPr>
          <w:sz w:val="20"/>
          <w:szCs w:val="20"/>
          <w:color w:val="auto"/>
        </w:rPr>
      </w:pPr>
    </w:p>
    <w:p>
      <w:pPr>
        <w:ind w:right="140" w:firstLine="255"/>
        <w:spacing w:after="0" w:line="257" w:lineRule="auto"/>
        <w:rPr>
          <w:sz w:val="20"/>
          <w:szCs w:val="20"/>
          <w:color w:val="auto"/>
        </w:rPr>
      </w:pPr>
      <w:r>
        <w:rPr>
          <w:rFonts w:ascii="Arial" w:cs="Arial" w:eastAsia="Arial" w:hAnsi="Arial"/>
          <w:sz w:val="17"/>
          <w:szCs w:val="17"/>
          <w:color w:val="auto"/>
        </w:rPr>
        <w:t>For three and six months ended June 30, 2022, Incentive Fees were ($2.4) million and $6.9 million, respectively, of which $6.7 million and $14.6 million, respectively, were realized and payable to the Adviser. For the three and six months ended June 30, 2021, Incentive Fees were $12.6 million and $24.9 million, respectively, of which $7.0 million and $14.8 million, respectively, were realized and payable to the Adviser. For the three and six months ended June 30, 2022, ($9.1) million and ($7.7) million, respectively of Incentive Fees was accrued related to the reversal of Capital Gains Fees. For the three and six months ended June 30, 2021, $5.6 million and $10.1 million, respectively of Incentive Fees was accrued related to Capital Gains Fees. As of June 30, 2022, these accrued Incentive Fees are not contractually payable to the Adviser.</w:t>
      </w:r>
    </w:p>
    <w:p>
      <w:pPr>
        <w:spacing w:after="0" w:line="175" w:lineRule="exact"/>
        <w:rPr>
          <w:sz w:val="20"/>
          <w:szCs w:val="20"/>
          <w:color w:val="auto"/>
        </w:rPr>
      </w:pPr>
    </w:p>
    <w:p>
      <w:pPr>
        <w:ind w:right="100" w:firstLine="255"/>
        <w:spacing w:after="0" w:line="248" w:lineRule="auto"/>
        <w:rPr>
          <w:sz w:val="20"/>
          <w:szCs w:val="20"/>
          <w:color w:val="auto"/>
        </w:rPr>
      </w:pPr>
      <w:r>
        <w:rPr>
          <w:rFonts w:ascii="Arial" w:cs="Arial" w:eastAsia="Arial" w:hAnsi="Arial"/>
          <w:sz w:val="18"/>
          <w:szCs w:val="18"/>
          <w:color w:val="auto"/>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spacing w:after="0" w:line="182" w:lineRule="exact"/>
        <w:rPr>
          <w:sz w:val="20"/>
          <w:szCs w:val="20"/>
          <w:color w:val="auto"/>
        </w:rPr>
      </w:pPr>
    </w:p>
    <w:p>
      <w:pPr>
        <w:ind w:right="20" w:firstLine="255"/>
        <w:spacing w:after="0" w:line="294" w:lineRule="auto"/>
        <w:rPr>
          <w:sz w:val="20"/>
          <w:szCs w:val="20"/>
          <w:color w:val="auto"/>
        </w:rPr>
      </w:pPr>
      <w:r>
        <w:rPr>
          <w:rFonts w:ascii="Arial" w:cs="Arial" w:eastAsia="Arial" w:hAnsi="Arial"/>
          <w:sz w:val="16"/>
          <w:szCs w:val="16"/>
          <w:color w:val="auto"/>
        </w:rPr>
        <w:t>In November 2021, the Board renewed the Investment Advisory Agreement. Unless earlier terminated as described below, the Investment Advisory Agreement will remain in effect until November 2022,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100" w:firstLine="255"/>
        <w:spacing w:after="0" w:line="248"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08" w:lineRule="exact"/>
        <w:rPr>
          <w:sz w:val="20"/>
          <w:szCs w:val="20"/>
          <w:color w:val="auto"/>
        </w:rPr>
      </w:pPr>
    </w:p>
    <w:p>
      <w:pPr>
        <w:ind w:right="180" w:firstLine="255"/>
        <w:spacing w:after="0" w:line="274"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8" w:name="page29"/>
    <w:bookmarkEnd w:id="28"/>
    <w:p>
      <w:pPr>
        <w:ind w:left="260"/>
        <w:spacing w:after="0"/>
        <w:rPr>
          <w:sz w:val="20"/>
          <w:szCs w:val="20"/>
          <w:color w:val="auto"/>
        </w:rPr>
      </w:pPr>
      <w:r>
        <w:rPr>
          <w:rFonts w:ascii="Arial" w:cs="Arial" w:eastAsia="Arial" w:hAnsi="Arial"/>
          <w:sz w:val="18"/>
          <w:szCs w:val="18"/>
          <w:color w:val="auto"/>
        </w:rPr>
        <w:t>Investments at fair value consisted of the following at June 30, 2022 and December 31, 2021:</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June 30, 2022</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140" w:type="dxa"/>
            <w:vAlign w:val="bottom"/>
          </w:tcPr>
          <w:p>
            <w:pPr>
              <w:spacing w:after="0"/>
              <w:rPr>
                <w:sz w:val="11"/>
                <w:szCs w:val="11"/>
                <w:color w:val="auto"/>
              </w:rPr>
            </w:pPr>
          </w:p>
        </w:tc>
        <w:tc>
          <w:tcPr>
            <w:tcW w:w="2000" w:type="dxa"/>
            <w:vAlign w:val="bottom"/>
            <w:gridSpan w:val="4"/>
            <w:vMerge w:val="restart"/>
          </w:tcPr>
          <w:p>
            <w:pPr>
              <w:jc w:val="right"/>
              <w:ind w:right="468"/>
              <w:spacing w:after="0"/>
              <w:rPr>
                <w:sz w:val="20"/>
                <w:szCs w:val="20"/>
                <w:color w:val="auto"/>
              </w:rPr>
            </w:pPr>
            <w:r>
              <w:rPr>
                <w:rFonts w:ascii="Arial" w:cs="Arial" w:eastAsia="Arial" w:hAnsi="Arial"/>
                <w:sz w:val="14"/>
                <w:szCs w:val="14"/>
                <w:b w:val="1"/>
                <w:bCs w:val="1"/>
                <w:color w:val="auto"/>
              </w:rPr>
              <w:t xml:space="preserve">Amortized Cost </w:t>
            </w:r>
            <w:r>
              <w:rPr>
                <w:rFonts w:ascii="Arial" w:cs="Arial" w:eastAsia="Arial" w:hAnsi="Arial"/>
                <w:sz w:val="19"/>
                <w:szCs w:val="19"/>
                <w:b w:val="1"/>
                <w:bCs w:val="1"/>
                <w:color w:val="auto"/>
                <w:vertAlign w:val="superscript"/>
              </w:rPr>
              <w:t>(1)</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right"/>
              <w:ind w:right="112"/>
              <w:spacing w:after="0" w:line="133" w:lineRule="exact"/>
              <w:rPr>
                <w:sz w:val="20"/>
                <w:szCs w:val="20"/>
                <w:color w:val="auto"/>
              </w:rPr>
            </w:pPr>
            <w:r>
              <w:rPr>
                <w:rFonts w:ascii="Arial" w:cs="Arial" w:eastAsia="Arial" w:hAnsi="Arial"/>
                <w:sz w:val="14"/>
                <w:szCs w:val="14"/>
                <w:b w:val="1"/>
                <w:bCs w:val="1"/>
                <w:color w:val="auto"/>
                <w:w w:val="98"/>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20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Gain (Loss)</w:t>
            </w:r>
          </w:p>
        </w:tc>
        <w:tc>
          <w:tcPr>
            <w:tcW w:w="0" w:type="dxa"/>
            <w:vAlign w:val="bottom"/>
          </w:tcPr>
          <w:p>
            <w:pPr>
              <w:spacing w:after="0"/>
              <w:rPr>
                <w:sz w:val="1"/>
                <w:szCs w:val="1"/>
                <w:color w:val="auto"/>
              </w:rPr>
            </w:pPr>
          </w:p>
        </w:tc>
      </w:tr>
      <w:tr>
        <w:trPr>
          <w:trHeight w:val="196"/>
        </w:trPr>
        <w:tc>
          <w:tcPr>
            <w:tcW w:w="4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First-lien debt investments</w:t>
            </w: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2,298,704</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2,295,373</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(3,331</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Second-lien debt investments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42,708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41,523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(1,185 )</w:t>
            </w:r>
          </w:p>
        </w:tc>
        <w:tc>
          <w:tcPr>
            <w:tcW w:w="0" w:type="dxa"/>
            <w:vAlign w:val="bottom"/>
          </w:tcPr>
          <w:p>
            <w:pPr>
              <w:spacing w:after="0"/>
              <w:rPr>
                <w:sz w:val="1"/>
                <w:szCs w:val="1"/>
                <w:color w:val="auto"/>
              </w:rPr>
            </w:pPr>
          </w:p>
        </w:tc>
      </w:tr>
      <w:tr>
        <w:trPr>
          <w:trHeight w:val="203"/>
        </w:trPr>
        <w:tc>
          <w:tcPr>
            <w:tcW w:w="4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Mezzanine debt investments</w:t>
            </w: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7,362</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10,397</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3,035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Equity and other investments</w:t>
            </w: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162,559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189,097</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26,538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b w:val="1"/>
                <w:bCs w:val="1"/>
                <w:color w:val="auto"/>
              </w:rPr>
              <w:t>Total Investments</w:t>
            </w: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2,511,333</w:t>
            </w:r>
          </w:p>
        </w:tc>
        <w:tc>
          <w:tcPr>
            <w:tcW w:w="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2,536,390</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25,057</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4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w w:val="94"/>
              </w:rPr>
              <w:t xml:space="preserve">Amortized Cost </w:t>
            </w:r>
            <w:r>
              <w:rPr>
                <w:rFonts w:ascii="Arial" w:cs="Arial" w:eastAsia="Arial" w:hAnsi="Arial"/>
                <w:sz w:val="19"/>
                <w:szCs w:val="19"/>
                <w:b w:val="1"/>
                <w:bCs w:val="1"/>
                <w:color w:val="auto"/>
                <w:w w:val="94"/>
                <w:vertAlign w:val="superscript"/>
              </w:rPr>
              <w:t>(1)</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201"/>
              <w:spacing w:after="0"/>
              <w:rPr>
                <w:sz w:val="20"/>
                <w:szCs w:val="20"/>
                <w:color w:val="auto"/>
              </w:rPr>
            </w:pPr>
            <w:r>
              <w:rPr>
                <w:rFonts w:ascii="Arial" w:cs="Arial" w:eastAsia="Arial" w:hAnsi="Arial"/>
                <w:sz w:val="14"/>
                <w:szCs w:val="14"/>
                <w:b w:val="1"/>
                <w:bCs w:val="1"/>
                <w:color w:val="auto"/>
                <w:w w:val="96"/>
              </w:rPr>
              <w:t>Gain (Loss)</w:t>
            </w:r>
          </w:p>
        </w:tc>
        <w:tc>
          <w:tcPr>
            <w:tcW w:w="0" w:type="dxa"/>
            <w:vAlign w:val="bottom"/>
          </w:tcPr>
          <w:p>
            <w:pPr>
              <w:spacing w:after="0"/>
              <w:rPr>
                <w:sz w:val="1"/>
                <w:szCs w:val="1"/>
                <w:color w:val="auto"/>
              </w:rPr>
            </w:pPr>
          </w:p>
        </w:tc>
      </w:tr>
      <w:tr>
        <w:trPr>
          <w:trHeight w:val="196"/>
        </w:trPr>
        <w:tc>
          <w:tcPr>
            <w:tcW w:w="4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First-lien debt investments</w:t>
            </w:r>
          </w:p>
        </w:tc>
        <w:tc>
          <w:tcPr>
            <w:tcW w:w="4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2,265,555</w:t>
            </w:r>
          </w:p>
        </w:tc>
        <w:tc>
          <w:tcPr>
            <w:tcW w:w="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2,298,856</w:t>
            </w: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33,301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Second-lien debt investments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42,629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42,729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Mezzanine debt investments</w:t>
            </w: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9,368</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18,549</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9,181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Equity and other investments</w:t>
            </w:r>
          </w:p>
        </w:tc>
        <w:tc>
          <w:tcPr>
            <w:tcW w:w="4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114,460</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161,459</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46,999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b w:val="1"/>
                <w:bCs w:val="1"/>
                <w:color w:val="auto"/>
              </w:rPr>
              <w:t>Total Investments</w:t>
            </w:r>
          </w:p>
        </w:tc>
        <w:tc>
          <w:tcPr>
            <w:tcW w:w="4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2,432,012</w:t>
            </w:r>
          </w:p>
        </w:tc>
        <w:tc>
          <w:tcPr>
            <w:tcW w:w="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2,521,593</w:t>
            </w:r>
          </w:p>
        </w:tc>
        <w:tc>
          <w:tcPr>
            <w:tcW w:w="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89,581</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-1293495</wp:posOffset>
            </wp:positionV>
            <wp:extent cx="603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-1276985</wp:posOffset>
            </wp:positionV>
            <wp:extent cx="6032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-1293495</wp:posOffset>
            </wp:positionV>
            <wp:extent cx="514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-1276985</wp:posOffset>
            </wp:positionV>
            <wp:extent cx="5143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-1293495</wp:posOffset>
            </wp:positionV>
            <wp:extent cx="514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-1276985</wp:posOffset>
            </wp:positionV>
            <wp:extent cx="5143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-25400</wp:posOffset>
            </wp:positionV>
            <wp:extent cx="6032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03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-25400</wp:posOffset>
            </wp:positionV>
            <wp:extent cx="5143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514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36" w:lineRule="exact"/>
        <w:rPr>
          <w:sz w:val="20"/>
          <w:szCs w:val="20"/>
          <w:color w:val="auto"/>
        </w:rPr>
      </w:pPr>
    </w:p>
    <w:p>
      <w:pPr>
        <w:ind w:left="520" w:right="120" w:hanging="512"/>
        <w:spacing w:after="0" w:line="26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industry composition of investments at fair value at June 30, 2022 and December 31, 2021 is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156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June 30, 2022</w:t>
            </w:r>
          </w:p>
        </w:tc>
        <w:tc>
          <w:tcPr>
            <w:tcW w:w="15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196"/>
        </w:trPr>
        <w:tc>
          <w:tcPr>
            <w:tcW w:w="5960" w:type="dxa"/>
            <w:vAlign w:val="bottom"/>
          </w:tcPr>
          <w:p>
            <w:pPr>
              <w:spacing w:after="0" w:line="196" w:lineRule="exact"/>
              <w:rPr>
                <w:sz w:val="20"/>
                <w:szCs w:val="20"/>
                <w:color w:val="auto"/>
              </w:rPr>
            </w:pPr>
            <w:r>
              <w:rPr>
                <w:rFonts w:ascii="Arial" w:cs="Arial" w:eastAsia="Arial" w:hAnsi="Arial"/>
                <w:sz w:val="18"/>
                <w:szCs w:val="18"/>
                <w:color w:val="auto"/>
              </w:rPr>
              <w:t>Business Services</w:t>
            </w:r>
          </w:p>
        </w:tc>
        <w:tc>
          <w:tcPr>
            <w:tcW w:w="1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14.7</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16.8</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Communications</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3.1 %</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Education</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9.8 %</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Financial Services</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11.5 %</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02"/>
        </w:trPr>
        <w:tc>
          <w:tcPr>
            <w:tcW w:w="5960" w:type="dxa"/>
            <w:vAlign w:val="bottom"/>
          </w:tcPr>
          <w:p>
            <w:pPr>
              <w:spacing w:after="0" w:line="202" w:lineRule="exact"/>
              <w:rPr>
                <w:sz w:val="20"/>
                <w:szCs w:val="20"/>
                <w:color w:val="auto"/>
              </w:rPr>
            </w:pPr>
            <w:r>
              <w:rPr>
                <w:rFonts w:ascii="Arial" w:cs="Arial" w:eastAsia="Arial" w:hAnsi="Arial"/>
                <w:sz w:val="18"/>
                <w:szCs w:val="18"/>
                <w:color w:val="auto"/>
              </w:rPr>
              <w:t>Healthcare</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10.6 %</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Hotel, Gaming and Leisure</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5.0 %</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Human Resource Support Services</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10.9 %</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Internet Services</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10.5 %</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Marketing Services</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1.7 %</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Office Products</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0.7 %</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Oil, Gas and Consumable Fuels</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3.2 %</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2.8 %</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Pharmaceuticals</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4.0 %</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Retail and Consumer Products</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10.2 %</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Transportation</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1.3 %</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Total</w:t>
            </w: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vMerge w:val="continue"/>
          </w:tcPr>
          <w:p>
            <w:pPr>
              <w:spacing w:after="0"/>
              <w:rPr>
                <w:sz w:val="17"/>
                <w:szCs w:val="17"/>
                <w:color w:val="auto"/>
              </w:rPr>
            </w:pPr>
          </w:p>
        </w:tc>
        <w:tc>
          <w:tcPr>
            <w:tcW w:w="1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100.0 %</w:t>
            </w: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-2091055</wp:posOffset>
            </wp:positionV>
            <wp:extent cx="5700395" cy="1289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-1833880</wp:posOffset>
            </wp:positionV>
            <wp:extent cx="5700395" cy="1289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-1576705</wp:posOffset>
            </wp:positionV>
            <wp:extent cx="5700395" cy="1282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700395" cy="12827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-1319530</wp:posOffset>
            </wp:positionV>
            <wp:extent cx="5700395" cy="1289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-1062355</wp:posOffset>
            </wp:positionV>
            <wp:extent cx="5700395" cy="1289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-805180</wp:posOffset>
            </wp:positionV>
            <wp:extent cx="5700395" cy="1289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-548005</wp:posOffset>
            </wp:positionV>
            <wp:extent cx="5700395" cy="1289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-290830</wp:posOffset>
            </wp:positionV>
            <wp:extent cx="5700395" cy="1371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geographic composition of investments at fair value at June 30, 2022 and December 31, 2021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6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June 30, 2022</w:t>
            </w:r>
          </w:p>
        </w:tc>
        <w:tc>
          <w:tcPr>
            <w:tcW w:w="2580" w:type="dxa"/>
            <w:vAlign w:val="bottom"/>
            <w:gridSpan w:val="3"/>
          </w:tcPr>
          <w:p>
            <w:pPr>
              <w:jc w:val="right"/>
              <w:ind w:right="1320"/>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3100" w:type="dxa"/>
            <w:vAlign w:val="bottom"/>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800" w:type="dxa"/>
            <w:vAlign w:val="bottom"/>
          </w:tcPr>
          <w:p>
            <w:pPr>
              <w:ind w:left="180"/>
              <w:spacing w:after="0" w:line="202" w:lineRule="exact"/>
              <w:rPr>
                <w:sz w:val="20"/>
                <w:szCs w:val="20"/>
                <w:color w:val="auto"/>
              </w:rPr>
            </w:pPr>
            <w:r>
              <w:rPr>
                <w:rFonts w:ascii="Arial" w:cs="Arial" w:eastAsia="Arial" w:hAnsi="Arial"/>
                <w:sz w:val="18"/>
                <w:szCs w:val="18"/>
                <w:color w:val="auto"/>
              </w:rPr>
              <w:t>Midwest</w:t>
            </w:r>
          </w:p>
        </w:tc>
        <w:tc>
          <w:tcPr>
            <w:tcW w:w="47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11.9 %</w:t>
            </w:r>
          </w:p>
        </w:tc>
        <w:tc>
          <w:tcPr>
            <w:tcW w:w="2580" w:type="dxa"/>
            <w:vAlign w:val="bottom"/>
            <w:gridSpan w:val="3"/>
          </w:tcPr>
          <w:p>
            <w:pPr>
              <w:jc w:val="right"/>
              <w:ind w:right="1040"/>
              <w:spacing w:after="0" w:line="202" w:lineRule="exact"/>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800" w:type="dxa"/>
            <w:vAlign w:val="bottom"/>
          </w:tcPr>
          <w:p>
            <w:pPr>
              <w:ind w:left="180"/>
              <w:spacing w:after="0" w:line="202" w:lineRule="exact"/>
              <w:rPr>
                <w:sz w:val="20"/>
                <w:szCs w:val="20"/>
                <w:color w:val="auto"/>
              </w:rPr>
            </w:pPr>
            <w:r>
              <w:rPr>
                <w:rFonts w:ascii="Arial" w:cs="Arial" w:eastAsia="Arial" w:hAnsi="Arial"/>
                <w:sz w:val="18"/>
                <w:szCs w:val="18"/>
                <w:color w:val="auto"/>
              </w:rPr>
              <w:t>Northeast</w:t>
            </w:r>
          </w:p>
        </w:tc>
        <w:tc>
          <w:tcPr>
            <w:tcW w:w="47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28.8 %</w:t>
            </w:r>
          </w:p>
        </w:tc>
        <w:tc>
          <w:tcPr>
            <w:tcW w:w="2580" w:type="dxa"/>
            <w:vAlign w:val="bottom"/>
            <w:gridSpan w:val="3"/>
          </w:tcPr>
          <w:p>
            <w:pPr>
              <w:jc w:val="right"/>
              <w:ind w:right="1040"/>
              <w:spacing w:after="0" w:line="202" w:lineRule="exact"/>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800" w:type="dxa"/>
            <w:vAlign w:val="bottom"/>
          </w:tcPr>
          <w:p>
            <w:pPr>
              <w:ind w:left="180"/>
              <w:spacing w:after="0" w:line="202" w:lineRule="exact"/>
              <w:rPr>
                <w:sz w:val="20"/>
                <w:szCs w:val="20"/>
                <w:color w:val="auto"/>
              </w:rPr>
            </w:pPr>
            <w:r>
              <w:rPr>
                <w:rFonts w:ascii="Arial" w:cs="Arial" w:eastAsia="Arial" w:hAnsi="Arial"/>
                <w:sz w:val="18"/>
                <w:szCs w:val="18"/>
                <w:color w:val="auto"/>
              </w:rPr>
              <w:t>South</w:t>
            </w:r>
          </w:p>
        </w:tc>
        <w:tc>
          <w:tcPr>
            <w:tcW w:w="47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22.2 %</w:t>
            </w:r>
          </w:p>
        </w:tc>
        <w:tc>
          <w:tcPr>
            <w:tcW w:w="2580" w:type="dxa"/>
            <w:vAlign w:val="bottom"/>
            <w:gridSpan w:val="3"/>
          </w:tcPr>
          <w:p>
            <w:pPr>
              <w:jc w:val="right"/>
              <w:ind w:right="1040"/>
              <w:spacing w:after="0" w:line="202" w:lineRule="exact"/>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800" w:type="dxa"/>
            <w:vAlign w:val="bottom"/>
          </w:tcPr>
          <w:p>
            <w:pPr>
              <w:ind w:left="180"/>
              <w:spacing w:after="0" w:line="202" w:lineRule="exact"/>
              <w:rPr>
                <w:sz w:val="20"/>
                <w:szCs w:val="20"/>
                <w:color w:val="auto"/>
              </w:rPr>
            </w:pPr>
            <w:r>
              <w:rPr>
                <w:rFonts w:ascii="Arial" w:cs="Arial" w:eastAsia="Arial" w:hAnsi="Arial"/>
                <w:sz w:val="18"/>
                <w:szCs w:val="18"/>
                <w:color w:val="auto"/>
              </w:rPr>
              <w:t>West</w:t>
            </w:r>
          </w:p>
        </w:tc>
        <w:tc>
          <w:tcPr>
            <w:tcW w:w="47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29.0 %</w:t>
            </w:r>
          </w:p>
        </w:tc>
        <w:tc>
          <w:tcPr>
            <w:tcW w:w="2580" w:type="dxa"/>
            <w:vAlign w:val="bottom"/>
            <w:gridSpan w:val="3"/>
          </w:tcPr>
          <w:p>
            <w:pPr>
              <w:jc w:val="right"/>
              <w:ind w:right="1040"/>
              <w:spacing w:after="0" w:line="202" w:lineRule="exact"/>
              <w:rPr>
                <w:sz w:val="20"/>
                <w:szCs w:val="20"/>
                <w:color w:val="auto"/>
              </w:rPr>
            </w:pPr>
            <w:r>
              <w:rPr>
                <w:rFonts w:ascii="Arial" w:cs="Arial" w:eastAsia="Arial" w:hAnsi="Arial"/>
                <w:sz w:val="18"/>
                <w:szCs w:val="18"/>
                <w:color w:val="auto"/>
              </w:rPr>
              <w:t>31.8 %</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800" w:type="dxa"/>
            <w:vAlign w:val="bottom"/>
          </w:tcPr>
          <w:p>
            <w:pPr>
              <w:spacing w:after="0" w:line="202" w:lineRule="exact"/>
              <w:rPr>
                <w:sz w:val="20"/>
                <w:szCs w:val="20"/>
                <w:color w:val="auto"/>
              </w:rPr>
            </w:pPr>
            <w:r>
              <w:rPr>
                <w:rFonts w:ascii="Arial" w:cs="Arial" w:eastAsia="Arial" w:hAnsi="Arial"/>
                <w:sz w:val="18"/>
                <w:szCs w:val="18"/>
                <w:color w:val="auto"/>
              </w:rPr>
              <w:t>Australia</w:t>
            </w:r>
          </w:p>
        </w:tc>
        <w:tc>
          <w:tcPr>
            <w:tcW w:w="47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2.2 %</w:t>
            </w:r>
          </w:p>
        </w:tc>
        <w:tc>
          <w:tcPr>
            <w:tcW w:w="2580" w:type="dxa"/>
            <w:vAlign w:val="bottom"/>
            <w:gridSpan w:val="3"/>
          </w:tcPr>
          <w:p>
            <w:pPr>
              <w:jc w:val="right"/>
              <w:ind w:right="1040"/>
              <w:spacing w:after="0" w:line="202"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800" w:type="dxa"/>
            <w:vAlign w:val="bottom"/>
          </w:tcPr>
          <w:p>
            <w:pPr>
              <w:spacing w:after="0" w:line="202" w:lineRule="exact"/>
              <w:rPr>
                <w:sz w:val="20"/>
                <w:szCs w:val="20"/>
                <w:color w:val="auto"/>
              </w:rPr>
            </w:pPr>
            <w:r>
              <w:rPr>
                <w:rFonts w:ascii="Arial" w:cs="Arial" w:eastAsia="Arial" w:hAnsi="Arial"/>
                <w:sz w:val="18"/>
                <w:szCs w:val="18"/>
                <w:color w:val="auto"/>
              </w:rPr>
              <w:t>Canada</w:t>
            </w:r>
          </w:p>
        </w:tc>
        <w:tc>
          <w:tcPr>
            <w:tcW w:w="47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5.3 %</w:t>
            </w:r>
          </w:p>
        </w:tc>
        <w:tc>
          <w:tcPr>
            <w:tcW w:w="2580" w:type="dxa"/>
            <w:vAlign w:val="bottom"/>
            <w:gridSpan w:val="3"/>
          </w:tcPr>
          <w:p>
            <w:pPr>
              <w:jc w:val="right"/>
              <w:ind w:right="1040"/>
              <w:spacing w:after="0" w:line="202" w:lineRule="exact"/>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800" w:type="dxa"/>
            <w:vAlign w:val="bottom"/>
          </w:tcPr>
          <w:p>
            <w:pPr>
              <w:spacing w:after="0" w:line="202" w:lineRule="exact"/>
              <w:rPr>
                <w:sz w:val="20"/>
                <w:szCs w:val="20"/>
                <w:color w:val="auto"/>
              </w:rPr>
            </w:pPr>
            <w:r>
              <w:rPr>
                <w:rFonts w:ascii="Arial" w:cs="Arial" w:eastAsia="Arial" w:hAnsi="Arial"/>
                <w:sz w:val="18"/>
                <w:szCs w:val="18"/>
                <w:color w:val="auto"/>
              </w:rPr>
              <w:t>United Kingdom</w:t>
            </w:r>
          </w:p>
        </w:tc>
        <w:tc>
          <w:tcPr>
            <w:tcW w:w="47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0.6 %</w:t>
            </w:r>
          </w:p>
        </w:tc>
        <w:tc>
          <w:tcPr>
            <w:tcW w:w="2580" w:type="dxa"/>
            <w:vAlign w:val="bottom"/>
            <w:gridSpan w:val="3"/>
          </w:tcPr>
          <w:p>
            <w:pPr>
              <w:jc w:val="right"/>
              <w:ind w:right="1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800" w:type="dxa"/>
            <w:vAlign w:val="bottom"/>
          </w:tcPr>
          <w:p>
            <w:pPr>
              <w:ind w:left="180"/>
              <w:spacing w:after="0" w:line="196" w:lineRule="exact"/>
              <w:rPr>
                <w:sz w:val="20"/>
                <w:szCs w:val="20"/>
                <w:color w:val="auto"/>
              </w:rPr>
            </w:pPr>
            <w:r>
              <w:rPr>
                <w:rFonts w:ascii="Arial" w:cs="Arial" w:eastAsia="Arial" w:hAnsi="Arial"/>
                <w:sz w:val="18"/>
                <w:szCs w:val="18"/>
                <w:b w:val="1"/>
                <w:bCs w:val="1"/>
                <w:color w:val="auto"/>
              </w:rPr>
              <w:t>Total</w:t>
            </w:r>
          </w:p>
        </w:tc>
        <w:tc>
          <w:tcPr>
            <w:tcW w:w="310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100.0</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100.0</w:t>
            </w:r>
          </w:p>
        </w:tc>
        <w:tc>
          <w:tcPr>
            <w:tcW w:w="1200" w:type="dxa"/>
            <w:vAlign w:val="bottom"/>
            <w:gridSpan w:val="2"/>
          </w:tcPr>
          <w:p>
            <w:pPr>
              <w:jc w:val="right"/>
              <w:ind w:right="104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00" w:type="dxa"/>
            <w:vAlign w:val="bottom"/>
            <w:vMerge w:val="restart"/>
          </w:tcPr>
          <w:p>
            <w:pPr>
              <w:jc w:val="right"/>
              <w:ind w:right="1230"/>
              <w:spacing w:after="0"/>
              <w:rPr>
                <w:sz w:val="20"/>
                <w:szCs w:val="20"/>
                <w:color w:val="auto"/>
              </w:rPr>
            </w:pPr>
            <w:r>
              <w:rPr>
                <w:rFonts w:ascii="Arial" w:cs="Arial" w:eastAsia="Arial" w:hAnsi="Arial"/>
                <w:sz w:val="18"/>
                <w:szCs w:val="18"/>
                <w:color w:val="auto"/>
              </w:rPr>
              <w:t>29</w:t>
            </w: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2800" w:type="dxa"/>
            <w:vAlign w:val="bottom"/>
            <w:tcBorders>
              <w:bottom w:val="single" w:sz="8" w:color="9A9A9A"/>
            </w:tcBorders>
          </w:tcPr>
          <w:p>
            <w:pPr>
              <w:spacing w:after="0"/>
              <w:rPr>
                <w:sz w:val="8"/>
                <w:szCs w:val="8"/>
                <w:color w:val="auto"/>
              </w:rPr>
            </w:pPr>
          </w:p>
        </w:tc>
        <w:tc>
          <w:tcPr>
            <w:tcW w:w="31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-1414145</wp:posOffset>
            </wp:positionV>
            <wp:extent cx="5700395" cy="1289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-1156970</wp:posOffset>
            </wp:positionV>
            <wp:extent cx="5700395" cy="1289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-899795</wp:posOffset>
            </wp:positionV>
            <wp:extent cx="5700395" cy="1289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-633730</wp:posOffset>
            </wp:positionV>
            <wp:extent cx="5700395" cy="1543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5. Derivatives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04" w:lineRule="exact"/>
        <w:rPr>
          <w:sz w:val="20"/>
          <w:szCs w:val="20"/>
          <w:color w:val="auto"/>
        </w:rPr>
      </w:pPr>
    </w:p>
    <w:p>
      <w:pPr>
        <w:ind w:right="180" w:firstLine="255"/>
        <w:spacing w:after="0" w:line="248" w:lineRule="auto"/>
        <w:rPr>
          <w:sz w:val="20"/>
          <w:szCs w:val="20"/>
          <w:color w:val="auto"/>
        </w:rPr>
      </w:pPr>
      <w:r>
        <w:rPr>
          <w:rFonts w:ascii="Arial" w:cs="Arial" w:eastAsia="Arial" w:hAnsi="Arial"/>
          <w:sz w:val="18"/>
          <w:szCs w:val="18"/>
          <w:color w:val="auto"/>
        </w:rPr>
        <w:t>The Company enters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spacing w:after="0" w:line="182" w:lineRule="exact"/>
        <w:rPr>
          <w:sz w:val="20"/>
          <w:szCs w:val="20"/>
          <w:color w:val="auto"/>
        </w:rPr>
      </w:pPr>
    </w:p>
    <w:p>
      <w:pPr>
        <w:ind w:right="140" w:firstLine="255"/>
        <w:spacing w:after="0" w:line="261" w:lineRule="auto"/>
        <w:rPr>
          <w:sz w:val="20"/>
          <w:szCs w:val="20"/>
          <w:color w:val="auto"/>
        </w:rPr>
      </w:pPr>
      <w:r>
        <w:rPr>
          <w:rFonts w:ascii="Arial" w:cs="Arial" w:eastAsia="Arial" w:hAnsi="Arial"/>
          <w:sz w:val="18"/>
          <w:szCs w:val="18"/>
          <w:color w:val="auto"/>
        </w:rPr>
        <w:t>The following tables present the amounts paid and received on the Company’s interest rate swap transactions, excluding upfront fees, for the three and six months ended June 30, 2022 and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40" w:type="dxa"/>
            <w:vAlign w:val="bottom"/>
            <w:gridSpan w:val="11"/>
          </w:tcPr>
          <w:p>
            <w:pPr>
              <w:jc w:val="right"/>
              <w:ind w:right="480"/>
              <w:spacing w:after="0"/>
              <w:rPr>
                <w:sz w:val="20"/>
                <w:szCs w:val="20"/>
                <w:color w:val="auto"/>
              </w:rPr>
            </w:pPr>
            <w:r>
              <w:rPr>
                <w:rFonts w:ascii="Arial" w:cs="Arial" w:eastAsia="Arial" w:hAnsi="Arial"/>
                <w:sz w:val="14"/>
                <w:szCs w:val="14"/>
                <w:b w:val="1"/>
                <w:bCs w:val="1"/>
                <w:color w:val="auto"/>
                <w:w w:val="92"/>
              </w:rPr>
              <w:t>For the Three Months Ended June 30, 2022</w:t>
            </w:r>
          </w:p>
        </w:tc>
        <w:tc>
          <w:tcPr>
            <w:tcW w:w="220" w:type="dxa"/>
            <w:vAlign w:val="bottom"/>
          </w:tcPr>
          <w:p>
            <w:pPr>
              <w:spacing w:after="0"/>
              <w:rPr>
                <w:sz w:val="16"/>
                <w:szCs w:val="16"/>
                <w:color w:val="auto"/>
              </w:rPr>
            </w:pPr>
          </w:p>
        </w:tc>
        <w:tc>
          <w:tcPr>
            <w:tcW w:w="3020" w:type="dxa"/>
            <w:vAlign w:val="bottom"/>
            <w:gridSpan w:val="13"/>
          </w:tcPr>
          <w:p>
            <w:pPr>
              <w:jc w:val="right"/>
              <w:ind w:right="360"/>
              <w:spacing w:after="0"/>
              <w:rPr>
                <w:sz w:val="20"/>
                <w:szCs w:val="20"/>
                <w:color w:val="auto"/>
              </w:rPr>
            </w:pPr>
            <w:r>
              <w:rPr>
                <w:rFonts w:ascii="Arial" w:cs="Arial" w:eastAsia="Arial" w:hAnsi="Arial"/>
                <w:sz w:val="14"/>
                <w:szCs w:val="14"/>
                <w:b w:val="1"/>
                <w:bCs w:val="1"/>
                <w:color w:val="auto"/>
                <w:w w:val="95"/>
              </w:rPr>
              <w:t>For the Six Months Ended June 30, 2022</w:t>
            </w: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Maturity Date</w:t>
            </w:r>
          </w:p>
        </w:tc>
        <w:tc>
          <w:tcPr>
            <w:tcW w:w="1500" w:type="dxa"/>
            <w:vAlign w:val="bottom"/>
            <w:gridSpan w:val="4"/>
          </w:tcPr>
          <w:p>
            <w:pPr>
              <w:ind w:left="80"/>
              <w:spacing w:after="0"/>
              <w:rPr>
                <w:sz w:val="20"/>
                <w:szCs w:val="20"/>
                <w:color w:val="auto"/>
              </w:rPr>
            </w:pPr>
            <w:r>
              <w:rPr>
                <w:rFonts w:ascii="Arial" w:cs="Arial" w:eastAsia="Arial" w:hAnsi="Arial"/>
                <w:sz w:val="14"/>
                <w:szCs w:val="14"/>
                <w:b w:val="1"/>
                <w:bCs w:val="1"/>
                <w:color w:val="auto"/>
              </w:rPr>
              <w:t>Notional Amount</w:t>
            </w: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Paid</w:t>
            </w: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4"/>
              </w:rPr>
              <w:t>Received</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Paid</w:t>
            </w: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4"/>
              </w:rPr>
              <w:t>Received</w:t>
            </w: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4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Interest rate swap</w:t>
            </w:r>
          </w:p>
        </w:tc>
        <w:tc>
          <w:tcPr>
            <w:tcW w:w="1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115,000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(986</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1,294</w:t>
            </w:r>
          </w:p>
        </w:tc>
        <w:tc>
          <w:tcPr>
            <w:tcW w:w="22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308</w:t>
            </w:r>
          </w:p>
        </w:tc>
        <w:tc>
          <w:tcPr>
            <w:tcW w:w="24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2"/>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(1,731</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2,587</w:t>
            </w:r>
          </w:p>
        </w:tc>
        <w:tc>
          <w:tcPr>
            <w:tcW w:w="22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8/1/2022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(329 )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563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(556 )</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1,125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Interest rate swap</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(50 )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24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(84 )</w:t>
            </w:r>
          </w:p>
        </w:tc>
        <w:tc>
          <w:tcPr>
            <w:tcW w:w="1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169</w:t>
            </w:r>
          </w:p>
        </w:tc>
        <w:tc>
          <w:tcPr>
            <w:tcW w:w="2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8/1/2022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27,531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(306 )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214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(92 )</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(613 )</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373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(240 )</w:t>
            </w:r>
          </w:p>
        </w:tc>
        <w:tc>
          <w:tcPr>
            <w:tcW w:w="0" w:type="dxa"/>
            <w:vAlign w:val="bottom"/>
          </w:tcPr>
          <w:p>
            <w:pPr>
              <w:spacing w:after="0"/>
              <w:rPr>
                <w:sz w:val="1"/>
                <w:szCs w:val="1"/>
                <w:color w:val="auto"/>
              </w:rPr>
            </w:pPr>
          </w:p>
        </w:tc>
      </w:tr>
      <w:tr>
        <w:trPr>
          <w:trHeight w:val="203"/>
        </w:trPr>
        <w:tc>
          <w:tcPr>
            <w:tcW w:w="184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Interest rate swap</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(24 )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2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(7 )</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(48 )</w:t>
            </w:r>
          </w:p>
        </w:tc>
        <w:tc>
          <w:tcPr>
            <w:tcW w:w="1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2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(19 )</w:t>
            </w:r>
          </w:p>
        </w:tc>
        <w:tc>
          <w:tcPr>
            <w:tcW w:w="0" w:type="dxa"/>
            <w:vAlign w:val="bottom"/>
          </w:tcPr>
          <w:p>
            <w:pPr>
              <w:spacing w:after="0"/>
              <w:rPr>
                <w:sz w:val="1"/>
                <w:szCs w:val="1"/>
                <w:color w:val="auto"/>
              </w:rPr>
            </w:pPr>
          </w:p>
        </w:tc>
      </w:tr>
      <w:tr>
        <w:trPr>
          <w:trHeight w:val="203"/>
        </w:trPr>
        <w:tc>
          <w:tcPr>
            <w:tcW w:w="184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8/1/2022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42,819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(481 )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339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(142 )</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(963 )</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588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(375 )</w:t>
            </w:r>
          </w:p>
        </w:tc>
        <w:tc>
          <w:tcPr>
            <w:tcW w:w="0" w:type="dxa"/>
            <w:vAlign w:val="bottom"/>
          </w:tcPr>
          <w:p>
            <w:pPr>
              <w:spacing w:after="0"/>
              <w:rPr>
                <w:sz w:val="1"/>
                <w:szCs w:val="1"/>
                <w:color w:val="auto"/>
              </w:rPr>
            </w:pPr>
          </w:p>
        </w:tc>
      </w:tr>
      <w:tr>
        <w:trPr>
          <w:trHeight w:val="203"/>
        </w:trPr>
        <w:tc>
          <w:tcPr>
            <w:tcW w:w="184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Interest rate swap</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1/22/2023</w:t>
            </w:r>
          </w:p>
        </w:tc>
        <w:tc>
          <w:tcPr>
            <w:tcW w:w="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150,000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(1,141 )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1,687</w:t>
            </w:r>
          </w:p>
        </w:tc>
        <w:tc>
          <w:tcPr>
            <w:tcW w:w="2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546</w:t>
            </w:r>
          </w:p>
        </w:tc>
        <w:tc>
          <w:tcPr>
            <w:tcW w:w="24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(1,971 )</w:t>
            </w:r>
          </w:p>
        </w:tc>
        <w:tc>
          <w:tcPr>
            <w:tcW w:w="1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3,375</w:t>
            </w:r>
          </w:p>
        </w:tc>
        <w:tc>
          <w:tcPr>
            <w:tcW w:w="2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11/1/2024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(2,521 )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2,906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385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(4,334 )</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5,813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Interest rate swap</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11/1/2024</w:t>
            </w:r>
          </w:p>
        </w:tc>
        <w:tc>
          <w:tcPr>
            <w:tcW w:w="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(447 )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484</w:t>
            </w:r>
          </w:p>
        </w:tc>
        <w:tc>
          <w:tcPr>
            <w:tcW w:w="2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24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(767 )</w:t>
            </w:r>
          </w:p>
        </w:tc>
        <w:tc>
          <w:tcPr>
            <w:tcW w:w="1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969</w:t>
            </w:r>
          </w:p>
        </w:tc>
        <w:tc>
          <w:tcPr>
            <w:tcW w:w="2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11/1/2024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(25 )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(4 )</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(48 )</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(12 )</w:t>
            </w:r>
          </w:p>
        </w:tc>
        <w:tc>
          <w:tcPr>
            <w:tcW w:w="0" w:type="dxa"/>
            <w:vAlign w:val="bottom"/>
          </w:tcPr>
          <w:p>
            <w:pPr>
              <w:spacing w:after="0"/>
              <w:rPr>
                <w:sz w:val="1"/>
                <w:szCs w:val="1"/>
                <w:color w:val="auto"/>
              </w:rPr>
            </w:pPr>
          </w:p>
        </w:tc>
      </w:tr>
      <w:tr>
        <w:trPr>
          <w:trHeight w:val="203"/>
        </w:trPr>
        <w:tc>
          <w:tcPr>
            <w:tcW w:w="184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Interest rate swap</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8/1/2026</w:t>
            </w:r>
          </w:p>
        </w:tc>
        <w:tc>
          <w:tcPr>
            <w:tcW w:w="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300,000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(2,253 )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1,917</w:t>
            </w:r>
          </w:p>
        </w:tc>
        <w:tc>
          <w:tcPr>
            <w:tcW w:w="2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(336 )</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(3,779 )</w:t>
            </w:r>
          </w:p>
        </w:tc>
        <w:tc>
          <w:tcPr>
            <w:tcW w:w="1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3,708</w:t>
            </w:r>
          </w:p>
        </w:tc>
        <w:tc>
          <w:tcPr>
            <w:tcW w:w="2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(71 )</w:t>
            </w:r>
          </w:p>
        </w:tc>
        <w:tc>
          <w:tcPr>
            <w:tcW w:w="0" w:type="dxa"/>
            <w:vAlign w:val="bottom"/>
          </w:tcPr>
          <w:p>
            <w:pPr>
              <w:spacing w:after="0"/>
              <w:rPr>
                <w:sz w:val="1"/>
                <w:szCs w:val="1"/>
                <w:color w:val="auto"/>
              </w:rPr>
            </w:pPr>
          </w:p>
        </w:tc>
      </w:tr>
      <w:tr>
        <w:trPr>
          <w:trHeight w:val="20"/>
        </w:trPr>
        <w:tc>
          <w:tcPr>
            <w:tcW w:w="18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40" w:type="dxa"/>
            <w:vAlign w:val="bottom"/>
          </w:tcPr>
          <w:p>
            <w:pPr>
              <w:ind w:left="200"/>
              <w:spacing w:after="0"/>
              <w:rPr>
                <w:sz w:val="20"/>
                <w:szCs w:val="20"/>
                <w:color w:val="auto"/>
              </w:rPr>
            </w:pPr>
            <w:r>
              <w:rPr>
                <w:rFonts w:ascii="Arial" w:cs="Arial" w:eastAsia="Arial" w:hAnsi="Arial"/>
                <w:sz w:val="17"/>
                <w:szCs w:val="17"/>
                <w:b w:val="1"/>
                <w:bCs w:val="1"/>
                <w:color w:val="auto"/>
              </w:rPr>
              <w:t>Total</w:t>
            </w: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1,047,510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(8,563 )</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9,526</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963</w:t>
            </w:r>
          </w:p>
        </w:tc>
        <w:tc>
          <w:tcPr>
            <w:tcW w:w="24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88"/>
              </w:rPr>
              <w:t>(14,894 )</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18,772</w:t>
            </w:r>
          </w:p>
        </w:tc>
        <w:tc>
          <w:tcPr>
            <w:tcW w:w="22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3,878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11"/>
          </w:tcPr>
          <w:p>
            <w:pPr>
              <w:jc w:val="right"/>
              <w:ind w:right="300"/>
              <w:spacing w:after="0"/>
              <w:rPr>
                <w:sz w:val="20"/>
                <w:szCs w:val="20"/>
                <w:color w:val="auto"/>
              </w:rPr>
            </w:pPr>
            <w:r>
              <w:rPr>
                <w:rFonts w:ascii="Arial" w:cs="Arial" w:eastAsia="Arial" w:hAnsi="Arial"/>
                <w:sz w:val="14"/>
                <w:szCs w:val="14"/>
                <w:b w:val="1"/>
                <w:bCs w:val="1"/>
                <w:color w:val="auto"/>
                <w:w w:val="99"/>
              </w:rPr>
              <w:t>For the Three Months Ended June 30, 2021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12"/>
          </w:tcPr>
          <w:p>
            <w:pPr>
              <w:jc w:val="right"/>
              <w:ind w:right="240"/>
              <w:spacing w:after="0"/>
              <w:rPr>
                <w:sz w:val="20"/>
                <w:szCs w:val="20"/>
                <w:color w:val="auto"/>
              </w:rPr>
            </w:pPr>
            <w:r>
              <w:rPr>
                <w:rFonts w:ascii="Arial" w:cs="Arial" w:eastAsia="Arial" w:hAnsi="Arial"/>
                <w:sz w:val="14"/>
                <w:szCs w:val="14"/>
                <w:b w:val="1"/>
                <w:bCs w:val="1"/>
                <w:color w:val="auto"/>
                <w:w w:val="96"/>
              </w:rPr>
              <w:t>For the Six Months Ended June 30, 2021</w:t>
            </w:r>
          </w:p>
        </w:tc>
        <w:tc>
          <w:tcPr>
            <w:tcW w:w="0" w:type="dxa"/>
            <w:vAlign w:val="bottom"/>
          </w:tcPr>
          <w:p>
            <w:pPr>
              <w:spacing w:after="0"/>
              <w:rPr>
                <w:sz w:val="1"/>
                <w:szCs w:val="1"/>
                <w:color w:val="auto"/>
              </w:rPr>
            </w:pPr>
          </w:p>
        </w:tc>
      </w:tr>
      <w:tr>
        <w:trPr>
          <w:trHeight w:val="169"/>
        </w:trPr>
        <w:tc>
          <w:tcPr>
            <w:tcW w:w="1840" w:type="dxa"/>
            <w:vAlign w:val="bottom"/>
            <w:vMerge w:val="restart"/>
          </w:tcPr>
          <w:p>
            <w:pPr>
              <w:ind w:left="20"/>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2"/>
                <w:szCs w:val="22"/>
                <w:color w:val="auto"/>
                <w:vertAlign w:val="superscript"/>
              </w:rPr>
              <w:t>(1)</w:t>
            </w:r>
          </w:p>
        </w:tc>
        <w:tc>
          <w:tcPr>
            <w:tcW w:w="20" w:type="dxa"/>
            <w:vAlign w:val="bottom"/>
          </w:tcPr>
          <w:p>
            <w:pPr>
              <w:spacing w:after="0"/>
              <w:rPr>
                <w:sz w:val="14"/>
                <w:szCs w:val="14"/>
                <w:color w:val="auto"/>
              </w:rPr>
            </w:pPr>
          </w:p>
        </w:tc>
        <w:tc>
          <w:tcPr>
            <w:tcW w:w="1260" w:type="dxa"/>
            <w:vAlign w:val="bottom"/>
            <w:gridSpan w:val="3"/>
          </w:tcPr>
          <w:p>
            <w:pPr>
              <w:ind w:left="120"/>
              <w:spacing w:after="0"/>
              <w:rPr>
                <w:sz w:val="20"/>
                <w:szCs w:val="20"/>
                <w:color w:val="auto"/>
              </w:rPr>
            </w:pPr>
            <w:r>
              <w:rPr>
                <w:rFonts w:ascii="Arial" w:cs="Arial" w:eastAsia="Arial" w:hAnsi="Arial"/>
                <w:sz w:val="14"/>
                <w:szCs w:val="14"/>
                <w:b w:val="1"/>
                <w:bCs w:val="1"/>
                <w:color w:val="auto"/>
              </w:rPr>
              <w:t>Maturity Date</w:t>
            </w:r>
          </w:p>
        </w:tc>
        <w:tc>
          <w:tcPr>
            <w:tcW w:w="14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Notional Amount</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Paid</w:t>
            </w: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4"/>
              </w:rPr>
              <w:t>Received</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Paid</w:t>
            </w: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1"/>
              </w:rPr>
              <w:t>Received</w:t>
            </w: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Borders>
              <w:top w:val="single" w:sz="8" w:color="auto"/>
            </w:tcBorders>
            <w:gridSpan w:val="2"/>
          </w:tcPr>
          <w:p>
            <w:pPr>
              <w:jc w:val="right"/>
              <w:spacing w:after="0" w:line="178" w:lineRule="exact"/>
              <w:rPr>
                <w:sz w:val="20"/>
                <w:szCs w:val="20"/>
                <w:color w:val="auto"/>
              </w:rPr>
            </w:pPr>
            <w:r>
              <w:rPr>
                <w:rFonts w:ascii="Arial" w:cs="Arial" w:eastAsia="Arial" w:hAnsi="Arial"/>
                <w:sz w:val="17"/>
                <w:szCs w:val="17"/>
                <w:color w:val="auto"/>
              </w:rPr>
              <w:t>7/30/2021</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gridSpan w:val="2"/>
          </w:tcPr>
          <w:p>
            <w:pPr>
              <w:jc w:val="right"/>
              <w:spacing w:after="0" w:line="178" w:lineRule="exact"/>
              <w:rPr>
                <w:sz w:val="20"/>
                <w:szCs w:val="20"/>
                <w:color w:val="auto"/>
              </w:rPr>
            </w:pPr>
            <w:r>
              <w:rPr>
                <w:rFonts w:ascii="Arial" w:cs="Arial" w:eastAsia="Arial" w:hAnsi="Arial"/>
                <w:sz w:val="17"/>
                <w:szCs w:val="17"/>
                <w:color w:val="auto"/>
              </w:rPr>
              <w:t>11,700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gridSpan w:val="2"/>
          </w:tcPr>
          <w:p>
            <w:pPr>
              <w:jc w:val="right"/>
              <w:spacing w:after="0" w:line="178" w:lineRule="exact"/>
              <w:rPr>
                <w:sz w:val="20"/>
                <w:szCs w:val="20"/>
                <w:color w:val="auto"/>
              </w:rPr>
            </w:pPr>
            <w:r>
              <w:rPr>
                <w:rFonts w:ascii="Arial" w:cs="Arial" w:eastAsia="Arial" w:hAnsi="Arial"/>
                <w:sz w:val="17"/>
                <w:szCs w:val="17"/>
                <w:color w:val="auto"/>
              </w:rPr>
              <w:t>(44</w:t>
            </w:r>
          </w:p>
        </w:tc>
        <w:tc>
          <w:tcPr>
            <w:tcW w:w="100" w:type="dxa"/>
            <w:vAlign w:val="bottom"/>
          </w:tcPr>
          <w:p>
            <w:pPr>
              <w:jc w:val="right"/>
              <w:spacing w:after="0" w:line="178" w:lineRule="exact"/>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5"/>
                <w:szCs w:val="15"/>
                <w:color w:val="auto"/>
              </w:rPr>
            </w:pPr>
          </w:p>
        </w:tc>
        <w:tc>
          <w:tcPr>
            <w:tcW w:w="1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gridSpan w:val="2"/>
          </w:tcPr>
          <w:p>
            <w:pPr>
              <w:jc w:val="right"/>
              <w:ind w:right="80"/>
              <w:spacing w:after="0" w:line="178" w:lineRule="exact"/>
              <w:rPr>
                <w:sz w:val="20"/>
                <w:szCs w:val="20"/>
                <w:color w:val="auto"/>
              </w:rPr>
            </w:pPr>
            <w:r>
              <w:rPr>
                <w:rFonts w:ascii="Arial" w:cs="Arial" w:eastAsia="Arial" w:hAnsi="Arial"/>
                <w:sz w:val="17"/>
                <w:szCs w:val="17"/>
                <w:color w:val="auto"/>
              </w:rPr>
              <w:t>6</w:t>
            </w:r>
          </w:p>
        </w:tc>
        <w:tc>
          <w:tcPr>
            <w:tcW w:w="160" w:type="dxa"/>
            <w:vAlign w:val="bottom"/>
          </w:tcPr>
          <w:p>
            <w:pPr>
              <w:spacing w:after="0"/>
              <w:rPr>
                <w:sz w:val="15"/>
                <w:szCs w:val="15"/>
                <w:color w:val="auto"/>
              </w:rPr>
            </w:pPr>
          </w:p>
        </w:tc>
        <w:tc>
          <w:tcPr>
            <w:tcW w:w="1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gridSpan w:val="2"/>
          </w:tcPr>
          <w:p>
            <w:pPr>
              <w:jc w:val="right"/>
              <w:ind w:right="20"/>
              <w:spacing w:after="0" w:line="178" w:lineRule="exact"/>
              <w:rPr>
                <w:sz w:val="20"/>
                <w:szCs w:val="20"/>
                <w:color w:val="auto"/>
              </w:rPr>
            </w:pPr>
            <w:r>
              <w:rPr>
                <w:rFonts w:ascii="Arial" w:cs="Arial" w:eastAsia="Arial" w:hAnsi="Arial"/>
                <w:sz w:val="17"/>
                <w:szCs w:val="17"/>
                <w:color w:val="auto"/>
              </w:rPr>
              <w:t>(38</w:t>
            </w:r>
          </w:p>
        </w:tc>
        <w:tc>
          <w:tcPr>
            <w:tcW w:w="220" w:type="dxa"/>
            <w:vAlign w:val="bottom"/>
          </w:tcPr>
          <w:p>
            <w:pPr>
              <w:jc w:val="right"/>
              <w:ind w:right="62"/>
              <w:spacing w:after="0" w:line="178" w:lineRule="exact"/>
              <w:rPr>
                <w:sz w:val="20"/>
                <w:szCs w:val="20"/>
                <w:color w:val="auto"/>
              </w:rPr>
            </w:pPr>
            <w:r>
              <w:rPr>
                <w:rFonts w:ascii="Arial" w:cs="Arial" w:eastAsia="Arial" w:hAnsi="Arial"/>
                <w:sz w:val="17"/>
                <w:szCs w:val="17"/>
                <w:color w:val="auto"/>
              </w:rPr>
              <w:t>)</w:t>
            </w:r>
          </w:p>
        </w:tc>
        <w:tc>
          <w:tcPr>
            <w:tcW w:w="1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gridSpan w:val="3"/>
          </w:tcPr>
          <w:p>
            <w:pPr>
              <w:jc w:val="right"/>
              <w:spacing w:after="0" w:line="178" w:lineRule="exact"/>
              <w:rPr>
                <w:sz w:val="20"/>
                <w:szCs w:val="20"/>
                <w:color w:val="auto"/>
              </w:rPr>
            </w:pPr>
            <w:r>
              <w:rPr>
                <w:rFonts w:ascii="Arial" w:cs="Arial" w:eastAsia="Arial" w:hAnsi="Arial"/>
                <w:sz w:val="17"/>
                <w:szCs w:val="17"/>
                <w:color w:val="auto"/>
              </w:rPr>
              <w:t>(85</w:t>
            </w:r>
          </w:p>
        </w:tc>
        <w:tc>
          <w:tcPr>
            <w:tcW w:w="100" w:type="dxa"/>
            <w:vAlign w:val="bottom"/>
          </w:tcPr>
          <w:p>
            <w:pPr>
              <w:jc w:val="right"/>
              <w:spacing w:after="0" w:line="178" w:lineRule="exact"/>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gridSpan w:val="2"/>
          </w:tcPr>
          <w:p>
            <w:pPr>
              <w:jc w:val="right"/>
              <w:ind w:right="20"/>
              <w:spacing w:after="0" w:line="178" w:lineRule="exact"/>
              <w:rPr>
                <w:sz w:val="20"/>
                <w:szCs w:val="20"/>
                <w:color w:val="auto"/>
              </w:rPr>
            </w:pPr>
            <w:r>
              <w:rPr>
                <w:rFonts w:ascii="Arial" w:cs="Arial" w:eastAsia="Arial" w:hAnsi="Arial"/>
                <w:sz w:val="17"/>
                <w:szCs w:val="17"/>
                <w:color w:val="auto"/>
              </w:rPr>
              <w:t>13</w:t>
            </w:r>
          </w:p>
        </w:tc>
        <w:tc>
          <w:tcPr>
            <w:tcW w:w="200" w:type="dxa"/>
            <w:vAlign w:val="bottom"/>
          </w:tcPr>
          <w:p>
            <w:pPr>
              <w:spacing w:after="0"/>
              <w:rPr>
                <w:sz w:val="15"/>
                <w:szCs w:val="15"/>
                <w:color w:val="auto"/>
              </w:rPr>
            </w:pPr>
          </w:p>
        </w:tc>
        <w:tc>
          <w:tcPr>
            <w:tcW w:w="1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(72</w:t>
            </w:r>
          </w:p>
        </w:tc>
        <w:tc>
          <w:tcPr>
            <w:tcW w:w="100" w:type="dxa"/>
            <w:vAlign w:val="bottom"/>
          </w:tcPr>
          <w:p>
            <w:pPr>
              <w:jc w:val="right"/>
              <w:spacing w:after="0" w:line="178"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8"/>
        </w:trPr>
        <w:tc>
          <w:tcPr>
            <w:tcW w:w="184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8/1/2022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115,000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(754 )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1,294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540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(1,508 )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2,588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84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Interest rate swap</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50,000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(228 )</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562</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334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4"/>
            <w:shd w:val="clear" w:color="auto" w:fill="CFF0FC"/>
          </w:tcPr>
          <w:p>
            <w:pPr>
              <w:jc w:val="right"/>
              <w:spacing w:after="0"/>
              <w:rPr>
                <w:sz w:val="20"/>
                <w:szCs w:val="20"/>
                <w:color w:val="auto"/>
              </w:rPr>
            </w:pPr>
            <w:r>
              <w:rPr>
                <w:rFonts w:ascii="Arial" w:cs="Arial" w:eastAsia="Arial" w:hAnsi="Arial"/>
                <w:sz w:val="17"/>
                <w:szCs w:val="17"/>
                <w:color w:val="auto"/>
              </w:rPr>
              <w:t>(459 )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1,125</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8/1/2022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7,500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(34 )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84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50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(69 )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169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Interest rate swap</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27,531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(306 )</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160</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62"/>
              <w:spacing w:after="0"/>
              <w:rPr>
                <w:sz w:val="20"/>
                <w:szCs w:val="20"/>
                <w:color w:val="auto"/>
              </w:rPr>
            </w:pPr>
            <w:r>
              <w:rPr>
                <w:rFonts w:ascii="Arial" w:cs="Arial" w:eastAsia="Arial" w:hAnsi="Arial"/>
                <w:sz w:val="17"/>
                <w:szCs w:val="17"/>
                <w:color w:val="auto"/>
              </w:rPr>
              <w:t>(146 )</w:t>
            </w:r>
          </w:p>
        </w:tc>
        <w:tc>
          <w:tcPr>
            <w:tcW w:w="100" w:type="dxa"/>
            <w:vAlign w:val="bottom"/>
            <w:shd w:val="clear" w:color="auto" w:fill="CFF0FC"/>
          </w:tcPr>
          <w:p>
            <w:pPr>
              <w:spacing w:after="0"/>
              <w:rPr>
                <w:sz w:val="17"/>
                <w:szCs w:val="17"/>
                <w:color w:val="auto"/>
              </w:rPr>
            </w:pPr>
          </w:p>
        </w:tc>
        <w:tc>
          <w:tcPr>
            <w:tcW w:w="900" w:type="dxa"/>
            <w:vAlign w:val="bottom"/>
            <w:gridSpan w:val="4"/>
            <w:shd w:val="clear" w:color="auto" w:fill="CFF0FC"/>
          </w:tcPr>
          <w:p>
            <w:pPr>
              <w:jc w:val="right"/>
              <w:spacing w:after="0"/>
              <w:rPr>
                <w:sz w:val="20"/>
                <w:szCs w:val="20"/>
                <w:color w:val="auto"/>
              </w:rPr>
            </w:pPr>
            <w:r>
              <w:rPr>
                <w:rFonts w:ascii="Arial" w:cs="Arial" w:eastAsia="Arial" w:hAnsi="Arial"/>
                <w:sz w:val="17"/>
                <w:szCs w:val="17"/>
                <w:color w:val="auto"/>
              </w:rPr>
              <w:t>(616 )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323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(293 )</w:t>
            </w:r>
          </w:p>
        </w:tc>
        <w:tc>
          <w:tcPr>
            <w:tcW w:w="0" w:type="dxa"/>
            <w:vAlign w:val="bottom"/>
          </w:tcPr>
          <w:p>
            <w:pPr>
              <w:spacing w:after="0"/>
              <w:rPr>
                <w:sz w:val="1"/>
                <w:szCs w:val="1"/>
                <w:color w:val="auto"/>
              </w:rPr>
            </w:pPr>
          </w:p>
        </w:tc>
      </w:tr>
      <w:tr>
        <w:trPr>
          <w:trHeight w:val="185"/>
        </w:trPr>
        <w:tc>
          <w:tcPr>
            <w:tcW w:w="1840" w:type="dxa"/>
            <w:vAlign w:val="bottom"/>
          </w:tcPr>
          <w:p>
            <w:pPr>
              <w:ind w:left="20"/>
              <w:spacing w:after="0" w:line="185" w:lineRule="exact"/>
              <w:rPr>
                <w:sz w:val="20"/>
                <w:szCs w:val="20"/>
                <w:color w:val="auto"/>
              </w:rPr>
            </w:pPr>
            <w:r>
              <w:rPr>
                <w:rFonts w:ascii="Arial" w:cs="Arial" w:eastAsia="Arial" w:hAnsi="Arial"/>
                <w:sz w:val="17"/>
                <w:szCs w:val="17"/>
                <w:color w:val="auto"/>
              </w:rPr>
              <w:t>Interest rate swap</w:t>
            </w:r>
          </w:p>
        </w:tc>
        <w:tc>
          <w:tcPr>
            <w:tcW w:w="1160" w:type="dxa"/>
            <w:vAlign w:val="bottom"/>
            <w:gridSpan w:val="3"/>
          </w:tcPr>
          <w:p>
            <w:pPr>
              <w:jc w:val="right"/>
              <w:spacing w:after="0" w:line="185" w:lineRule="exact"/>
              <w:rPr>
                <w:sz w:val="20"/>
                <w:szCs w:val="20"/>
                <w:color w:val="auto"/>
              </w:rPr>
            </w:pPr>
            <w:r>
              <w:rPr>
                <w:rFonts w:ascii="Arial" w:cs="Arial" w:eastAsia="Arial" w:hAnsi="Arial"/>
                <w:sz w:val="17"/>
                <w:szCs w:val="17"/>
                <w:color w:val="auto"/>
              </w:rPr>
              <w:t>8/1/2022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spacing w:after="0" w:line="185" w:lineRule="exact"/>
              <w:rPr>
                <w:sz w:val="20"/>
                <w:szCs w:val="20"/>
                <w:color w:val="auto"/>
              </w:rPr>
            </w:pPr>
            <w:r>
              <w:rPr>
                <w:rFonts w:ascii="Arial" w:cs="Arial" w:eastAsia="Arial" w:hAnsi="Arial"/>
                <w:sz w:val="17"/>
                <w:szCs w:val="17"/>
                <w:color w:val="auto"/>
              </w:rPr>
              <w:t>2,160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spacing w:after="0" w:line="185" w:lineRule="exact"/>
              <w:rPr>
                <w:sz w:val="20"/>
                <w:szCs w:val="20"/>
                <w:color w:val="auto"/>
              </w:rPr>
            </w:pPr>
            <w:r>
              <w:rPr>
                <w:rFonts w:ascii="Arial" w:cs="Arial" w:eastAsia="Arial" w:hAnsi="Arial"/>
                <w:sz w:val="17"/>
                <w:szCs w:val="17"/>
                <w:color w:val="auto"/>
              </w:rPr>
              <w:t>(24 )</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80"/>
              <w:spacing w:after="0" w:line="185" w:lineRule="exact"/>
              <w:rPr>
                <w:sz w:val="20"/>
                <w:szCs w:val="20"/>
                <w:color w:val="auto"/>
              </w:rPr>
            </w:pPr>
            <w:r>
              <w:rPr>
                <w:rFonts w:ascii="Arial" w:cs="Arial" w:eastAsia="Arial" w:hAnsi="Arial"/>
                <w:sz w:val="17"/>
                <w:szCs w:val="17"/>
                <w:color w:val="auto"/>
              </w:rPr>
              <w:t>13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right"/>
              <w:ind w:right="62"/>
              <w:spacing w:after="0" w:line="185" w:lineRule="exact"/>
              <w:rPr>
                <w:sz w:val="20"/>
                <w:szCs w:val="20"/>
                <w:color w:val="auto"/>
              </w:rPr>
            </w:pPr>
            <w:r>
              <w:rPr>
                <w:rFonts w:ascii="Arial" w:cs="Arial" w:eastAsia="Arial" w:hAnsi="Arial"/>
                <w:sz w:val="17"/>
                <w:szCs w:val="17"/>
                <w:color w:val="auto"/>
              </w:rPr>
              <w:t>(11 )</w:t>
            </w:r>
          </w:p>
        </w:tc>
        <w:tc>
          <w:tcPr>
            <w:tcW w:w="100" w:type="dxa"/>
            <w:vAlign w:val="bottom"/>
          </w:tcPr>
          <w:p>
            <w:pPr>
              <w:spacing w:after="0"/>
              <w:rPr>
                <w:sz w:val="16"/>
                <w:szCs w:val="16"/>
                <w:color w:val="auto"/>
              </w:rPr>
            </w:pPr>
          </w:p>
        </w:tc>
        <w:tc>
          <w:tcPr>
            <w:tcW w:w="900" w:type="dxa"/>
            <w:vAlign w:val="bottom"/>
            <w:gridSpan w:val="4"/>
          </w:tcPr>
          <w:p>
            <w:pPr>
              <w:jc w:val="right"/>
              <w:spacing w:after="0" w:line="185" w:lineRule="exact"/>
              <w:rPr>
                <w:sz w:val="20"/>
                <w:szCs w:val="20"/>
                <w:color w:val="auto"/>
              </w:rPr>
            </w:pPr>
            <w:r>
              <w:rPr>
                <w:rFonts w:ascii="Arial" w:cs="Arial" w:eastAsia="Arial" w:hAnsi="Arial"/>
                <w:sz w:val="17"/>
                <w:szCs w:val="17"/>
                <w:color w:val="auto"/>
              </w:rPr>
              <w:t>(48 )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25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spacing w:after="0" w:line="185" w:lineRule="exact"/>
              <w:rPr>
                <w:sz w:val="20"/>
                <w:szCs w:val="20"/>
                <w:color w:val="auto"/>
              </w:rPr>
            </w:pPr>
            <w:r>
              <w:rPr>
                <w:rFonts w:ascii="Arial" w:cs="Arial" w:eastAsia="Arial" w:hAnsi="Arial"/>
                <w:sz w:val="17"/>
                <w:szCs w:val="17"/>
                <w:color w:val="auto"/>
              </w:rPr>
              <w:t>(23 )</w:t>
            </w:r>
          </w:p>
        </w:tc>
        <w:tc>
          <w:tcPr>
            <w:tcW w:w="0" w:type="dxa"/>
            <w:vAlign w:val="bottom"/>
          </w:tcPr>
          <w:p>
            <w:pPr>
              <w:spacing w:after="0"/>
              <w:rPr>
                <w:sz w:val="1"/>
                <w:szCs w:val="1"/>
                <w:color w:val="auto"/>
              </w:rPr>
            </w:pPr>
          </w:p>
        </w:tc>
      </w:tr>
      <w:tr>
        <w:trPr>
          <w:trHeight w:val="176"/>
        </w:trPr>
        <w:tc>
          <w:tcPr>
            <w:tcW w:w="1840" w:type="dxa"/>
            <w:vAlign w:val="bottom"/>
          </w:tcPr>
          <w:p>
            <w:pPr>
              <w:ind w:left="20"/>
              <w:spacing w:after="0" w:line="176" w:lineRule="exact"/>
              <w:rPr>
                <w:sz w:val="20"/>
                <w:szCs w:val="20"/>
                <w:color w:val="auto"/>
              </w:rPr>
            </w:pPr>
            <w:r>
              <w:rPr>
                <w:rFonts w:ascii="Arial" w:cs="Arial" w:eastAsia="Arial" w:hAnsi="Arial"/>
                <w:sz w:val="17"/>
                <w:szCs w:val="17"/>
                <w:color w:val="auto"/>
              </w:rPr>
              <w:t>Interest rate swap</w:t>
            </w:r>
          </w:p>
        </w:tc>
        <w:tc>
          <w:tcPr>
            <w:tcW w:w="1160" w:type="dxa"/>
            <w:vAlign w:val="bottom"/>
            <w:gridSpan w:val="3"/>
          </w:tcPr>
          <w:p>
            <w:pPr>
              <w:jc w:val="right"/>
              <w:spacing w:after="0" w:line="176" w:lineRule="exact"/>
              <w:rPr>
                <w:sz w:val="20"/>
                <w:szCs w:val="20"/>
                <w:color w:val="auto"/>
              </w:rPr>
            </w:pPr>
            <w:r>
              <w:rPr>
                <w:rFonts w:ascii="Arial" w:cs="Arial" w:eastAsia="Arial" w:hAnsi="Arial"/>
                <w:sz w:val="17"/>
                <w:szCs w:val="17"/>
                <w:color w:val="auto"/>
              </w:rPr>
              <w:t>1/22/2023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150,000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spacing w:after="0" w:line="176" w:lineRule="exact"/>
              <w:rPr>
                <w:sz w:val="20"/>
                <w:szCs w:val="20"/>
                <w:color w:val="auto"/>
              </w:rPr>
            </w:pPr>
            <w:r>
              <w:rPr>
                <w:rFonts w:ascii="Arial" w:cs="Arial" w:eastAsia="Arial" w:hAnsi="Arial"/>
                <w:sz w:val="17"/>
                <w:szCs w:val="17"/>
                <w:color w:val="auto"/>
              </w:rPr>
              <w:t>(839 )</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80"/>
              <w:spacing w:after="0" w:line="176" w:lineRule="exact"/>
              <w:rPr>
                <w:sz w:val="20"/>
                <w:szCs w:val="20"/>
                <w:color w:val="auto"/>
              </w:rPr>
            </w:pPr>
            <w:r>
              <w:rPr>
                <w:rFonts w:ascii="Arial" w:cs="Arial" w:eastAsia="Arial" w:hAnsi="Arial"/>
                <w:sz w:val="17"/>
                <w:szCs w:val="17"/>
                <w:color w:val="auto"/>
              </w:rPr>
              <w:t>1,688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849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4"/>
          </w:tcPr>
          <w:p>
            <w:pPr>
              <w:jc w:val="right"/>
              <w:spacing w:after="0" w:line="176" w:lineRule="exact"/>
              <w:rPr>
                <w:sz w:val="20"/>
                <w:szCs w:val="20"/>
                <w:color w:val="auto"/>
              </w:rPr>
            </w:pPr>
            <w:r>
              <w:rPr>
                <w:rFonts w:ascii="Arial" w:cs="Arial" w:eastAsia="Arial" w:hAnsi="Arial"/>
                <w:sz w:val="17"/>
                <w:szCs w:val="17"/>
                <w:color w:val="auto"/>
              </w:rPr>
              <w:t>(1,680 )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3,375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7"/>
                <w:szCs w:val="17"/>
                <w:color w:val="auto"/>
              </w:rPr>
              <w:t>1,695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1840" w:type="dxa"/>
            <w:vAlign w:val="bottom"/>
          </w:tcPr>
          <w:p>
            <w:pPr>
              <w:ind w:left="20"/>
              <w:spacing w:after="0" w:line="247"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2"/>
                <w:szCs w:val="22"/>
                <w:color w:val="auto"/>
                <w:vertAlign w:val="superscript"/>
              </w:rPr>
              <w:t>(1)</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6/9/2023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(4 )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62"/>
              <w:spacing w:after="0"/>
              <w:rPr>
                <w:sz w:val="20"/>
                <w:szCs w:val="20"/>
                <w:color w:val="auto"/>
              </w:rPr>
            </w:pPr>
            <w:r>
              <w:rPr>
                <w:rFonts w:ascii="Arial" w:cs="Arial" w:eastAsia="Arial" w:hAnsi="Arial"/>
                <w:sz w:val="17"/>
                <w:szCs w:val="17"/>
                <w:color w:val="auto"/>
              </w:rPr>
              <w:t>(1 )</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w w:val="86"/>
              </w:rPr>
              <w:t>(8 )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(3 )</w:t>
            </w:r>
          </w:p>
        </w:tc>
        <w:tc>
          <w:tcPr>
            <w:tcW w:w="0" w:type="dxa"/>
            <w:vAlign w:val="bottom"/>
          </w:tcPr>
          <w:p>
            <w:pPr>
              <w:spacing w:after="0"/>
              <w:rPr>
                <w:sz w:val="1"/>
                <w:szCs w:val="1"/>
                <w:color w:val="auto"/>
              </w:rPr>
            </w:pPr>
          </w:p>
        </w:tc>
      </w:tr>
      <w:tr>
        <w:trPr>
          <w:trHeight w:val="203"/>
        </w:trPr>
        <w:tc>
          <w:tcPr>
            <w:tcW w:w="184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Interest rate swap</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11/1/2024</w:t>
            </w: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300,000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(1,881 )</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2,906</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1,025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4"/>
            <w:shd w:val="clear" w:color="auto" w:fill="CFF0FC"/>
          </w:tcPr>
          <w:p>
            <w:pPr>
              <w:jc w:val="right"/>
              <w:spacing w:after="0"/>
              <w:rPr>
                <w:sz w:val="20"/>
                <w:szCs w:val="20"/>
                <w:color w:val="auto"/>
              </w:rPr>
            </w:pPr>
            <w:r>
              <w:rPr>
                <w:rFonts w:ascii="Arial" w:cs="Arial" w:eastAsia="Arial" w:hAnsi="Arial"/>
                <w:sz w:val="17"/>
                <w:szCs w:val="17"/>
                <w:color w:val="auto"/>
              </w:rPr>
              <w:t>(3,696 )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5,812</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11/1/2024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50,000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(340 )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484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144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(664 )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969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Interest rate swap</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11/1/2024</w:t>
            </w: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2,500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(24 )</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62"/>
              <w:spacing w:after="0"/>
              <w:rPr>
                <w:sz w:val="20"/>
                <w:szCs w:val="20"/>
                <w:color w:val="auto"/>
              </w:rPr>
            </w:pPr>
            <w:r>
              <w:rPr>
                <w:rFonts w:ascii="Arial" w:cs="Arial" w:eastAsia="Arial" w:hAnsi="Arial"/>
                <w:sz w:val="17"/>
                <w:szCs w:val="17"/>
                <w:color w:val="auto"/>
              </w:rPr>
              <w:t>(8 )</w:t>
            </w:r>
          </w:p>
        </w:tc>
        <w:tc>
          <w:tcPr>
            <w:tcW w:w="100" w:type="dxa"/>
            <w:vAlign w:val="bottom"/>
            <w:shd w:val="clear" w:color="auto" w:fill="CFF0FC"/>
          </w:tcPr>
          <w:p>
            <w:pPr>
              <w:spacing w:after="0"/>
              <w:rPr>
                <w:sz w:val="17"/>
                <w:szCs w:val="17"/>
                <w:color w:val="auto"/>
              </w:rPr>
            </w:pPr>
          </w:p>
        </w:tc>
        <w:tc>
          <w:tcPr>
            <w:tcW w:w="900" w:type="dxa"/>
            <w:vAlign w:val="bottom"/>
            <w:gridSpan w:val="4"/>
            <w:shd w:val="clear" w:color="auto" w:fill="CFF0FC"/>
          </w:tcPr>
          <w:p>
            <w:pPr>
              <w:jc w:val="right"/>
              <w:spacing w:after="0"/>
              <w:rPr>
                <w:sz w:val="20"/>
                <w:szCs w:val="20"/>
                <w:color w:val="auto"/>
              </w:rPr>
            </w:pPr>
            <w:r>
              <w:rPr>
                <w:rFonts w:ascii="Arial" w:cs="Arial" w:eastAsia="Arial" w:hAnsi="Arial"/>
                <w:sz w:val="17"/>
                <w:szCs w:val="17"/>
                <w:color w:val="auto"/>
              </w:rPr>
              <w:t>(47 )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31</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(16 )</w:t>
            </w:r>
          </w:p>
        </w:tc>
        <w:tc>
          <w:tcPr>
            <w:tcW w:w="0" w:type="dxa"/>
            <w:vAlign w:val="bottom"/>
          </w:tcPr>
          <w:p>
            <w:pPr>
              <w:spacing w:after="0"/>
              <w:rPr>
                <w:sz w:val="1"/>
                <w:szCs w:val="1"/>
                <w:color w:val="auto"/>
              </w:rPr>
            </w:pPr>
          </w:p>
        </w:tc>
      </w:tr>
      <w:tr>
        <w:trPr>
          <w:trHeight w:val="203"/>
        </w:trPr>
        <w:tc>
          <w:tcPr>
            <w:tcW w:w="184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8/1/2026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300,000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(1,618 )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1,875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257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4"/>
          </w:tcPr>
          <w:p>
            <w:pPr>
              <w:jc w:val="right"/>
              <w:spacing w:after="0"/>
              <w:rPr>
                <w:sz w:val="20"/>
                <w:szCs w:val="20"/>
                <w:color w:val="auto"/>
              </w:rPr>
            </w:pPr>
            <w:r>
              <w:rPr>
                <w:rFonts w:ascii="Arial" w:cs="Arial" w:eastAsia="Arial" w:hAnsi="Arial"/>
                <w:sz w:val="17"/>
                <w:szCs w:val="17"/>
                <w:color w:val="auto"/>
              </w:rPr>
              <w:t>(2,472 )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2,958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b w:val="1"/>
                <w:bCs w:val="1"/>
                <w:color w:val="auto"/>
              </w:rPr>
              <w:t>Total</w:t>
            </w:r>
          </w:p>
        </w:tc>
        <w:tc>
          <w:tcPr>
            <w:tcW w:w="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right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1,021,391</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(6,096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9,091</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2,995</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right w:val="single" w:sz="8" w:color="CFF0FC"/>
            </w:tcBorders>
            <w:gridSpan w:val="3"/>
            <w:shd w:val="clear" w:color="auto" w:fill="CFF0FC"/>
          </w:tcPr>
          <w:p>
            <w:pPr>
              <w:jc w:val="right"/>
              <w:spacing w:after="0"/>
              <w:rPr>
                <w:sz w:val="20"/>
                <w:szCs w:val="20"/>
                <w:color w:val="auto"/>
              </w:rPr>
            </w:pPr>
            <w:r>
              <w:rPr>
                <w:rFonts w:ascii="Arial" w:cs="Arial" w:eastAsia="Arial" w:hAnsi="Arial"/>
                <w:sz w:val="17"/>
                <w:szCs w:val="17"/>
                <w:color w:val="auto"/>
              </w:rPr>
              <w:t>(11,352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17,393</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6,041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-2371090</wp:posOffset>
            </wp:positionV>
            <wp:extent cx="76835"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-2371090</wp:posOffset>
            </wp:positionV>
            <wp:extent cx="76835"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-2371090</wp:posOffset>
            </wp:positionV>
            <wp:extent cx="6858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-2371090</wp:posOffset>
            </wp:positionV>
            <wp:extent cx="6858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-2371090</wp:posOffset>
            </wp:positionV>
            <wp:extent cx="6858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-2371090</wp:posOffset>
            </wp:positionV>
            <wp:extent cx="6858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-2371090</wp:posOffset>
            </wp:positionV>
            <wp:extent cx="6858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-1704975</wp:posOffset>
            </wp:positionV>
            <wp:extent cx="7132320" cy="1289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-933450</wp:posOffset>
            </wp:positionV>
            <wp:extent cx="7132320" cy="1289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-24765</wp:posOffset>
            </wp:positionV>
            <wp:extent cx="7683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-7620</wp:posOffset>
            </wp:positionV>
            <wp:extent cx="768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-24765</wp:posOffset>
            </wp:positionV>
            <wp:extent cx="7683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-7620</wp:posOffset>
            </wp:positionV>
            <wp:extent cx="768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-24765</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-7620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left="520" w:right="100" w:hanging="512"/>
        <w:spacing w:after="0" w:line="261"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be more or less than the Company’s investment in individual portfolio companies as a result of arrangements with other lenders in the syndicate, amortization, or interest income paid-in-kind.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0" w:name="page31"/>
    <w:bookmarkEnd w:id="30"/>
    <w:p>
      <w:pPr>
        <w:ind w:right="120" w:firstLine="255"/>
        <w:spacing w:after="0" w:line="276" w:lineRule="auto"/>
        <w:rPr>
          <w:sz w:val="20"/>
          <w:szCs w:val="20"/>
          <w:color w:val="auto"/>
        </w:rPr>
      </w:pPr>
      <w:r>
        <w:rPr>
          <w:rFonts w:ascii="Arial" w:cs="Arial" w:eastAsia="Arial" w:hAnsi="Arial"/>
          <w:sz w:val="16"/>
          <w:szCs w:val="16"/>
          <w:color w:val="auto"/>
        </w:rPr>
        <w:t>For the three and six months ended June 30, 2022, the Company recognized $1.7 million and $4.6 million, respectively, in net change in unrealized losses, on interest rate swaps not designated as hedging instruments in the consolidated statement of operations related to the swap transactions. For the three and six months ended June 30, 2022, the Company recognized $8.1 million and $35.3 million in net change in unrealized losses, respectively, on interest rate swaps designated as hedging instruments as a component of interest expense in the consolidated statement of operations. For the three and six months ended June 30, 2022, this amount is offset by a decrease of $3.7 million and $16.9 million, respectively, for a change in the carrying value of the 2024 Notes and a decrease of $4.4 million and $18.4 million, respectively, for a change in carrying value of the 2026 Notes.</w:t>
      </w:r>
    </w:p>
    <w:p>
      <w:pPr>
        <w:spacing w:after="0" w:line="162" w:lineRule="exact"/>
        <w:rPr>
          <w:sz w:val="20"/>
          <w:szCs w:val="20"/>
          <w:color w:val="auto"/>
        </w:rPr>
      </w:pPr>
    </w:p>
    <w:p>
      <w:pPr>
        <w:ind w:firstLine="255"/>
        <w:spacing w:after="0" w:line="239" w:lineRule="auto"/>
        <w:rPr>
          <w:sz w:val="20"/>
          <w:szCs w:val="20"/>
          <w:color w:val="auto"/>
        </w:rPr>
      </w:pPr>
      <w:r>
        <w:rPr>
          <w:rFonts w:ascii="Arial" w:cs="Arial" w:eastAsia="Arial" w:hAnsi="Arial"/>
          <w:sz w:val="18"/>
          <w:szCs w:val="18"/>
          <w:color w:val="auto"/>
        </w:rPr>
        <w:t>For the three and six months ended June 30, 2021, the Company recognized $1.5 million and $3.3 million, respectively in net change in unrealized losses, on interest rate swaps not designated as hedging instruments in the consolidated statement of operations related to the swap transactions. For the three and six months ended June 30, 2021, the Company recognized $2.3 million in net change in unrealized gains and $12.3 million in net change in unrealized losses, respectively, on interest rate swaps designated as hedging instruments as a component of interest expense in the consolidated statement of operations. For the three and six months ended June 30, 2021, this amount is offset by a decrease of $0.5 million and $6.1 million, respectively, for a change in the carrying value of the 2024 Notes and an increase of $2.8 million and a decrease of $6.2 million, respectively, for a change in carrying value of the 2026 Notes.</w:t>
      </w:r>
    </w:p>
    <w:p>
      <w:pPr>
        <w:spacing w:after="0" w:line="191" w:lineRule="exact"/>
        <w:rPr>
          <w:sz w:val="20"/>
          <w:szCs w:val="20"/>
          <w:color w:val="auto"/>
        </w:rPr>
      </w:pPr>
    </w:p>
    <w:p>
      <w:pPr>
        <w:ind w:right="180" w:firstLine="255"/>
        <w:spacing w:after="0" w:line="248" w:lineRule="auto"/>
        <w:rPr>
          <w:sz w:val="20"/>
          <w:szCs w:val="20"/>
          <w:color w:val="auto"/>
        </w:rPr>
      </w:pPr>
      <w:r>
        <w:rPr>
          <w:rFonts w:ascii="Arial" w:cs="Arial" w:eastAsia="Arial" w:hAnsi="Arial"/>
          <w:sz w:val="18"/>
          <w:szCs w:val="18"/>
          <w:color w:val="auto"/>
        </w:rPr>
        <w:t>As of June 30, 2022, the swap transactions had a fair value of ($41.5) million which is netted against cash collateral on the Company’s consolidated balance sheet. As of December 31, 2021, the swap transactions had a fair value of ($1.6) million which is netted against cash collateral on the Company’s consolidated balance sheet.</w:t>
      </w:r>
    </w:p>
    <w:p>
      <w:pPr>
        <w:spacing w:after="0" w:line="182" w:lineRule="exact"/>
        <w:rPr>
          <w:sz w:val="20"/>
          <w:szCs w:val="20"/>
          <w:color w:val="auto"/>
        </w:rPr>
      </w:pPr>
    </w:p>
    <w:p>
      <w:pPr>
        <w:ind w:right="60" w:firstLine="255"/>
        <w:spacing w:after="0" w:line="241" w:lineRule="auto"/>
        <w:rPr>
          <w:sz w:val="20"/>
          <w:szCs w:val="20"/>
          <w:color w:val="auto"/>
        </w:rPr>
      </w:pPr>
      <w:r>
        <w:rPr>
          <w:rFonts w:ascii="Arial" w:cs="Arial" w:eastAsia="Arial" w:hAnsi="Arial"/>
          <w:sz w:val="18"/>
          <w:szCs w:val="18"/>
          <w:color w:val="auto"/>
        </w:rPr>
        <w:t>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89" w:lineRule="exact"/>
        <w:rPr>
          <w:sz w:val="20"/>
          <w:szCs w:val="20"/>
          <w:color w:val="auto"/>
        </w:rPr>
      </w:pPr>
    </w:p>
    <w:p>
      <w:pPr>
        <w:ind w:right="300" w:firstLine="255"/>
        <w:spacing w:after="0" w:line="243" w:lineRule="auto"/>
        <w:rPr>
          <w:sz w:val="20"/>
          <w:szCs w:val="20"/>
          <w:color w:val="auto"/>
        </w:rPr>
      </w:pPr>
      <w:r>
        <w:rPr>
          <w:rFonts w:ascii="Arial" w:cs="Arial" w:eastAsia="Arial" w:hAnsi="Arial"/>
          <w:sz w:val="18"/>
          <w:szCs w:val="18"/>
          <w:color w:val="auto"/>
        </w:rPr>
        <w:t>As of June 30, 2022, $21.4 million of cash is pledged as collateral under the Company’s derivative agreements and is included in restricted cash as a component of cash and cash equivalents on the Company’s consolidated balance sheet. As of December 31, 2021, $14.4 million of cash is pledged as collateral under the Company’s derivative agreements and is included in restricted cash as a component of cash and cash equivalents on the Company’s consolidated balance sheet.</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316" w:lineRule="exact"/>
        <w:rPr>
          <w:sz w:val="20"/>
          <w:szCs w:val="20"/>
          <w:color w:val="auto"/>
        </w:rPr>
      </w:pPr>
    </w:p>
    <w:p>
      <w:pPr>
        <w:ind w:right="8300" w:firstLine="8"/>
        <w:spacing w:after="0" w:line="362" w:lineRule="auto"/>
        <w:tabs>
          <w:tab w:leader="none" w:pos="1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Investments</w:t>
      </w: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fair value measurements of investments as of June 30, 2022 and 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4"/>
              </w:rPr>
              <w:t>Fair Value Hierarchy at June 30, 2022</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Level 2</w:t>
            </w:r>
          </w:p>
        </w:tc>
        <w:tc>
          <w:tcPr>
            <w:tcW w:w="1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4"/>
                <w:szCs w:val="14"/>
                <w:color w:val="auto"/>
              </w:rPr>
            </w:pPr>
          </w:p>
        </w:tc>
        <w:tc>
          <w:tcPr>
            <w:tcW w:w="860" w:type="dxa"/>
            <w:vAlign w:val="bottom"/>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3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First-lien debt investments</w:t>
            </w:r>
          </w:p>
        </w:tc>
        <w:tc>
          <w:tcPr>
            <w:tcW w:w="10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316</w:t>
            </w:r>
          </w:p>
        </w:tc>
        <w:tc>
          <w:tcPr>
            <w:tcW w:w="1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2,295,057</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2,295,373</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Second-lien debt investments</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41,523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41,523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Mezzanine debt investments</w:t>
            </w: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10,397</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10,397</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Equity and other investments</w:t>
            </w:r>
          </w:p>
        </w:tc>
        <w:tc>
          <w:tcPr>
            <w:tcW w:w="1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8,298</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43,218</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137,581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189,097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38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investments at fair value</w:t>
            </w: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8,298</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43,534</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2,484,558</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2,536,390</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Interest rate swaps</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(41,459 )</w:t>
            </w:r>
          </w:p>
        </w:tc>
        <w:tc>
          <w:tcPr>
            <w:tcW w:w="18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(41,459 )</w:t>
            </w: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338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b w:val="1"/>
                <w:bCs w:val="1"/>
                <w:color w:val="auto"/>
              </w:rPr>
              <w:t>Total</w:t>
            </w:r>
          </w:p>
        </w:tc>
        <w:tc>
          <w:tcPr>
            <w:tcW w:w="10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8,298</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2,075</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2,484,558</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2,494,931</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615"/>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60" w:type="dxa"/>
            <w:vAlign w:val="bottom"/>
            <w:gridSpan w:val="2"/>
          </w:tcPr>
          <w:p>
            <w:pPr>
              <w:ind w:left="1020"/>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-504825</wp:posOffset>
            </wp:positionV>
            <wp:extent cx="603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-488315</wp:posOffset>
            </wp:positionV>
            <wp:extent cx="6032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-504825</wp:posOffset>
            </wp:positionV>
            <wp:extent cx="514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-488315</wp:posOffset>
            </wp:positionV>
            <wp:extent cx="5143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-504825</wp:posOffset>
            </wp:positionV>
            <wp:extent cx="514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-488315</wp:posOffset>
            </wp:positionV>
            <wp:extent cx="5143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-504825</wp:posOffset>
            </wp:positionV>
            <wp:extent cx="514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-488315</wp:posOffset>
            </wp:positionV>
            <wp:extent cx="5143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1" w:name="page32"/>
    <w:bookmarkEnd w:id="31"/>
    <w:tbl>
      <w:tblPr>
        <w:tblLayout w:type="fixed"/>
        <w:tblInd w:w="114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8"/>
          </w:tcPr>
          <w:p>
            <w:pPr>
              <w:jc w:val="right"/>
              <w:ind w:right="27"/>
              <w:spacing w:after="0"/>
              <w:rPr>
                <w:sz w:val="20"/>
                <w:szCs w:val="20"/>
                <w:color w:val="auto"/>
              </w:rPr>
            </w:pPr>
            <w:r>
              <w:rPr>
                <w:rFonts w:ascii="Arial" w:cs="Arial" w:eastAsia="Arial" w:hAnsi="Arial"/>
                <w:sz w:val="14"/>
                <w:szCs w:val="14"/>
                <w:b w:val="1"/>
                <w:bCs w:val="1"/>
                <w:color w:val="auto"/>
                <w:w w:val="93"/>
              </w:rPr>
              <w:t>Fair Value Hierarchy at December 31, 2021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52"/>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r>
      <w:tr>
        <w:trPr>
          <w:trHeight w:val="196"/>
        </w:trPr>
        <w:tc>
          <w:tcPr>
            <w:tcW w:w="4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First-lien debt investments</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2,298,856</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2,298,856</w:t>
            </w:r>
          </w:p>
        </w:tc>
        <w:tc>
          <w:tcPr>
            <w:tcW w:w="80" w:type="dxa"/>
            <w:vAlign w:val="bottom"/>
            <w:shd w:val="clear" w:color="auto" w:fill="CFF0FC"/>
          </w:tcPr>
          <w:p>
            <w:pPr>
              <w:spacing w:after="0"/>
              <w:rPr>
                <w:sz w:val="17"/>
                <w:szCs w:val="17"/>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Second-lien debt investments</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42,729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42,729</w:t>
            </w:r>
          </w:p>
        </w:tc>
        <w:tc>
          <w:tcPr>
            <w:tcW w:w="80" w:type="dxa"/>
            <w:vAlign w:val="bottom"/>
          </w:tcPr>
          <w:p>
            <w:pPr>
              <w:spacing w:after="0"/>
              <w:rPr>
                <w:sz w:val="17"/>
                <w:szCs w:val="17"/>
                <w:color w:val="auto"/>
              </w:rPr>
            </w:pPr>
          </w:p>
        </w:tc>
      </w:tr>
      <w:tr>
        <w:trPr>
          <w:trHeight w:val="203"/>
        </w:trPr>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Mezzanine debt investments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18,549</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18,549</w:t>
            </w:r>
          </w:p>
        </w:tc>
        <w:tc>
          <w:tcPr>
            <w:tcW w:w="80" w:type="dxa"/>
            <w:vAlign w:val="bottom"/>
            <w:shd w:val="clear" w:color="auto" w:fill="CFF0FC"/>
          </w:tcPr>
          <w:p>
            <w:pPr>
              <w:spacing w:after="0"/>
              <w:rPr>
                <w:sz w:val="17"/>
                <w:szCs w:val="17"/>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Equity and other investments</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12,154</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32,072</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117,233</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161,459</w:t>
            </w:r>
          </w:p>
        </w:tc>
        <w:tc>
          <w:tcPr>
            <w:tcW w:w="80" w:type="dxa"/>
            <w:vAlign w:val="bottom"/>
          </w:tcPr>
          <w:p>
            <w:pPr>
              <w:spacing w:after="0"/>
              <w:rPr>
                <w:sz w:val="17"/>
                <w:szCs w:val="17"/>
                <w:color w:val="auto"/>
              </w:rPr>
            </w:pPr>
          </w:p>
        </w:tc>
      </w:tr>
      <w:tr>
        <w:trPr>
          <w:trHeight w:val="196"/>
        </w:trPr>
        <w:tc>
          <w:tcPr>
            <w:tcW w:w="438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investments at fair value</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12,154</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74,801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2,434,638</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2,521,593</w:t>
            </w:r>
          </w:p>
        </w:tc>
        <w:tc>
          <w:tcPr>
            <w:tcW w:w="80" w:type="dxa"/>
            <w:vAlign w:val="bottom"/>
            <w:shd w:val="clear" w:color="auto" w:fill="CFF0FC"/>
          </w:tcPr>
          <w:p>
            <w:pPr>
              <w:spacing w:after="0"/>
              <w:rPr>
                <w:sz w:val="17"/>
                <w:szCs w:val="17"/>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Interest rate swaps</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(1,601 )</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(1,601 )</w:t>
            </w:r>
          </w:p>
        </w:tc>
      </w:tr>
      <w:tr>
        <w:trPr>
          <w:trHeight w:val="236"/>
        </w:trPr>
        <w:tc>
          <w:tcPr>
            <w:tcW w:w="438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12,154</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73,200</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2,434,638</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2,519,992</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-24765</wp:posOffset>
            </wp:positionV>
            <wp:extent cx="6032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6032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03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03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143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143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12" w:lineRule="exact"/>
        <w:rPr>
          <w:sz w:val="20"/>
          <w:szCs w:val="20"/>
          <w:color w:val="auto"/>
        </w:rPr>
      </w:pPr>
    </w:p>
    <w:p>
      <w:pPr>
        <w:ind w:right="20" w:firstLine="255"/>
        <w:spacing w:after="0" w:line="261"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six months ended June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4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June 30, 2022</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4"/>
              </w:rPr>
              <w:t>First-lien</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0"/>
              </w:rPr>
              <w:t>Second-lien</w:t>
            </w:r>
          </w:p>
        </w:tc>
        <w:tc>
          <w:tcPr>
            <w:tcW w:w="12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Mezzanine</w:t>
            </w:r>
          </w:p>
        </w:tc>
        <w:tc>
          <w:tcPr>
            <w:tcW w:w="12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8"/>
              </w:rPr>
              <w:t>Equity</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and other</w:t>
            </w:r>
          </w:p>
        </w:tc>
        <w:tc>
          <w:tcPr>
            <w:tcW w:w="280" w:type="dxa"/>
            <w:vAlign w:val="bottom"/>
          </w:tcPr>
          <w:p>
            <w:pPr>
              <w:spacing w:after="0"/>
              <w:rPr>
                <w:sz w:val="12"/>
                <w:szCs w:val="12"/>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2,239,027</w:t>
            </w: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42,511</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14,139</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123,019</w:t>
            </w: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2,418,696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Purchases or originations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298,675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28,501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327,230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Repayments / redemptions</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(215,774 )</w:t>
            </w: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(10 )</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(215,784 )</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Sale Proceeds</w:t>
            </w:r>
          </w:p>
        </w:tc>
        <w:tc>
          <w:tcPr>
            <w:tcW w:w="120" w:type="dxa"/>
            <w:vAlign w:val="bottom"/>
          </w:tcPr>
          <w:p>
            <w:pPr>
              <w:spacing w:after="0"/>
              <w:rPr>
                <w:sz w:val="17"/>
                <w:szCs w:val="17"/>
                <w:color w:val="auto"/>
              </w:rPr>
            </w:pP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(758 )</w:t>
            </w:r>
          </w:p>
        </w:tc>
        <w:tc>
          <w:tcPr>
            <w:tcW w:w="28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(758 )</w:t>
            </w: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Paid-in-kind interest</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3,605</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Net change in unrealized gains (losses)</w:t>
            </w:r>
          </w:p>
        </w:tc>
        <w:tc>
          <w:tcPr>
            <w:tcW w:w="12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(35,068 )</w:t>
            </w:r>
          </w:p>
        </w:tc>
        <w:tc>
          <w:tcPr>
            <w:tcW w:w="12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(1,048 )</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(3,804 )</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(13,536 )</w:t>
            </w:r>
          </w:p>
        </w:tc>
        <w:tc>
          <w:tcPr>
            <w:tcW w:w="28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(53,456 )</w:t>
            </w: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realized gains</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355</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Net amortization of discount on securities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4,590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4,607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Transfers within Level 3</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Transfers into (out of) Level 3</w:t>
            </w:r>
          </w:p>
        </w:tc>
        <w:tc>
          <w:tcPr>
            <w:tcW w:w="120" w:type="dxa"/>
            <w:vAlign w:val="bottom"/>
          </w:tcPr>
          <w:p>
            <w:pPr>
              <w:spacing w:after="0"/>
              <w:rPr>
                <w:sz w:val="17"/>
                <w:szCs w:val="17"/>
                <w:color w:val="auto"/>
              </w:rPr>
            </w:pP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9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2,295,057</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41,523</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10,397</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137,581</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2,484,558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76"/>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3"/>
              </w:rPr>
              <w:t>As of and for the Six Months Ended</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June 30, 2022</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4"/>
              </w:rPr>
              <w:t>First-lien</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0"/>
              </w:rPr>
              <w:t>Second-lien</w:t>
            </w:r>
          </w:p>
        </w:tc>
        <w:tc>
          <w:tcPr>
            <w:tcW w:w="12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Mezzanine</w:t>
            </w:r>
          </w:p>
        </w:tc>
        <w:tc>
          <w:tcPr>
            <w:tcW w:w="12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8"/>
              </w:rPr>
              <w:t>Equity</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and other</w:t>
            </w:r>
          </w:p>
        </w:tc>
        <w:tc>
          <w:tcPr>
            <w:tcW w:w="280" w:type="dxa"/>
            <w:vAlign w:val="bottom"/>
          </w:tcPr>
          <w:p>
            <w:pPr>
              <w:spacing w:after="0"/>
              <w:rPr>
                <w:sz w:val="12"/>
                <w:szCs w:val="12"/>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2,298,856</w:t>
            </w: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18,549</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117,233</w:t>
            </w: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2,434,638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Purchases or originations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378,622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32,776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411,452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Repayments / redemptions</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(361,869 )</w:t>
            </w: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(10 )</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(361,879 )</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Sale Proceeds</w:t>
            </w:r>
          </w:p>
        </w:tc>
        <w:tc>
          <w:tcPr>
            <w:tcW w:w="120" w:type="dxa"/>
            <w:vAlign w:val="bottom"/>
          </w:tcPr>
          <w:p>
            <w:pPr>
              <w:spacing w:after="0"/>
              <w:rPr>
                <w:sz w:val="17"/>
                <w:szCs w:val="17"/>
                <w:color w:val="auto"/>
              </w:rPr>
            </w:pP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(18,315 )</w:t>
            </w:r>
          </w:p>
        </w:tc>
        <w:tc>
          <w:tcPr>
            <w:tcW w:w="28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(18,315 )</w:t>
            </w: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Paid-in-kind interest</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6,637</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6,762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Net change in unrealized gains (losses)</w:t>
            </w:r>
          </w:p>
        </w:tc>
        <w:tc>
          <w:tcPr>
            <w:tcW w:w="12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(36,614 )</w:t>
            </w:r>
          </w:p>
        </w:tc>
        <w:tc>
          <w:tcPr>
            <w:tcW w:w="12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(1,285 )</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(6,145 )</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(10,269 )</w:t>
            </w:r>
          </w:p>
        </w:tc>
        <w:tc>
          <w:tcPr>
            <w:tcW w:w="28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(54,313 )</w:t>
            </w: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realized gains</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14,022</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Net amortization of discount on securities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9,312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9,349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Transfers within Level 3</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(2,134 )</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2,134</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Transfers into (out of) Level 3</w:t>
            </w:r>
          </w:p>
        </w:tc>
        <w:tc>
          <w:tcPr>
            <w:tcW w:w="120" w:type="dxa"/>
            <w:vAlign w:val="bottom"/>
          </w:tcPr>
          <w:p>
            <w:pPr>
              <w:spacing w:after="0"/>
              <w:rPr>
                <w:sz w:val="17"/>
                <w:szCs w:val="17"/>
                <w:color w:val="auto"/>
              </w:rPr>
            </w:pP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42,729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42,729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2,295,057</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41,523</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10,397</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137,581</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2,484,558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-2639695</wp:posOffset>
            </wp:positionV>
            <wp:extent cx="7747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-2622550</wp:posOffset>
            </wp:positionV>
            <wp:extent cx="7747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-2639695</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-2622550</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-2639695</wp:posOffset>
            </wp:positionV>
            <wp:extent cx="685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-2622550</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-2639695</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-2622550</wp:posOffset>
            </wp:positionV>
            <wp:extent cx="6858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-505460</wp:posOffset>
            </wp:positionV>
            <wp:extent cx="7747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-488315</wp:posOffset>
            </wp:positionV>
            <wp:extent cx="7747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-505460</wp:posOffset>
            </wp:positionV>
            <wp:extent cx="6858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-488315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-505460</wp:posOffset>
            </wp:positionV>
            <wp:extent cx="685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-488315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-505460</wp:posOffset>
            </wp:positionV>
            <wp:extent cx="685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-488315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32" w:name="page33"/>
    <w:bookmarkEnd w:id="32"/>
    <w:p>
      <w:pPr>
        <w:ind w:firstLine="281"/>
        <w:spacing w:after="0" w:line="261" w:lineRule="auto"/>
        <w:rPr>
          <w:sz w:val="20"/>
          <w:szCs w:val="20"/>
          <w:color w:val="auto"/>
        </w:rPr>
      </w:pPr>
      <w:r>
        <w:rPr>
          <w:rFonts w:ascii="Arial" w:cs="Arial" w:eastAsia="Arial" w:hAnsi="Arial"/>
          <w:sz w:val="18"/>
          <w:szCs w:val="18"/>
          <w:color w:val="auto"/>
        </w:rPr>
        <w:t>Astra Acquisition Corp. was transferred into Level 3 from Level 2 for fair value measurement purposes during the six months ended June 30, 2022, as a result of changes in the observability of inputs into the security valuation for this portfolio company.</w:t>
      </w:r>
    </w:p>
    <w:p>
      <w:pPr>
        <w:spacing w:after="0" w:line="238" w:lineRule="exact"/>
        <w:rPr>
          <w:sz w:val="20"/>
          <w:szCs w:val="20"/>
          <w:color w:val="auto"/>
        </w:rPr>
      </w:pPr>
    </w:p>
    <w:p>
      <w:pPr>
        <w:ind w:right="260" w:firstLine="281"/>
        <w:spacing w:after="0" w:line="261"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six months ended June 30,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80" w:type="dxa"/>
            <w:vAlign w:val="bottom"/>
            <w:gridSpan w:val="13"/>
          </w:tcPr>
          <w:p>
            <w:pPr>
              <w:jc w:val="right"/>
              <w:ind w:right="590"/>
              <w:spacing w:after="0"/>
              <w:rPr>
                <w:sz w:val="20"/>
                <w:szCs w:val="20"/>
                <w:color w:val="auto"/>
              </w:rPr>
            </w:pPr>
            <w:r>
              <w:rPr>
                <w:rFonts w:ascii="Arial" w:cs="Arial" w:eastAsia="Arial" w:hAnsi="Arial"/>
                <w:sz w:val="14"/>
                <w:szCs w:val="14"/>
                <w:b w:val="1"/>
                <w:bCs w:val="1"/>
                <w:color w:val="auto"/>
              </w:rPr>
              <w:t>As of and for the Three Months Ended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4"/>
              </w:rPr>
              <w:t>First-lien</w:t>
            </w:r>
          </w:p>
        </w:tc>
        <w:tc>
          <w:tcPr>
            <w:tcW w:w="100" w:type="dxa"/>
            <w:vAlign w:val="bottom"/>
          </w:tcPr>
          <w:p>
            <w:pPr>
              <w:spacing w:after="0"/>
              <w:rPr>
                <w:sz w:val="11"/>
                <w:szCs w:val="11"/>
                <w:color w:val="auto"/>
              </w:rPr>
            </w:pPr>
          </w:p>
        </w:tc>
        <w:tc>
          <w:tcPr>
            <w:tcW w:w="1140" w:type="dxa"/>
            <w:vAlign w:val="bottom"/>
            <w:gridSpan w:val="4"/>
          </w:tcPr>
          <w:p>
            <w:pPr>
              <w:jc w:val="center"/>
              <w:ind w:right="340"/>
              <w:spacing w:after="0" w:line="133" w:lineRule="exact"/>
              <w:rPr>
                <w:sz w:val="20"/>
                <w:szCs w:val="20"/>
                <w:color w:val="auto"/>
              </w:rPr>
            </w:pPr>
            <w:r>
              <w:rPr>
                <w:rFonts w:ascii="Arial" w:cs="Arial" w:eastAsia="Arial" w:hAnsi="Arial"/>
                <w:sz w:val="14"/>
                <w:szCs w:val="14"/>
                <w:b w:val="1"/>
                <w:bCs w:val="1"/>
                <w:color w:val="auto"/>
                <w:w w:val="90"/>
              </w:rPr>
              <w:t>Second-lien</w:t>
            </w:r>
          </w:p>
        </w:tc>
        <w:tc>
          <w:tcPr>
            <w:tcW w:w="120" w:type="dxa"/>
            <w:vAlign w:val="bottom"/>
          </w:tcPr>
          <w:p>
            <w:pPr>
              <w:spacing w:after="0"/>
              <w:rPr>
                <w:sz w:val="11"/>
                <w:szCs w:val="11"/>
                <w:color w:val="auto"/>
              </w:rPr>
            </w:pPr>
          </w:p>
        </w:tc>
        <w:tc>
          <w:tcPr>
            <w:tcW w:w="1120" w:type="dxa"/>
            <w:vAlign w:val="bottom"/>
            <w:gridSpan w:val="4"/>
          </w:tcPr>
          <w:p>
            <w:pPr>
              <w:jc w:val="center"/>
              <w:ind w:right="250"/>
              <w:spacing w:after="0" w:line="133" w:lineRule="exact"/>
              <w:rPr>
                <w:sz w:val="20"/>
                <w:szCs w:val="20"/>
                <w:color w:val="auto"/>
              </w:rPr>
            </w:pPr>
            <w:r>
              <w:rPr>
                <w:rFonts w:ascii="Arial" w:cs="Arial" w:eastAsia="Arial" w:hAnsi="Arial"/>
                <w:sz w:val="14"/>
                <w:szCs w:val="14"/>
                <w:b w:val="1"/>
                <w:bCs w:val="1"/>
                <w:color w:val="auto"/>
                <w:w w:val="94"/>
              </w:rPr>
              <w:t>Mezzanine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tcPr>
          <w:p>
            <w:pPr>
              <w:jc w:val="right"/>
              <w:ind w:right="430"/>
              <w:spacing w:after="0" w:line="133" w:lineRule="exact"/>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debt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410"/>
              <w:spacing w:after="0" w:line="149" w:lineRule="exact"/>
              <w:rPr>
                <w:sz w:val="20"/>
                <w:szCs w:val="20"/>
                <w:color w:val="auto"/>
              </w:rPr>
            </w:pPr>
            <w:r>
              <w:rPr>
                <w:rFonts w:ascii="Arial" w:cs="Arial" w:eastAsia="Arial" w:hAnsi="Arial"/>
                <w:sz w:val="14"/>
                <w:szCs w:val="14"/>
                <w:b w:val="1"/>
                <w:bCs w:val="1"/>
                <w:color w:val="auto"/>
                <w:w w:val="87"/>
              </w:rPr>
              <w:t>debt</w:t>
            </w:r>
          </w:p>
        </w:tc>
        <w:tc>
          <w:tcPr>
            <w:tcW w:w="140" w:type="dxa"/>
            <w:vAlign w:val="bottom"/>
          </w:tcPr>
          <w:p>
            <w:pPr>
              <w:spacing w:after="0"/>
              <w:rPr>
                <w:sz w:val="12"/>
                <w:szCs w:val="12"/>
                <w:color w:val="auto"/>
              </w:rPr>
            </w:pPr>
          </w:p>
        </w:tc>
        <w:tc>
          <w:tcPr>
            <w:tcW w:w="11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6"/>
                <w:szCs w:val="16"/>
                <w:color w:val="auto"/>
              </w:rPr>
            </w:pPr>
          </w:p>
        </w:tc>
        <w:tc>
          <w:tcPr>
            <w:tcW w:w="1140" w:type="dxa"/>
            <w:vAlign w:val="bottom"/>
            <w:gridSpan w:val="4"/>
          </w:tcPr>
          <w:p>
            <w:pPr>
              <w:ind w:left="4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6"/>
                <w:szCs w:val="16"/>
                <w:color w:val="auto"/>
              </w:rPr>
            </w:pPr>
          </w:p>
        </w:tc>
        <w:tc>
          <w:tcPr>
            <w:tcW w:w="1120" w:type="dxa"/>
            <w:vAlign w:val="bottom"/>
            <w:gridSpan w:val="4"/>
          </w:tcPr>
          <w:p>
            <w:pPr>
              <w:jc w:val="center"/>
              <w:ind w:right="250"/>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6"/>
                <w:szCs w:val="16"/>
                <w:color w:val="auto"/>
              </w:rPr>
            </w:pPr>
          </w:p>
        </w:tc>
        <w:tc>
          <w:tcPr>
            <w:tcW w:w="110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w w:val="88"/>
              </w:rPr>
              <w:t>investments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beginning of period</w:t>
            </w:r>
          </w:p>
        </w:tc>
        <w:tc>
          <w:tcPr>
            <w:tcW w:w="18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2,253,180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tcBorders>
              <w:top w:val="single" w:sz="8" w:color="auto"/>
            </w:tcBorders>
            <w:gridSpan w:val="2"/>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5,506</w:t>
            </w: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14,171</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68,040</w:t>
            </w: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2,340,897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line="202" w:lineRule="exact"/>
              <w:rPr>
                <w:sz w:val="20"/>
                <w:szCs w:val="20"/>
                <w:color w:val="auto"/>
              </w:rPr>
            </w:pPr>
            <w:r>
              <w:rPr>
                <w:rFonts w:ascii="Arial" w:cs="Arial" w:eastAsia="Arial" w:hAnsi="Arial"/>
                <w:sz w:val="18"/>
                <w:szCs w:val="18"/>
                <w:color w:val="auto"/>
              </w:rPr>
              <w:t>Purchases or originations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246,741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3,960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18,072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268,773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Repayments / redemptions</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(110,026 )</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(299 )</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(110,325 )</w:t>
            </w: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line="202" w:lineRule="exact"/>
              <w:rPr>
                <w:sz w:val="20"/>
                <w:szCs w:val="20"/>
                <w:color w:val="auto"/>
              </w:rPr>
            </w:pPr>
            <w:r>
              <w:rPr>
                <w:rFonts w:ascii="Arial" w:cs="Arial" w:eastAsia="Arial" w:hAnsi="Arial"/>
                <w:sz w:val="18"/>
                <w:szCs w:val="18"/>
                <w:color w:val="auto"/>
              </w:rPr>
              <w:t>Paid-in-kind interest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change in unrealized gains</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3,310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596</w:t>
            </w: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4,347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17,145</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25,398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line="202" w:lineRule="exact"/>
              <w:rPr>
                <w:sz w:val="20"/>
                <w:szCs w:val="20"/>
                <w:color w:val="auto"/>
              </w:rPr>
            </w:pPr>
            <w:r>
              <w:rPr>
                <w:rFonts w:ascii="Arial" w:cs="Arial" w:eastAsia="Arial" w:hAnsi="Arial"/>
                <w:sz w:val="18"/>
                <w:szCs w:val="18"/>
                <w:color w:val="auto"/>
              </w:rPr>
              <w:t>Net realized gains (losses)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(3 )</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299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amortization of discount on securities</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3,403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line="202" w:lineRule="exact"/>
              <w:rPr>
                <w:sz w:val="20"/>
                <w:szCs w:val="20"/>
                <w:color w:val="auto"/>
              </w:rPr>
            </w:pPr>
            <w:r>
              <w:rPr>
                <w:rFonts w:ascii="Arial" w:cs="Arial" w:eastAsia="Arial" w:hAnsi="Arial"/>
                <w:sz w:val="18"/>
                <w:szCs w:val="18"/>
                <w:color w:val="auto"/>
              </w:rPr>
              <w:t>Transfers within Level 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(1,816 )</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1,816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Transfers into (out of) Level 3</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(4,180 )</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(4,180 )</w:t>
            </w:r>
          </w:p>
        </w:tc>
        <w:tc>
          <w:tcPr>
            <w:tcW w:w="0" w:type="dxa"/>
            <w:vAlign w:val="bottom"/>
          </w:tcPr>
          <w:p>
            <w:pPr>
              <w:spacing w:after="0"/>
              <w:rPr>
                <w:sz w:val="1"/>
                <w:szCs w:val="1"/>
                <w:color w:val="auto"/>
              </w:rPr>
            </w:pPr>
          </w:p>
        </w:tc>
      </w:tr>
      <w:tr>
        <w:trPr>
          <w:trHeight w:val="196"/>
        </w:trPr>
        <w:tc>
          <w:tcPr>
            <w:tcW w:w="498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b w:val="1"/>
                <w:bCs w:val="1"/>
                <w:color w:val="auto"/>
              </w:rPr>
              <w:t>Balance, End of Period</w:t>
            </w:r>
          </w:p>
        </w:tc>
        <w:tc>
          <w:tcPr>
            <w:tcW w:w="1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2,398,267</w:t>
            </w: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gridSpan w:val="2"/>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6,285</w:t>
            </w:r>
          </w:p>
        </w:tc>
        <w:tc>
          <w:tcPr>
            <w:tcW w:w="22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16,758</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105,073</w:t>
            </w: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2,526,383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4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gridSpan w:val="13"/>
          </w:tcPr>
          <w:p>
            <w:pPr>
              <w:jc w:val="right"/>
              <w:ind w:right="650"/>
              <w:spacing w:after="0"/>
              <w:rPr>
                <w:sz w:val="20"/>
                <w:szCs w:val="20"/>
                <w:color w:val="auto"/>
              </w:rPr>
            </w:pPr>
            <w:r>
              <w:rPr>
                <w:rFonts w:ascii="Arial" w:cs="Arial" w:eastAsia="Arial" w:hAnsi="Arial"/>
                <w:sz w:val="14"/>
                <w:szCs w:val="14"/>
                <w:b w:val="1"/>
                <w:bCs w:val="1"/>
                <w:color w:val="auto"/>
              </w:rPr>
              <w:t>As of and for the Six Months Ended</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92"/>
              </w:rPr>
              <w:t>June 30, 2021</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98"/>
              </w:rPr>
              <w:t>First-lien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jc w:val="center"/>
              <w:ind w:right="180"/>
              <w:spacing w:after="0" w:line="133" w:lineRule="exact"/>
              <w:rPr>
                <w:sz w:val="20"/>
                <w:szCs w:val="20"/>
                <w:color w:val="auto"/>
              </w:rPr>
            </w:pPr>
            <w:r>
              <w:rPr>
                <w:rFonts w:ascii="Arial" w:cs="Arial" w:eastAsia="Arial" w:hAnsi="Arial"/>
                <w:sz w:val="14"/>
                <w:szCs w:val="14"/>
                <w:b w:val="1"/>
                <w:bCs w:val="1"/>
                <w:color w:val="auto"/>
                <w:w w:val="88"/>
              </w:rPr>
              <w:t>Second-lien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0"/>
              <w:spacing w:after="0" w:line="133" w:lineRule="exact"/>
              <w:rPr>
                <w:sz w:val="20"/>
                <w:szCs w:val="20"/>
                <w:color w:val="auto"/>
              </w:rPr>
            </w:pPr>
            <w:r>
              <w:rPr>
                <w:rFonts w:ascii="Arial" w:cs="Arial" w:eastAsia="Arial" w:hAnsi="Arial"/>
                <w:sz w:val="14"/>
                <w:szCs w:val="14"/>
                <w:b w:val="1"/>
                <w:bCs w:val="1"/>
                <w:color w:val="auto"/>
                <w:w w:val="94"/>
              </w:rPr>
              <w:t>Mezzanine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30"/>
              <w:spacing w:after="0" w:line="133"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debt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debt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0"/>
              <w:spacing w:after="0" w:line="149" w:lineRule="exact"/>
              <w:rPr>
                <w:sz w:val="20"/>
                <w:szCs w:val="20"/>
                <w:color w:val="auto"/>
              </w:rPr>
            </w:pPr>
            <w:r>
              <w:rPr>
                <w:rFonts w:ascii="Arial" w:cs="Arial" w:eastAsia="Arial" w:hAnsi="Arial"/>
                <w:sz w:val="14"/>
                <w:szCs w:val="14"/>
                <w:b w:val="1"/>
                <w:bCs w:val="1"/>
                <w:color w:val="auto"/>
                <w:w w:val="90"/>
              </w:rPr>
              <w:t>and other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88"/>
              </w:rPr>
              <w:t>investments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90"/>
              </w:rPr>
              <w:t>investments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beginning of period</w:t>
            </w:r>
          </w:p>
        </w:tc>
        <w:tc>
          <w:tcPr>
            <w:tcW w:w="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2,158,551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5,037</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10,982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75,150</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2,249,720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line="202" w:lineRule="exact"/>
              <w:rPr>
                <w:sz w:val="20"/>
                <w:szCs w:val="20"/>
                <w:color w:val="auto"/>
              </w:rPr>
            </w:pPr>
            <w:r>
              <w:rPr>
                <w:rFonts w:ascii="Arial" w:cs="Arial" w:eastAsia="Arial" w:hAnsi="Arial"/>
                <w:sz w:val="18"/>
                <w:szCs w:val="18"/>
                <w:color w:val="auto"/>
              </w:rPr>
              <w:t>Purchases or originations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399,448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18,725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422,678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Repayments / redemptions</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(184,067 )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3"/>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(12,126 )</w:t>
            </w: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(196,193 )</w:t>
            </w: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line="202" w:lineRule="exact"/>
              <w:rPr>
                <w:sz w:val="20"/>
                <w:szCs w:val="20"/>
                <w:color w:val="auto"/>
              </w:rPr>
            </w:pPr>
            <w:r>
              <w:rPr>
                <w:rFonts w:ascii="Arial" w:cs="Arial" w:eastAsia="Arial" w:hAnsi="Arial"/>
                <w:sz w:val="18"/>
                <w:szCs w:val="18"/>
                <w:color w:val="auto"/>
              </w:rPr>
              <w:t>Paid-in-kind interest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3,528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4,183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change in unrealized gains</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14,137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889</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6,891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17,133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39,050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line="202" w:lineRule="exact"/>
              <w:rPr>
                <w:sz w:val="20"/>
                <w:szCs w:val="20"/>
                <w:color w:val="auto"/>
              </w:rPr>
            </w:pPr>
            <w:r>
              <w:rPr>
                <w:rFonts w:ascii="Arial" w:cs="Arial" w:eastAsia="Arial" w:hAnsi="Arial"/>
                <w:sz w:val="18"/>
                <w:szCs w:val="18"/>
                <w:color w:val="auto"/>
              </w:rPr>
              <w:t>Net realized gains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10,988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amortization of discount on securities</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6,643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line="202" w:lineRule="exact"/>
              <w:rPr>
                <w:sz w:val="20"/>
                <w:szCs w:val="20"/>
                <w:color w:val="auto"/>
              </w:rPr>
            </w:pPr>
            <w:r>
              <w:rPr>
                <w:rFonts w:ascii="Arial" w:cs="Arial" w:eastAsia="Arial" w:hAnsi="Arial"/>
                <w:sz w:val="18"/>
                <w:szCs w:val="18"/>
                <w:color w:val="auto"/>
              </w:rPr>
              <w:t>Transfers within Level 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(1,816 )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1,816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Transfers into (out of) Level 3</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(4,180 )</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3"/>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(6,613 )</w:t>
            </w: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(10,793 )</w:t>
            </w:r>
          </w:p>
        </w:tc>
        <w:tc>
          <w:tcPr>
            <w:tcW w:w="0" w:type="dxa"/>
            <w:vAlign w:val="bottom"/>
          </w:tcPr>
          <w:p>
            <w:pPr>
              <w:spacing w:after="0"/>
              <w:rPr>
                <w:sz w:val="1"/>
                <w:szCs w:val="1"/>
                <w:color w:val="auto"/>
              </w:rPr>
            </w:pPr>
          </w:p>
        </w:tc>
      </w:tr>
      <w:tr>
        <w:trPr>
          <w:trHeight w:val="196"/>
        </w:trPr>
        <w:tc>
          <w:tcPr>
            <w:tcW w:w="498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b w:val="1"/>
                <w:bCs w:val="1"/>
                <w:color w:val="auto"/>
              </w:rPr>
              <w:t>Balance, End of Period</w:t>
            </w:r>
          </w:p>
        </w:tc>
        <w:tc>
          <w:tcPr>
            <w:tcW w:w="6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2,398,267</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6,285</w:t>
            </w:r>
          </w:p>
        </w:tc>
        <w:tc>
          <w:tcPr>
            <w:tcW w:w="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16,758</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105,073</w:t>
            </w: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2,526,383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-2302510</wp:posOffset>
            </wp:positionV>
            <wp:extent cx="7747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-2302510</wp:posOffset>
            </wp:positionV>
            <wp:extent cx="76835"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-2302510</wp:posOffset>
            </wp:positionV>
            <wp:extent cx="68580"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-2302510</wp:posOffset>
            </wp:positionV>
            <wp:extent cx="6858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-2302510</wp:posOffset>
            </wp:positionV>
            <wp:extent cx="68580"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-159385</wp:posOffset>
            </wp:positionV>
            <wp:extent cx="77470"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-159385</wp:posOffset>
            </wp:positionV>
            <wp:extent cx="76835" cy="57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-159385</wp:posOffset>
            </wp:positionV>
            <wp:extent cx="68580"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-159385</wp:posOffset>
            </wp:positionV>
            <wp:extent cx="68580"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 w:firstLine="255"/>
        <w:spacing w:after="0" w:line="261" w:lineRule="auto"/>
        <w:rPr>
          <w:sz w:val="20"/>
          <w:szCs w:val="20"/>
          <w:color w:val="auto"/>
        </w:rPr>
      </w:pPr>
      <w:r>
        <w:rPr>
          <w:rFonts w:ascii="Arial" w:cs="Arial" w:eastAsia="Arial" w:hAnsi="Arial"/>
          <w:sz w:val="18"/>
          <w:szCs w:val="18"/>
          <w:color w:val="auto"/>
        </w:rPr>
        <w:t>The following tables present information with respect to the net change in unrealized gains or losses on investments for which Level 3 inputs were used in determining fair value that are still held by the Company at June 30, 2022 and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3"/>
              </w:rPr>
              <w:t>Net Change in Unrealized</w:t>
            </w:r>
          </w:p>
        </w:tc>
        <w:tc>
          <w:tcPr>
            <w:tcW w:w="140" w:type="dxa"/>
            <w:vAlign w:val="bottom"/>
          </w:tcPr>
          <w:p>
            <w:pPr>
              <w:spacing w:after="0"/>
              <w:rPr>
                <w:sz w:val="15"/>
                <w:szCs w:val="15"/>
                <w:color w:val="auto"/>
              </w:rPr>
            </w:pPr>
          </w:p>
        </w:tc>
        <w:tc>
          <w:tcPr>
            <w:tcW w:w="196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Net Change in Unrealized</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9"/>
              </w:rPr>
              <w:t>Gains or (Losses)</w:t>
            </w:r>
          </w:p>
        </w:tc>
        <w:tc>
          <w:tcPr>
            <w:tcW w:w="140" w:type="dxa"/>
            <w:vAlign w:val="bottom"/>
          </w:tcPr>
          <w:p>
            <w:pPr>
              <w:spacing w:after="0"/>
              <w:rPr>
                <w:sz w:val="15"/>
                <w:szCs w:val="15"/>
                <w:color w:val="auto"/>
              </w:rPr>
            </w:pPr>
          </w:p>
        </w:tc>
        <w:tc>
          <w:tcPr>
            <w:tcW w:w="196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Gains or (Losses)</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3"/>
              </w:rPr>
              <w:t>for the Three Months Ended</w:t>
            </w:r>
          </w:p>
        </w:tc>
        <w:tc>
          <w:tcPr>
            <w:tcW w:w="140" w:type="dxa"/>
            <w:vAlign w:val="bottom"/>
          </w:tcPr>
          <w:p>
            <w:pPr>
              <w:spacing w:after="0"/>
              <w:rPr>
                <w:sz w:val="15"/>
                <w:szCs w:val="15"/>
                <w:color w:val="auto"/>
              </w:rPr>
            </w:pPr>
          </w:p>
        </w:tc>
        <w:tc>
          <w:tcPr>
            <w:tcW w:w="196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for the Three Months Ended</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0"/>
              </w:rPr>
              <w:t>June 30, 2022 on</w:t>
            </w:r>
          </w:p>
        </w:tc>
        <w:tc>
          <w:tcPr>
            <w:tcW w:w="140" w:type="dxa"/>
            <w:vAlign w:val="bottom"/>
          </w:tcPr>
          <w:p>
            <w:pPr>
              <w:spacing w:after="0"/>
              <w:rPr>
                <w:sz w:val="15"/>
                <w:szCs w:val="15"/>
                <w:color w:val="auto"/>
              </w:rPr>
            </w:pPr>
          </w:p>
        </w:tc>
        <w:tc>
          <w:tcPr>
            <w:tcW w:w="1960" w:type="dxa"/>
            <w:vAlign w:val="bottom"/>
          </w:tcPr>
          <w:p>
            <w:pPr>
              <w:jc w:val="center"/>
              <w:ind w:right="60"/>
              <w:spacing w:after="0"/>
              <w:rPr>
                <w:sz w:val="20"/>
                <w:szCs w:val="20"/>
                <w:color w:val="auto"/>
              </w:rPr>
            </w:pPr>
            <w:r>
              <w:rPr>
                <w:rFonts w:ascii="Arial" w:cs="Arial" w:eastAsia="Arial" w:hAnsi="Arial"/>
                <w:sz w:val="14"/>
                <w:szCs w:val="14"/>
                <w:b w:val="1"/>
                <w:bCs w:val="1"/>
                <w:color w:val="auto"/>
                <w:w w:val="90"/>
              </w:rPr>
              <w:t>June 30, 2021 on</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2"/>
              </w:rPr>
              <w:t>Investments Held at</w:t>
            </w:r>
          </w:p>
        </w:tc>
        <w:tc>
          <w:tcPr>
            <w:tcW w:w="140" w:type="dxa"/>
            <w:vAlign w:val="bottom"/>
          </w:tcPr>
          <w:p>
            <w:pPr>
              <w:spacing w:after="0"/>
              <w:rPr>
                <w:sz w:val="15"/>
                <w:szCs w:val="15"/>
                <w:color w:val="auto"/>
              </w:rPr>
            </w:pPr>
          </w:p>
        </w:tc>
        <w:tc>
          <w:tcPr>
            <w:tcW w:w="196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Investments Held at</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5"/>
        </w:trPr>
        <w:tc>
          <w:tcPr>
            <w:tcW w:w="11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0"/>
              </w:rPr>
              <w:t>June 30, 2022</w:t>
            </w:r>
          </w:p>
        </w:tc>
        <w:tc>
          <w:tcPr>
            <w:tcW w:w="140" w:type="dxa"/>
            <w:vAlign w:val="bottom"/>
          </w:tcPr>
          <w:p>
            <w:pPr>
              <w:spacing w:after="0"/>
              <w:rPr>
                <w:sz w:val="16"/>
                <w:szCs w:val="16"/>
                <w:color w:val="auto"/>
              </w:rPr>
            </w:pPr>
          </w:p>
        </w:tc>
        <w:tc>
          <w:tcPr>
            <w:tcW w:w="196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June 30, 2021</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3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First-lien debt investments</w:t>
            </w:r>
          </w:p>
        </w:tc>
        <w:tc>
          <w:tcPr>
            <w:tcW w:w="1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(32,820</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5,881</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260" w:type="dxa"/>
            <w:vAlign w:val="bottom"/>
          </w:tcPr>
          <w:p>
            <w:pPr>
              <w:spacing w:after="0" w:line="202" w:lineRule="exact"/>
              <w:rPr>
                <w:sz w:val="20"/>
                <w:szCs w:val="20"/>
                <w:color w:val="auto"/>
              </w:rPr>
            </w:pPr>
            <w:r>
              <w:rPr>
                <w:rFonts w:ascii="Arial" w:cs="Arial" w:eastAsia="Arial" w:hAnsi="Arial"/>
                <w:sz w:val="18"/>
                <w:szCs w:val="18"/>
                <w:color w:val="auto"/>
              </w:rPr>
              <w:t>Second-lien debt investments</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(1,049 )</w:t>
            </w:r>
          </w:p>
        </w:tc>
        <w:tc>
          <w:tcPr>
            <w:tcW w:w="14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595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Mezzanine debt investments</w:t>
            </w: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(3,804 )</w:t>
            </w:r>
          </w:p>
        </w:tc>
        <w:tc>
          <w:tcPr>
            <w:tcW w:w="14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5,942</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260" w:type="dxa"/>
            <w:vAlign w:val="bottom"/>
          </w:tcPr>
          <w:p>
            <w:pPr>
              <w:spacing w:after="0" w:line="202" w:lineRule="exact"/>
              <w:rPr>
                <w:sz w:val="20"/>
                <w:szCs w:val="20"/>
                <w:color w:val="auto"/>
              </w:rPr>
            </w:pPr>
            <w:r>
              <w:rPr>
                <w:rFonts w:ascii="Arial" w:cs="Arial" w:eastAsia="Arial" w:hAnsi="Arial"/>
                <w:sz w:val="18"/>
                <w:szCs w:val="18"/>
                <w:color w:val="auto"/>
              </w:rPr>
              <w:t>Equity and other investments</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(13,134 )</w:t>
            </w:r>
          </w:p>
        </w:tc>
        <w:tc>
          <w:tcPr>
            <w:tcW w:w="14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17,145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326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(50,807</w:t>
            </w:r>
          </w:p>
        </w:tc>
        <w:tc>
          <w:tcPr>
            <w:tcW w:w="20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29,563</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615"/>
        </w:trPr>
        <w:tc>
          <w:tcPr>
            <w:tcW w:w="11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3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-505460</wp:posOffset>
            </wp:positionV>
            <wp:extent cx="6032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-488315</wp:posOffset>
            </wp:positionV>
            <wp:extent cx="6032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-505460</wp:posOffset>
            </wp:positionV>
            <wp:extent cx="5143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-488315</wp:posOffset>
            </wp:positionV>
            <wp:extent cx="5143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3" w:name="page34"/>
    <w:bookmarkEnd w:id="33"/>
    <w:tbl>
      <w:tblPr>
        <w:tblLayout w:type="fixed"/>
        <w:tblInd w:w="1140" w:type="dxa"/>
        <w:tblCellMar>
          <w:top w:w="0" w:type="dxa"/>
          <w:left w:w="0" w:type="dxa"/>
          <w:bottom w:w="0" w:type="dxa"/>
          <w:right w:w="0" w:type="dxa"/>
        </w:tblCellMar>
      </w:tblPr>
      <w:tr>
        <w:trPr>
          <w:trHeight w:val="176"/>
        </w:trPr>
        <w:tc>
          <w:tcPr>
            <w:tcW w:w="4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94"/>
              </w:rPr>
              <w:t>Net Change in Unrealized</w:t>
            </w:r>
          </w:p>
        </w:tc>
        <w:tc>
          <w:tcPr>
            <w:tcW w:w="140" w:type="dxa"/>
            <w:vAlign w:val="bottom"/>
          </w:tcPr>
          <w:p>
            <w:pPr>
              <w:spacing w:after="0"/>
              <w:rPr>
                <w:sz w:val="15"/>
                <w:szCs w:val="15"/>
                <w:color w:val="auto"/>
              </w:rPr>
            </w:pPr>
          </w:p>
        </w:tc>
        <w:tc>
          <w:tcPr>
            <w:tcW w:w="184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Net Change in Unrealized</w:t>
            </w:r>
          </w:p>
        </w:tc>
        <w:tc>
          <w:tcPr>
            <w:tcW w:w="80" w:type="dxa"/>
            <w:vAlign w:val="bottom"/>
          </w:tcPr>
          <w:p>
            <w:pPr>
              <w:spacing w:after="0"/>
              <w:rPr>
                <w:sz w:val="15"/>
                <w:szCs w:val="15"/>
                <w:color w:val="auto"/>
              </w:rPr>
            </w:pPr>
          </w:p>
        </w:tc>
      </w:tr>
      <w:tr>
        <w:trPr>
          <w:trHeight w:val="175"/>
        </w:trPr>
        <w:tc>
          <w:tcPr>
            <w:tcW w:w="4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91"/>
              </w:rPr>
              <w:t>Gains or (Losses)</w:t>
            </w:r>
          </w:p>
        </w:tc>
        <w:tc>
          <w:tcPr>
            <w:tcW w:w="140" w:type="dxa"/>
            <w:vAlign w:val="bottom"/>
          </w:tcPr>
          <w:p>
            <w:pPr>
              <w:spacing w:after="0"/>
              <w:rPr>
                <w:sz w:val="15"/>
                <w:szCs w:val="15"/>
                <w:color w:val="auto"/>
              </w:rPr>
            </w:pPr>
          </w:p>
        </w:tc>
        <w:tc>
          <w:tcPr>
            <w:tcW w:w="184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Gains or (Losses)</w:t>
            </w:r>
          </w:p>
        </w:tc>
        <w:tc>
          <w:tcPr>
            <w:tcW w:w="80" w:type="dxa"/>
            <w:vAlign w:val="bottom"/>
          </w:tcPr>
          <w:p>
            <w:pPr>
              <w:spacing w:after="0"/>
              <w:rPr>
                <w:sz w:val="15"/>
                <w:szCs w:val="15"/>
                <w:color w:val="auto"/>
              </w:rPr>
            </w:pPr>
          </w:p>
        </w:tc>
      </w:tr>
      <w:tr>
        <w:trPr>
          <w:trHeight w:val="176"/>
        </w:trPr>
        <w:tc>
          <w:tcPr>
            <w:tcW w:w="4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94"/>
              </w:rPr>
              <w:t>for the Six Months Ended</w:t>
            </w:r>
          </w:p>
        </w:tc>
        <w:tc>
          <w:tcPr>
            <w:tcW w:w="140" w:type="dxa"/>
            <w:vAlign w:val="bottom"/>
          </w:tcPr>
          <w:p>
            <w:pPr>
              <w:spacing w:after="0"/>
              <w:rPr>
                <w:sz w:val="15"/>
                <w:szCs w:val="15"/>
                <w:color w:val="auto"/>
              </w:rPr>
            </w:pPr>
          </w:p>
        </w:tc>
        <w:tc>
          <w:tcPr>
            <w:tcW w:w="184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for the Six Months Ended</w:t>
            </w:r>
          </w:p>
        </w:tc>
        <w:tc>
          <w:tcPr>
            <w:tcW w:w="80" w:type="dxa"/>
            <w:vAlign w:val="bottom"/>
          </w:tcPr>
          <w:p>
            <w:pPr>
              <w:spacing w:after="0"/>
              <w:rPr>
                <w:sz w:val="15"/>
                <w:szCs w:val="15"/>
                <w:color w:val="auto"/>
              </w:rPr>
            </w:pPr>
          </w:p>
        </w:tc>
      </w:tr>
      <w:tr>
        <w:trPr>
          <w:trHeight w:val="175"/>
        </w:trPr>
        <w:tc>
          <w:tcPr>
            <w:tcW w:w="4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92"/>
              </w:rPr>
              <w:t>June 30, 2022 on</w:t>
            </w:r>
          </w:p>
        </w:tc>
        <w:tc>
          <w:tcPr>
            <w:tcW w:w="140" w:type="dxa"/>
            <w:vAlign w:val="bottom"/>
          </w:tcPr>
          <w:p>
            <w:pPr>
              <w:spacing w:after="0"/>
              <w:rPr>
                <w:sz w:val="15"/>
                <w:szCs w:val="15"/>
                <w:color w:val="auto"/>
              </w:rPr>
            </w:pPr>
          </w:p>
        </w:tc>
        <w:tc>
          <w:tcPr>
            <w:tcW w:w="1840" w:type="dxa"/>
            <w:vAlign w:val="bottom"/>
          </w:tcPr>
          <w:p>
            <w:pPr>
              <w:jc w:val="center"/>
              <w:ind w:right="60"/>
              <w:spacing w:after="0"/>
              <w:rPr>
                <w:sz w:val="20"/>
                <w:szCs w:val="20"/>
                <w:color w:val="auto"/>
              </w:rPr>
            </w:pPr>
            <w:r>
              <w:rPr>
                <w:rFonts w:ascii="Arial" w:cs="Arial" w:eastAsia="Arial" w:hAnsi="Arial"/>
                <w:sz w:val="14"/>
                <w:szCs w:val="14"/>
                <w:b w:val="1"/>
                <w:bCs w:val="1"/>
                <w:color w:val="auto"/>
                <w:w w:val="90"/>
              </w:rPr>
              <w:t>June 30, 2021 on</w:t>
            </w:r>
          </w:p>
        </w:tc>
        <w:tc>
          <w:tcPr>
            <w:tcW w:w="80" w:type="dxa"/>
            <w:vAlign w:val="bottom"/>
          </w:tcPr>
          <w:p>
            <w:pPr>
              <w:spacing w:after="0"/>
              <w:rPr>
                <w:sz w:val="15"/>
                <w:szCs w:val="15"/>
                <w:color w:val="auto"/>
              </w:rPr>
            </w:pPr>
          </w:p>
        </w:tc>
      </w:tr>
      <w:tr>
        <w:trPr>
          <w:trHeight w:val="176"/>
        </w:trPr>
        <w:tc>
          <w:tcPr>
            <w:tcW w:w="4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93"/>
              </w:rPr>
              <w:t>Investments Held at</w:t>
            </w:r>
          </w:p>
        </w:tc>
        <w:tc>
          <w:tcPr>
            <w:tcW w:w="140" w:type="dxa"/>
            <w:vAlign w:val="bottom"/>
          </w:tcPr>
          <w:p>
            <w:pPr>
              <w:spacing w:after="0"/>
              <w:rPr>
                <w:sz w:val="15"/>
                <w:szCs w:val="15"/>
                <w:color w:val="auto"/>
              </w:rPr>
            </w:pPr>
          </w:p>
        </w:tc>
        <w:tc>
          <w:tcPr>
            <w:tcW w:w="184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Investments Held at</w:t>
            </w:r>
          </w:p>
        </w:tc>
        <w:tc>
          <w:tcPr>
            <w:tcW w:w="80" w:type="dxa"/>
            <w:vAlign w:val="bottom"/>
          </w:tcPr>
          <w:p>
            <w:pPr>
              <w:spacing w:after="0"/>
              <w:rPr>
                <w:sz w:val="15"/>
                <w:szCs w:val="15"/>
                <w:color w:val="auto"/>
              </w:rPr>
            </w:pPr>
          </w:p>
        </w:tc>
      </w:tr>
      <w:tr>
        <w:trPr>
          <w:trHeight w:val="185"/>
        </w:trPr>
        <w:tc>
          <w:tcPr>
            <w:tcW w:w="4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92"/>
              </w:rPr>
              <w:t>June 30, 2022</w:t>
            </w:r>
          </w:p>
        </w:tc>
        <w:tc>
          <w:tcPr>
            <w:tcW w:w="140" w:type="dxa"/>
            <w:vAlign w:val="bottom"/>
          </w:tcPr>
          <w:p>
            <w:pPr>
              <w:spacing w:after="0"/>
              <w:rPr>
                <w:sz w:val="16"/>
                <w:szCs w:val="16"/>
                <w:color w:val="auto"/>
              </w:rPr>
            </w:pPr>
          </w:p>
        </w:tc>
        <w:tc>
          <w:tcPr>
            <w:tcW w:w="184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June 30, 2021</w:t>
            </w:r>
          </w:p>
        </w:tc>
        <w:tc>
          <w:tcPr>
            <w:tcW w:w="80" w:type="dxa"/>
            <w:vAlign w:val="bottom"/>
          </w:tcPr>
          <w:p>
            <w:pPr>
              <w:spacing w:after="0"/>
              <w:rPr>
                <w:sz w:val="16"/>
                <w:szCs w:val="16"/>
                <w:color w:val="auto"/>
              </w:rPr>
            </w:pPr>
          </w:p>
        </w:tc>
      </w:tr>
      <w:tr>
        <w:trPr>
          <w:trHeight w:val="196"/>
        </w:trPr>
        <w:tc>
          <w:tcPr>
            <w:tcW w:w="4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First-lien debt investments</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(30,834</w:t>
            </w: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17,445</w:t>
            </w:r>
          </w:p>
        </w:tc>
        <w:tc>
          <w:tcPr>
            <w:tcW w:w="80" w:type="dxa"/>
            <w:vAlign w:val="bottom"/>
            <w:shd w:val="clear" w:color="auto" w:fill="CFF0FC"/>
          </w:tcPr>
          <w:p>
            <w:pPr>
              <w:spacing w:after="0"/>
              <w:rPr>
                <w:sz w:val="17"/>
                <w:szCs w:val="17"/>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Second-lien debt investments</w:t>
            </w:r>
          </w:p>
        </w:tc>
        <w:tc>
          <w:tcPr>
            <w:tcW w:w="140" w:type="dxa"/>
            <w:vAlign w:val="bottom"/>
          </w:tcPr>
          <w:p>
            <w:pPr>
              <w:spacing w:after="0"/>
              <w:rPr>
                <w:sz w:val="17"/>
                <w:szCs w:val="17"/>
                <w:color w:val="auto"/>
              </w:rPr>
            </w:pPr>
          </w:p>
        </w:tc>
        <w:tc>
          <w:tcPr>
            <w:tcW w:w="202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(1,285 )</w:t>
            </w:r>
          </w:p>
        </w:tc>
        <w:tc>
          <w:tcPr>
            <w:tcW w:w="14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888</w:t>
            </w:r>
          </w:p>
        </w:tc>
        <w:tc>
          <w:tcPr>
            <w:tcW w:w="80" w:type="dxa"/>
            <w:vAlign w:val="bottom"/>
          </w:tcPr>
          <w:p>
            <w:pPr>
              <w:spacing w:after="0"/>
              <w:rPr>
                <w:sz w:val="17"/>
                <w:szCs w:val="17"/>
                <w:color w:val="auto"/>
              </w:rPr>
            </w:pPr>
          </w:p>
        </w:tc>
      </w:tr>
      <w:tr>
        <w:trPr>
          <w:trHeight w:val="203"/>
        </w:trPr>
        <w:tc>
          <w:tcPr>
            <w:tcW w:w="4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Mezzanine debt investments</w:t>
            </w:r>
          </w:p>
        </w:tc>
        <w:tc>
          <w:tcPr>
            <w:tcW w:w="140" w:type="dxa"/>
            <w:vAlign w:val="bottom"/>
            <w:shd w:val="clear" w:color="auto" w:fill="CFF0FC"/>
          </w:tcPr>
          <w:p>
            <w:pPr>
              <w:spacing w:after="0"/>
              <w:rPr>
                <w:sz w:val="17"/>
                <w:szCs w:val="17"/>
                <w:color w:val="auto"/>
              </w:rPr>
            </w:pPr>
          </w:p>
        </w:tc>
        <w:tc>
          <w:tcPr>
            <w:tcW w:w="202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(6,145 )</w:t>
            </w:r>
          </w:p>
        </w:tc>
        <w:tc>
          <w:tcPr>
            <w:tcW w:w="14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7,406</w:t>
            </w:r>
          </w:p>
        </w:tc>
        <w:tc>
          <w:tcPr>
            <w:tcW w:w="80" w:type="dxa"/>
            <w:vAlign w:val="bottom"/>
            <w:shd w:val="clear" w:color="auto" w:fill="CFF0FC"/>
          </w:tcPr>
          <w:p>
            <w:pPr>
              <w:spacing w:after="0"/>
              <w:rPr>
                <w:sz w:val="17"/>
                <w:szCs w:val="17"/>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Equity and other investments</w:t>
            </w: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4,344</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24,967</w:t>
            </w:r>
          </w:p>
        </w:tc>
        <w:tc>
          <w:tcPr>
            <w:tcW w:w="80" w:type="dxa"/>
            <w:vAlign w:val="bottom"/>
          </w:tcPr>
          <w:p>
            <w:pPr>
              <w:spacing w:after="0"/>
              <w:rPr>
                <w:sz w:val="17"/>
                <w:szCs w:val="17"/>
                <w:color w:val="auto"/>
              </w:rPr>
            </w:pPr>
          </w:p>
        </w:tc>
      </w:tr>
      <w:tr>
        <w:trPr>
          <w:trHeight w:val="236"/>
        </w:trPr>
        <w:tc>
          <w:tcPr>
            <w:tcW w:w="476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(33,920</w:t>
            </w:r>
          </w:p>
        </w:tc>
        <w:tc>
          <w:tcPr>
            <w:tcW w:w="18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50,706</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-25400</wp:posOffset>
            </wp:positionV>
            <wp:extent cx="5143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5143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ind w:right="80" w:firstLine="255"/>
        <w:spacing w:after="0" w:line="248" w:lineRule="auto"/>
        <w:rPr>
          <w:sz w:val="20"/>
          <w:szCs w:val="20"/>
          <w:color w:val="auto"/>
        </w:rPr>
      </w:pPr>
      <w:r>
        <w:rPr>
          <w:rFonts w:ascii="Arial" w:cs="Arial" w:eastAsia="Arial" w:hAnsi="Arial"/>
          <w:sz w:val="18"/>
          <w:szCs w:val="18"/>
          <w:color w:val="auto"/>
        </w:rPr>
        <w:t>The following tables present the fair value of Level 3 Investments at fair value and the significant unobservable inputs used in the valuations as of June 30, 2022 and December 31, 2021. The tables are not intended to be all-inclusive, but instead capture the significant unobservable inputs relevant to the Company’s determination of fair values.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w w:val="92"/>
              </w:rPr>
              <w:t>June 30, 2022</w:t>
            </w:r>
          </w:p>
        </w:tc>
        <w:tc>
          <w:tcPr>
            <w:tcW w:w="2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Valuation</w:t>
            </w:r>
          </w:p>
        </w:tc>
        <w:tc>
          <w:tcPr>
            <w:tcW w:w="120" w:type="dxa"/>
            <w:vAlign w:val="bottom"/>
          </w:tcPr>
          <w:p>
            <w:pPr>
              <w:spacing w:after="0"/>
              <w:rPr>
                <w:sz w:val="11"/>
                <w:szCs w:val="11"/>
                <w:color w:val="auto"/>
              </w:rPr>
            </w:pPr>
          </w:p>
        </w:tc>
        <w:tc>
          <w:tcPr>
            <w:tcW w:w="17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Unobservable</w:t>
            </w: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00" w:type="dxa"/>
            <w:vAlign w:val="bottom"/>
          </w:tcPr>
          <w:p>
            <w:pPr>
              <w:spacing w:after="0"/>
              <w:rPr>
                <w:sz w:val="11"/>
                <w:szCs w:val="11"/>
                <w:color w:val="auto"/>
              </w:rPr>
            </w:pPr>
          </w:p>
        </w:tc>
        <w:tc>
          <w:tcPr>
            <w:tcW w:w="1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from an</w:t>
            </w: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1"/>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6"/>
                <w:szCs w:val="16"/>
                <w:color w:val="auto"/>
              </w:rPr>
            </w:pPr>
          </w:p>
        </w:tc>
        <w:tc>
          <w:tcPr>
            <w:tcW w:w="1660" w:type="dxa"/>
            <w:vAlign w:val="bottom"/>
          </w:tcPr>
          <w:p>
            <w:pPr>
              <w:ind w:left="520"/>
              <w:spacing w:after="0"/>
              <w:rPr>
                <w:sz w:val="20"/>
                <w:szCs w:val="20"/>
                <w:color w:val="auto"/>
              </w:rPr>
            </w:pPr>
            <w:r>
              <w:rPr>
                <w:rFonts w:ascii="Arial" w:cs="Arial" w:eastAsia="Arial" w:hAnsi="Arial"/>
                <w:sz w:val="14"/>
                <w:szCs w:val="14"/>
                <w:b w:val="1"/>
                <w:bCs w:val="1"/>
                <w:color w:val="auto"/>
              </w:rPr>
              <w:t>Technique</w:t>
            </w:r>
          </w:p>
        </w:tc>
        <w:tc>
          <w:tcPr>
            <w:tcW w:w="120" w:type="dxa"/>
            <w:vAlign w:val="bottom"/>
          </w:tcPr>
          <w:p>
            <w:pPr>
              <w:spacing w:after="0"/>
              <w:rPr>
                <w:sz w:val="16"/>
                <w:szCs w:val="16"/>
                <w:color w:val="auto"/>
              </w:rPr>
            </w:pPr>
          </w:p>
        </w:tc>
        <w:tc>
          <w:tcPr>
            <w:tcW w:w="1780" w:type="dxa"/>
            <w:vAlign w:val="bottom"/>
            <w:gridSpan w:val="2"/>
          </w:tcPr>
          <w:p>
            <w:pPr>
              <w:ind w:left="660"/>
              <w:spacing w:after="0"/>
              <w:rPr>
                <w:sz w:val="20"/>
                <w:szCs w:val="20"/>
                <w:color w:val="auto"/>
              </w:rPr>
            </w:pPr>
            <w:r>
              <w:rPr>
                <w:rFonts w:ascii="Arial" w:cs="Arial" w:eastAsia="Arial" w:hAnsi="Arial"/>
                <w:sz w:val="14"/>
                <w:szCs w:val="14"/>
                <w:b w:val="1"/>
                <w:bCs w:val="1"/>
                <w:color w:val="auto"/>
              </w:rPr>
              <w:t>Input</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Increase to Input</w:t>
            </w:r>
          </w:p>
        </w:tc>
        <w:tc>
          <w:tcPr>
            <w:tcW w:w="0" w:type="dxa"/>
            <w:vAlign w:val="bottom"/>
          </w:tcPr>
          <w:p>
            <w:pPr>
              <w:spacing w:after="0"/>
              <w:rPr>
                <w:sz w:val="1"/>
                <w:szCs w:val="1"/>
                <w:color w:val="auto"/>
              </w:rPr>
            </w:pPr>
          </w:p>
        </w:tc>
      </w:tr>
      <w:tr>
        <w:trPr>
          <w:trHeight w:val="183"/>
        </w:trPr>
        <w:tc>
          <w:tcPr>
            <w:tcW w:w="27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First-lien debt investments</w:t>
            </w: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2,295,057</w:t>
            </w:r>
          </w:p>
        </w:tc>
        <w:tc>
          <w:tcPr>
            <w:tcW w:w="240" w:type="dxa"/>
            <w:vAlign w:val="bottom"/>
            <w:shd w:val="clear" w:color="auto" w:fill="CFF0FC"/>
          </w:tcPr>
          <w:p>
            <w:pPr>
              <w:spacing w:after="0"/>
              <w:rPr>
                <w:sz w:val="15"/>
                <w:szCs w:val="15"/>
                <w:color w:val="auto"/>
              </w:rPr>
            </w:pPr>
          </w:p>
        </w:tc>
        <w:tc>
          <w:tcPr>
            <w:tcW w:w="1660" w:type="dxa"/>
            <w:vAlign w:val="bottom"/>
            <w:tcBorders>
              <w:top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 xml:space="preserve">Income approach </w:t>
            </w:r>
            <w:r>
              <w:rPr>
                <w:rFonts w:ascii="Arial" w:cs="Arial" w:eastAsia="Arial" w:hAnsi="Arial"/>
                <w:sz w:val="21"/>
                <w:szCs w:val="21"/>
                <w:color w:val="auto"/>
                <w:vertAlign w:val="superscript"/>
              </w:rPr>
              <w:t>(1)</w:t>
            </w:r>
          </w:p>
        </w:tc>
        <w:tc>
          <w:tcPr>
            <w:tcW w:w="120" w:type="dxa"/>
            <w:vAlign w:val="bottom"/>
            <w:shd w:val="clear" w:color="auto" w:fill="CFF0FC"/>
          </w:tcPr>
          <w:p>
            <w:pPr>
              <w:spacing w:after="0"/>
              <w:rPr>
                <w:sz w:val="15"/>
                <w:szCs w:val="15"/>
                <w:color w:val="auto"/>
              </w:rPr>
            </w:pPr>
          </w:p>
        </w:tc>
        <w:tc>
          <w:tcPr>
            <w:tcW w:w="1680" w:type="dxa"/>
            <w:vAlign w:val="bottom"/>
            <w:tcBorders>
              <w:top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Discount rate</w:t>
            </w:r>
          </w:p>
        </w:tc>
        <w:tc>
          <w:tcPr>
            <w:tcW w:w="100" w:type="dxa"/>
            <w:vAlign w:val="bottom"/>
            <w:shd w:val="clear" w:color="auto" w:fill="CFF0FC"/>
          </w:tcPr>
          <w:p>
            <w:pPr>
              <w:spacing w:after="0"/>
              <w:rPr>
                <w:sz w:val="15"/>
                <w:szCs w:val="15"/>
                <w:color w:val="auto"/>
              </w:rPr>
            </w:pPr>
          </w:p>
        </w:tc>
        <w:tc>
          <w:tcPr>
            <w:tcW w:w="2000" w:type="dxa"/>
            <w:vAlign w:val="bottom"/>
            <w:tcBorders>
              <w:top w:val="single" w:sz="8" w:color="auto"/>
            </w:tcBorders>
            <w:shd w:val="clear" w:color="auto" w:fill="CFF0FC"/>
          </w:tcPr>
          <w:p>
            <w:pPr>
              <w:jc w:val="center"/>
              <w:spacing w:after="0" w:line="183" w:lineRule="exact"/>
              <w:rPr>
                <w:sz w:val="20"/>
                <w:szCs w:val="20"/>
                <w:color w:val="auto"/>
              </w:rPr>
            </w:pPr>
            <w:r>
              <w:rPr>
                <w:rFonts w:ascii="Arial" w:cs="Arial" w:eastAsia="Arial" w:hAnsi="Arial"/>
                <w:sz w:val="16"/>
                <w:szCs w:val="16"/>
                <w:color w:val="auto"/>
                <w:w w:val="93"/>
              </w:rPr>
              <w:t>7.4% — 15.4% (12.1%)</w:t>
            </w:r>
          </w:p>
        </w:tc>
        <w:tc>
          <w:tcPr>
            <w:tcW w:w="100" w:type="dxa"/>
            <w:vAlign w:val="bottom"/>
            <w:shd w:val="clear" w:color="auto" w:fill="CFF0FC"/>
          </w:tcPr>
          <w:p>
            <w:pPr>
              <w:spacing w:after="0"/>
              <w:rPr>
                <w:sz w:val="15"/>
                <w:szCs w:val="15"/>
                <w:color w:val="auto"/>
              </w:rPr>
            </w:pPr>
          </w:p>
        </w:tc>
        <w:tc>
          <w:tcPr>
            <w:tcW w:w="1680" w:type="dxa"/>
            <w:vAlign w:val="bottom"/>
            <w:tcBorders>
              <w:top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Arial" w:cs="Arial" w:eastAsia="Arial" w:hAnsi="Arial"/>
                <w:sz w:val="16"/>
                <w:szCs w:val="16"/>
                <w:color w:val="auto"/>
              </w:rPr>
              <w:t>Second-lien debt investments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41,523</w:t>
            </w: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Arial" w:cs="Arial" w:eastAsia="Arial" w:hAnsi="Arial"/>
                <w:sz w:val="16"/>
                <w:szCs w:val="16"/>
                <w:color w:val="auto"/>
              </w:rPr>
              <w:t>Income approach</w:t>
            </w:r>
          </w:p>
        </w:tc>
        <w:tc>
          <w:tcPr>
            <w:tcW w:w="12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Arial" w:cs="Arial" w:eastAsia="Arial" w:hAnsi="Arial"/>
                <w:sz w:val="16"/>
                <w:szCs w:val="16"/>
                <w:color w:val="auto"/>
              </w:rPr>
              <w:t>Discount rate</w:t>
            </w:r>
          </w:p>
        </w:tc>
        <w:tc>
          <w:tcPr>
            <w:tcW w:w="2000" w:type="dxa"/>
            <w:vAlign w:val="bottom"/>
          </w:tcPr>
          <w:p>
            <w:pPr>
              <w:jc w:val="center"/>
              <w:spacing w:after="0"/>
              <w:rPr>
                <w:sz w:val="20"/>
                <w:szCs w:val="20"/>
                <w:color w:val="auto"/>
              </w:rPr>
            </w:pPr>
            <w:r>
              <w:rPr>
                <w:rFonts w:ascii="Arial" w:cs="Arial" w:eastAsia="Arial" w:hAnsi="Arial"/>
                <w:sz w:val="16"/>
                <w:szCs w:val="16"/>
                <w:color w:val="auto"/>
                <w:w w:val="93"/>
              </w:rPr>
              <w:t>14.8% — 14.8% (14.8%)</w:t>
            </w:r>
          </w:p>
        </w:tc>
        <w:tc>
          <w:tcPr>
            <w:tcW w:w="100" w:type="dxa"/>
            <w:vAlign w:val="bottom"/>
          </w:tcPr>
          <w:p>
            <w:pPr>
              <w:spacing w:after="0"/>
              <w:rPr>
                <w:sz w:val="16"/>
                <w:szCs w:val="16"/>
                <w:color w:val="auto"/>
              </w:rPr>
            </w:pPr>
          </w:p>
        </w:tc>
        <w:tc>
          <w:tcPr>
            <w:tcW w:w="1680" w:type="dxa"/>
            <w:vAlign w:val="bottom"/>
          </w:tcPr>
          <w:p>
            <w:pPr>
              <w:ind w:left="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89"/>
        </w:trPr>
        <w:tc>
          <w:tcPr>
            <w:tcW w:w="2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Mezzanine debt investments</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10,397</w:t>
            </w:r>
          </w:p>
        </w:tc>
        <w:tc>
          <w:tcPr>
            <w:tcW w:w="24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Income approach </w:t>
            </w:r>
            <w:r>
              <w:rPr>
                <w:rFonts w:ascii="Arial" w:cs="Arial" w:eastAsia="Arial" w:hAnsi="Arial"/>
                <w:sz w:val="21"/>
                <w:szCs w:val="21"/>
                <w:color w:val="auto"/>
                <w:vertAlign w:val="superscript"/>
              </w:rPr>
              <w:t>(2)</w:t>
            </w:r>
          </w:p>
        </w:tc>
        <w:tc>
          <w:tcPr>
            <w:tcW w:w="120" w:type="dxa"/>
            <w:vAlign w:val="bottom"/>
            <w:shd w:val="clear" w:color="auto" w:fill="CFF0FC"/>
          </w:tcPr>
          <w:p>
            <w:pPr>
              <w:spacing w:after="0"/>
              <w:rPr>
                <w:sz w:val="16"/>
                <w:szCs w:val="16"/>
                <w:color w:val="auto"/>
              </w:rPr>
            </w:pPr>
          </w:p>
        </w:tc>
        <w:tc>
          <w:tcPr>
            <w:tcW w:w="17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Discount rate</w:t>
            </w:r>
          </w:p>
        </w:tc>
        <w:tc>
          <w:tcPr>
            <w:tcW w:w="20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7.7% — 13.1% (10.9%)</w:t>
            </w:r>
          </w:p>
        </w:tc>
        <w:tc>
          <w:tcPr>
            <w:tcW w:w="100" w:type="dxa"/>
            <w:vAlign w:val="bottom"/>
            <w:shd w:val="clear" w:color="auto" w:fill="CFF0FC"/>
          </w:tcPr>
          <w:p>
            <w:pPr>
              <w:spacing w:after="0"/>
              <w:rPr>
                <w:sz w:val="16"/>
                <w:szCs w:val="16"/>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Arial" w:cs="Arial" w:eastAsia="Arial" w:hAnsi="Arial"/>
                <w:sz w:val="16"/>
                <w:szCs w:val="16"/>
                <w:color w:val="auto"/>
              </w:rPr>
              <w:t>Equity and other investments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137,581</w:t>
            </w:r>
          </w:p>
        </w:tc>
        <w:tc>
          <w:tcPr>
            <w:tcW w:w="240" w:type="dxa"/>
            <w:vAlign w:val="bottom"/>
          </w:tcPr>
          <w:p>
            <w:pPr>
              <w:spacing w:after="0"/>
              <w:rPr>
                <w:sz w:val="16"/>
                <w:szCs w:val="16"/>
                <w:color w:val="auto"/>
              </w:rPr>
            </w:pPr>
          </w:p>
        </w:tc>
        <w:tc>
          <w:tcPr>
            <w:tcW w:w="1660" w:type="dxa"/>
            <w:vAlign w:val="bottom"/>
          </w:tcPr>
          <w:p>
            <w:pPr>
              <w:spacing w:after="0" w:line="189" w:lineRule="exact"/>
              <w:rPr>
                <w:sz w:val="20"/>
                <w:szCs w:val="20"/>
                <w:color w:val="auto"/>
              </w:rPr>
            </w:pPr>
            <w:r>
              <w:rPr>
                <w:rFonts w:ascii="Arial" w:cs="Arial" w:eastAsia="Arial" w:hAnsi="Arial"/>
                <w:sz w:val="16"/>
                <w:szCs w:val="16"/>
                <w:color w:val="auto"/>
              </w:rPr>
              <w:t xml:space="preserve">Market Multiple </w:t>
            </w:r>
            <w:r>
              <w:rPr>
                <w:rFonts w:ascii="Arial" w:cs="Arial" w:eastAsia="Arial" w:hAnsi="Arial"/>
                <w:sz w:val="21"/>
                <w:szCs w:val="21"/>
                <w:color w:val="auto"/>
                <w:vertAlign w:val="superscript"/>
              </w:rPr>
              <w:t>(3)</w:t>
            </w:r>
          </w:p>
        </w:tc>
        <w:tc>
          <w:tcPr>
            <w:tcW w:w="12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Arial" w:cs="Arial" w:eastAsia="Arial" w:hAnsi="Arial"/>
                <w:sz w:val="16"/>
                <w:szCs w:val="16"/>
                <w:color w:val="auto"/>
              </w:rPr>
              <w:t>Comparable multiple</w:t>
            </w:r>
          </w:p>
        </w:tc>
        <w:tc>
          <w:tcPr>
            <w:tcW w:w="2000" w:type="dxa"/>
            <w:vAlign w:val="bottom"/>
          </w:tcPr>
          <w:p>
            <w:pPr>
              <w:jc w:val="center"/>
              <w:spacing w:after="0"/>
              <w:rPr>
                <w:sz w:val="20"/>
                <w:szCs w:val="20"/>
                <w:color w:val="auto"/>
              </w:rPr>
            </w:pPr>
            <w:r>
              <w:rPr>
                <w:rFonts w:ascii="Arial" w:cs="Arial" w:eastAsia="Arial" w:hAnsi="Arial"/>
                <w:sz w:val="16"/>
                <w:szCs w:val="16"/>
                <w:color w:val="auto"/>
                <w:w w:val="94"/>
              </w:rPr>
              <w:t>3.8x — 16.8x (8.2x)</w:t>
            </w:r>
          </w:p>
        </w:tc>
        <w:tc>
          <w:tcPr>
            <w:tcW w:w="100" w:type="dxa"/>
            <w:vAlign w:val="bottom"/>
          </w:tcPr>
          <w:p>
            <w:pPr>
              <w:spacing w:after="0"/>
              <w:rPr>
                <w:sz w:val="16"/>
                <w:szCs w:val="16"/>
                <w:color w:val="auto"/>
              </w:rPr>
            </w:pPr>
          </w:p>
        </w:tc>
        <w:tc>
          <w:tcPr>
            <w:tcW w:w="1680" w:type="dxa"/>
            <w:vAlign w:val="bottom"/>
          </w:tcPr>
          <w:p>
            <w:pPr>
              <w:ind w:left="20"/>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23"/>
        </w:trPr>
        <w:tc>
          <w:tcPr>
            <w:tcW w:w="278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2,484,558</w:t>
            </w:r>
          </w:p>
        </w:tc>
        <w:tc>
          <w:tcPr>
            <w:tcW w:w="24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-25400</wp:posOffset>
            </wp:positionV>
            <wp:extent cx="7683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-7620</wp:posOffset>
            </wp:positionV>
            <wp:extent cx="768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95"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$19.5 million of debt investments which were valued using an asset valuation waterfall.</w:t>
      </w:r>
    </w:p>
    <w:p>
      <w:pPr>
        <w:spacing w:after="0" w:line="36"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$0.1 million of debt investments which were valued using an asset valuation waterfall.</w:t>
      </w:r>
    </w:p>
    <w:p>
      <w:pPr>
        <w:spacing w:after="0" w:line="36" w:lineRule="exact"/>
        <w:rPr>
          <w:rFonts w:ascii="Arial" w:cs="Arial" w:eastAsia="Arial" w:hAnsi="Arial"/>
          <w:sz w:val="18"/>
          <w:szCs w:val="18"/>
          <w:color w:val="auto"/>
        </w:rPr>
      </w:pPr>
    </w:p>
    <w:p>
      <w:pPr>
        <w:ind w:left="520" w:hanging="512"/>
        <w:spacing w:after="0" w:line="248"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$35.5 million of equity investments which were valued using an asset valuation waterfall, $5.3 million of equity investments using a Black-Scholes model, and $28.5 million of equity investments which, due to the proximity of the transactions relative to the measurement date, were valued using the cost of the investments.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5"/>
              </w:rPr>
              <w:t>December 31, 2021</w:t>
            </w:r>
          </w:p>
        </w:tc>
        <w:tc>
          <w:tcPr>
            <w:tcW w:w="1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120" w:type="dxa"/>
            <w:vAlign w:val="bottom"/>
          </w:tcPr>
          <w:p>
            <w:pPr>
              <w:spacing w:after="0"/>
              <w:rPr>
                <w:sz w:val="11"/>
                <w:szCs w:val="11"/>
                <w:color w:val="auto"/>
              </w:rPr>
            </w:pPr>
          </w:p>
        </w:tc>
        <w:tc>
          <w:tcPr>
            <w:tcW w:w="19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Unobservable</w:t>
            </w:r>
          </w:p>
        </w:tc>
        <w:tc>
          <w:tcPr>
            <w:tcW w:w="180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92"/>
              </w:rPr>
              <w:t>Range (Weighted</w:t>
            </w:r>
          </w:p>
        </w:tc>
        <w:tc>
          <w:tcPr>
            <w:tcW w:w="100" w:type="dxa"/>
            <w:vAlign w:val="bottom"/>
          </w:tcPr>
          <w:p>
            <w:pPr>
              <w:spacing w:after="0"/>
              <w:rPr>
                <w:sz w:val="11"/>
                <w:szCs w:val="11"/>
                <w:color w:val="auto"/>
              </w:rPr>
            </w:pPr>
          </w:p>
        </w:tc>
        <w:tc>
          <w:tcPr>
            <w:tcW w:w="1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from an</w:t>
            </w: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1"/>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1"/>
              </w:rPr>
              <w:t>Technique</w:t>
            </w:r>
          </w:p>
        </w:tc>
        <w:tc>
          <w:tcPr>
            <w:tcW w:w="120" w:type="dxa"/>
            <w:vAlign w:val="bottom"/>
          </w:tcPr>
          <w:p>
            <w:pPr>
              <w:spacing w:after="0"/>
              <w:rPr>
                <w:sz w:val="16"/>
                <w:szCs w:val="16"/>
                <w:color w:val="auto"/>
              </w:rPr>
            </w:pPr>
          </w:p>
        </w:tc>
        <w:tc>
          <w:tcPr>
            <w:tcW w:w="19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9"/>
              </w:rPr>
              <w:t>Input</w:t>
            </w:r>
          </w:p>
        </w:tc>
        <w:tc>
          <w:tcPr>
            <w:tcW w:w="1800" w:type="dxa"/>
            <w:vAlign w:val="bottom"/>
          </w:tcPr>
          <w:p>
            <w:pPr>
              <w:jc w:val="center"/>
              <w:ind w:right="123"/>
              <w:spacing w:after="0"/>
              <w:rPr>
                <w:sz w:val="20"/>
                <w:szCs w:val="20"/>
                <w:color w:val="auto"/>
              </w:rPr>
            </w:pPr>
            <w:r>
              <w:rPr>
                <w:rFonts w:ascii="Arial" w:cs="Arial" w:eastAsia="Arial" w:hAnsi="Arial"/>
                <w:sz w:val="14"/>
                <w:szCs w:val="14"/>
                <w:b w:val="1"/>
                <w:bCs w:val="1"/>
                <w:color w:val="auto"/>
                <w:w w:val="93"/>
              </w:rPr>
              <w:t>Average)</w:t>
            </w: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Increase to Input</w:t>
            </w:r>
          </w:p>
        </w:tc>
        <w:tc>
          <w:tcPr>
            <w:tcW w:w="0" w:type="dxa"/>
            <w:vAlign w:val="bottom"/>
          </w:tcPr>
          <w:p>
            <w:pPr>
              <w:spacing w:after="0"/>
              <w:rPr>
                <w:sz w:val="1"/>
                <w:szCs w:val="1"/>
                <w:color w:val="auto"/>
              </w:rPr>
            </w:pPr>
          </w:p>
        </w:tc>
      </w:tr>
      <w:tr>
        <w:trPr>
          <w:trHeight w:val="183"/>
        </w:trPr>
        <w:tc>
          <w:tcPr>
            <w:tcW w:w="27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First-lien debt investments</w:t>
            </w: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2,298,856</w:t>
            </w:r>
          </w:p>
        </w:tc>
        <w:tc>
          <w:tcPr>
            <w:tcW w:w="240" w:type="dxa"/>
            <w:vAlign w:val="bottom"/>
            <w:shd w:val="clear" w:color="auto" w:fill="CFF0FC"/>
          </w:tcPr>
          <w:p>
            <w:pPr>
              <w:spacing w:after="0"/>
              <w:rPr>
                <w:sz w:val="15"/>
                <w:szCs w:val="15"/>
                <w:color w:val="auto"/>
              </w:rPr>
            </w:pPr>
          </w:p>
        </w:tc>
        <w:tc>
          <w:tcPr>
            <w:tcW w:w="1660" w:type="dxa"/>
            <w:vAlign w:val="bottom"/>
            <w:tcBorders>
              <w:top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 xml:space="preserve">Income approach </w:t>
            </w:r>
            <w:r>
              <w:rPr>
                <w:rFonts w:ascii="Arial" w:cs="Arial" w:eastAsia="Arial" w:hAnsi="Arial"/>
                <w:sz w:val="21"/>
                <w:szCs w:val="21"/>
                <w:color w:val="auto"/>
                <w:vertAlign w:val="superscript"/>
              </w:rPr>
              <w:t>(1)</w:t>
            </w:r>
          </w:p>
        </w:tc>
        <w:tc>
          <w:tcPr>
            <w:tcW w:w="120" w:type="dxa"/>
            <w:vAlign w:val="bottom"/>
            <w:shd w:val="clear" w:color="auto" w:fill="CFF0FC"/>
          </w:tcPr>
          <w:p>
            <w:pPr>
              <w:spacing w:after="0"/>
              <w:rPr>
                <w:sz w:val="15"/>
                <w:szCs w:val="15"/>
                <w:color w:val="auto"/>
              </w:rPr>
            </w:pPr>
          </w:p>
        </w:tc>
        <w:tc>
          <w:tcPr>
            <w:tcW w:w="1680" w:type="dxa"/>
            <w:vAlign w:val="bottom"/>
            <w:tcBorders>
              <w:top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Discount rate</w:t>
            </w:r>
          </w:p>
        </w:tc>
        <w:tc>
          <w:tcPr>
            <w:tcW w:w="10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800" w:type="dxa"/>
            <w:vAlign w:val="bottom"/>
            <w:tcBorders>
              <w:top w:val="single" w:sz="8" w:color="auto"/>
            </w:tcBorders>
            <w:shd w:val="clear" w:color="auto" w:fill="CFF0FC"/>
          </w:tcPr>
          <w:p>
            <w:pPr>
              <w:jc w:val="center"/>
              <w:ind w:right="123"/>
              <w:spacing w:after="0" w:line="183" w:lineRule="exact"/>
              <w:rPr>
                <w:sz w:val="20"/>
                <w:szCs w:val="20"/>
                <w:color w:val="auto"/>
              </w:rPr>
            </w:pPr>
            <w:r>
              <w:rPr>
                <w:rFonts w:ascii="Arial" w:cs="Arial" w:eastAsia="Arial" w:hAnsi="Arial"/>
                <w:sz w:val="16"/>
                <w:szCs w:val="16"/>
                <w:color w:val="auto"/>
                <w:w w:val="93"/>
              </w:rPr>
              <w:t>6.6% — 12.2% (9.6%)</w:t>
            </w:r>
          </w:p>
        </w:tc>
        <w:tc>
          <w:tcPr>
            <w:tcW w:w="100" w:type="dxa"/>
            <w:vAlign w:val="bottom"/>
            <w:shd w:val="clear" w:color="auto" w:fill="CFF0FC"/>
          </w:tcPr>
          <w:p>
            <w:pPr>
              <w:spacing w:after="0"/>
              <w:rPr>
                <w:sz w:val="15"/>
                <w:szCs w:val="15"/>
                <w:color w:val="auto"/>
              </w:rPr>
            </w:pPr>
          </w:p>
        </w:tc>
        <w:tc>
          <w:tcPr>
            <w:tcW w:w="1680" w:type="dxa"/>
            <w:vAlign w:val="bottom"/>
            <w:tcBorders>
              <w:top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Arial" w:cs="Arial" w:eastAsia="Arial" w:hAnsi="Arial"/>
                <w:sz w:val="16"/>
                <w:szCs w:val="16"/>
                <w:color w:val="auto"/>
              </w:rPr>
              <w:t>Mezzanine debt investments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18,549</w:t>
            </w:r>
          </w:p>
        </w:tc>
        <w:tc>
          <w:tcPr>
            <w:tcW w:w="240" w:type="dxa"/>
            <w:vAlign w:val="bottom"/>
          </w:tcPr>
          <w:p>
            <w:pPr>
              <w:spacing w:after="0"/>
              <w:rPr>
                <w:sz w:val="16"/>
                <w:szCs w:val="16"/>
                <w:color w:val="auto"/>
              </w:rPr>
            </w:pPr>
          </w:p>
        </w:tc>
        <w:tc>
          <w:tcPr>
            <w:tcW w:w="1660" w:type="dxa"/>
            <w:vAlign w:val="bottom"/>
          </w:tcPr>
          <w:p>
            <w:pPr>
              <w:spacing w:after="0" w:line="189" w:lineRule="exact"/>
              <w:rPr>
                <w:sz w:val="20"/>
                <w:szCs w:val="20"/>
                <w:color w:val="auto"/>
              </w:rPr>
            </w:pPr>
            <w:r>
              <w:rPr>
                <w:rFonts w:ascii="Arial" w:cs="Arial" w:eastAsia="Arial" w:hAnsi="Arial"/>
                <w:sz w:val="16"/>
                <w:szCs w:val="16"/>
                <w:color w:val="auto"/>
              </w:rPr>
              <w:t xml:space="preserve">Income approach </w:t>
            </w:r>
            <w:r>
              <w:rPr>
                <w:rFonts w:ascii="Arial" w:cs="Arial" w:eastAsia="Arial" w:hAnsi="Arial"/>
                <w:sz w:val="21"/>
                <w:szCs w:val="21"/>
                <w:color w:val="auto"/>
                <w:vertAlign w:val="superscript"/>
              </w:rPr>
              <w:t>(2)</w:t>
            </w:r>
          </w:p>
        </w:tc>
        <w:tc>
          <w:tcPr>
            <w:tcW w:w="120" w:type="dxa"/>
            <w:vAlign w:val="bottom"/>
          </w:tcPr>
          <w:p>
            <w:pPr>
              <w:spacing w:after="0"/>
              <w:rPr>
                <w:sz w:val="16"/>
                <w:szCs w:val="16"/>
                <w:color w:val="auto"/>
              </w:rPr>
            </w:pPr>
          </w:p>
        </w:tc>
        <w:tc>
          <w:tcPr>
            <w:tcW w:w="1980" w:type="dxa"/>
            <w:vAlign w:val="bottom"/>
            <w:gridSpan w:val="3"/>
          </w:tcPr>
          <w:p>
            <w:pPr>
              <w:ind w:left="20"/>
              <w:spacing w:after="0"/>
              <w:rPr>
                <w:sz w:val="20"/>
                <w:szCs w:val="20"/>
                <w:color w:val="auto"/>
              </w:rPr>
            </w:pPr>
            <w:r>
              <w:rPr>
                <w:rFonts w:ascii="Arial" w:cs="Arial" w:eastAsia="Arial" w:hAnsi="Arial"/>
                <w:sz w:val="16"/>
                <w:szCs w:val="16"/>
                <w:color w:val="auto"/>
              </w:rPr>
              <w:t>Discount rate</w:t>
            </w:r>
          </w:p>
        </w:tc>
        <w:tc>
          <w:tcPr>
            <w:tcW w:w="1800" w:type="dxa"/>
            <w:vAlign w:val="bottom"/>
          </w:tcPr>
          <w:p>
            <w:pPr>
              <w:jc w:val="center"/>
              <w:ind w:right="123"/>
              <w:spacing w:after="0"/>
              <w:rPr>
                <w:sz w:val="20"/>
                <w:szCs w:val="20"/>
                <w:color w:val="auto"/>
              </w:rPr>
            </w:pPr>
            <w:r>
              <w:rPr>
                <w:rFonts w:ascii="Arial" w:cs="Arial" w:eastAsia="Arial" w:hAnsi="Arial"/>
                <w:sz w:val="16"/>
                <w:szCs w:val="16"/>
                <w:color w:val="auto"/>
                <w:w w:val="93"/>
              </w:rPr>
              <w:t>6.2% — 9.3% (8.5%)</w:t>
            </w:r>
          </w:p>
        </w:tc>
        <w:tc>
          <w:tcPr>
            <w:tcW w:w="100" w:type="dxa"/>
            <w:vAlign w:val="bottom"/>
          </w:tcPr>
          <w:p>
            <w:pPr>
              <w:spacing w:after="0"/>
              <w:rPr>
                <w:sz w:val="16"/>
                <w:szCs w:val="16"/>
                <w:color w:val="auto"/>
              </w:rPr>
            </w:pPr>
          </w:p>
        </w:tc>
        <w:tc>
          <w:tcPr>
            <w:tcW w:w="1680" w:type="dxa"/>
            <w:vAlign w:val="bottom"/>
          </w:tcPr>
          <w:p>
            <w:pPr>
              <w:ind w:left="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89"/>
        </w:trPr>
        <w:tc>
          <w:tcPr>
            <w:tcW w:w="2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 and other investments</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117,233</w:t>
            </w:r>
          </w:p>
        </w:tc>
        <w:tc>
          <w:tcPr>
            <w:tcW w:w="24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Market Multiple </w:t>
            </w:r>
            <w:r>
              <w:rPr>
                <w:rFonts w:ascii="Arial" w:cs="Arial" w:eastAsia="Arial" w:hAnsi="Arial"/>
                <w:sz w:val="21"/>
                <w:szCs w:val="21"/>
                <w:color w:val="auto"/>
                <w:vertAlign w:val="superscript"/>
              </w:rPr>
              <w:t>(3)</w:t>
            </w:r>
          </w:p>
        </w:tc>
        <w:tc>
          <w:tcPr>
            <w:tcW w:w="120" w:type="dxa"/>
            <w:vAlign w:val="bottom"/>
            <w:shd w:val="clear" w:color="auto" w:fill="CFF0FC"/>
          </w:tcPr>
          <w:p>
            <w:pPr>
              <w:spacing w:after="0"/>
              <w:rPr>
                <w:sz w:val="16"/>
                <w:szCs w:val="16"/>
                <w:color w:val="auto"/>
              </w:rPr>
            </w:pPr>
          </w:p>
        </w:tc>
        <w:tc>
          <w:tcPr>
            <w:tcW w:w="19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Comparable multiple</w:t>
            </w:r>
          </w:p>
        </w:tc>
        <w:tc>
          <w:tcPr>
            <w:tcW w:w="1800" w:type="dxa"/>
            <w:vAlign w:val="bottom"/>
            <w:shd w:val="clear" w:color="auto" w:fill="CFF0FC"/>
          </w:tcPr>
          <w:p>
            <w:pPr>
              <w:jc w:val="center"/>
              <w:ind w:right="123"/>
              <w:spacing w:after="0"/>
              <w:rPr>
                <w:sz w:val="20"/>
                <w:szCs w:val="20"/>
                <w:color w:val="auto"/>
              </w:rPr>
            </w:pPr>
            <w:r>
              <w:rPr>
                <w:rFonts w:ascii="Arial" w:cs="Arial" w:eastAsia="Arial" w:hAnsi="Arial"/>
                <w:sz w:val="16"/>
                <w:szCs w:val="16"/>
                <w:color w:val="auto"/>
                <w:w w:val="94"/>
              </w:rPr>
              <w:t>4.5x — 9.5x (6.0x)</w:t>
            </w:r>
          </w:p>
        </w:tc>
        <w:tc>
          <w:tcPr>
            <w:tcW w:w="100" w:type="dxa"/>
            <w:vAlign w:val="bottom"/>
            <w:shd w:val="clear" w:color="auto" w:fill="CFF0FC"/>
          </w:tcPr>
          <w:p>
            <w:pPr>
              <w:spacing w:after="0"/>
              <w:rPr>
                <w:sz w:val="16"/>
                <w:szCs w:val="16"/>
                <w:color w:val="auto"/>
              </w:rPr>
            </w:pPr>
          </w:p>
        </w:tc>
        <w:tc>
          <w:tcPr>
            <w:tcW w:w="1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183"/>
        </w:trPr>
        <w:tc>
          <w:tcPr>
            <w:tcW w:w="2780" w:type="dxa"/>
            <w:vAlign w:val="bottom"/>
            <w:tcBorders>
              <w:top w:val="single" w:sz="8" w:color="CFF0FC"/>
            </w:tcBorders>
          </w:tcPr>
          <w:p>
            <w:pPr>
              <w:ind w:left="200"/>
              <w:spacing w:after="0" w:line="183" w:lineRule="exact"/>
              <w:rPr>
                <w:sz w:val="20"/>
                <w:szCs w:val="20"/>
                <w:color w:val="auto"/>
              </w:rPr>
            </w:pPr>
            <w:r>
              <w:rPr>
                <w:rFonts w:ascii="Arial" w:cs="Arial" w:eastAsia="Arial" w:hAnsi="Arial"/>
                <w:sz w:val="16"/>
                <w:szCs w:val="16"/>
                <w:b w:val="1"/>
                <w:bCs w:val="1"/>
                <w:color w:val="auto"/>
              </w:rPr>
              <w:t>Total</w:t>
            </w: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2,434,638</w:t>
            </w:r>
          </w:p>
        </w:tc>
        <w:tc>
          <w:tcPr>
            <w:tcW w:w="240" w:type="dxa"/>
            <w:vAlign w:val="bottom"/>
            <w:tcBorders>
              <w:top w:val="single" w:sz="8" w:color="CFF0FC"/>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-150495</wp:posOffset>
            </wp:positionV>
            <wp:extent cx="76835" cy="57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-150495</wp:posOffset>
            </wp:positionV>
            <wp:extent cx="68580"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-150495</wp:posOffset>
            </wp:positionV>
            <wp:extent cx="68580"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-150495</wp:posOffset>
            </wp:positionV>
            <wp:extent cx="68580"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5"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$19.0 million of first-lien debt investments which were valued using an asset valuation waterfall.</w:t>
      </w:r>
    </w:p>
    <w:p>
      <w:pPr>
        <w:spacing w:after="0" w:line="36" w:lineRule="exact"/>
        <w:rPr>
          <w:rFonts w:ascii="Arial" w:cs="Arial" w:eastAsia="Arial" w:hAnsi="Arial"/>
          <w:sz w:val="18"/>
          <w:szCs w:val="18"/>
          <w:color w:val="auto"/>
        </w:rPr>
      </w:pPr>
    </w:p>
    <w:p>
      <w:pPr>
        <w:ind w:left="520" w:right="280" w:hanging="512"/>
        <w:spacing w:after="0" w:line="258"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$2.1 million of debt investments which, due to the proximity of the transactions relative to the measurement date, were valued using the cost of the investments and $0.1 million of debt investments which were valued using an asset valuation waterfall.</w:t>
      </w:r>
    </w:p>
    <w:p>
      <w:pPr>
        <w:ind w:left="520" w:hanging="512"/>
        <w:spacing w:after="0" w:line="248"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$22.0 million of equity investments which were valued using an asset valuation waterfall, $7.7 million of equity investments using a Black-Scholes model, and $26.2 million of equity investments which, due to the proximity of the transactions relative to the measurement date, were valued using the cost of the investments.</w:t>
      </w:r>
    </w:p>
    <w:p>
      <w:pPr>
        <w:spacing w:after="0" w:line="182" w:lineRule="exact"/>
        <w:rPr>
          <w:sz w:val="20"/>
          <w:szCs w:val="20"/>
          <w:color w:val="auto"/>
        </w:rPr>
      </w:pPr>
    </w:p>
    <w:p>
      <w:pPr>
        <w:ind w:right="280" w:firstLine="255"/>
        <w:spacing w:after="0" w:line="259" w:lineRule="auto"/>
        <w:rPr>
          <w:sz w:val="20"/>
          <w:szCs w:val="20"/>
          <w:color w:val="auto"/>
        </w:rPr>
      </w:pPr>
      <w:r>
        <w:rPr>
          <w:rFonts w:ascii="Arial" w:cs="Arial" w:eastAsia="Arial" w:hAnsi="Arial"/>
          <w:sz w:val="17"/>
          <w:szCs w:val="17"/>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34" w:name="page35"/>
    <w:bookmarkEnd w:id="34"/>
    <w:p>
      <w:pPr>
        <w:ind w:right="240" w:firstLine="255"/>
        <w:spacing w:after="0" w:line="257"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04" w:lineRule="exact"/>
        <w:rPr>
          <w:sz w:val="20"/>
          <w:szCs w:val="20"/>
          <w:color w:val="auto"/>
        </w:rPr>
      </w:pPr>
    </w:p>
    <w:p>
      <w:pPr>
        <w:ind w:right="420" w:firstLine="255"/>
        <w:spacing w:after="0" w:line="261" w:lineRule="auto"/>
        <w:rPr>
          <w:sz w:val="20"/>
          <w:szCs w:val="20"/>
          <w:color w:val="auto"/>
        </w:rPr>
      </w:pPr>
      <w:r>
        <w:rPr>
          <w:rFonts w:ascii="Arial" w:cs="Arial" w:eastAsia="Arial" w:hAnsi="Arial"/>
          <w:sz w:val="18"/>
          <w:szCs w:val="18"/>
          <w:color w:val="auto"/>
        </w:rPr>
        <w:t>The fair value of the Company’s Revolving Credit Facility, which is categorized as Level 3 within the fair value hierarchy, as of June 30, 2022 and December 31, 2021, approximates its carrying value as the outstanding balance is callable at carrying value.</w:t>
      </w:r>
    </w:p>
    <w:p>
      <w:pPr>
        <w:spacing w:after="0" w:line="171" w:lineRule="exact"/>
        <w:rPr>
          <w:sz w:val="20"/>
          <w:szCs w:val="20"/>
          <w:color w:val="auto"/>
        </w:rPr>
      </w:pPr>
    </w:p>
    <w:p>
      <w:pPr>
        <w:ind w:right="40" w:firstLine="255"/>
        <w:spacing w:after="0" w:line="261" w:lineRule="auto"/>
        <w:rPr>
          <w:sz w:val="20"/>
          <w:szCs w:val="20"/>
          <w:color w:val="auto"/>
        </w:rPr>
      </w:pPr>
      <w:r>
        <w:rPr>
          <w:rFonts w:ascii="Arial" w:cs="Arial" w:eastAsia="Arial" w:hAnsi="Arial"/>
          <w:sz w:val="18"/>
          <w:szCs w:val="18"/>
          <w:color w:val="auto"/>
        </w:rPr>
        <w:t>The following table presents the fair value of the Company’s 2022 Convertible Notes, 2023 Notes, 2024 Notes and 2026 Notes, as of June 30, 2022 and December 31, 2021.</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 2022</w:t>
            </w:r>
          </w:p>
        </w:tc>
        <w:tc>
          <w:tcPr>
            <w:tcW w:w="5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right"/>
              <w:ind w:right="297"/>
              <w:spacing w:after="0" w:line="133" w:lineRule="exact"/>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ind w:left="240"/>
              <w:spacing w:after="0" w:line="133" w:lineRule="exact"/>
              <w:rPr>
                <w:sz w:val="20"/>
                <w:szCs w:val="20"/>
                <w:color w:val="auto"/>
              </w:rPr>
            </w:pPr>
            <w:r>
              <w:rPr>
                <w:rFonts w:ascii="Arial" w:cs="Arial" w:eastAsia="Arial" w:hAnsi="Arial"/>
                <w:sz w:val="14"/>
                <w:szCs w:val="14"/>
                <w:b w:val="1"/>
                <w:bCs w:val="1"/>
                <w:color w:val="auto"/>
                <w:w w:val="93"/>
              </w:rPr>
              <w:t>Fair</w:t>
            </w:r>
          </w:p>
        </w:tc>
        <w:tc>
          <w:tcPr>
            <w:tcW w:w="620" w:type="dxa"/>
            <w:vAlign w:val="bottom"/>
            <w:vMerge w:val="restart"/>
          </w:tcPr>
          <w:p>
            <w:pPr>
              <w:spacing w:after="0"/>
              <w:rPr>
                <w:sz w:val="20"/>
                <w:szCs w:val="20"/>
                <w:color w:val="auto"/>
              </w:rPr>
            </w:pPr>
            <w:r>
              <w:rPr>
                <w:rFonts w:ascii="Arial" w:cs="Arial" w:eastAsia="Arial" w:hAnsi="Arial"/>
                <w:sz w:val="10"/>
                <w:szCs w:val="10"/>
                <w:b w:val="1"/>
                <w:bCs w:val="1"/>
                <w:color w:val="auto"/>
              </w:rPr>
              <w:t>(1)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277"/>
              <w:spacing w:after="0" w:line="133" w:lineRule="exact"/>
              <w:rPr>
                <w:sz w:val="20"/>
                <w:szCs w:val="20"/>
                <w:color w:val="auto"/>
              </w:rPr>
            </w:pPr>
            <w:r>
              <w:rPr>
                <w:rFonts w:ascii="Arial" w:cs="Arial" w:eastAsia="Arial" w:hAnsi="Arial"/>
                <w:sz w:val="14"/>
                <w:szCs w:val="14"/>
                <w:b w:val="1"/>
                <w:bCs w:val="1"/>
                <w:color w:val="auto"/>
              </w:rPr>
              <w:t>Outstanding</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ind w:left="140"/>
              <w:spacing w:after="0" w:line="133" w:lineRule="exact"/>
              <w:rPr>
                <w:sz w:val="20"/>
                <w:szCs w:val="20"/>
                <w:color w:val="auto"/>
              </w:rPr>
            </w:pPr>
            <w:r>
              <w:rPr>
                <w:rFonts w:ascii="Arial" w:cs="Arial" w:eastAsia="Arial" w:hAnsi="Arial"/>
                <w:sz w:val="14"/>
                <w:szCs w:val="14"/>
                <w:b w:val="1"/>
                <w:bCs w:val="1"/>
                <w:color w:val="auto"/>
                <w:w w:val="93"/>
              </w:rPr>
              <w:t>Fair</w:t>
            </w:r>
          </w:p>
        </w:tc>
        <w:tc>
          <w:tcPr>
            <w:tcW w:w="620" w:type="dxa"/>
            <w:vAlign w:val="bottom"/>
            <w:vMerge w:val="restart"/>
          </w:tcPr>
          <w:p>
            <w:pPr>
              <w:spacing w:after="0"/>
              <w:rPr>
                <w:sz w:val="20"/>
                <w:szCs w:val="20"/>
                <w:color w:val="auto"/>
              </w:rPr>
            </w:pPr>
            <w:r>
              <w:rPr>
                <w:rFonts w:ascii="Arial" w:cs="Arial" w:eastAsia="Arial" w:hAnsi="Arial"/>
                <w:sz w:val="10"/>
                <w:szCs w:val="10"/>
                <w:b w:val="1"/>
                <w:bCs w:val="1"/>
                <w:color w:val="auto"/>
              </w:rPr>
              <w:t>(1)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Principal</w:t>
            </w:r>
          </w:p>
        </w:tc>
        <w:tc>
          <w:tcPr>
            <w:tcW w:w="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6"/>
              </w:rPr>
              <w:t>Value</w:t>
            </w: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Principal</w:t>
            </w:r>
          </w:p>
        </w:tc>
        <w:tc>
          <w:tcPr>
            <w:tcW w:w="3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Value</w:t>
            </w: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2022</w:t>
            </w:r>
          </w:p>
        </w:tc>
        <w:tc>
          <w:tcPr>
            <w:tcW w:w="3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Convertible Notes</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99,990</w:t>
            </w: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spacing w:after="0"/>
              <w:rPr>
                <w:sz w:val="17"/>
                <w:szCs w:val="17"/>
                <w:color w:val="auto"/>
              </w:rPr>
            </w:pPr>
          </w:p>
        </w:tc>
        <w:tc>
          <w:tcPr>
            <w:tcW w:w="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89"/>
              </w:rPr>
              <w:t>104,674</w:t>
            </w:r>
          </w:p>
        </w:tc>
        <w:tc>
          <w:tcPr>
            <w:tcW w:w="300" w:type="dxa"/>
            <w:vAlign w:val="bottom"/>
            <w:gridSpan w:val="2"/>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99,990</w:t>
            </w:r>
          </w:p>
        </w:tc>
        <w:tc>
          <w:tcPr>
            <w:tcW w:w="30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spacing w:after="0"/>
              <w:rPr>
                <w:sz w:val="17"/>
                <w:szCs w:val="17"/>
                <w:color w:val="auto"/>
              </w:rPr>
            </w:pPr>
          </w:p>
        </w:tc>
        <w:tc>
          <w:tcPr>
            <w:tcW w:w="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89"/>
              </w:rPr>
              <w:t>121,710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jc w:val="right"/>
              <w:spacing w:after="0" w:line="202" w:lineRule="exact"/>
              <w:rPr>
                <w:sz w:val="20"/>
                <w:szCs w:val="20"/>
                <w:color w:val="auto"/>
              </w:rPr>
            </w:pPr>
            <w:r>
              <w:rPr>
                <w:rFonts w:ascii="Arial" w:cs="Arial" w:eastAsia="Arial" w:hAnsi="Arial"/>
                <w:sz w:val="18"/>
                <w:szCs w:val="18"/>
                <w:color w:val="auto"/>
                <w:w w:val="89"/>
              </w:rPr>
              <w:t>2023</w:t>
            </w:r>
          </w:p>
        </w:tc>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Notes</w:t>
            </w:r>
          </w:p>
        </w:tc>
        <w:tc>
          <w:tcPr>
            <w:tcW w:w="2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150,000</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ind w:left="20"/>
              <w:spacing w:after="0" w:line="202" w:lineRule="exact"/>
              <w:rPr>
                <w:sz w:val="20"/>
                <w:szCs w:val="20"/>
                <w:color w:val="auto"/>
              </w:rPr>
            </w:pPr>
            <w:r>
              <w:rPr>
                <w:rFonts w:ascii="Arial" w:cs="Arial" w:eastAsia="Arial" w:hAnsi="Arial"/>
                <w:sz w:val="18"/>
                <w:szCs w:val="18"/>
                <w:color w:val="auto"/>
                <w:w w:val="89"/>
              </w:rPr>
              <w:t>150,578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150,000</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ind w:left="20"/>
              <w:spacing w:after="0" w:line="202" w:lineRule="exact"/>
              <w:rPr>
                <w:sz w:val="20"/>
                <w:szCs w:val="20"/>
                <w:color w:val="auto"/>
              </w:rPr>
            </w:pPr>
            <w:r>
              <w:rPr>
                <w:rFonts w:ascii="Arial" w:cs="Arial" w:eastAsia="Arial" w:hAnsi="Arial"/>
                <w:sz w:val="18"/>
                <w:szCs w:val="18"/>
                <w:color w:val="auto"/>
                <w:w w:val="89"/>
              </w:rPr>
              <w:t>153,953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2024</w:t>
            </w:r>
          </w:p>
        </w:tc>
        <w:tc>
          <w:tcPr>
            <w:tcW w:w="3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Notes</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347,500</w:t>
            </w: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89"/>
              </w:rPr>
              <w:t>334,834</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347,500</w:t>
            </w:r>
          </w:p>
        </w:tc>
        <w:tc>
          <w:tcPr>
            <w:tcW w:w="3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89"/>
              </w:rPr>
              <w:t>362,703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jc w:val="right"/>
              <w:spacing w:after="0" w:line="202" w:lineRule="exact"/>
              <w:rPr>
                <w:sz w:val="20"/>
                <w:szCs w:val="20"/>
                <w:color w:val="auto"/>
              </w:rPr>
            </w:pPr>
            <w:r>
              <w:rPr>
                <w:rFonts w:ascii="Arial" w:cs="Arial" w:eastAsia="Arial" w:hAnsi="Arial"/>
                <w:sz w:val="18"/>
                <w:szCs w:val="18"/>
                <w:color w:val="auto"/>
                <w:w w:val="89"/>
              </w:rPr>
              <w:t>2026</w:t>
            </w:r>
          </w:p>
        </w:tc>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Notes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300,000</w:t>
            </w:r>
          </w:p>
        </w:tc>
        <w:tc>
          <w:tcPr>
            <w:tcW w:w="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w w:val="89"/>
              </w:rPr>
              <w:t>262,980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300,000</w:t>
            </w:r>
          </w:p>
        </w:tc>
        <w:tc>
          <w:tcPr>
            <w:tcW w:w="3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w w:val="89"/>
              </w:rPr>
              <w:t>296,520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20" w:type="dxa"/>
            <w:vAlign w:val="bottom"/>
            <w:tcBorders>
              <w:bottom w:val="single" w:sz="8" w:color="CFF0FC"/>
            </w:tcBorders>
            <w:gridSpan w:val="2"/>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897,490</w:t>
            </w:r>
          </w:p>
        </w:tc>
        <w:tc>
          <w:tcPr>
            <w:tcW w:w="3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89"/>
              </w:rPr>
              <w:t>853,066</w:t>
            </w:r>
          </w:p>
        </w:tc>
        <w:tc>
          <w:tcPr>
            <w:tcW w:w="300" w:type="dxa"/>
            <w:vAlign w:val="bottom"/>
            <w:tcBorders>
              <w:bottom w:val="single" w:sz="8" w:color="CFF0FC"/>
            </w:tcBorders>
            <w:gridSpan w:val="2"/>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897,490</w:t>
            </w:r>
          </w:p>
        </w:tc>
        <w:tc>
          <w:tcPr>
            <w:tcW w:w="3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89"/>
              </w:rPr>
              <w:t>934,886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-25400</wp:posOffset>
            </wp:positionV>
            <wp:extent cx="7683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-7620</wp:posOffset>
            </wp:positionV>
            <wp:extent cx="768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2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fair value is based on broker quotes received by the Company and is categorized as Level 2 within the fair value hierarchy.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04" w:lineRule="exact"/>
        <w:rPr>
          <w:sz w:val="20"/>
          <w:szCs w:val="20"/>
          <w:color w:val="auto"/>
        </w:rPr>
      </w:pPr>
    </w:p>
    <w:p>
      <w:pPr>
        <w:ind w:right="20" w:firstLine="255"/>
        <w:spacing w:after="0" w:line="243" w:lineRule="auto"/>
        <w:rPr>
          <w:sz w:val="20"/>
          <w:szCs w:val="20"/>
          <w:color w:val="auto"/>
        </w:rPr>
      </w:pPr>
      <w:r>
        <w:rPr>
          <w:rFonts w:ascii="Arial" w:cs="Arial" w:eastAsia="Arial" w:hAnsi="Arial"/>
          <w:sz w:val="18"/>
          <w:szCs w:val="18"/>
          <w:color w:val="auto"/>
        </w:rPr>
        <w:t>The carrying amounts of the Company’s assets and liabilities, other than investments at fair value and the 2022 Convertible Notes, 2023 Notes, 2024 Notes and 2026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08" w:lineRule="exact"/>
        <w:rPr>
          <w:sz w:val="20"/>
          <w:szCs w:val="20"/>
          <w:color w:val="auto"/>
        </w:rPr>
      </w:pPr>
    </w:p>
    <w:p>
      <w:pPr>
        <w:jc w:val="both"/>
        <w:ind w:right="360" w:firstLine="255"/>
        <w:spacing w:after="0" w:line="248"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150% after such borrowing. As of June 30, 2022 and December 31, 2021, the Company’s asset coverage was 194.3% and 205.4%, respectively.</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June 30, 2022 and 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58"/>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7"/>
              <w:spacing w:after="0" w:line="14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4"/>
                <w:szCs w:val="14"/>
                <w:b w:val="1"/>
                <w:bCs w:val="1"/>
                <w:color w:val="auto"/>
                <w:w w:val="91"/>
              </w:rPr>
              <w:t xml:space="preserve">Available </w:t>
            </w:r>
            <w:r>
              <w:rPr>
                <w:rFonts w:ascii="Arial" w:cs="Arial" w:eastAsia="Arial" w:hAnsi="Arial"/>
                <w:sz w:val="19"/>
                <w:szCs w:val="19"/>
                <w:b w:val="1"/>
                <w:bCs w:val="1"/>
                <w:color w:val="auto"/>
                <w:w w:val="91"/>
                <w:vertAlign w:val="superscript"/>
              </w:rPr>
              <w:t>(1)</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8"/>
              <w:spacing w:after="0" w:line="189" w:lineRule="exact"/>
              <w:rPr>
                <w:sz w:val="20"/>
                <w:szCs w:val="20"/>
                <w:color w:val="auto"/>
              </w:rPr>
            </w:pPr>
            <w:r>
              <w:rPr>
                <w:rFonts w:ascii="Arial" w:cs="Arial" w:eastAsia="Arial" w:hAnsi="Arial"/>
                <w:sz w:val="21"/>
                <w:szCs w:val="21"/>
                <w:b w:val="1"/>
                <w:bCs w:val="1"/>
                <w:color w:val="auto"/>
                <w:vertAlign w:val="subscript"/>
              </w:rPr>
              <w:t>Value</w:t>
            </w:r>
            <w:r>
              <w:rPr>
                <w:rFonts w:ascii="Arial" w:cs="Arial" w:eastAsia="Arial" w:hAnsi="Arial"/>
                <w:sz w:val="8"/>
                <w:szCs w:val="8"/>
                <w:b w:val="1"/>
                <w:bCs w:val="1"/>
                <w:color w:val="auto"/>
              </w:rPr>
              <w:t xml:space="preserve"> (2)(3)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4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Revolving Credit Facility</w:t>
            </w:r>
          </w:p>
        </w:tc>
        <w:tc>
          <w:tcPr>
            <w:tcW w:w="18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1,585,000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421,747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1,163,253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407,035</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00" w:type="dxa"/>
            <w:vAlign w:val="bottom"/>
          </w:tcPr>
          <w:p>
            <w:pPr>
              <w:spacing w:after="0" w:line="202" w:lineRule="exact"/>
              <w:rPr>
                <w:sz w:val="20"/>
                <w:szCs w:val="20"/>
                <w:color w:val="auto"/>
              </w:rPr>
            </w:pPr>
            <w:r>
              <w:rPr>
                <w:rFonts w:ascii="Arial" w:cs="Arial" w:eastAsia="Arial" w:hAnsi="Arial"/>
                <w:sz w:val="18"/>
                <w:szCs w:val="18"/>
                <w:color w:val="auto"/>
                <w:w w:val="94"/>
              </w:rPr>
              <w:t>2022</w:t>
            </w:r>
          </w:p>
        </w:tc>
        <w:tc>
          <w:tcPr>
            <w:tcW w:w="3000" w:type="dxa"/>
            <w:vAlign w:val="bottom"/>
          </w:tcPr>
          <w:p>
            <w:pPr>
              <w:ind w:left="20"/>
              <w:spacing w:after="0" w:line="202" w:lineRule="exact"/>
              <w:rPr>
                <w:sz w:val="20"/>
                <w:szCs w:val="20"/>
                <w:color w:val="auto"/>
              </w:rPr>
            </w:pPr>
            <w:r>
              <w:rPr>
                <w:rFonts w:ascii="Arial" w:cs="Arial" w:eastAsia="Arial" w:hAnsi="Arial"/>
                <w:sz w:val="18"/>
                <w:szCs w:val="18"/>
                <w:color w:val="auto"/>
              </w:rPr>
              <w:t>Convertible Notes</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99,990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99,990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99,942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4"/>
              </w:rPr>
              <w:t>2023</w:t>
            </w:r>
          </w:p>
        </w:tc>
        <w:tc>
          <w:tcPr>
            <w:tcW w:w="3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Notes</w:t>
            </w:r>
          </w:p>
        </w:tc>
        <w:tc>
          <w:tcPr>
            <w:tcW w:w="1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150,000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149,631</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00" w:type="dxa"/>
            <w:vAlign w:val="bottom"/>
          </w:tcPr>
          <w:p>
            <w:pPr>
              <w:spacing w:after="0" w:line="202" w:lineRule="exact"/>
              <w:rPr>
                <w:sz w:val="20"/>
                <w:szCs w:val="20"/>
                <w:color w:val="auto"/>
              </w:rPr>
            </w:pPr>
            <w:r>
              <w:rPr>
                <w:rFonts w:ascii="Arial" w:cs="Arial" w:eastAsia="Arial" w:hAnsi="Arial"/>
                <w:sz w:val="18"/>
                <w:szCs w:val="18"/>
                <w:color w:val="auto"/>
                <w:w w:val="94"/>
              </w:rPr>
              <w:t>2024</w:t>
            </w:r>
          </w:p>
        </w:tc>
        <w:tc>
          <w:tcPr>
            <w:tcW w:w="3000" w:type="dxa"/>
            <w:vAlign w:val="bottom"/>
          </w:tcPr>
          <w:p>
            <w:pPr>
              <w:ind w:left="20"/>
              <w:spacing w:after="0" w:line="202" w:lineRule="exact"/>
              <w:rPr>
                <w:sz w:val="20"/>
                <w:szCs w:val="20"/>
                <w:color w:val="auto"/>
              </w:rPr>
            </w:pPr>
            <w:r>
              <w:rPr>
                <w:rFonts w:ascii="Arial" w:cs="Arial" w:eastAsia="Arial" w:hAnsi="Arial"/>
                <w:sz w:val="18"/>
                <w:szCs w:val="18"/>
                <w:color w:val="auto"/>
              </w:rPr>
              <w:t>Notes</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347,500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347,500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331,693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w w:val="94"/>
              </w:rPr>
              <w:t>2026</w:t>
            </w:r>
          </w:p>
        </w:tc>
        <w:tc>
          <w:tcPr>
            <w:tcW w:w="30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Notes</w:t>
            </w:r>
          </w:p>
        </w:tc>
        <w:tc>
          <w:tcPr>
            <w:tcW w:w="18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300,000</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300,000</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266,668</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400" w:type="dxa"/>
            <w:vAlign w:val="bottom"/>
            <w:gridSpan w:val="2"/>
          </w:tcPr>
          <w:p>
            <w:pPr>
              <w:ind w:left="180"/>
              <w:spacing w:after="0" w:line="196" w:lineRule="exact"/>
              <w:rPr>
                <w:sz w:val="20"/>
                <w:szCs w:val="20"/>
                <w:color w:val="auto"/>
              </w:rPr>
            </w:pPr>
            <w:r>
              <w:rPr>
                <w:rFonts w:ascii="Arial" w:cs="Arial" w:eastAsia="Arial" w:hAnsi="Arial"/>
                <w:sz w:val="18"/>
                <w:szCs w:val="18"/>
                <w:b w:val="1"/>
                <w:bCs w:val="1"/>
                <w:color w:val="auto"/>
              </w:rPr>
              <w:t>Total Debt</w:t>
            </w:r>
          </w:p>
        </w:tc>
        <w:tc>
          <w:tcPr>
            <w:tcW w:w="1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2,482,490</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1,319,237</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1,163,253</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1,254,969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-639445</wp:posOffset>
            </wp:positionV>
            <wp:extent cx="68580" cy="57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-639445</wp:posOffset>
            </wp:positionV>
            <wp:extent cx="60325" cy="57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-639445</wp:posOffset>
            </wp:positionV>
            <wp:extent cx="60325" cy="5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-639445</wp:posOffset>
            </wp:positionV>
            <wp:extent cx="60325" cy="57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 w:name="page36"/>
    <w:bookmarkEnd w:id="35"/>
    <w:p>
      <w:pPr>
        <w:ind w:left="512" w:right="880" w:hanging="512"/>
        <w:spacing w:after="0" w:line="244" w:lineRule="auto"/>
        <w:tabs>
          <w:tab w:leader="none" w:pos="5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ind w:left="512" w:hanging="512"/>
        <w:spacing w:after="0" w:line="234" w:lineRule="auto"/>
        <w:tabs>
          <w:tab w:leader="none" w:pos="5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2024 Notes and 2026 Notes are presented net of the combination of deferred financing costs and original issue discounts totaling $14.7 million, $0.1 million, $0.4 million, $3.3 million and $4.7 million, respectively.</w:t>
      </w:r>
    </w:p>
    <w:p>
      <w:pPr>
        <w:spacing w:after="0" w:line="2" w:lineRule="exact"/>
        <w:rPr>
          <w:rFonts w:ascii="Arial" w:cs="Arial" w:eastAsia="Arial" w:hAnsi="Arial"/>
          <w:sz w:val="18"/>
          <w:szCs w:val="18"/>
          <w:color w:val="auto"/>
        </w:rPr>
      </w:pPr>
    </w:p>
    <w:p>
      <w:pPr>
        <w:ind w:left="512" w:right="200" w:hanging="512"/>
        <w:spacing w:after="0" w:line="303" w:lineRule="auto"/>
        <w:tabs>
          <w:tab w:leader="none" w:pos="51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carrying values of the 2024 Notes and 2026 Notes are presented inclusive of an incremental ($12.5) million and ($28.6) million, respectively, which represents an adjustment in the carrying values of the 2024 Notes and 2026 Notes, each resulting from a hedge accounting relationship.</w:t>
      </w:r>
    </w:p>
    <w:p>
      <w:pPr>
        <w:spacing w:after="0" w:line="335" w:lineRule="exact"/>
        <w:rPr>
          <w:sz w:val="20"/>
          <w:szCs w:val="20"/>
          <w:color w:val="auto"/>
        </w:rPr>
      </w:pPr>
    </w:p>
    <w:tbl>
      <w:tblPr>
        <w:tblLayout w:type="fixed"/>
        <w:tblInd w:w="572" w:type="dxa"/>
        <w:tblCellMar>
          <w:top w:w="0" w:type="dxa"/>
          <w:left w:w="0" w:type="dxa"/>
          <w:bottom w:w="0" w:type="dxa"/>
          <w:right w:w="0" w:type="dxa"/>
        </w:tblCellMar>
      </w:tblPr>
      <w:tr>
        <w:trPr>
          <w:trHeight w:val="185"/>
        </w:trPr>
        <w:tc>
          <w:tcPr>
            <w:tcW w:w="4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right"/>
              <w:ind w:right="495"/>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58"/>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7"/>
              <w:spacing w:after="0" w:line="145"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Committed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4"/>
                <w:szCs w:val="14"/>
                <w:b w:val="1"/>
                <w:bCs w:val="1"/>
                <w:color w:val="auto"/>
                <w:w w:val="93"/>
              </w:rPr>
              <w:t xml:space="preserve">Available </w:t>
            </w:r>
            <w:r>
              <w:rPr>
                <w:rFonts w:ascii="Arial" w:cs="Arial" w:eastAsia="Arial" w:hAnsi="Arial"/>
                <w:sz w:val="19"/>
                <w:szCs w:val="19"/>
                <w:b w:val="1"/>
                <w:bCs w:val="1"/>
                <w:color w:val="auto"/>
                <w:w w:val="93"/>
                <w:vertAlign w:val="superscript"/>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8"/>
              <w:spacing w:after="0" w:line="189" w:lineRule="exact"/>
              <w:rPr>
                <w:sz w:val="20"/>
                <w:szCs w:val="20"/>
                <w:color w:val="auto"/>
              </w:rPr>
            </w:pPr>
            <w:r>
              <w:rPr>
                <w:rFonts w:ascii="Arial" w:cs="Arial" w:eastAsia="Arial" w:hAnsi="Arial"/>
                <w:sz w:val="21"/>
                <w:szCs w:val="21"/>
                <w:b w:val="1"/>
                <w:bCs w:val="1"/>
                <w:color w:val="auto"/>
                <w:vertAlign w:val="subscript"/>
              </w:rPr>
              <w:t>Value</w:t>
            </w:r>
            <w:r>
              <w:rPr>
                <w:rFonts w:ascii="Arial" w:cs="Arial" w:eastAsia="Arial" w:hAnsi="Arial"/>
                <w:sz w:val="8"/>
                <w:szCs w:val="8"/>
                <w:b w:val="1"/>
                <w:bCs w:val="1"/>
                <w:color w:val="auto"/>
              </w:rPr>
              <w:t xml:space="preserve"> (2)(3)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Revolving Credit Facility</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1,510,000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316,442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1,193,558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304,607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line="202" w:lineRule="exact"/>
              <w:rPr>
                <w:sz w:val="20"/>
                <w:szCs w:val="20"/>
                <w:color w:val="auto"/>
              </w:rPr>
            </w:pPr>
            <w:r>
              <w:rPr>
                <w:rFonts w:ascii="Arial" w:cs="Arial" w:eastAsia="Arial" w:hAnsi="Arial"/>
                <w:sz w:val="18"/>
                <w:szCs w:val="18"/>
                <w:color w:val="auto"/>
                <w:w w:val="94"/>
              </w:rPr>
              <w:t>2022</w:t>
            </w:r>
          </w:p>
        </w:tc>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Convertible Notes</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99,990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99,990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99,673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4"/>
              </w:rPr>
              <w:t>2023</w:t>
            </w:r>
          </w:p>
        </w:tc>
        <w:tc>
          <w:tcPr>
            <w:tcW w:w="4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Notes</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150,000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150,000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149,306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line="202" w:lineRule="exact"/>
              <w:rPr>
                <w:sz w:val="20"/>
                <w:szCs w:val="20"/>
                <w:color w:val="auto"/>
              </w:rPr>
            </w:pPr>
            <w:r>
              <w:rPr>
                <w:rFonts w:ascii="Arial" w:cs="Arial" w:eastAsia="Arial" w:hAnsi="Arial"/>
                <w:sz w:val="18"/>
                <w:szCs w:val="18"/>
                <w:color w:val="auto"/>
                <w:w w:val="94"/>
              </w:rPr>
              <w:t>2024</w:t>
            </w:r>
          </w:p>
        </w:tc>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Notes</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347,500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347,500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347,896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w w:val="94"/>
              </w:rPr>
              <w:t>2026</w:t>
            </w:r>
          </w:p>
        </w:tc>
        <w:tc>
          <w:tcPr>
            <w:tcW w:w="48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Notes</w:t>
            </w: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300,000</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300,000</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284,482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gridSpan w:val="2"/>
          </w:tcPr>
          <w:p>
            <w:pPr>
              <w:ind w:left="180"/>
              <w:spacing w:after="0" w:line="196" w:lineRule="exact"/>
              <w:rPr>
                <w:sz w:val="20"/>
                <w:szCs w:val="20"/>
                <w:color w:val="auto"/>
              </w:rPr>
            </w:pPr>
            <w:r>
              <w:rPr>
                <w:rFonts w:ascii="Arial" w:cs="Arial" w:eastAsia="Arial" w:hAnsi="Arial"/>
                <w:sz w:val="18"/>
                <w:szCs w:val="18"/>
                <w:b w:val="1"/>
                <w:bCs w:val="1"/>
                <w:color w:val="auto"/>
              </w:rPr>
              <w:t>Total Debt</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2,407,490</w:t>
            </w:r>
          </w:p>
        </w:tc>
        <w:tc>
          <w:tcPr>
            <w:tcW w:w="3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1,213,932</w:t>
            </w:r>
          </w:p>
        </w:tc>
        <w:tc>
          <w:tcPr>
            <w:tcW w:w="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1,193,558</w:t>
            </w:r>
          </w:p>
        </w:tc>
        <w:tc>
          <w:tcPr>
            <w:tcW w:w="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1,185,964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-159385</wp:posOffset>
            </wp:positionV>
            <wp:extent cx="68580" cy="57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5092065</wp:posOffset>
            </wp:positionH>
            <wp:positionV relativeFrom="paragraph">
              <wp:posOffset>-159385</wp:posOffset>
            </wp:positionV>
            <wp:extent cx="60325" cy="57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-159385</wp:posOffset>
            </wp:positionV>
            <wp:extent cx="60325" cy="57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-159385</wp:posOffset>
            </wp:positionV>
            <wp:extent cx="60325" cy="57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09" w:lineRule="exact"/>
        <w:rPr>
          <w:sz w:val="20"/>
          <w:szCs w:val="20"/>
          <w:color w:val="auto"/>
        </w:rPr>
      </w:pPr>
    </w:p>
    <w:p>
      <w:pPr>
        <w:ind w:left="512" w:right="880" w:hanging="512"/>
        <w:spacing w:after="0" w:line="244" w:lineRule="auto"/>
        <w:tabs>
          <w:tab w:leader="none" w:pos="5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ind w:left="512" w:hanging="512"/>
        <w:spacing w:after="0" w:line="234" w:lineRule="auto"/>
        <w:tabs>
          <w:tab w:leader="none" w:pos="5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2024 Notes and 2026 Notes are presented net of the combination of deferred financing costs and original issue discounts totaling $11.8 million, $0.3 million, $0.7 million, $4.0 million and $5.3 million, respectively.</w:t>
      </w:r>
    </w:p>
    <w:p>
      <w:pPr>
        <w:spacing w:after="0" w:line="2" w:lineRule="exact"/>
        <w:rPr>
          <w:rFonts w:ascii="Arial" w:cs="Arial" w:eastAsia="Arial" w:hAnsi="Arial"/>
          <w:sz w:val="18"/>
          <w:szCs w:val="18"/>
          <w:color w:val="auto"/>
        </w:rPr>
      </w:pPr>
    </w:p>
    <w:p>
      <w:pPr>
        <w:jc w:val="both"/>
        <w:ind w:left="512" w:right="420" w:hanging="512"/>
        <w:spacing w:after="0" w:line="303" w:lineRule="auto"/>
        <w:tabs>
          <w:tab w:leader="none" w:pos="51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carrying values of the 2024 Notes and 2026 Notes are presented inclusive of an incremental $4.4 million and ($10.2) million, respectively, which represents an adjustment in the carrying values of the 2024 Notes and 2026 Notes, each resulting from a hedge accounting relationship.</w:t>
      </w:r>
    </w:p>
    <w:p>
      <w:pPr>
        <w:spacing w:after="0" w:line="14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530" w:right="359" w:bottom="1440" w:gutter="0" w:footer="0" w:header="0"/>
        </w:sectPr>
      </w:pPr>
    </w:p>
    <w:bookmarkStart w:id="36" w:name="page37"/>
    <w:bookmarkEnd w:id="36"/>
    <w:p>
      <w:pPr>
        <w:ind w:left="260"/>
        <w:spacing w:after="0"/>
        <w:rPr>
          <w:sz w:val="20"/>
          <w:szCs w:val="20"/>
          <w:color w:val="auto"/>
        </w:rPr>
      </w:pPr>
      <w:r>
        <w:rPr>
          <w:rFonts w:ascii="Arial" w:cs="Arial" w:eastAsia="Arial" w:hAnsi="Arial"/>
          <w:sz w:val="18"/>
          <w:szCs w:val="18"/>
          <w:color w:val="auto"/>
        </w:rPr>
        <w:t>For the three and six months ended June 30, 2022 and 2021, the components of interest expense were as follows: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1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w:t>
            </w:r>
          </w:p>
        </w:tc>
      </w:tr>
      <w:tr>
        <w:trPr>
          <w:trHeight w:val="169"/>
        </w:trPr>
        <w:tc>
          <w:tcPr>
            <w:tcW w:w="5140" w:type="dxa"/>
            <w:vAlign w:val="bottom"/>
          </w:tcPr>
          <w:p>
            <w:pPr>
              <w:spacing w:after="0"/>
              <w:rPr>
                <w:sz w:val="14"/>
                <w:szCs w:val="14"/>
                <w:color w:val="auto"/>
              </w:rPr>
            </w:pPr>
          </w:p>
        </w:tc>
        <w:tc>
          <w:tcPr>
            <w:tcW w:w="1260" w:type="dxa"/>
            <w:vAlign w:val="bottom"/>
            <w:tcBorders>
              <w:top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8"/>
              </w:rPr>
              <w:t>June 30, 2022</w:t>
            </w: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June 30, 2021</w:t>
            </w:r>
          </w:p>
        </w:tc>
        <w:tc>
          <w:tcPr>
            <w:tcW w:w="260" w:type="dxa"/>
            <w:vAlign w:val="bottom"/>
          </w:tcPr>
          <w:p>
            <w:pPr>
              <w:spacing w:after="0"/>
              <w:rPr>
                <w:sz w:val="14"/>
                <w:szCs w:val="14"/>
                <w:color w:val="auto"/>
              </w:rPr>
            </w:pPr>
          </w:p>
        </w:tc>
        <w:tc>
          <w:tcPr>
            <w:tcW w:w="120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6"/>
              </w:rPr>
              <w:t>June 30, 2022</w:t>
            </w: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7"/>
              </w:rPr>
              <w:t>June 30, 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5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Interest expense</w:t>
            </w:r>
          </w:p>
        </w:tc>
        <w:tc>
          <w:tcPr>
            <w:tcW w:w="280" w:type="dxa"/>
            <w:vAlign w:val="bottom"/>
            <w:tcBorders>
              <w:top w:val="single" w:sz="8" w:color="auto"/>
            </w:tcBorders>
            <w:shd w:val="clear" w:color="auto" w:fill="CFF0FC"/>
          </w:tcPr>
          <w:p>
            <w:pPr>
              <w:jc w:val="right"/>
              <w:ind w:right="95"/>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10,045</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10,421</w:t>
            </w: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5"/>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19,807</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19,892</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Commitment fees</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1,251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1,107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2,376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2,175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Amortization of deferred financing costs</w:t>
            </w: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1,439</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1,512</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2,882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2,860</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5140" w:type="dxa"/>
            <w:vAlign w:val="bottom"/>
          </w:tcPr>
          <w:p>
            <w:pPr>
              <w:spacing w:after="0" w:line="202" w:lineRule="exact"/>
              <w:rPr>
                <w:sz w:val="20"/>
                <w:szCs w:val="20"/>
                <w:color w:val="auto"/>
              </w:rPr>
            </w:pPr>
            <w:r>
              <w:rPr>
                <w:rFonts w:ascii="Arial" w:cs="Arial" w:eastAsia="Arial" w:hAnsi="Arial"/>
                <w:sz w:val="18"/>
                <w:szCs w:val="18"/>
                <w:color w:val="auto"/>
              </w:rPr>
              <w:t>Accretion of original issue discount</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333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Swap settlement</w:t>
            </w:r>
          </w:p>
        </w:tc>
        <w:tc>
          <w:tcPr>
            <w:tcW w:w="2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(963 )</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(3,034 )</w:t>
            </w:r>
          </w:p>
        </w:tc>
        <w:tc>
          <w:tcPr>
            <w:tcW w:w="2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(3,878 )</w:t>
            </w: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(6,117 )</w:t>
            </w:r>
          </w:p>
        </w:tc>
        <w:tc>
          <w:tcPr>
            <w:tcW w:w="60" w:type="dxa"/>
            <w:vAlign w:val="bottom"/>
          </w:tcPr>
          <w:p>
            <w:pPr>
              <w:spacing w:after="0"/>
              <w:rPr>
                <w:sz w:val="17"/>
                <w:szCs w:val="17"/>
                <w:color w:val="auto"/>
              </w:rPr>
            </w:pPr>
          </w:p>
        </w:tc>
      </w:tr>
      <w:tr>
        <w:trPr>
          <w:trHeight w:val="196"/>
        </w:trPr>
        <w:tc>
          <w:tcPr>
            <w:tcW w:w="5140" w:type="dxa"/>
            <w:vAlign w:val="bottom"/>
            <w:tcBorders>
              <w:top w:val="single" w:sz="8" w:color="CFF0FC"/>
            </w:tcBorders>
          </w:tcPr>
          <w:p>
            <w:pPr>
              <w:ind w:left="180"/>
              <w:spacing w:after="0" w:line="196" w:lineRule="exact"/>
              <w:rPr>
                <w:sz w:val="20"/>
                <w:szCs w:val="20"/>
                <w:color w:val="auto"/>
              </w:rPr>
            </w:pPr>
            <w:r>
              <w:rPr>
                <w:rFonts w:ascii="Arial" w:cs="Arial" w:eastAsia="Arial" w:hAnsi="Arial"/>
                <w:sz w:val="18"/>
                <w:szCs w:val="18"/>
                <w:b w:val="1"/>
                <w:bCs w:val="1"/>
                <w:color w:val="auto"/>
              </w:rPr>
              <w:t>Total Interest Expense</w:t>
            </w:r>
          </w:p>
        </w:tc>
        <w:tc>
          <w:tcPr>
            <w:tcW w:w="280" w:type="dxa"/>
            <w:vAlign w:val="bottom"/>
            <w:tcBorders>
              <w:top w:val="single" w:sz="8" w:color="auto"/>
              <w:bottom w:val="single" w:sz="8" w:color="auto"/>
            </w:tcBorders>
          </w:tcPr>
          <w:p>
            <w:pPr>
              <w:jc w:val="right"/>
              <w:ind w:right="95"/>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11,963</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10,190</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5"/>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21,565</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19,143</w:t>
            </w:r>
          </w:p>
        </w:tc>
        <w:tc>
          <w:tcPr>
            <w:tcW w:w="100" w:type="dxa"/>
            <w:vAlign w:val="bottom"/>
            <w:tcBorders>
              <w:top w:val="single" w:sz="8" w:color="CFF0FC"/>
            </w:tcBorders>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51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Average debt outstanding (in millions)</w:t>
            </w:r>
          </w:p>
        </w:tc>
        <w:tc>
          <w:tcPr>
            <w:tcW w:w="280" w:type="dxa"/>
            <w:vAlign w:val="bottom"/>
            <w:shd w:val="clear" w:color="auto" w:fill="CFF0FC"/>
          </w:tcPr>
          <w:p>
            <w:pPr>
              <w:jc w:val="right"/>
              <w:ind w:right="95"/>
              <w:spacing w:after="0" w:line="183"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1,156.5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1,282.2</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75"/>
              <w:spacing w:after="0" w:line="18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1,183.6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1,202.9</w:t>
            </w: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2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2.3 %</w:t>
            </w:r>
          </w:p>
        </w:tc>
        <w:tc>
          <w:tcPr>
            <w:tcW w:w="2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-434340</wp:posOffset>
            </wp:positionV>
            <wp:extent cx="68580" cy="57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-434340</wp:posOffset>
            </wp:positionV>
            <wp:extent cx="68580" cy="57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-434340</wp:posOffset>
            </wp:positionV>
            <wp:extent cx="60325" cy="57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-434340</wp:posOffset>
            </wp:positionV>
            <wp:extent cx="60325" cy="57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04" w:lineRule="exact"/>
        <w:rPr>
          <w:sz w:val="20"/>
          <w:szCs w:val="20"/>
          <w:color w:val="auto"/>
        </w:rPr>
      </w:pPr>
    </w:p>
    <w:p>
      <w:pPr>
        <w:ind w:right="340" w:firstLine="255"/>
        <w:spacing w:after="0" w:line="248" w:lineRule="auto"/>
        <w:rPr>
          <w:sz w:val="20"/>
          <w:szCs w:val="20"/>
          <w:color w:val="auto"/>
        </w:rPr>
      </w:pPr>
      <w:r>
        <w:rPr>
          <w:rFonts w:ascii="Arial" w:cs="Arial" w:eastAsia="Arial" w:hAnsi="Arial"/>
          <w:sz w:val="18"/>
          <w:szCs w:val="18"/>
          <w:color w:val="auto"/>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82" w:lineRule="exact"/>
        <w:rPr>
          <w:sz w:val="20"/>
          <w:szCs w:val="20"/>
          <w:color w:val="auto"/>
        </w:rPr>
      </w:pPr>
    </w:p>
    <w:p>
      <w:pPr>
        <w:jc w:val="both"/>
        <w:ind w:right="80" w:firstLine="255"/>
        <w:spacing w:after="0" w:line="294" w:lineRule="auto"/>
        <w:rPr>
          <w:sz w:val="20"/>
          <w:szCs w:val="20"/>
          <w:color w:val="auto"/>
        </w:rPr>
      </w:pPr>
      <w:r>
        <w:rPr>
          <w:rFonts w:ascii="Arial" w:cs="Arial" w:eastAsia="Arial" w:hAnsi="Arial"/>
          <w:sz w:val="16"/>
          <w:szCs w:val="16"/>
          <w:color w:val="auto"/>
        </w:rPr>
        <w:t>As of March 31, 2022, aggregate commitments under the facility were $1.510 billion. Pursuant to an amendment to the Revolving Credit Facility dated as of April 25, 2022 (the “Twelfth Amendment”), the aggregate commitments under the facility were increased to $1.585 billion. The facility includes an uncommitted accordion feature that allows the Company, under certain circumstances, to increase the size of the facility to up to $2.0 billion.</w:t>
      </w:r>
    </w:p>
    <w:p>
      <w:pPr>
        <w:spacing w:after="0" w:line="147" w:lineRule="exact"/>
        <w:rPr>
          <w:sz w:val="20"/>
          <w:szCs w:val="20"/>
          <w:color w:val="auto"/>
        </w:rPr>
      </w:pPr>
    </w:p>
    <w:p>
      <w:pPr>
        <w:ind w:right="60" w:firstLine="255"/>
        <w:spacing w:after="0" w:line="241" w:lineRule="auto"/>
        <w:rPr>
          <w:sz w:val="20"/>
          <w:szCs w:val="20"/>
          <w:color w:val="auto"/>
        </w:rPr>
      </w:pPr>
      <w:r>
        <w:rPr>
          <w:rFonts w:ascii="Arial" w:cs="Arial" w:eastAsia="Arial" w:hAnsi="Arial"/>
          <w:sz w:val="18"/>
          <w:szCs w:val="18"/>
          <w:color w:val="auto"/>
        </w:rPr>
        <w:t>Pursuant to the Twelfth Amendment, with respect to $1.510 billion in commitments, the revolving period, during which period the Company, subject to certain conditions, may make borrowings under the facility, was extended to April 24, 2026 and the stated maturity date was extended to April 23, 2027. For the remaining $75.0 million of commitments, (A) with respect to $25.0 million of commitments, the revolving period ends January 31, 2024 and the stated maturity is January 31, 2025 and (B) with respect to $50.0 million of commitments, the revolving period ends February 4, 2025 and the stated maturity is February 4, 2026.</w:t>
      </w:r>
    </w:p>
    <w:p>
      <w:pPr>
        <w:spacing w:after="0" w:line="189" w:lineRule="exact"/>
        <w:rPr>
          <w:sz w:val="20"/>
          <w:szCs w:val="20"/>
          <w:color w:val="auto"/>
        </w:rPr>
      </w:pPr>
    </w:p>
    <w:p>
      <w:pPr>
        <w:ind w:right="820" w:firstLine="255"/>
        <w:spacing w:after="0" w:line="261" w:lineRule="auto"/>
        <w:rPr>
          <w:sz w:val="20"/>
          <w:szCs w:val="20"/>
          <w:color w:val="auto"/>
        </w:rPr>
      </w:pPr>
      <w:r>
        <w:rPr>
          <w:rFonts w:ascii="Arial" w:cs="Arial" w:eastAsia="Arial" w:hAnsi="Arial"/>
          <w:sz w:val="18"/>
          <w:szCs w:val="18"/>
          <w:color w:val="auto"/>
        </w:rPr>
        <w:t>Pursuant to an amendment to the Revolving Credit Facility dated as of May 19, 2022 (the “Thirteenth Amendment”), certain non-substantive administrative and operational elements were updated.</w:t>
      </w:r>
    </w:p>
    <w:p>
      <w:pPr>
        <w:spacing w:after="0" w:line="171" w:lineRule="exact"/>
        <w:rPr>
          <w:sz w:val="20"/>
          <w:szCs w:val="20"/>
          <w:color w:val="auto"/>
        </w:rPr>
      </w:pPr>
    </w:p>
    <w:p>
      <w:pPr>
        <w:ind w:right="120" w:firstLine="255"/>
        <w:spacing w:after="0" w:line="248" w:lineRule="auto"/>
        <w:rPr>
          <w:sz w:val="20"/>
          <w:szCs w:val="20"/>
          <w:color w:val="auto"/>
        </w:rPr>
      </w:pPr>
      <w:r>
        <w:rPr>
          <w:rFonts w:ascii="Arial" w:cs="Arial" w:eastAsia="Arial" w:hAnsi="Arial"/>
          <w:sz w:val="18"/>
          <w:szCs w:val="18"/>
          <w:color w:val="auto"/>
        </w:rPr>
        <w:t>The Company may borrow amounts in U.S. dollars or certain other permitted currencies. As of June 30, 2022, the Company had outstanding debt denominated in Australian dollars (AUD) of 59.0 million, British pounds (GBP) of 4.7 million, Canadian dollars (CAD) of 111.5 million, and Euro (EUR) of 9.6 million on its Revolving Credit Facility, included in the Outstanding Principal amount in the table above.</w:t>
      </w:r>
    </w:p>
    <w:p>
      <w:pPr>
        <w:spacing w:after="0" w:line="182" w:lineRule="exact"/>
        <w:rPr>
          <w:sz w:val="20"/>
          <w:szCs w:val="20"/>
          <w:color w:val="auto"/>
        </w:rPr>
      </w:pPr>
    </w:p>
    <w:p>
      <w:pPr>
        <w:ind w:right="300" w:firstLine="255"/>
        <w:spacing w:after="0" w:line="243"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$75.0 million. As of June 30, 2022, the Company had less than $0.1 million letters of credit issued through the Revolving Credit Facility, and as of December 31, 2021,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88" w:lineRule="exact"/>
        <w:rPr>
          <w:sz w:val="20"/>
          <w:szCs w:val="20"/>
          <w:color w:val="auto"/>
        </w:rPr>
      </w:pPr>
    </w:p>
    <w:p>
      <w:pPr>
        <w:ind w:right="520" w:firstLine="255"/>
        <w:spacing w:after="0" w:line="274" w:lineRule="auto"/>
        <w:rPr>
          <w:sz w:val="20"/>
          <w:szCs w:val="20"/>
          <w:color w:val="auto"/>
        </w:rPr>
      </w:pPr>
      <w:r>
        <w:rPr>
          <w:rFonts w:ascii="Arial" w:cs="Arial" w:eastAsia="Arial" w:hAnsi="Arial"/>
          <w:sz w:val="16"/>
          <w:szCs w:val="16"/>
          <w:color w:val="auto"/>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0.875%, in each case, based on the total amount of the borrowing base relative to the sum of the total commitments (or, if greater, the total exposure) under the Revolving Credit Facility plus certain other designated secured debt. The Company may elect either the applicable reference rate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91" w:lineRule="exact"/>
        <w:rPr>
          <w:sz w:val="20"/>
          <w:szCs w:val="20"/>
          <w:color w:val="auto"/>
        </w:rPr>
      </w:pPr>
    </w:p>
    <w:p>
      <w:pPr>
        <w:ind w:right="100" w:firstLine="255"/>
        <w:spacing w:after="0" w:line="270" w:lineRule="auto"/>
        <w:rPr>
          <w:sz w:val="20"/>
          <w:szCs w:val="20"/>
          <w:color w:val="auto"/>
        </w:rPr>
      </w:pPr>
      <w:r>
        <w:rPr>
          <w:rFonts w:ascii="Arial" w:cs="Arial" w:eastAsia="Arial" w:hAnsi="Arial"/>
          <w:sz w:val="17"/>
          <w:szCs w:val="17"/>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7" w:name="page38"/>
    <w:bookmarkEnd w:id="37"/>
    <w:p>
      <w:pPr>
        <w:ind w:right="120" w:firstLine="255"/>
        <w:spacing w:after="0" w:line="261"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In accordance with the terms of the Twelfth Amendment, the financial covenants require:</w:t>
      </w:r>
    </w:p>
    <w:p>
      <w:pPr>
        <w:spacing w:after="0" w:line="49" w:lineRule="exact"/>
        <w:rPr>
          <w:sz w:val="20"/>
          <w:szCs w:val="20"/>
          <w:color w:val="auto"/>
        </w:rPr>
      </w:pPr>
    </w:p>
    <w:p>
      <w:pPr>
        <w:ind w:left="520" w:hanging="257"/>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asset coverage ratio of no less than 1.5 to 1 on the last day of any fiscal quarter;</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January 31, 2020; and</w:t>
      </w:r>
    </w:p>
    <w:p>
      <w:pPr>
        <w:spacing w:after="0" w:line="103" w:lineRule="exact"/>
        <w:rPr>
          <w:rFonts w:ascii="Arial" w:cs="Arial" w:eastAsia="Arial" w:hAnsi="Arial"/>
          <w:sz w:val="18"/>
          <w:szCs w:val="18"/>
          <w:color w:val="auto"/>
        </w:rPr>
      </w:pPr>
    </w:p>
    <w:p>
      <w:pPr>
        <w:ind w:left="520" w:right="280" w:hanging="257"/>
        <w:spacing w:after="0" w:line="243"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spacing w:after="0" w:line="188" w:lineRule="exact"/>
        <w:rPr>
          <w:sz w:val="20"/>
          <w:szCs w:val="20"/>
          <w:color w:val="auto"/>
        </w:rPr>
      </w:pPr>
    </w:p>
    <w:p>
      <w:pPr>
        <w:ind w:right="180" w:firstLine="255"/>
        <w:spacing w:after="0" w:line="261" w:lineRule="auto"/>
        <w:rPr>
          <w:sz w:val="20"/>
          <w:szCs w:val="20"/>
          <w:color w:val="auto"/>
        </w:rPr>
      </w:pPr>
      <w:r>
        <w:rPr>
          <w:rFonts w:ascii="Arial" w:cs="Arial" w:eastAsia="Arial" w:hAnsi="Arial"/>
          <w:sz w:val="18"/>
          <w:szCs w:val="18"/>
          <w:color w:val="auto"/>
        </w:rPr>
        <w:t>The Revolving Credit Facility also contains certain additional concentration limits in connection with the calculation of the borrowing base, based on the Obligor Asset Coverage Ratio.</w:t>
      </w:r>
    </w:p>
    <w:p>
      <w:pPr>
        <w:spacing w:after="0" w:line="171" w:lineRule="exact"/>
        <w:rPr>
          <w:sz w:val="20"/>
          <w:szCs w:val="20"/>
          <w:color w:val="auto"/>
        </w:rPr>
      </w:pPr>
    </w:p>
    <w:p>
      <w:pPr>
        <w:ind w:right="220" w:firstLine="255"/>
        <w:spacing w:after="0" w:line="261" w:lineRule="auto"/>
        <w:rPr>
          <w:sz w:val="20"/>
          <w:szCs w:val="20"/>
          <w:color w:val="auto"/>
        </w:rPr>
      </w:pPr>
      <w:r>
        <w:rPr>
          <w:rFonts w:ascii="Arial" w:cs="Arial" w:eastAsia="Arial" w:hAnsi="Arial"/>
          <w:sz w:val="18"/>
          <w:szCs w:val="18"/>
          <w:color w:val="auto"/>
        </w:rPr>
        <w:t>Net proceeds received from the Company’s common stock issuance in February 2021 and net proceeds received from the issuance of the 2026 Notes were used to pay down borrowings on the Revolving Credit Facility.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2022 and December 31, 2021, the Company was in compliance with the terms of the Revolving Credit Facility.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04" w:lineRule="exact"/>
        <w:rPr>
          <w:sz w:val="20"/>
          <w:szCs w:val="20"/>
          <w:color w:val="auto"/>
        </w:rPr>
      </w:pPr>
    </w:p>
    <w:p>
      <w:pPr>
        <w:ind w:right="20" w:firstLine="255"/>
        <w:spacing w:after="0" w:line="270" w:lineRule="auto"/>
        <w:rPr>
          <w:sz w:val="20"/>
          <w:szCs w:val="20"/>
          <w:color w:val="auto"/>
        </w:rPr>
      </w:pPr>
      <w:r>
        <w:rPr>
          <w:rFonts w:ascii="Arial" w:cs="Arial" w:eastAsia="Arial" w:hAnsi="Arial"/>
          <w:sz w:val="16"/>
          <w:szCs w:val="16"/>
          <w:color w:val="auto"/>
        </w:rPr>
        <w:t>In February 2017, the Company issued in a private offering $115.0 million aggregate principal amount convertible notes due August 2022 (the “2022 Convertible Notes”). The 2022 Convertible Notes were issued in a private placement only to qualified institutional buyers pursuant to Rule 144A under the Securities Act. The 2022 Convertible Notes are unsecured, and bear interest at a rate of 4.50% per year, payable semiannually. In June 2018, the Company issued in a registered public offering an additional $57.5 million aggregate principal amount of 2022 Convertible Notes. The additional 2022 Convertible Notes were issued with identical terms, and are fungible with and are part of a single series with the previously outstanding $115.0 million aggregate principal amount of the Company’s existing 2022 Convertible Notes issued in February 2017. The 2022 Convertible Notes will mature on August 1, 2022. The 2022 Convertible Notes will be convertible into a combination of cash and shares of the Company’s common stock, at the Company’s election. As of June 30, 2022, the estimated adjusted conversion price was approximately $17.92 per share of common stock. In connection with the offering of 2022 Convertible Notes in February 2017 and the reopening in June 2018, the Company entered into interest rate swaps to align the interest rates of its liabilities with its investment portfolio, which consists of predominately floating rate loans. The notional amount of the interest rate swaps matches the amount of principal outstanding, and matures on August 1, 2022, matching the maturity date of the 2022 Convertible Notes.</w:t>
      </w:r>
    </w:p>
    <w:p>
      <w:pPr>
        <w:spacing w:after="0" w:line="167" w:lineRule="exact"/>
        <w:rPr>
          <w:sz w:val="20"/>
          <w:szCs w:val="20"/>
          <w:color w:val="auto"/>
        </w:rPr>
      </w:pPr>
    </w:p>
    <w:p>
      <w:pPr>
        <w:ind w:firstLine="255"/>
        <w:spacing w:after="0" w:line="238" w:lineRule="auto"/>
        <w:rPr>
          <w:sz w:val="20"/>
          <w:szCs w:val="20"/>
          <w:color w:val="auto"/>
        </w:rPr>
      </w:pPr>
      <w:r>
        <w:rPr>
          <w:rFonts w:ascii="Arial" w:cs="Arial" w:eastAsia="Arial" w:hAnsi="Arial"/>
          <w:sz w:val="18"/>
          <w:szCs w:val="18"/>
          <w:color w:val="auto"/>
        </w:rPr>
        <w:t>During the year ended December 31, 2020, the Company repurchased on the open market and extinguished $29.7 million in aggregate principal amount of the 2022 Convertible Notes for $29.5 million. These repurchases resulted in a gain on extinguishment of debt of less than $0.7 million. This gain is included in the extinguishment of debt in the accompanying consolidated statements of operations. In connection with the repurchases of the 2022 Convertible Notes, the Company entered into floating-to-fixed interest rate swaps with an aggregate notional amount equal to the amount of 2022 Convertible Notes repurchased, which had the effect of reducing the notional exposure of the fixed-to-floating interest rate swaps, which were entered into in connection with the issuance of the 2022 Convertible Notes, to match the remaining principal amount of the 2022 Convertible Notes outstanding. As a result of the swaps, the Company’s effective interest rate on the outstanding 2022 Convertible Notes is three-month LIBOR plus 2.11% (on a weighted-average basis).</w:t>
      </w:r>
    </w:p>
    <w:p>
      <w:pPr>
        <w:spacing w:after="0" w:line="194" w:lineRule="exact"/>
        <w:rPr>
          <w:sz w:val="20"/>
          <w:szCs w:val="20"/>
          <w:color w:val="auto"/>
        </w:rPr>
      </w:pPr>
    </w:p>
    <w:p>
      <w:pPr>
        <w:jc w:val="both"/>
        <w:ind w:firstLine="255"/>
        <w:spacing w:after="0" w:line="248" w:lineRule="auto"/>
        <w:rPr>
          <w:sz w:val="20"/>
          <w:szCs w:val="20"/>
          <w:color w:val="auto"/>
        </w:rPr>
      </w:pPr>
      <w:r>
        <w:rPr>
          <w:rFonts w:ascii="Arial" w:cs="Arial" w:eastAsia="Arial" w:hAnsi="Arial"/>
          <w:sz w:val="18"/>
          <w:szCs w:val="18"/>
          <w:color w:val="auto"/>
        </w:rPr>
        <w:t>Holders were entitled to convert their 2022 Convertible Notes at their option at any time prior to February 1, 2022 only under certain circumstances. On or after February 1, 2022 until the close of business on the scheduled trading day immediately preceding the maturity date, holders may convert their notes at any time.</w:t>
      </w:r>
    </w:p>
    <w:p>
      <w:pPr>
        <w:spacing w:after="0" w:line="182" w:lineRule="exact"/>
        <w:rPr>
          <w:sz w:val="20"/>
          <w:szCs w:val="20"/>
          <w:color w:val="auto"/>
        </w:rPr>
      </w:pPr>
    </w:p>
    <w:p>
      <w:pPr>
        <w:ind w:right="100" w:firstLine="255"/>
        <w:spacing w:after="0" w:line="274" w:lineRule="auto"/>
        <w:rPr>
          <w:sz w:val="20"/>
          <w:szCs w:val="20"/>
          <w:color w:val="auto"/>
        </w:rPr>
      </w:pPr>
      <w:r>
        <w:rPr>
          <w:rFonts w:ascii="Arial" w:cs="Arial" w:eastAsia="Arial" w:hAnsi="Arial"/>
          <w:sz w:val="16"/>
          <w:szCs w:val="16"/>
          <w:color w:val="auto"/>
        </w:rPr>
        <w:t>On September 30, 2021, the Company notified the trustee and holders of the 2022 Convertible Notes that the terms of one of the conversion features had been met and the notes were eligible for conversion at the option of the holders. The notes remained convertible until October 12, 2021. During this period $42.8 million aggregate principal amount of notes were surrendered for conversion and the Company elected combination settlement. During the three months ended December 31, 2021, $42.8 million of principal of the 2022 Convertible Notes were converted and were settled with a combination of cash and 2,324,820 shares of the Company’s common stock. In connection with the settlement of the 2022 Convertible Notes, the Company entered into a floating-to-fixed interest rate swap with an aggregate notional amount equal to the amount of 2022 Convertible Notes settled, which had the effect of reducing the notional exposure of the fixed-to-floating interest rate swaps, which were entered into in connection with the issuance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38" w:name="page39"/>
    <w:bookmarkEnd w:id="38"/>
    <w:p>
      <w:pPr>
        <w:ind w:right="780"/>
        <w:spacing w:after="0" w:line="324" w:lineRule="auto"/>
        <w:rPr>
          <w:sz w:val="20"/>
          <w:szCs w:val="20"/>
          <w:color w:val="auto"/>
        </w:rPr>
      </w:pPr>
      <w:r>
        <w:rPr>
          <w:rFonts w:ascii="Arial" w:cs="Arial" w:eastAsia="Arial" w:hAnsi="Arial"/>
          <w:sz w:val="16"/>
          <w:szCs w:val="16"/>
          <w:color w:val="auto"/>
        </w:rPr>
        <w:t>of the 2022 Convertible Notes, to match the remaining principal amount of the 2022 Convertible Notes outstanding. As a result of the swaps, the Company’s effective interest rate on the outstanding 2022 Convertible Notes is three-month LIBOR plus 2.11% (on a weighted-average basis).</w:t>
      </w:r>
    </w:p>
    <w:p>
      <w:pPr>
        <w:spacing w:after="0" w:line="124" w:lineRule="exact"/>
        <w:rPr>
          <w:sz w:val="20"/>
          <w:szCs w:val="20"/>
          <w:color w:val="auto"/>
        </w:rPr>
      </w:pPr>
    </w:p>
    <w:p>
      <w:pPr>
        <w:ind w:right="140" w:firstLine="255"/>
        <w:spacing w:after="0" w:line="259" w:lineRule="auto"/>
        <w:rPr>
          <w:sz w:val="20"/>
          <w:szCs w:val="20"/>
          <w:color w:val="auto"/>
        </w:rPr>
      </w:pPr>
      <w:r>
        <w:rPr>
          <w:rFonts w:ascii="Arial" w:cs="Arial" w:eastAsia="Arial" w:hAnsi="Arial"/>
          <w:sz w:val="17"/>
          <w:szCs w:val="17"/>
          <w:color w:val="auto"/>
        </w:rPr>
        <w:t>On January 26, 2022, the Company notified the trustee and holders of the 2022 Convertible Notes that the terms of settlement for the notes at the Company’s election are a combination settlement of cash and stock to occur after the 40 day observation period described in the notes indenture. The Company has elected to settle any 2022 Convertible Notes that are converted between February 1, 2022 and August 1, 2022 with a specified cash amount (as defined in the indenture governing the 2022 Convertible Notes) of $20.00 per $1,000 principal amount of the 2022 Convertible Notes and any additional amounts in stock based on the applicable conversion rate as described in the indenture.</w:t>
      </w:r>
    </w:p>
    <w:p>
      <w:pPr>
        <w:spacing w:after="0" w:line="160" w:lineRule="exact"/>
        <w:rPr>
          <w:sz w:val="20"/>
          <w:szCs w:val="20"/>
          <w:color w:val="auto"/>
        </w:rPr>
      </w:pPr>
    </w:p>
    <w:p>
      <w:pPr>
        <w:ind w:firstLine="255"/>
        <w:spacing w:after="0" w:line="242" w:lineRule="auto"/>
        <w:rPr>
          <w:sz w:val="20"/>
          <w:szCs w:val="20"/>
          <w:color w:val="auto"/>
        </w:rPr>
      </w:pPr>
      <w:r>
        <w:rPr>
          <w:rFonts w:ascii="Arial" w:cs="Arial" w:eastAsia="Arial" w:hAnsi="Arial"/>
          <w:sz w:val="17"/>
          <w:szCs w:val="17"/>
          <w:color w:val="auto"/>
        </w:rPr>
        <w:t>The 2022 Convertible Notes are the Company’s unsecured obligations and rank senior in right of payment to the Company’s future indebtedness that is expressly subordinated in right of payment to the 2022 Convertible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 the three and six months ended June 30, 2022 and 2021, the components of interest expense related to the 2022 Convertible Notes were as follows: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June 30, 2022</w:t>
            </w:r>
          </w:p>
        </w:tc>
        <w:tc>
          <w:tcPr>
            <w:tcW w:w="200" w:type="dxa"/>
            <w:vAlign w:val="bottom"/>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June 30, 2021</w:t>
            </w:r>
          </w:p>
        </w:tc>
        <w:tc>
          <w:tcPr>
            <w:tcW w:w="200" w:type="dxa"/>
            <w:vAlign w:val="bottom"/>
          </w:tcPr>
          <w:p>
            <w:pPr>
              <w:spacing w:after="0"/>
              <w:rPr>
                <w:sz w:val="14"/>
                <w:szCs w:val="1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June 30, 2022</w:t>
            </w:r>
          </w:p>
        </w:tc>
        <w:tc>
          <w:tcPr>
            <w:tcW w:w="18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June 30, 2021</w:t>
            </w:r>
          </w:p>
        </w:tc>
        <w:tc>
          <w:tcPr>
            <w:tcW w:w="80" w:type="dxa"/>
            <w:vAlign w:val="bottom"/>
          </w:tcPr>
          <w:p>
            <w:pPr>
              <w:spacing w:after="0"/>
              <w:rPr>
                <w:sz w:val="14"/>
                <w:szCs w:val="14"/>
                <w:color w:val="auto"/>
              </w:rPr>
            </w:pP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1,125</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1,607</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2,250</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316"/>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4"/>
              </w:rPr>
              <w:t>3,231</w:t>
            </w:r>
          </w:p>
        </w:tc>
        <w:tc>
          <w:tcPr>
            <w:tcW w:w="80" w:type="dxa"/>
            <w:vAlign w:val="bottom"/>
            <w:shd w:val="clear" w:color="auto" w:fill="CFF0FC"/>
          </w:tcPr>
          <w:p>
            <w:pPr>
              <w:spacing w:after="0"/>
              <w:rPr>
                <w:sz w:val="17"/>
                <w:szCs w:val="17"/>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Amortization of deferred financing costs</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269</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384</w:t>
            </w:r>
          </w:p>
        </w:tc>
        <w:tc>
          <w:tcPr>
            <w:tcW w:w="80" w:type="dxa"/>
            <w:vAlign w:val="bottom"/>
          </w:tcPr>
          <w:p>
            <w:pPr>
              <w:spacing w:after="0"/>
              <w:rPr>
                <w:sz w:val="17"/>
                <w:szCs w:val="17"/>
                <w:color w:val="auto"/>
              </w:rPr>
            </w:pPr>
          </w:p>
        </w:tc>
      </w:tr>
      <w:tr>
        <w:trPr>
          <w:trHeight w:val="236"/>
        </w:trPr>
        <w:tc>
          <w:tcPr>
            <w:tcW w:w="46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b w:val="1"/>
                <w:bCs w:val="1"/>
                <w:color w:val="auto"/>
              </w:rPr>
              <w:t>Total Interest Expense</w:t>
            </w:r>
          </w:p>
        </w:tc>
        <w:tc>
          <w:tcPr>
            <w:tcW w:w="240" w:type="dxa"/>
            <w:vAlign w:val="bottom"/>
            <w:tcBorders>
              <w:bottom w:val="single" w:sz="8" w:color="auto"/>
            </w:tcBorders>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1,260</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1,800</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2,519</w:t>
            </w:r>
          </w:p>
        </w:tc>
        <w:tc>
          <w:tcPr>
            <w:tcW w:w="1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16"/>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4"/>
              </w:rPr>
              <w:t>3,615</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-25400</wp:posOffset>
            </wp:positionV>
            <wp:extent cx="6032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6032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-25400</wp:posOffset>
            </wp:positionV>
            <wp:extent cx="6032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032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5143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5143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jc w:val="both"/>
        <w:ind w:firstLine="255"/>
        <w:spacing w:after="0"/>
        <w:rPr>
          <w:sz w:val="20"/>
          <w:szCs w:val="20"/>
          <w:color w:val="auto"/>
        </w:rPr>
      </w:pPr>
      <w:r>
        <w:rPr>
          <w:rFonts w:ascii="Arial" w:cs="Arial" w:eastAsia="Arial" w:hAnsi="Arial"/>
          <w:sz w:val="17"/>
          <w:szCs w:val="17"/>
          <w:color w:val="auto"/>
        </w:rPr>
        <w:t>Total interest expense in the table above does not include the effect of the interest rate swaps. During the three and six months ended June 30, 2022, the Company received $2.5 million and $4.9 million, respectively, and paid $2.2 million and $4.0 million, respectively, related to the settlements of its interest rate swaps, excluding upfront fees related to the 2022 Convertible Notes. During the three and six months ended June 30, 2021, the Company received $2.1 million and $4.2 million, respectively, and paid $1.3 million and $2.7 million, respectively, related to the settlements of its interest rate swaps related to the 2022 Convertible Notes. These net amounts are reflected in interest expense in the Company’s consolidated statements of operations. See Note 5 for further information about the Company’s interest rate swaps.</w:t>
      </w:r>
    </w:p>
    <w:p>
      <w:pPr>
        <w:spacing w:after="0" w:line="177" w:lineRule="exact"/>
        <w:rPr>
          <w:sz w:val="20"/>
          <w:szCs w:val="20"/>
          <w:color w:val="auto"/>
        </w:rPr>
      </w:pPr>
    </w:p>
    <w:p>
      <w:pPr>
        <w:ind w:right="200" w:firstLine="255"/>
        <w:spacing w:after="0" w:line="246" w:lineRule="auto"/>
        <w:rPr>
          <w:sz w:val="20"/>
          <w:szCs w:val="20"/>
          <w:color w:val="auto"/>
        </w:rPr>
      </w:pPr>
      <w:r>
        <w:rPr>
          <w:rFonts w:ascii="Arial" w:cs="Arial" w:eastAsia="Arial" w:hAnsi="Arial"/>
          <w:sz w:val="18"/>
          <w:szCs w:val="18"/>
          <w:color w:val="auto"/>
        </w:rPr>
        <w:t>As of June 30, 2022 and December 31, 2021, the components of the carrying value of the 2022 Convertible Notes and the stated interest rate were as follows:</w:t>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June 30, 2022</w:t>
            </w:r>
          </w:p>
        </w:tc>
        <w:tc>
          <w:tcPr>
            <w:tcW w:w="200" w:type="dxa"/>
            <w:vAlign w:val="bottom"/>
          </w:tcPr>
          <w:p>
            <w:pPr>
              <w:spacing w:after="0"/>
              <w:rPr>
                <w:sz w:val="16"/>
                <w:szCs w:val="16"/>
                <w:color w:val="auto"/>
              </w:rPr>
            </w:pPr>
          </w:p>
        </w:tc>
        <w:tc>
          <w:tcPr>
            <w:tcW w:w="17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December 31, 2021</w:t>
            </w:r>
          </w:p>
        </w:tc>
      </w:tr>
      <w:tr>
        <w:trPr>
          <w:trHeight w:val="196"/>
        </w:trPr>
        <w:tc>
          <w:tcPr>
            <w:tcW w:w="5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Principal amount of debt</w:t>
            </w: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99,990</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99,990</w:t>
            </w:r>
          </w:p>
        </w:tc>
        <w:tc>
          <w:tcPr>
            <w:tcW w:w="8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Deferred financing costs</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(48 )</w:t>
            </w:r>
          </w:p>
        </w:tc>
        <w:tc>
          <w:tcPr>
            <w:tcW w:w="200" w:type="dxa"/>
            <w:vAlign w:val="bottom"/>
          </w:tcPr>
          <w:p>
            <w:pPr>
              <w:spacing w:after="0"/>
              <w:rPr>
                <w:sz w:val="17"/>
                <w:szCs w:val="17"/>
                <w:color w:val="auto"/>
              </w:rPr>
            </w:pPr>
          </w:p>
        </w:tc>
        <w:tc>
          <w:tcPr>
            <w:tcW w:w="1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(317 )</w:t>
            </w:r>
          </w:p>
        </w:tc>
        <w:tc>
          <w:tcPr>
            <w:tcW w:w="80" w:type="dxa"/>
            <w:vAlign w:val="bottom"/>
          </w:tcPr>
          <w:p>
            <w:pPr>
              <w:spacing w:after="0"/>
              <w:rPr>
                <w:sz w:val="17"/>
                <w:szCs w:val="17"/>
                <w:color w:val="auto"/>
              </w:rPr>
            </w:pPr>
          </w:p>
        </w:tc>
      </w:tr>
      <w:tr>
        <w:trPr>
          <w:trHeight w:val="236"/>
        </w:trPr>
        <w:tc>
          <w:tcPr>
            <w:tcW w:w="55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Carrying value of debt</w:t>
            </w: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99,942</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99,673</w:t>
            </w:r>
          </w:p>
        </w:tc>
        <w:tc>
          <w:tcPr>
            <w:tcW w:w="8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5520" w:type="dxa"/>
            <w:vAlign w:val="bottom"/>
          </w:tcPr>
          <w:p>
            <w:pPr>
              <w:spacing w:after="0"/>
              <w:rPr>
                <w:sz w:val="20"/>
                <w:szCs w:val="20"/>
                <w:color w:val="auto"/>
              </w:rPr>
            </w:pPr>
            <w:r>
              <w:rPr>
                <w:rFonts w:ascii="Arial" w:cs="Arial" w:eastAsia="Arial" w:hAnsi="Arial"/>
                <w:sz w:val="18"/>
                <w:szCs w:val="18"/>
                <w:color w:val="auto"/>
              </w:rPr>
              <w:t>Stated interest rate</w:t>
            </w:r>
          </w:p>
        </w:tc>
        <w:tc>
          <w:tcPr>
            <w:tcW w:w="2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4.50 %</w:t>
            </w:r>
          </w:p>
        </w:tc>
        <w:tc>
          <w:tcPr>
            <w:tcW w:w="20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4.50 %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-171450</wp:posOffset>
            </wp:positionV>
            <wp:extent cx="5143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-154305</wp:posOffset>
            </wp:positionV>
            <wp:extent cx="5143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-171450</wp:posOffset>
            </wp:positionV>
            <wp:extent cx="5143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-154305</wp:posOffset>
            </wp:positionV>
            <wp:extent cx="5143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0" w:lineRule="exact"/>
        <w:rPr>
          <w:sz w:val="20"/>
          <w:szCs w:val="20"/>
          <w:color w:val="auto"/>
        </w:rPr>
      </w:pPr>
    </w:p>
    <w:p>
      <w:pPr>
        <w:ind w:right="140" w:firstLine="255"/>
        <w:spacing w:after="0" w:line="235"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was three month LIBOR plus 2.11% (on a weighted average basis) for the 2022 Convertible Notes. See Note 5 for further information about the Company’s interest rate swaps.</w:t>
      </w:r>
    </w:p>
    <w:p>
      <w:pPr>
        <w:spacing w:after="0" w:line="175" w:lineRule="exact"/>
        <w:rPr>
          <w:sz w:val="20"/>
          <w:szCs w:val="20"/>
          <w:color w:val="auto"/>
        </w:rPr>
      </w:pPr>
    </w:p>
    <w:p>
      <w:pPr>
        <w:ind w:right="300" w:firstLine="255"/>
        <w:spacing w:after="0" w:line="228" w:lineRule="auto"/>
        <w:rPr>
          <w:sz w:val="20"/>
          <w:szCs w:val="20"/>
          <w:color w:val="auto"/>
        </w:rPr>
      </w:pPr>
      <w:r>
        <w:rPr>
          <w:rFonts w:ascii="Arial" w:cs="Arial" w:eastAsia="Arial" w:hAnsi="Arial"/>
          <w:sz w:val="18"/>
          <w:szCs w:val="18"/>
          <w:color w:val="auto"/>
        </w:rPr>
        <w:t>The indenture governing the 2022 Convertible Notes contains certain covenants, including covenants requiring the Company to comply with the applicable asset coverage ratio requirement under the 1940 Act and to provide financial information to the holders of the 2022 Convertible Notes under certain circumstances. These covenants are subject to important limitations and exceptions that are described in the indenture governing the 2022 Convertible Notes. As of June 30, 2022 and December 31, 2021, the Company was in compliance with the terms of the indenture governing the 2022 Convertible Notes.</w:t>
      </w:r>
    </w:p>
    <w:p>
      <w:pPr>
        <w:spacing w:after="0" w:line="178" w:lineRule="exact"/>
        <w:rPr>
          <w:sz w:val="20"/>
          <w:szCs w:val="20"/>
          <w:color w:val="auto"/>
        </w:rPr>
      </w:pPr>
    </w:p>
    <w:p>
      <w:pPr>
        <w:ind w:right="320" w:firstLine="255"/>
        <w:spacing w:after="0" w:line="235" w:lineRule="auto"/>
        <w:rPr>
          <w:sz w:val="20"/>
          <w:szCs w:val="20"/>
          <w:color w:val="auto"/>
        </w:rPr>
      </w:pPr>
      <w:r>
        <w:rPr>
          <w:rFonts w:ascii="Arial" w:cs="Arial" w:eastAsia="Arial" w:hAnsi="Arial"/>
          <w:sz w:val="18"/>
          <w:szCs w:val="18"/>
          <w:color w:val="auto"/>
        </w:rPr>
        <w:t>The 2022 Convertible Notes are accounted for in accordance with ASC Topic 470-20. During the period ended March 31, 2021, the Company early adopted ASU 2020-06 and in accordance with this guidance reclassified the remaining unamortized discount on the 2022 Convertible Notes from the carrying value of the instrument to “additional paid-in capital” in the accompanying consolidated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9" w:name="page40"/>
    <w:bookmarkEnd w:id="39"/>
    <w:p>
      <w:pPr>
        <w:ind w:right="60"/>
        <w:spacing w:after="0" w:line="246" w:lineRule="auto"/>
        <w:rPr>
          <w:sz w:val="20"/>
          <w:szCs w:val="20"/>
          <w:color w:val="auto"/>
        </w:rPr>
      </w:pPr>
      <w:r>
        <w:rPr>
          <w:rFonts w:ascii="Arial" w:cs="Arial" w:eastAsia="Arial" w:hAnsi="Arial"/>
          <w:sz w:val="18"/>
          <w:szCs w:val="18"/>
          <w:color w:val="auto"/>
        </w:rPr>
        <w:t>balance sheet. As a requirement under ASU 2020-06 the Company calculates diluted earnings per shares using the if-converted method which assumes full share settlement for the aggregate value of the 2022 Convertible Notes.</w:t>
      </w:r>
    </w:p>
    <w:p>
      <w:pPr>
        <w:spacing w:after="0" w:line="170" w:lineRule="exact"/>
        <w:rPr>
          <w:sz w:val="20"/>
          <w:szCs w:val="20"/>
          <w:color w:val="auto"/>
        </w:rPr>
      </w:pPr>
    </w:p>
    <w:p>
      <w:pPr>
        <w:ind w:right="20" w:firstLine="255"/>
        <w:spacing w:after="0" w:line="231" w:lineRule="auto"/>
        <w:rPr>
          <w:sz w:val="20"/>
          <w:szCs w:val="20"/>
          <w:color w:val="auto"/>
        </w:rPr>
      </w:pPr>
      <w:r>
        <w:rPr>
          <w:rFonts w:ascii="Arial" w:cs="Arial" w:eastAsia="Arial" w:hAnsi="Arial"/>
          <w:sz w:val="18"/>
          <w:szCs w:val="18"/>
          <w:color w:val="auto"/>
        </w:rPr>
        <w:t>The average daily closing price of the Company’s common stock for the three and six months ended June 30, 2022 was greater than the estimated adjusted conversion price for the 2022 Convertible Notes outstanding as of June 30, 2022. The average daily closing price of the Company’s common stock for the three and six months ended June 30, 2021 was greater than the estimated adjusted conversion price for the 2022 Convertible Notes outstanding as June 30, 2021.</w:t>
      </w:r>
    </w:p>
    <w:p>
      <w:pPr>
        <w:spacing w:after="0" w:line="175" w:lineRule="exact"/>
        <w:rPr>
          <w:sz w:val="20"/>
          <w:szCs w:val="20"/>
          <w:color w:val="auto"/>
        </w:rPr>
      </w:pPr>
    </w:p>
    <w:p>
      <w:pPr>
        <w:ind w:right="60" w:firstLine="255"/>
        <w:spacing w:after="0"/>
        <w:rPr>
          <w:sz w:val="20"/>
          <w:szCs w:val="20"/>
          <w:color w:val="auto"/>
        </w:rPr>
      </w:pPr>
      <w:r>
        <w:rPr>
          <w:rFonts w:ascii="Arial" w:cs="Arial" w:eastAsia="Arial" w:hAnsi="Arial"/>
          <w:sz w:val="17"/>
          <w:szCs w:val="17"/>
          <w:color w:val="auto"/>
        </w:rPr>
        <w:t>On August 1, 2022, the 2022 Convertible Notes matured in accordance with the governing indenture. Holders of $79.2 million aggregate principal amount of notes provided valid notice of conversion and were subject to the combination settlement method previously elected by the Company. In accordance with the settlement method, the Company issued a total of 4,360,125 shares of common stock, or $78.1 million at the adjusted conversion price per share of $17.92. The remaining balance of the notes that were not converted into newly issued shares of common stock were settled with existing cash resources, including through utilization of the Company’s Revolving Credit Facility. The interest rate swaps associated with the principal amount of the notes outstanding were terminated on the date of maturity of the 2022 Convertible Notes.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04" w:lineRule="exact"/>
        <w:rPr>
          <w:sz w:val="20"/>
          <w:szCs w:val="20"/>
          <w:color w:val="auto"/>
        </w:rPr>
      </w:pPr>
    </w:p>
    <w:p>
      <w:pPr>
        <w:ind w:right="160" w:firstLine="255"/>
        <w:spacing w:after="0" w:line="259" w:lineRule="auto"/>
        <w:rPr>
          <w:sz w:val="20"/>
          <w:szCs w:val="20"/>
          <w:color w:val="auto"/>
        </w:rPr>
      </w:pPr>
      <w:r>
        <w:rPr>
          <w:rFonts w:ascii="Arial" w:cs="Arial" w:eastAsia="Arial" w:hAnsi="Arial"/>
          <w:sz w:val="17"/>
          <w:szCs w:val="17"/>
          <w:color w:val="auto"/>
        </w:rPr>
        <w:t>In January 2018, the Company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w:t>
      </w:r>
    </w:p>
    <w:p>
      <w:pPr>
        <w:spacing w:after="0" w:line="174" w:lineRule="exact"/>
        <w:rPr>
          <w:sz w:val="20"/>
          <w:szCs w:val="20"/>
          <w:color w:val="auto"/>
        </w:rPr>
      </w:pPr>
    </w:p>
    <w:p>
      <w:pPr>
        <w:ind w:right="360" w:firstLine="255"/>
        <w:spacing w:after="0" w:line="262" w:lineRule="auto"/>
        <w:rPr>
          <w:sz w:val="20"/>
          <w:szCs w:val="20"/>
          <w:color w:val="auto"/>
        </w:rPr>
      </w:pPr>
      <w:r>
        <w:rPr>
          <w:rFonts w:ascii="Arial" w:cs="Arial" w:eastAsia="Arial" w:hAnsi="Arial"/>
          <w:sz w:val="17"/>
          <w:szCs w:val="17"/>
          <w:color w:val="auto"/>
        </w:rPr>
        <w:t>In connection with the 2023 Notes offering, the Company entered into an interest rate swap to align the interest rates of its liabilities with the Company’s investment portfolio, which consists of predominately floating rate loans. The notional amount of the interest rate swap is $150.0 million, which matures on January 22, 2023, matching the maturity date of the 2023 Notes. As a result of the swap, the Company’s effective interest rate on the 2023 Notes is three-month LIBOR plus 1.99%. See Note 5 for further information about the Company’s interest rate swaps.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Notes</w:t>
      </w:r>
    </w:p>
    <w:p>
      <w:pPr>
        <w:spacing w:after="0" w:line="104" w:lineRule="exact"/>
        <w:rPr>
          <w:sz w:val="20"/>
          <w:szCs w:val="20"/>
          <w:color w:val="auto"/>
        </w:rPr>
      </w:pPr>
    </w:p>
    <w:p>
      <w:pPr>
        <w:ind w:right="40" w:firstLine="255"/>
        <w:spacing w:after="0" w:line="259" w:lineRule="auto"/>
        <w:rPr>
          <w:sz w:val="20"/>
          <w:szCs w:val="20"/>
          <w:color w:val="auto"/>
        </w:rPr>
      </w:pPr>
      <w:r>
        <w:rPr>
          <w:rFonts w:ascii="Arial" w:cs="Arial" w:eastAsia="Arial" w:hAnsi="Arial"/>
          <w:sz w:val="17"/>
          <w:szCs w:val="17"/>
          <w:color w:val="auto"/>
        </w:rPr>
        <w:t>In November 2019, the Company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spacing w:after="0" w:line="174" w:lineRule="exact"/>
        <w:rPr>
          <w:sz w:val="20"/>
          <w:szCs w:val="20"/>
          <w:color w:val="auto"/>
        </w:rPr>
      </w:pPr>
    </w:p>
    <w:p>
      <w:pPr>
        <w:ind w:firstLine="255"/>
        <w:spacing w:after="0" w:line="241" w:lineRule="auto"/>
        <w:rPr>
          <w:sz w:val="20"/>
          <w:szCs w:val="20"/>
          <w:color w:val="auto"/>
        </w:rPr>
      </w:pPr>
      <w:r>
        <w:rPr>
          <w:rFonts w:ascii="Arial" w:cs="Arial" w:eastAsia="Arial" w:hAnsi="Arial"/>
          <w:sz w:val="18"/>
          <w:szCs w:val="18"/>
          <w:color w:val="auto"/>
        </w:rPr>
        <w:t>On February 5,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w:t>
      </w:r>
    </w:p>
    <w:p>
      <w:pPr>
        <w:spacing w:after="0" w:line="189" w:lineRule="exact"/>
        <w:rPr>
          <w:sz w:val="20"/>
          <w:szCs w:val="20"/>
          <w:color w:val="auto"/>
        </w:rPr>
      </w:pPr>
    </w:p>
    <w:p>
      <w:pPr>
        <w:ind w:right="40" w:firstLine="255"/>
        <w:spacing w:after="0" w:line="254" w:lineRule="auto"/>
        <w:rPr>
          <w:sz w:val="20"/>
          <w:szCs w:val="20"/>
          <w:color w:val="auto"/>
        </w:rPr>
      </w:pPr>
      <w:r>
        <w:rPr>
          <w:rFonts w:ascii="Arial" w:cs="Arial" w:eastAsia="Arial" w:hAnsi="Arial"/>
          <w:sz w:val="17"/>
          <w:szCs w:val="17"/>
          <w:color w:val="auto"/>
        </w:rPr>
        <w:t>In connection with the 2024 Notes offering and the reopening of the 2024 Notes, the Company entered into interest rate swaps to align the interest rates of its liabilities with the Company’s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the Company’s effective interest rate on the 2024 Notes is three-month LIBOR plus 2.28% (on a weighted average basis). The interest expense related to the 2024 Notes is offset by proceeds received from the interest rate swaps designated as a hedge. The swap adjusted interest expense is included as a component of interest expense on the Company’s consolidated statement of operations. As of June 30, 2022 and December 31, 2021 the effective hedge interest rate swaps had a fair value of ($12.5) million and $4.4 million, respectively, which is offset within interest expense by an equal, but opposite, fair value change for the hedged risk on the 2024 Notes.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0" w:name="page41"/>
    <w:bookmarkEnd w:id="40"/>
    <w:p>
      <w:pPr>
        <w:ind w:right="60" w:firstLine="255"/>
        <w:spacing w:after="0" w:line="255" w:lineRule="auto"/>
        <w:rPr>
          <w:sz w:val="20"/>
          <w:szCs w:val="20"/>
          <w:color w:val="auto"/>
        </w:rPr>
      </w:pPr>
      <w:r>
        <w:rPr>
          <w:rFonts w:ascii="Arial" w:cs="Arial" w:eastAsia="Arial" w:hAnsi="Arial"/>
          <w:sz w:val="17"/>
          <w:szCs w:val="17"/>
          <w:color w:val="auto"/>
        </w:rPr>
        <w:t>During the year ended December 31, 2020, the Company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the Company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the Company’s effective interest rate on the outstanding 2024 Notes is three-month LIBOR plus 2.28% (on a weighted average basis).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Notes</w:t>
      </w:r>
    </w:p>
    <w:p>
      <w:pPr>
        <w:spacing w:after="0" w:line="212" w:lineRule="exact"/>
        <w:rPr>
          <w:sz w:val="20"/>
          <w:szCs w:val="20"/>
          <w:color w:val="auto"/>
        </w:rPr>
      </w:pPr>
    </w:p>
    <w:p>
      <w:pPr>
        <w:ind w:right="20" w:firstLine="255"/>
        <w:spacing w:after="0" w:line="259" w:lineRule="auto"/>
        <w:rPr>
          <w:sz w:val="20"/>
          <w:szCs w:val="20"/>
          <w:color w:val="auto"/>
        </w:rPr>
      </w:pPr>
      <w:r>
        <w:rPr>
          <w:rFonts w:ascii="Arial" w:cs="Arial" w:eastAsia="Arial" w:hAnsi="Arial"/>
          <w:sz w:val="17"/>
          <w:szCs w:val="17"/>
          <w:color w:val="auto"/>
        </w:rPr>
        <w:t>On February 3, 2021, the Company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 discounts, offering costs and original issue discount were $293.7 million. The Company used the net proceeds of the 2026 Notes to repay outstanding indebtedness under the Revolving Credit Facility.</w:t>
      </w:r>
    </w:p>
    <w:p>
      <w:pPr>
        <w:spacing w:after="0" w:line="174" w:lineRule="exact"/>
        <w:rPr>
          <w:sz w:val="20"/>
          <w:szCs w:val="20"/>
          <w:color w:val="auto"/>
        </w:rPr>
      </w:pPr>
    </w:p>
    <w:p>
      <w:pPr>
        <w:ind w:right="20" w:firstLine="255"/>
        <w:spacing w:after="0" w:line="274" w:lineRule="auto"/>
        <w:rPr>
          <w:sz w:val="20"/>
          <w:szCs w:val="20"/>
          <w:color w:val="auto"/>
        </w:rPr>
      </w:pPr>
      <w:r>
        <w:rPr>
          <w:rFonts w:ascii="Arial" w:cs="Arial" w:eastAsia="Arial" w:hAnsi="Arial"/>
          <w:sz w:val="16"/>
          <w:szCs w:val="16"/>
          <w:color w:val="auto"/>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is $300.0 million, which matures on August 1, 2026, matching the maturity date of the 2026 Notes. As a result of the swap, the Company’s effective interest rate on the 2026 Notes is three-month LIBOR plus 1.91%. The interest expense related to the 2026 Notes is offset by proceeds received from the interest rate swaps designated as a hedge. The swap adjusted interest expense is included as a component of interest expense on the Company’s consolidated statement of operations. As of June 30, 2022 and December 31, 2021 the effective hedge interest rate swaps had a fair value of ($28.6) million and ($10.2) million, respectively, which is offset within interest expense by an equal, but opposite, fair value change for the hedged risk on the 2026 Notes.</w:t>
      </w:r>
    </w:p>
    <w:p>
      <w:pPr>
        <w:spacing w:after="0" w:line="163" w:lineRule="exact"/>
        <w:rPr>
          <w:sz w:val="20"/>
          <w:szCs w:val="20"/>
          <w:color w:val="auto"/>
        </w:rPr>
      </w:pPr>
    </w:p>
    <w:p>
      <w:pPr>
        <w:ind w:right="60" w:firstLine="255"/>
        <w:spacing w:after="0" w:line="261" w:lineRule="auto"/>
        <w:rPr>
          <w:sz w:val="20"/>
          <w:szCs w:val="20"/>
          <w:color w:val="auto"/>
        </w:rPr>
      </w:pPr>
      <w:r>
        <w:rPr>
          <w:rFonts w:ascii="Arial" w:cs="Arial" w:eastAsia="Arial" w:hAnsi="Arial"/>
          <w:sz w:val="18"/>
          <w:szCs w:val="18"/>
          <w:color w:val="auto"/>
        </w:rPr>
        <w:t>For the three and six months ended June 30, 2022 and 2021, the components of interest expense related to the 2023 Notes, 2024 Notes and 2026 Notes were as follows: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June 30, 2022</w:t>
            </w:r>
          </w:p>
        </w:tc>
        <w:tc>
          <w:tcPr>
            <w:tcW w:w="200" w:type="dxa"/>
            <w:vAlign w:val="bottom"/>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June 30, 2021</w:t>
            </w:r>
          </w:p>
        </w:tc>
        <w:tc>
          <w:tcPr>
            <w:tcW w:w="200" w:type="dxa"/>
            <w:vAlign w:val="bottom"/>
          </w:tcPr>
          <w:p>
            <w:pPr>
              <w:spacing w:after="0"/>
              <w:rPr>
                <w:sz w:val="14"/>
                <w:szCs w:val="1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June 30, 2022</w:t>
            </w:r>
          </w:p>
        </w:tc>
        <w:tc>
          <w:tcPr>
            <w:tcW w:w="18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June 30, 2021</w:t>
            </w:r>
          </w:p>
        </w:tc>
        <w:tc>
          <w:tcPr>
            <w:tcW w:w="80" w:type="dxa"/>
            <w:vAlign w:val="bottom"/>
          </w:tcPr>
          <w:p>
            <w:pPr>
              <w:spacing w:after="0"/>
              <w:rPr>
                <w:sz w:val="14"/>
                <w:szCs w:val="14"/>
                <w:color w:val="auto"/>
              </w:rPr>
            </w:pP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6,929</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6,929</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13,858</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13,229</w:t>
            </w:r>
          </w:p>
        </w:tc>
        <w:tc>
          <w:tcPr>
            <w:tcW w:w="80" w:type="dxa"/>
            <w:vAlign w:val="bottom"/>
            <w:shd w:val="clear" w:color="auto" w:fill="CFF0FC"/>
          </w:tcPr>
          <w:p>
            <w:pPr>
              <w:spacing w:after="0"/>
              <w:rPr>
                <w:sz w:val="17"/>
                <w:szCs w:val="17"/>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Accretion of original issue discount</w:t>
            </w:r>
          </w:p>
        </w:tc>
        <w:tc>
          <w:tcPr>
            <w:tcW w:w="2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378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333</w:t>
            </w:r>
          </w:p>
        </w:tc>
        <w:tc>
          <w:tcPr>
            <w:tcW w:w="80" w:type="dxa"/>
            <w:vAlign w:val="bottom"/>
          </w:tcPr>
          <w:p>
            <w:pPr>
              <w:spacing w:after="0"/>
              <w:rPr>
                <w:sz w:val="17"/>
                <w:szCs w:val="17"/>
                <w:color w:val="auto"/>
              </w:rPr>
            </w:pPr>
          </w:p>
        </w:tc>
      </w:tr>
      <w:tr>
        <w:trPr>
          <w:trHeight w:val="203"/>
        </w:trPr>
        <w:tc>
          <w:tcPr>
            <w:tcW w:w="4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Amortization of deferred financing costs</w:t>
            </w:r>
          </w:p>
        </w:tc>
        <w:tc>
          <w:tcPr>
            <w:tcW w:w="2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600</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601</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1,194</w:t>
            </w: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1,124</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640" w:type="dxa"/>
            <w:vAlign w:val="bottom"/>
          </w:tcPr>
          <w:p>
            <w:pPr>
              <w:ind w:left="180"/>
              <w:spacing w:after="0" w:line="196" w:lineRule="exact"/>
              <w:rPr>
                <w:sz w:val="20"/>
                <w:szCs w:val="20"/>
                <w:color w:val="auto"/>
              </w:rPr>
            </w:pPr>
            <w:r>
              <w:rPr>
                <w:rFonts w:ascii="Arial" w:cs="Arial" w:eastAsia="Arial" w:hAnsi="Arial"/>
                <w:sz w:val="18"/>
                <w:szCs w:val="18"/>
                <w:b w:val="1"/>
                <w:bCs w:val="1"/>
                <w:color w:val="auto"/>
              </w:rPr>
              <w:t>Total Interest Expense</w:t>
            </w:r>
          </w:p>
        </w:tc>
        <w:tc>
          <w:tcPr>
            <w:tcW w:w="240" w:type="dxa"/>
            <w:vAlign w:val="bottom"/>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7,720</w:t>
            </w:r>
          </w:p>
        </w:tc>
        <w:tc>
          <w:tcPr>
            <w:tcW w:w="520" w:type="dxa"/>
            <w:vAlign w:val="bottom"/>
            <w:gridSpan w:val="2"/>
          </w:tcPr>
          <w:p>
            <w:pPr>
              <w:jc w:val="right"/>
              <w:ind w:right="139"/>
              <w:spacing w:after="0" w:line="196"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7,714</w:t>
            </w:r>
          </w:p>
        </w:tc>
        <w:tc>
          <w:tcPr>
            <w:tcW w:w="44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15,430</w:t>
            </w:r>
          </w:p>
        </w:tc>
        <w:tc>
          <w:tcPr>
            <w:tcW w:w="440" w:type="dxa"/>
            <w:vAlign w:val="bottom"/>
            <w:gridSpan w:val="2"/>
          </w:tcPr>
          <w:p>
            <w:pPr>
              <w:jc w:val="right"/>
              <w:ind w:right="79"/>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14,686</w:t>
            </w:r>
          </w:p>
        </w:tc>
        <w:tc>
          <w:tcPr>
            <w:tcW w:w="80" w:type="dxa"/>
            <w:vAlign w:val="bottom"/>
          </w:tcPr>
          <w:p>
            <w:pPr>
              <w:spacing w:after="0"/>
              <w:rPr>
                <w:sz w:val="17"/>
                <w:szCs w:val="17"/>
                <w:color w:val="auto"/>
              </w:rPr>
            </w:pPr>
          </w:p>
        </w:tc>
      </w:tr>
      <w:tr>
        <w:trPr>
          <w:trHeight w:val="20"/>
        </w:trPr>
        <w:tc>
          <w:tcPr>
            <w:tcW w:w="4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-159385</wp:posOffset>
            </wp:positionV>
            <wp:extent cx="60325" cy="57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-159385</wp:posOffset>
            </wp:positionV>
            <wp:extent cx="60325" cy="57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-159385</wp:posOffset>
            </wp:positionV>
            <wp:extent cx="51435" cy="571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ind w:firstLine="255"/>
        <w:spacing w:after="0" w:line="239" w:lineRule="auto"/>
        <w:rPr>
          <w:sz w:val="20"/>
          <w:szCs w:val="20"/>
          <w:color w:val="auto"/>
        </w:rPr>
      </w:pPr>
      <w:r>
        <w:rPr>
          <w:rFonts w:ascii="Arial" w:cs="Arial" w:eastAsia="Arial" w:hAnsi="Arial"/>
          <w:sz w:val="18"/>
          <w:szCs w:val="18"/>
          <w:color w:val="auto"/>
        </w:rPr>
        <w:t>Total interest expense in the table above does not include the effect of the interest rate swaps related to the 2023 Notes, 2024 Notes and 2026 Notes. During the three and six months ended June 30, 2022, the Company received $7.0 million and $13.9 million, respectively, and paid $6.4 million and $10.9 million, respectively, related to the settlements of its interest rate swaps, excluding upfront fees, related to the 2023, 2024 and 2026 Notes. During the three and six months ended June 30, 2021, the Company received $7.0 million and $13.1 million, respectively, and paid $4.7 million and $8.6 million, respectively, related to the settlements of its interest rate swaps, excluding upfront fees, related to the 2023, 2024 and 2026 Notes. These net amounts are reflected in interest expense in the Company’s consolidated statements of operations. See Note 5 for further information about the Company’s interest rate swaps.</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41" w:name="page42"/>
    <w:bookmarkEnd w:id="41"/>
    <w:p>
      <w:pPr>
        <w:ind w:firstLine="255"/>
        <w:spacing w:after="0" w:line="261" w:lineRule="auto"/>
        <w:rPr>
          <w:sz w:val="20"/>
          <w:szCs w:val="20"/>
          <w:color w:val="auto"/>
        </w:rPr>
      </w:pPr>
      <w:r>
        <w:rPr>
          <w:rFonts w:ascii="Arial" w:cs="Arial" w:eastAsia="Arial" w:hAnsi="Arial"/>
          <w:sz w:val="18"/>
          <w:szCs w:val="18"/>
          <w:color w:val="auto"/>
        </w:rPr>
        <w:t>As June 30, 2022 and December 31, 2021, the components of the carrying value of the 2023 Notes, 2024 Notes and 2026 Notes and the stated interest rate were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1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0"/>
              </w:rPr>
              <w:t>June 30, 2022</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1"/>
              </w:rPr>
              <w:t>December 31, 2021</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1"/>
              </w:rPr>
              <w:t>2023 Notes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2024 Notes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4"/>
              </w:rPr>
              <w:t>2026 Notes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1"/>
              </w:rPr>
              <w:t>2023 Notes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1"/>
              </w:rPr>
              <w:t>2024 Notes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4"/>
              </w:rPr>
              <w:t>2026 Notes</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52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Principal amount</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3"/>
                <w:szCs w:val="13"/>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347,500</w:t>
            </w:r>
          </w:p>
        </w:tc>
        <w:tc>
          <w:tcPr>
            <w:tcW w:w="220" w:type="dxa"/>
            <w:vAlign w:val="bottom"/>
            <w:shd w:val="clear" w:color="auto" w:fill="CFF0FC"/>
          </w:tcPr>
          <w:p>
            <w:pPr>
              <w:spacing w:after="0"/>
              <w:rPr>
                <w:sz w:val="13"/>
                <w:szCs w:val="13"/>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FF0FC"/>
          </w:tcPr>
          <w:p>
            <w:pPr>
              <w:spacing w:after="0"/>
              <w:rPr>
                <w:sz w:val="13"/>
                <w:szCs w:val="13"/>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shd w:val="clear" w:color="auto" w:fill="CFF0FC"/>
          </w:tcPr>
          <w:p>
            <w:pPr>
              <w:spacing w:after="0"/>
              <w:rPr>
                <w:sz w:val="13"/>
                <w:szCs w:val="13"/>
                <w:color w:val="auto"/>
              </w:rPr>
            </w:pP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347,500</w:t>
            </w:r>
          </w:p>
        </w:tc>
        <w:tc>
          <w:tcPr>
            <w:tcW w:w="200" w:type="dxa"/>
            <w:vAlign w:val="bottom"/>
            <w:shd w:val="clear" w:color="auto" w:fill="CFF0FC"/>
          </w:tcPr>
          <w:p>
            <w:pPr>
              <w:spacing w:after="0"/>
              <w:rPr>
                <w:sz w:val="13"/>
                <w:szCs w:val="13"/>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FF0FC"/>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rPr>
              <w:t>of debt</w:t>
            </w:r>
          </w:p>
        </w:tc>
        <w:tc>
          <w:tcPr>
            <w:tcW w:w="140" w:type="dxa"/>
            <w:vAlign w:val="bottom"/>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gridSpan w:val="2"/>
            <w:vMerge w:val="continue"/>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line="162" w:lineRule="exact"/>
              <w:rPr>
                <w:sz w:val="20"/>
                <w:szCs w:val="20"/>
                <w:color w:val="auto"/>
              </w:rPr>
            </w:pPr>
            <w:r>
              <w:rPr>
                <w:rFonts w:ascii="Arial" w:cs="Arial" w:eastAsia="Arial" w:hAnsi="Arial"/>
                <w:sz w:val="18"/>
                <w:szCs w:val="18"/>
                <w:color w:val="auto"/>
              </w:rPr>
              <w:t>Original issue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20" w:type="dxa"/>
            <w:vAlign w:val="bottom"/>
          </w:tcPr>
          <w:p>
            <w:pPr>
              <w:spacing w:after="0" w:line="176" w:lineRule="exact"/>
              <w:rPr>
                <w:sz w:val="20"/>
                <w:szCs w:val="20"/>
                <w:color w:val="auto"/>
              </w:rPr>
            </w:pPr>
            <w:r>
              <w:rPr>
                <w:rFonts w:ascii="Arial" w:cs="Arial" w:eastAsia="Arial" w:hAnsi="Arial"/>
                <w:sz w:val="18"/>
                <w:szCs w:val="18"/>
                <w:color w:val="auto"/>
              </w:rPr>
              <w:t>discount, net of</w:t>
            </w:r>
          </w:p>
        </w:tc>
        <w:tc>
          <w:tcPr>
            <w:tcW w:w="140" w:type="dxa"/>
            <w:vAlign w:val="bottom"/>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5"/>
                <w:szCs w:val="15"/>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(909 )</w:t>
            </w:r>
          </w:p>
        </w:tc>
        <w:tc>
          <w:tcPr>
            <w:tcW w:w="140" w:type="dxa"/>
            <w:vAlign w:val="bottom"/>
          </w:tcPr>
          <w:p>
            <w:pPr>
              <w:spacing w:after="0"/>
              <w:rPr>
                <w:sz w:val="15"/>
                <w:szCs w:val="15"/>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(1,663 )</w:t>
            </w:r>
          </w:p>
        </w:tc>
        <w:tc>
          <w:tcPr>
            <w:tcW w:w="140" w:type="dxa"/>
            <w:vAlign w:val="bottom"/>
          </w:tcPr>
          <w:p>
            <w:pPr>
              <w:spacing w:after="0"/>
              <w:rPr>
                <w:sz w:val="15"/>
                <w:szCs w:val="15"/>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(11 )</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(1,091 )</w:t>
            </w:r>
          </w:p>
        </w:tc>
        <w:tc>
          <w:tcPr>
            <w:tcW w:w="160" w:type="dxa"/>
            <w:vAlign w:val="bottom"/>
          </w:tcPr>
          <w:p>
            <w:pPr>
              <w:spacing w:after="0"/>
              <w:rPr>
                <w:sz w:val="15"/>
                <w:szCs w:val="15"/>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(1,853 )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accretion</w:t>
            </w: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Deferred financing</w:t>
            </w:r>
          </w:p>
        </w:tc>
        <w:tc>
          <w:tcPr>
            <w:tcW w:w="14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(363 )</w:t>
            </w:r>
          </w:p>
        </w:tc>
        <w:tc>
          <w:tcPr>
            <w:tcW w:w="100" w:type="dxa"/>
            <w:vAlign w:val="bottom"/>
            <w:shd w:val="clear" w:color="auto" w:fill="CFF0FC"/>
          </w:tcPr>
          <w:p>
            <w:pPr>
              <w:spacing w:after="0"/>
              <w:rPr>
                <w:sz w:val="14"/>
                <w:szCs w:val="14"/>
                <w:color w:val="auto"/>
              </w:rPr>
            </w:pPr>
          </w:p>
        </w:tc>
        <w:tc>
          <w:tcPr>
            <w:tcW w:w="11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(2,382 )</w:t>
            </w:r>
          </w:p>
        </w:tc>
        <w:tc>
          <w:tcPr>
            <w:tcW w:w="140" w:type="dxa"/>
            <w:vAlign w:val="bottom"/>
            <w:shd w:val="clear" w:color="auto" w:fill="CFF0FC"/>
          </w:tcPr>
          <w:p>
            <w:pPr>
              <w:spacing w:after="0"/>
              <w:rPr>
                <w:sz w:val="14"/>
                <w:szCs w:val="14"/>
                <w:color w:val="auto"/>
              </w:rPr>
            </w:pPr>
          </w:p>
        </w:tc>
        <w:tc>
          <w:tcPr>
            <w:tcW w:w="11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(3,055 )</w:t>
            </w:r>
          </w:p>
        </w:tc>
        <w:tc>
          <w:tcPr>
            <w:tcW w:w="140" w:type="dxa"/>
            <w:vAlign w:val="bottom"/>
            <w:shd w:val="clear" w:color="auto" w:fill="CFF0FC"/>
          </w:tcPr>
          <w:p>
            <w:pPr>
              <w:spacing w:after="0"/>
              <w:rPr>
                <w:sz w:val="14"/>
                <w:szCs w:val="14"/>
                <w:color w:val="auto"/>
              </w:rPr>
            </w:pPr>
          </w:p>
        </w:tc>
        <w:tc>
          <w:tcPr>
            <w:tcW w:w="10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(683 )</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(2,886 )</w:t>
            </w:r>
          </w:p>
        </w:tc>
        <w:tc>
          <w:tcPr>
            <w:tcW w:w="160" w:type="dxa"/>
            <w:vAlign w:val="bottom"/>
            <w:shd w:val="clear" w:color="auto" w:fill="CFF0FC"/>
          </w:tcPr>
          <w:p>
            <w:pPr>
              <w:spacing w:after="0"/>
              <w:rPr>
                <w:sz w:val="14"/>
                <w:szCs w:val="14"/>
                <w:color w:val="auto"/>
              </w:rPr>
            </w:pPr>
          </w:p>
        </w:tc>
        <w:tc>
          <w:tcPr>
            <w:tcW w:w="10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(3,426 )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rPr>
              <w:t>costs</w:t>
            </w:r>
          </w:p>
        </w:tc>
        <w:tc>
          <w:tcPr>
            <w:tcW w:w="140" w:type="dxa"/>
            <w:vAlign w:val="bottom"/>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line="162" w:lineRule="exact"/>
              <w:rPr>
                <w:sz w:val="20"/>
                <w:szCs w:val="20"/>
                <w:color w:val="auto"/>
              </w:rPr>
            </w:pPr>
            <w:r>
              <w:rPr>
                <w:rFonts w:ascii="Arial" w:cs="Arial" w:eastAsia="Arial" w:hAnsi="Arial"/>
                <w:sz w:val="18"/>
                <w:szCs w:val="18"/>
                <w:color w:val="auto"/>
              </w:rPr>
              <w:t>Fair value of an</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(12,516 )</w:t>
            </w:r>
          </w:p>
        </w:tc>
        <w:tc>
          <w:tcPr>
            <w:tcW w:w="14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(28,614 )</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4,373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(10,239 )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520" w:type="dxa"/>
            <w:vAlign w:val="bottom"/>
          </w:tcPr>
          <w:p>
            <w:pPr>
              <w:spacing w:after="0" w:line="202" w:lineRule="exact"/>
              <w:rPr>
                <w:sz w:val="20"/>
                <w:szCs w:val="20"/>
                <w:color w:val="auto"/>
              </w:rPr>
            </w:pPr>
            <w:r>
              <w:rPr>
                <w:rFonts w:ascii="Arial" w:cs="Arial" w:eastAsia="Arial" w:hAnsi="Arial"/>
                <w:sz w:val="18"/>
                <w:szCs w:val="18"/>
                <w:color w:val="auto"/>
              </w:rPr>
              <w:t>effective hedge</w:t>
            </w: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52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Carrying value of</w:t>
            </w: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149,631</w:t>
            </w: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331,693</w:t>
            </w: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266,668</w:t>
            </w: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149,306</w:t>
            </w:r>
          </w:p>
        </w:tc>
        <w:tc>
          <w:tcPr>
            <w:tcW w:w="140" w:type="dxa"/>
            <w:vAlign w:val="bottom"/>
            <w:shd w:val="clear" w:color="auto" w:fill="CFF0FC"/>
          </w:tcPr>
          <w:p>
            <w:pPr>
              <w:spacing w:after="0"/>
              <w:rPr>
                <w:sz w:val="13"/>
                <w:szCs w:val="13"/>
                <w:color w:val="auto"/>
              </w:rPr>
            </w:pPr>
          </w:p>
        </w:tc>
        <w:tc>
          <w:tcPr>
            <w:tcW w:w="40" w:type="dxa"/>
            <w:vAlign w:val="bottom"/>
            <w:vMerge w:val="restart"/>
            <w:shd w:val="clear" w:color="auto" w:fill="CFF0FC"/>
          </w:tcPr>
          <w:p>
            <w:pPr>
              <w:spacing w:after="0"/>
              <w:rPr>
                <w:sz w:val="13"/>
                <w:szCs w:val="13"/>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347,896</w:t>
            </w:r>
          </w:p>
        </w:tc>
        <w:tc>
          <w:tcPr>
            <w:tcW w:w="200" w:type="dxa"/>
            <w:vAlign w:val="bottom"/>
            <w:shd w:val="clear" w:color="auto" w:fill="CFF0FC"/>
          </w:tcPr>
          <w:p>
            <w:pPr>
              <w:spacing w:after="0"/>
              <w:rPr>
                <w:sz w:val="13"/>
                <w:szCs w:val="13"/>
                <w:color w:val="auto"/>
              </w:rPr>
            </w:pP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284,482</w:t>
            </w:r>
          </w:p>
        </w:tc>
        <w:tc>
          <w:tcPr>
            <w:tcW w:w="80" w:type="dxa"/>
            <w:vAlign w:val="bottom"/>
            <w:shd w:val="clear" w:color="auto" w:fill="CFF0FC"/>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CFF0FC"/>
            </w:tcBorders>
            <w:shd w:val="clear" w:color="auto" w:fill="CFF0FC"/>
          </w:tcPr>
          <w:p>
            <w:pPr>
              <w:spacing w:after="0" w:line="156" w:lineRule="exact"/>
              <w:rPr>
                <w:sz w:val="20"/>
                <w:szCs w:val="20"/>
                <w:color w:val="auto"/>
              </w:rPr>
            </w:pPr>
            <w:r>
              <w:rPr>
                <w:rFonts w:ascii="Arial" w:cs="Arial" w:eastAsia="Arial" w:hAnsi="Arial"/>
                <w:sz w:val="18"/>
                <w:szCs w:val="18"/>
                <w:color w:val="auto"/>
              </w:rPr>
              <w:t>debt</w:t>
            </w:r>
          </w:p>
        </w:tc>
        <w:tc>
          <w:tcPr>
            <w:tcW w:w="140" w:type="dxa"/>
            <w:vAlign w:val="bottom"/>
            <w:tcBorders>
              <w:bottom w:val="single" w:sz="8" w:color="auto"/>
            </w:tcBorders>
            <w:vMerge w:val="continue"/>
            <w:shd w:val="clear" w:color="auto" w:fill="CFF0FC"/>
          </w:tcPr>
          <w:p>
            <w:pPr>
              <w:spacing w:after="0"/>
              <w:rPr>
                <w:sz w:val="18"/>
                <w:szCs w:val="18"/>
                <w:color w:val="auto"/>
              </w:rPr>
            </w:pPr>
          </w:p>
        </w:tc>
        <w:tc>
          <w:tcPr>
            <w:tcW w:w="90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vMerge w:val="continue"/>
            <w:shd w:val="clear" w:color="auto" w:fill="CFF0FC"/>
          </w:tcPr>
          <w:p>
            <w:pPr>
              <w:spacing w:after="0"/>
              <w:rPr>
                <w:sz w:val="18"/>
                <w:szCs w:val="18"/>
                <w:color w:val="auto"/>
              </w:rPr>
            </w:pPr>
          </w:p>
        </w:tc>
        <w:tc>
          <w:tcPr>
            <w:tcW w:w="96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vMerge w:val="continue"/>
            <w:shd w:val="clear" w:color="auto" w:fill="CFF0FC"/>
          </w:tcPr>
          <w:p>
            <w:pPr>
              <w:spacing w:after="0"/>
              <w:rPr>
                <w:sz w:val="18"/>
                <w:szCs w:val="18"/>
                <w:color w:val="auto"/>
              </w:rPr>
            </w:pPr>
          </w:p>
        </w:tc>
        <w:tc>
          <w:tcPr>
            <w:tcW w:w="92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vMerge w:val="continue"/>
            <w:shd w:val="clear" w:color="auto" w:fill="CFF0FC"/>
          </w:tcPr>
          <w:p>
            <w:pPr>
              <w:spacing w:after="0"/>
              <w:rPr>
                <w:sz w:val="18"/>
                <w:szCs w:val="18"/>
                <w:color w:val="auto"/>
              </w:rPr>
            </w:pPr>
          </w:p>
        </w:tc>
        <w:tc>
          <w:tcPr>
            <w:tcW w:w="90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vMerge w:val="continue"/>
            <w:shd w:val="clear" w:color="auto" w:fill="CFF0FC"/>
          </w:tcPr>
          <w:p>
            <w:pPr>
              <w:spacing w:after="0"/>
              <w:rPr>
                <w:sz w:val="18"/>
                <w:szCs w:val="18"/>
                <w:color w:val="auto"/>
              </w:rPr>
            </w:pPr>
          </w:p>
        </w:tc>
        <w:tc>
          <w:tcPr>
            <w:tcW w:w="140" w:type="dxa"/>
            <w:vAlign w:val="bottom"/>
            <w:tcBorders>
              <w:bottom w:val="single" w:sz="8" w:color="auto"/>
            </w:tcBorders>
            <w:vMerge w:val="continue"/>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vMerge w:val="continue"/>
            <w:shd w:val="clear" w:color="auto" w:fill="CFF0FC"/>
          </w:tcPr>
          <w:p>
            <w:pPr>
              <w:spacing w:after="0"/>
              <w:rPr>
                <w:sz w:val="18"/>
                <w:szCs w:val="18"/>
                <w:color w:val="auto"/>
              </w:rPr>
            </w:pPr>
          </w:p>
        </w:tc>
        <w:tc>
          <w:tcPr>
            <w:tcW w:w="96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20" w:type="dxa"/>
            <w:vAlign w:val="bottom"/>
          </w:tcPr>
          <w:p>
            <w:pPr>
              <w:spacing w:after="0"/>
              <w:rPr>
                <w:sz w:val="20"/>
                <w:szCs w:val="20"/>
                <w:color w:val="auto"/>
              </w:rPr>
            </w:pPr>
            <w:r>
              <w:rPr>
                <w:rFonts w:ascii="Arial" w:cs="Arial" w:eastAsia="Arial" w:hAnsi="Arial"/>
                <w:sz w:val="18"/>
                <w:szCs w:val="18"/>
                <w:color w:val="auto"/>
                <w:w w:val="98"/>
              </w:rPr>
              <w:t>Stated interest rate</w:t>
            </w: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3.875 %</w:t>
            </w: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2.50 %</w:t>
            </w: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4.50 %</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3.875 %</w:t>
            </w:r>
          </w:p>
        </w:tc>
        <w:tc>
          <w:tcPr>
            <w:tcW w:w="16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-179070</wp:posOffset>
            </wp:positionV>
            <wp:extent cx="6032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-162560</wp:posOffset>
            </wp:positionV>
            <wp:extent cx="6032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-179070</wp:posOffset>
            </wp:positionV>
            <wp:extent cx="6032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-162560</wp:posOffset>
            </wp:positionV>
            <wp:extent cx="6032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-179070</wp:posOffset>
            </wp:positionV>
            <wp:extent cx="6032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-162560</wp:posOffset>
            </wp:positionV>
            <wp:extent cx="6032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-179070</wp:posOffset>
            </wp:positionV>
            <wp:extent cx="5143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-162560</wp:posOffset>
            </wp:positionV>
            <wp:extent cx="5143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-179070</wp:posOffset>
            </wp:positionV>
            <wp:extent cx="5143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-162560</wp:posOffset>
            </wp:positionV>
            <wp:extent cx="5143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-179070</wp:posOffset>
            </wp:positionV>
            <wp:extent cx="5143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-162560</wp:posOffset>
            </wp:positionV>
            <wp:extent cx="5143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5" w:lineRule="exact"/>
        <w:rPr>
          <w:sz w:val="20"/>
          <w:szCs w:val="20"/>
          <w:color w:val="auto"/>
        </w:rPr>
      </w:pPr>
    </w:p>
    <w:p>
      <w:pPr>
        <w:ind w:right="40" w:firstLine="255"/>
        <w:spacing w:after="0" w:line="248"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As of June 30, 2022 and December 31, 2021, the Company’s swap-adjusted interest rate on the 2023 Notes, 2024 Notes and 2026 Notes is three month LIBOR plus 1.99%, 2.28% (on a weighted average basis), and 1.91%, respectively.</w:t>
      </w:r>
    </w:p>
    <w:p>
      <w:pPr>
        <w:spacing w:after="0" w:line="182" w:lineRule="exact"/>
        <w:rPr>
          <w:sz w:val="20"/>
          <w:szCs w:val="20"/>
          <w:color w:val="auto"/>
        </w:rPr>
      </w:pPr>
    </w:p>
    <w:p>
      <w:pPr>
        <w:ind w:firstLine="255"/>
        <w:spacing w:after="0" w:line="261" w:lineRule="auto"/>
        <w:rPr>
          <w:sz w:val="20"/>
          <w:szCs w:val="20"/>
          <w:color w:val="auto"/>
        </w:rPr>
      </w:pPr>
      <w:r>
        <w:rPr>
          <w:rFonts w:ascii="Arial" w:cs="Arial" w:eastAsia="Arial" w:hAnsi="Arial"/>
          <w:sz w:val="18"/>
          <w:szCs w:val="18"/>
          <w:color w:val="auto"/>
        </w:rPr>
        <w:t>As of June 30, 2022 and December 31, 2021, the Company was in compliance with the terms of the indentures governing the 2023 Notes, 2024 Notes and 2026 Notes.</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44" w:right="519" w:bottom="1440" w:gutter="0" w:footer="0" w:header="0"/>
        </w:sectPr>
      </w:pPr>
    </w:p>
    <w:bookmarkStart w:id="42" w:name="page43"/>
    <w:bookmarkEnd w:id="42"/>
    <w:p>
      <w:pPr>
        <w:ind w:right="8500" w:firstLine="8"/>
        <w:spacing w:after="0" w:line="407" w:lineRule="auto"/>
        <w:tabs>
          <w:tab w:leader="none" w:pos="18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Portfolio Company Commitments</w:t>
      </w:r>
    </w:p>
    <w:p>
      <w:pPr>
        <w:spacing w:after="0" w:line="1" w:lineRule="exact"/>
        <w:rPr>
          <w:sz w:val="20"/>
          <w:szCs w:val="20"/>
          <w:color w:val="auto"/>
        </w:rPr>
      </w:pPr>
    </w:p>
    <w:p>
      <w:pPr>
        <w:ind w:right="20" w:firstLine="255"/>
        <w:spacing w:after="0" w:line="259" w:lineRule="auto"/>
        <w:rPr>
          <w:sz w:val="20"/>
          <w:szCs w:val="20"/>
          <w:color w:val="auto"/>
        </w:rPr>
      </w:pPr>
      <w:r>
        <w:rPr>
          <w:rFonts w:ascii="Arial" w:cs="Arial" w:eastAsia="Arial" w:hAnsi="Arial"/>
          <w:sz w:val="17"/>
          <w:szCs w:val="17"/>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June 30, 2022 and December 31, 2021, the Company had the following commitments to fund investments in current portfolio companies: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June 30, 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w w:val="98"/>
              </w:rPr>
              <w:t>December 31, 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Alpha Midco, Inc. - Delayed Draw</w:t>
            </w: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2,253</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4,444</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American Achievement, Corp. - Revolver</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2,403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2,403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ASG II, LLC - Delayed Draw</w:t>
            </w: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8,478</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AvidXchange, Inc. - Delayed Draw</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766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1,021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Axonify, Inc. - Delayed Draw</w:t>
            </w: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8,007</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6,850</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Bayshore Intermediate #2, L.P. - Revolver</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2,398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2,398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BCTO Ace Purchaser, Inc. - Delayed Draw</w:t>
            </w: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10,335</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Bear OpCo, LLC - Delayed Draw</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3,301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Biohaven Pharmaceuticals, Inc. - Delayed Draw</w:t>
            </w: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12,500</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BlueSnap, Inc. - Delayed Draw &amp; Revolver</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12,500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12,500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CrunchTime Information Systems, Inc. - Delayed Draw</w:t>
            </w: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7,101</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Clinicient, Inc. - Revolver</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1,600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DaySmart Holdings, LLC - Delayed Draw</w:t>
            </w: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4,630</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Destiny Solutions Parent Holding Company - Delayed Draw</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6,478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Dye &amp; Durham Corp. - Delayed Draw &amp; Revolver</w:t>
            </w: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7,720</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7,884</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Elysian Finco Ltd. - Delayed Draw &amp; Revolver</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7,866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5"/>
              </w:rPr>
              <w:t>Employment Hero Holdings Pty Ltd. - Delayed Draw &amp; Revolver</w:t>
            </w: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15,816</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16,722</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EMS Linq, Inc. - Revolver</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8,784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8,784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ExtraHop Networks, Inc. - Delayed Draw</w:t>
            </w: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20,803</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24,389</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ForeScout Technologies, Inc. - Revolver</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 Treasury SS, LLC - Delayed Draw</w:t>
            </w: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2,633</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6,986</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Ibis Intermediate Co. - Delayed Draw</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6,338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6,338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IntelePeer Holdings, Inc. - Delayed Draw</w:t>
            </w: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2,643</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IRGSE Holding Corp. - Revolver</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243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673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Kyriba Corp. - Revolver</w:t>
            </w: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Lithium Technologies, LLC - Revolver</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1,979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1,979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Lucidworks, Inc. - Delayed Draw &amp; Revolver</w:t>
            </w: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833</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3,333</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Murchison Oil and Gas, LLC - Delayed Draw</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9,772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Netwrix Corp. - Delayed Draw &amp; Revolver</w:t>
            </w: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22,561</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6,351</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Neuintel, LLC - Delayed Draw</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6,400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8,600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PageUp People, Ltd. - Delayed Draw</w:t>
            </w: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28,537</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30,173</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Passport Labs, Inc. - Delayed Draw &amp; Revolver</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5,556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8,334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Piano Software, Inc. - Delayed Draw</w:t>
            </w: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2,500</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PrimePay Intermediate, LLC - Delayed Draw</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5,298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8,000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PrimeRevenue, Inc. - Delayed Draw &amp; Revolver</w:t>
            </w: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6,500</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6,500</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Project44, Inc. - Delayed Draw</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19,861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19,861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ReliaQuest Holdings, LLC - Delayed Draw &amp; Revolver</w:t>
            </w: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25,733</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29,877</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w w:val="94"/>
              </w:rPr>
              <w:t>Tango Management Consulting, LLC - Delayed Draw &amp; Revolver</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29,045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38,750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TRP Assets, LLC - Delayed Draw</w:t>
            </w: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18,000</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18,000</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w w:val="96"/>
              </w:rPr>
              <w:t>Verdad Resources Intermediate Holdings, LLC - Delayed Draw</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7,778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WideOrbit, Inc. - Revolver</w:t>
            </w: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4,756</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4,756</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Workwell Acquisition Co. - Delayed Draw</w:t>
            </w:r>
          </w:p>
        </w:tc>
        <w:tc>
          <w:tcPr>
            <w:tcW w:w="1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5,627</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4880" w:type="dxa"/>
            <w:vAlign w:val="bottom"/>
            <w:tcBorders>
              <w:bottom w:val="single" w:sz="8" w:color="CFF0FC"/>
            </w:tcBorders>
            <w:shd w:val="clear" w:color="auto" w:fill="CFF0FC"/>
          </w:tcPr>
          <w:p>
            <w:pPr>
              <w:ind w:left="180"/>
              <w:spacing w:after="0" w:line="183" w:lineRule="exact"/>
              <w:rPr>
                <w:sz w:val="20"/>
                <w:szCs w:val="20"/>
                <w:color w:val="auto"/>
              </w:rPr>
            </w:pPr>
            <w:r>
              <w:rPr>
                <w:rFonts w:ascii="Arial" w:cs="Arial" w:eastAsia="Arial" w:hAnsi="Arial"/>
                <w:sz w:val="16"/>
                <w:szCs w:val="16"/>
                <w:b w:val="1"/>
                <w:bCs w:val="1"/>
                <w:color w:val="auto"/>
              </w:rPr>
              <w:t xml:space="preserve">Total Portfolio Company Commitments </w:t>
            </w:r>
            <w:r>
              <w:rPr>
                <w:rFonts w:ascii="Arial" w:cs="Arial" w:eastAsia="Arial" w:hAnsi="Arial"/>
                <w:sz w:val="21"/>
                <w:szCs w:val="21"/>
                <w:b w:val="1"/>
                <w:bCs w:val="1"/>
                <w:color w:val="auto"/>
                <w:vertAlign w:val="superscript"/>
              </w:rPr>
              <w:t>(1)(2)</w:t>
            </w:r>
          </w:p>
        </w:tc>
        <w:tc>
          <w:tcPr>
            <w:tcW w:w="1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320,948</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332,074</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615"/>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80" w:type="dxa"/>
            <w:vAlign w:val="bottom"/>
          </w:tcPr>
          <w:p>
            <w:pPr>
              <w:jc w:val="right"/>
              <w:ind w:right="93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-504825</wp:posOffset>
            </wp:positionV>
            <wp:extent cx="6032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-487680</wp:posOffset>
            </wp:positionV>
            <wp:extent cx="6032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-487680</wp:posOffset>
            </wp:positionV>
            <wp:extent cx="6032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3" w:name="page44"/>
    <w:bookmarkEnd w:id="43"/>
    <w:p>
      <w:pPr>
        <w:ind w:left="520" w:right="320" w:hanging="512"/>
        <w:spacing w:after="0" w:line="245"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 w:lineRule="exact"/>
        <w:rPr>
          <w:rFonts w:ascii="Arial" w:cs="Arial" w:eastAsia="Arial" w:hAnsi="Arial"/>
          <w:sz w:val="18"/>
          <w:szCs w:val="18"/>
          <w:color w:val="auto"/>
        </w:rPr>
      </w:pPr>
    </w:p>
    <w:p>
      <w:pPr>
        <w:ind w:left="520" w:right="540" w:hanging="512"/>
        <w:spacing w:after="0" w:line="234"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Company’s estimate of the fair value of the current investments in these portfolio companies includes an analysis of the fair value of any unfunded commitments.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ind w:right="220" w:firstLine="255"/>
        <w:spacing w:after="0" w:line="246" w:lineRule="auto"/>
        <w:rPr>
          <w:sz w:val="20"/>
          <w:szCs w:val="20"/>
          <w:color w:val="auto"/>
        </w:rPr>
      </w:pPr>
      <w:r>
        <w:rPr>
          <w:rFonts w:ascii="Arial" w:cs="Arial" w:eastAsia="Arial" w:hAnsi="Arial"/>
          <w:sz w:val="18"/>
          <w:szCs w:val="18"/>
          <w:color w:val="auto"/>
        </w:rPr>
        <w:t>As of June 30, 2022 and December 31, 2021, the Company did not have any unfunded commitments to fund investments to new borrowers that were not current portfolio companies as of such date.</w:t>
      </w:r>
    </w:p>
    <w:p>
      <w:pPr>
        <w:spacing w:after="0" w:line="170" w:lineRule="exact"/>
        <w:rPr>
          <w:sz w:val="20"/>
          <w:szCs w:val="20"/>
          <w:color w:val="auto"/>
        </w:rPr>
      </w:pPr>
    </w:p>
    <w:p>
      <w:pPr>
        <w:jc w:val="both"/>
        <w:ind w:right="200" w:firstLine="255"/>
        <w:spacing w:after="0" w:line="235"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June 30, 2022 and December 31, 2021, management is not aware of any material pending or threatened litigation that would require accounting recognition or financial statement disclosure.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94" w:lineRule="exact"/>
        <w:rPr>
          <w:sz w:val="20"/>
          <w:szCs w:val="20"/>
          <w:color w:val="auto"/>
        </w:rPr>
      </w:pPr>
    </w:p>
    <w:p>
      <w:pPr>
        <w:ind w:right="20" w:firstLine="255"/>
        <w:spacing w:after="0" w:line="253" w:lineRule="auto"/>
        <w:rPr>
          <w:sz w:val="20"/>
          <w:szCs w:val="20"/>
          <w:color w:val="auto"/>
        </w:rPr>
      </w:pPr>
      <w:r>
        <w:rPr>
          <w:rFonts w:ascii="Arial" w:cs="Arial" w:eastAsia="Arial" w:hAnsi="Arial"/>
          <w:sz w:val="17"/>
          <w:szCs w:val="17"/>
          <w:color w:val="auto"/>
        </w:rPr>
        <w:t>In February 2021, the Company issued a total of 4,000,000 shares of common stock at $21.30 per share. Net of underwriting fees and offering costs, the Company received total cash proceeds of $84.9 million. Subsequent to the offering the Company issued an additional 49,689 shares in March 2021 pursuant to the overallotment option granted to underwriters and received, net of underwriting fees, total cash proceeds of $1.0 million.</w:t>
      </w:r>
    </w:p>
    <w:p>
      <w:pPr>
        <w:spacing w:after="0" w:line="57" w:lineRule="exact"/>
        <w:rPr>
          <w:sz w:val="20"/>
          <w:szCs w:val="20"/>
          <w:color w:val="auto"/>
        </w:rPr>
      </w:pPr>
    </w:p>
    <w:p>
      <w:pPr>
        <w:ind w:right="40" w:firstLine="255"/>
        <w:spacing w:after="0" w:line="246" w:lineRule="auto"/>
        <w:rPr>
          <w:sz w:val="20"/>
          <w:szCs w:val="20"/>
          <w:color w:val="auto"/>
        </w:rPr>
      </w:pPr>
      <w:r>
        <w:rPr>
          <w:rFonts w:ascii="Arial" w:cs="Arial" w:eastAsia="Arial" w:hAnsi="Arial"/>
          <w:sz w:val="18"/>
          <w:szCs w:val="18"/>
          <w:color w:val="auto"/>
        </w:rPr>
        <w:t>In December 2021, the Company issued a total of 2,324,820 shares of common stock, or $42.3 million as settlement for the conversion of $42.8 million principal amount of the 2022 Convertible Notes.</w:t>
      </w:r>
    </w:p>
    <w:p>
      <w:pPr>
        <w:spacing w:after="0" w:line="62" w:lineRule="exact"/>
        <w:rPr>
          <w:sz w:val="20"/>
          <w:szCs w:val="20"/>
          <w:color w:val="auto"/>
        </w:rPr>
      </w:pPr>
    </w:p>
    <w:p>
      <w:pPr>
        <w:ind w:firstLine="255"/>
        <w:spacing w:after="0" w:line="237"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0" w:lineRule="exact"/>
        <w:rPr>
          <w:sz w:val="20"/>
          <w:szCs w:val="20"/>
          <w:color w:val="auto"/>
        </w:rPr>
      </w:pPr>
    </w:p>
    <w:p>
      <w:pPr>
        <w:ind w:right="60" w:firstLine="255"/>
        <w:spacing w:after="0" w:line="235"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six months ended June 30, 2022 and 2021. All shares issued to stockholders in the tables below are newly issued shares.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60" w:type="dxa"/>
            <w:vAlign w:val="bottom"/>
            <w:gridSpan w:val="8"/>
          </w:tcPr>
          <w:p>
            <w:pPr>
              <w:jc w:val="center"/>
              <w:ind w:left="117"/>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ind w:left="1537"/>
              <w:spacing w:after="0"/>
              <w:rPr>
                <w:sz w:val="20"/>
                <w:szCs w:val="20"/>
                <w:color w:val="auto"/>
              </w:rPr>
            </w:pPr>
            <w:r>
              <w:rPr>
                <w:rFonts w:ascii="Arial" w:cs="Arial" w:eastAsia="Arial" w:hAnsi="Arial"/>
                <w:sz w:val="14"/>
                <w:szCs w:val="14"/>
                <w:b w:val="1"/>
                <w:bCs w:val="1"/>
                <w:color w:val="auto"/>
                <w:w w:val="92"/>
              </w:rPr>
              <w:t>June 30, 2022</w:t>
            </w:r>
          </w:p>
        </w:tc>
        <w:tc>
          <w:tcPr>
            <w:tcW w:w="13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xml:space="preserve">Dividend </w:t>
            </w:r>
            <w:r>
              <w:rPr>
                <w:rFonts w:ascii="Arial" w:cs="Arial" w:eastAsia="Arial" w:hAnsi="Arial"/>
                <w:sz w:val="19"/>
                <w:szCs w:val="19"/>
                <w:b w:val="1"/>
                <w:bCs w:val="1"/>
                <w:color w:val="auto"/>
                <w:w w:val="91"/>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3"/>
          </w:tcPr>
          <w:p>
            <w:pPr>
              <w:jc w:val="center"/>
              <w:ind w:right="560"/>
              <w:spacing w:after="0" w:line="160" w:lineRule="exact"/>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220" w:type="dxa"/>
            <w:vAlign w:val="bottom"/>
            <w:gridSpan w:val="4"/>
          </w:tcPr>
          <w:p>
            <w:pPr>
              <w:spacing w:after="0"/>
              <w:rPr>
                <w:sz w:val="20"/>
                <w:szCs w:val="20"/>
                <w:color w:val="auto"/>
              </w:rPr>
            </w:pPr>
            <w:r>
              <w:rPr>
                <w:rFonts w:ascii="Arial" w:cs="Arial" w:eastAsia="Arial" w:hAnsi="Arial"/>
                <w:sz w:val="14"/>
                <w:szCs w:val="14"/>
                <w:b w:val="1"/>
                <w:bCs w:val="1"/>
                <w:color w:val="auto"/>
              </w:rPr>
              <w:t>Date Declared</w:t>
            </w:r>
          </w:p>
        </w:tc>
        <w:tc>
          <w:tcPr>
            <w:tcW w:w="11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60" w:type="dxa"/>
            <w:vAlign w:val="bottom"/>
            <w:gridSpan w:val="5"/>
          </w:tcPr>
          <w:p>
            <w:pPr>
              <w:ind w:left="540"/>
              <w:spacing w:after="0"/>
              <w:rPr>
                <w:sz w:val="20"/>
                <w:szCs w:val="20"/>
                <w:color w:val="auto"/>
              </w:rPr>
            </w:pPr>
            <w:r>
              <w:rPr>
                <w:rFonts w:ascii="Arial" w:cs="Arial" w:eastAsia="Arial" w:hAnsi="Arial"/>
                <w:sz w:val="14"/>
                <w:szCs w:val="14"/>
                <w:b w:val="1"/>
                <w:bCs w:val="1"/>
                <w:color w:val="auto"/>
              </w:rPr>
              <w:t>Record Date</w:t>
            </w:r>
          </w:p>
        </w:tc>
        <w:tc>
          <w:tcPr>
            <w:tcW w:w="14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Shares Issued</w:t>
            </w:r>
          </w:p>
        </w:tc>
        <w:tc>
          <w:tcPr>
            <w:tcW w:w="80" w:type="dxa"/>
            <w:vAlign w:val="bottom"/>
          </w:tcPr>
          <w:p>
            <w:pPr>
              <w:spacing w:after="0"/>
              <w:rPr>
                <w:sz w:val="16"/>
                <w:szCs w:val="16"/>
                <w:color w:val="auto"/>
              </w:rPr>
            </w:pPr>
          </w:p>
        </w:tc>
        <w:tc>
          <w:tcPr>
            <w:tcW w:w="1440" w:type="dxa"/>
            <w:vAlign w:val="bottom"/>
          </w:tcPr>
          <w:p>
            <w:pPr>
              <w:jc w:val="right"/>
              <w:ind w:right="279"/>
              <w:spacing w:after="0"/>
              <w:rPr>
                <w:sz w:val="20"/>
                <w:szCs w:val="20"/>
                <w:color w:val="auto"/>
              </w:rPr>
            </w:pPr>
            <w:r>
              <w:rPr>
                <w:rFonts w:ascii="Arial" w:cs="Arial" w:eastAsia="Arial" w:hAnsi="Arial"/>
                <w:sz w:val="14"/>
                <w:szCs w:val="14"/>
                <w:b w:val="1"/>
                <w:bCs w:val="1"/>
                <w:color w:val="auto"/>
              </w:rPr>
              <w:t>Shares Issued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20" w:type="dxa"/>
            <w:vAlign w:val="bottom"/>
            <w:tcBorders>
              <w:top w:val="single" w:sz="8" w:color="auto"/>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November 2, 2021</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87"/>
              </w:rPr>
              <w:t>Base</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December 15, 2021</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January 14, 2022</w:t>
            </w: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5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233,542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gridSpan w:val="4"/>
          </w:tcPr>
          <w:p>
            <w:pPr>
              <w:spacing w:after="0" w:line="202" w:lineRule="exact"/>
              <w:rPr>
                <w:sz w:val="20"/>
                <w:szCs w:val="20"/>
                <w:color w:val="auto"/>
              </w:rPr>
            </w:pPr>
            <w:r>
              <w:rPr>
                <w:rFonts w:ascii="Arial" w:cs="Arial" w:eastAsia="Arial" w:hAnsi="Arial"/>
                <w:sz w:val="18"/>
                <w:szCs w:val="18"/>
                <w:color w:val="auto"/>
              </w:rPr>
              <w:t>February 17, 2022</w:t>
            </w: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0"/>
              </w:rPr>
              <w:t>Supplemental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60" w:type="dxa"/>
            <w:vAlign w:val="bottom"/>
            <w:gridSpan w:val="5"/>
          </w:tcPr>
          <w:p>
            <w:pPr>
              <w:jc w:val="right"/>
              <w:ind w:right="580"/>
              <w:spacing w:after="0" w:line="202" w:lineRule="exact"/>
              <w:rPr>
                <w:sz w:val="20"/>
                <w:szCs w:val="20"/>
                <w:color w:val="auto"/>
              </w:rPr>
            </w:pPr>
            <w:r>
              <w:rPr>
                <w:rFonts w:ascii="Arial" w:cs="Arial" w:eastAsia="Arial" w:hAnsi="Arial"/>
                <w:sz w:val="18"/>
                <w:szCs w:val="18"/>
                <w:color w:val="auto"/>
              </w:rPr>
              <w:t>February 28, 2022</w:t>
            </w:r>
          </w:p>
        </w:tc>
        <w:tc>
          <w:tcPr>
            <w:tcW w:w="14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March 31, 2022</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65,596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gridSpan w:val="4"/>
            <w:shd w:val="clear" w:color="auto" w:fill="CFF0FC"/>
          </w:tcPr>
          <w:p>
            <w:pPr>
              <w:spacing w:after="0" w:line="202" w:lineRule="exact"/>
              <w:rPr>
                <w:sz w:val="20"/>
                <w:szCs w:val="20"/>
                <w:color w:val="auto"/>
              </w:rPr>
            </w:pPr>
            <w:r>
              <w:rPr>
                <w:rFonts w:ascii="Arial" w:cs="Arial" w:eastAsia="Arial" w:hAnsi="Arial"/>
                <w:sz w:val="18"/>
                <w:szCs w:val="18"/>
                <w:color w:val="auto"/>
              </w:rPr>
              <w:t>February 17, 2022</w:t>
            </w:r>
          </w:p>
        </w:tc>
        <w:tc>
          <w:tcPr>
            <w:tcW w:w="11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7"/>
              </w:rPr>
              <w:t>Base</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60" w:type="dxa"/>
            <w:vAlign w:val="bottom"/>
            <w:gridSpan w:val="5"/>
            <w:shd w:val="clear" w:color="auto" w:fill="CFF0FC"/>
          </w:tcPr>
          <w:p>
            <w:pPr>
              <w:jc w:val="right"/>
              <w:ind w:right="580"/>
              <w:spacing w:after="0" w:line="202" w:lineRule="exact"/>
              <w:rPr>
                <w:sz w:val="20"/>
                <w:szCs w:val="20"/>
                <w:color w:val="auto"/>
              </w:rPr>
            </w:pPr>
            <w:r>
              <w:rPr>
                <w:rFonts w:ascii="Arial" w:cs="Arial" w:eastAsia="Arial" w:hAnsi="Arial"/>
                <w:sz w:val="18"/>
                <w:szCs w:val="18"/>
                <w:color w:val="auto"/>
              </w:rPr>
              <w:t>March 15, 2022</w:t>
            </w:r>
          </w:p>
        </w:tc>
        <w:tc>
          <w:tcPr>
            <w:tcW w:w="1400" w:type="dxa"/>
            <w:vAlign w:val="bottom"/>
            <w:gridSpan w:val="3"/>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April 18, 2022</w:t>
            </w:r>
          </w:p>
        </w:tc>
        <w:tc>
          <w:tcPr>
            <w:tcW w:w="1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239,376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gridSpan w:val="4"/>
          </w:tcPr>
          <w:p>
            <w:pPr>
              <w:spacing w:after="0" w:line="202" w:lineRule="exact"/>
              <w:rPr>
                <w:sz w:val="20"/>
                <w:szCs w:val="20"/>
                <w:color w:val="auto"/>
              </w:rPr>
            </w:pPr>
            <w:r>
              <w:rPr>
                <w:rFonts w:ascii="Arial" w:cs="Arial" w:eastAsia="Arial" w:hAnsi="Arial"/>
                <w:sz w:val="18"/>
                <w:szCs w:val="18"/>
                <w:color w:val="auto"/>
              </w:rPr>
              <w:t>May 3, 2022</w:t>
            </w: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0"/>
              </w:rPr>
              <w:t>Supplemental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60" w:type="dxa"/>
            <w:vAlign w:val="bottom"/>
            <w:gridSpan w:val="5"/>
          </w:tcPr>
          <w:p>
            <w:pPr>
              <w:jc w:val="right"/>
              <w:ind w:right="580"/>
              <w:spacing w:after="0" w:line="202" w:lineRule="exact"/>
              <w:rPr>
                <w:sz w:val="20"/>
                <w:szCs w:val="20"/>
                <w:color w:val="auto"/>
              </w:rPr>
            </w:pPr>
            <w:r>
              <w:rPr>
                <w:rFonts w:ascii="Arial" w:cs="Arial" w:eastAsia="Arial" w:hAnsi="Arial"/>
                <w:sz w:val="18"/>
                <w:szCs w:val="18"/>
                <w:color w:val="auto"/>
              </w:rPr>
              <w:t>May 31, 2022</w:t>
            </w:r>
          </w:p>
        </w:tc>
        <w:tc>
          <w:tcPr>
            <w:tcW w:w="14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June 30, 2022</w:t>
            </w:r>
          </w:p>
        </w:tc>
        <w:tc>
          <w:tcPr>
            <w:tcW w:w="15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29,459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20" w:type="dxa"/>
            <w:vAlign w:val="bottom"/>
            <w:tcBorders>
              <w:bottom w:val="single" w:sz="8" w:color="CFF0FC"/>
            </w:tcBorders>
            <w:gridSpan w:val="4"/>
            <w:shd w:val="clear" w:color="auto" w:fill="CFF0FC"/>
          </w:tcPr>
          <w:p>
            <w:pPr>
              <w:ind w:left="180"/>
              <w:spacing w:after="0" w:line="196" w:lineRule="exact"/>
              <w:rPr>
                <w:sz w:val="20"/>
                <w:szCs w:val="20"/>
                <w:color w:val="auto"/>
              </w:rPr>
            </w:pPr>
            <w:r>
              <w:rPr>
                <w:rFonts w:ascii="Arial" w:cs="Arial" w:eastAsia="Arial" w:hAnsi="Arial"/>
                <w:sz w:val="18"/>
                <w:szCs w:val="18"/>
                <w:b w:val="1"/>
                <w:bCs w:val="1"/>
                <w:color w:val="auto"/>
              </w:rPr>
              <w:t>Total Shares Issued</w:t>
            </w:r>
          </w:p>
        </w:tc>
        <w:tc>
          <w:tcPr>
            <w:tcW w:w="11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9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567,973</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52"/>
        </w:trPr>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60" w:type="dxa"/>
            <w:vAlign w:val="bottom"/>
            <w:gridSpan w:val="8"/>
          </w:tcPr>
          <w:p>
            <w:pPr>
              <w:jc w:val="center"/>
              <w:ind w:left="37"/>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ind w:left="1437"/>
              <w:spacing w:after="0"/>
              <w:rPr>
                <w:sz w:val="20"/>
                <w:szCs w:val="20"/>
                <w:color w:val="auto"/>
              </w:rPr>
            </w:pPr>
            <w:r>
              <w:rPr>
                <w:rFonts w:ascii="Arial" w:cs="Arial" w:eastAsia="Arial" w:hAnsi="Arial"/>
                <w:sz w:val="14"/>
                <w:szCs w:val="14"/>
                <w:b w:val="1"/>
                <w:bCs w:val="1"/>
                <w:color w:val="auto"/>
                <w:w w:val="90"/>
              </w:rPr>
              <w:t>June 30, 2021</w:t>
            </w:r>
          </w:p>
        </w:tc>
        <w:tc>
          <w:tcPr>
            <w:tcW w:w="13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xml:space="preserve">Dividend </w:t>
            </w:r>
            <w:r>
              <w:rPr>
                <w:rFonts w:ascii="Arial" w:cs="Arial" w:eastAsia="Arial" w:hAnsi="Arial"/>
                <w:sz w:val="19"/>
                <w:szCs w:val="19"/>
                <w:b w:val="1"/>
                <w:bCs w:val="1"/>
                <w:color w:val="auto"/>
                <w:w w:val="91"/>
                <w:vertAlign w:val="superscript"/>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3"/>
          </w:tcPr>
          <w:p>
            <w:pPr>
              <w:jc w:val="center"/>
              <w:ind w:right="440"/>
              <w:spacing w:after="0" w:line="160" w:lineRule="exact"/>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220" w:type="dxa"/>
            <w:vAlign w:val="bottom"/>
            <w:gridSpan w:val="4"/>
          </w:tcPr>
          <w:p>
            <w:pPr>
              <w:spacing w:after="0"/>
              <w:rPr>
                <w:sz w:val="20"/>
                <w:szCs w:val="20"/>
                <w:color w:val="auto"/>
              </w:rPr>
            </w:pPr>
            <w:r>
              <w:rPr>
                <w:rFonts w:ascii="Arial" w:cs="Arial" w:eastAsia="Arial" w:hAnsi="Arial"/>
                <w:sz w:val="14"/>
                <w:szCs w:val="14"/>
                <w:b w:val="1"/>
                <w:bCs w:val="1"/>
                <w:color w:val="auto"/>
              </w:rPr>
              <w:t>Date Declared</w:t>
            </w:r>
          </w:p>
        </w:tc>
        <w:tc>
          <w:tcPr>
            <w:tcW w:w="11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60" w:type="dxa"/>
            <w:vAlign w:val="bottom"/>
            <w:gridSpan w:val="5"/>
          </w:tcPr>
          <w:p>
            <w:pPr>
              <w:ind w:left="580"/>
              <w:spacing w:after="0"/>
              <w:rPr>
                <w:sz w:val="20"/>
                <w:szCs w:val="20"/>
                <w:color w:val="auto"/>
              </w:rPr>
            </w:pPr>
            <w:r>
              <w:rPr>
                <w:rFonts w:ascii="Arial" w:cs="Arial" w:eastAsia="Arial" w:hAnsi="Arial"/>
                <w:sz w:val="14"/>
                <w:szCs w:val="14"/>
                <w:b w:val="1"/>
                <w:bCs w:val="1"/>
                <w:color w:val="auto"/>
              </w:rPr>
              <w:t>Record Date</w:t>
            </w:r>
          </w:p>
        </w:tc>
        <w:tc>
          <w:tcPr>
            <w:tcW w:w="14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Shares Issued</w:t>
            </w:r>
          </w:p>
        </w:tc>
        <w:tc>
          <w:tcPr>
            <w:tcW w:w="80" w:type="dxa"/>
            <w:vAlign w:val="bottom"/>
          </w:tcPr>
          <w:p>
            <w:pPr>
              <w:spacing w:after="0"/>
              <w:rPr>
                <w:sz w:val="16"/>
                <w:szCs w:val="16"/>
                <w:color w:val="auto"/>
              </w:rPr>
            </w:pPr>
          </w:p>
        </w:tc>
        <w:tc>
          <w:tcPr>
            <w:tcW w:w="1440" w:type="dxa"/>
            <w:vAlign w:val="bottom"/>
          </w:tcPr>
          <w:p>
            <w:pPr>
              <w:jc w:val="right"/>
              <w:ind w:right="219"/>
              <w:spacing w:after="0"/>
              <w:rPr>
                <w:sz w:val="20"/>
                <w:szCs w:val="20"/>
                <w:color w:val="auto"/>
              </w:rPr>
            </w:pPr>
            <w:r>
              <w:rPr>
                <w:rFonts w:ascii="Arial" w:cs="Arial" w:eastAsia="Arial" w:hAnsi="Arial"/>
                <w:sz w:val="14"/>
                <w:szCs w:val="14"/>
                <w:b w:val="1"/>
                <w:bCs w:val="1"/>
                <w:color w:val="auto"/>
              </w:rPr>
              <w:t>Shares Issued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November 4, 2020</w:t>
            </w:r>
          </w:p>
        </w:tc>
        <w:tc>
          <w:tcPr>
            <w:tcW w:w="120" w:type="dxa"/>
            <w:vAlign w:val="bottom"/>
            <w:gridSpan w:val="2"/>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87"/>
              </w:rPr>
              <w:t>Base</w:t>
            </w: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94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December 15, 2020</w:t>
            </w:r>
          </w:p>
        </w:tc>
        <w:tc>
          <w:tcPr>
            <w:tcW w:w="140" w:type="dxa"/>
            <w:vAlign w:val="bottom"/>
            <w:gridSpan w:val="2"/>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w w:val="94"/>
              </w:rPr>
              <w:t>January 15, 2021</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211,904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gridSpan w:val="4"/>
          </w:tcPr>
          <w:p>
            <w:pPr>
              <w:spacing w:after="0" w:line="202" w:lineRule="exact"/>
              <w:rPr>
                <w:sz w:val="20"/>
                <w:szCs w:val="20"/>
                <w:color w:val="auto"/>
              </w:rPr>
            </w:pPr>
            <w:r>
              <w:rPr>
                <w:rFonts w:ascii="Arial" w:cs="Arial" w:eastAsia="Arial" w:hAnsi="Arial"/>
                <w:sz w:val="18"/>
                <w:szCs w:val="18"/>
                <w:color w:val="auto"/>
              </w:rPr>
              <w:t>February 17, 2021</w:t>
            </w: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0"/>
              </w:rPr>
              <w:t>Supplemental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60" w:type="dxa"/>
            <w:vAlign w:val="bottom"/>
            <w:gridSpan w:val="5"/>
          </w:tcPr>
          <w:p>
            <w:pPr>
              <w:jc w:val="right"/>
              <w:ind w:right="540"/>
              <w:spacing w:after="0" w:line="202" w:lineRule="exact"/>
              <w:rPr>
                <w:sz w:val="20"/>
                <w:szCs w:val="20"/>
                <w:color w:val="auto"/>
              </w:rPr>
            </w:pPr>
            <w:r>
              <w:rPr>
                <w:rFonts w:ascii="Arial" w:cs="Arial" w:eastAsia="Arial" w:hAnsi="Arial"/>
                <w:sz w:val="18"/>
                <w:szCs w:val="18"/>
                <w:color w:val="auto"/>
              </w:rPr>
              <w:t>February 26, 2021</w:t>
            </w:r>
          </w:p>
        </w:tc>
        <w:tc>
          <w:tcPr>
            <w:tcW w:w="14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March 31, 2021</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24,196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gridSpan w:val="4"/>
            <w:shd w:val="clear" w:color="auto" w:fill="CFF0FC"/>
          </w:tcPr>
          <w:p>
            <w:pPr>
              <w:spacing w:after="0" w:line="202" w:lineRule="exact"/>
              <w:rPr>
                <w:sz w:val="20"/>
                <w:szCs w:val="20"/>
                <w:color w:val="auto"/>
              </w:rPr>
            </w:pPr>
            <w:r>
              <w:rPr>
                <w:rFonts w:ascii="Arial" w:cs="Arial" w:eastAsia="Arial" w:hAnsi="Arial"/>
                <w:sz w:val="18"/>
                <w:szCs w:val="18"/>
                <w:color w:val="auto"/>
              </w:rPr>
              <w:t>February 17, 2021</w:t>
            </w:r>
          </w:p>
        </w:tc>
        <w:tc>
          <w:tcPr>
            <w:tcW w:w="11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7"/>
              </w:rPr>
              <w:t>Base</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60" w:type="dxa"/>
            <w:vAlign w:val="bottom"/>
            <w:gridSpan w:val="5"/>
            <w:shd w:val="clear" w:color="auto" w:fill="CFF0FC"/>
          </w:tcPr>
          <w:p>
            <w:pPr>
              <w:jc w:val="right"/>
              <w:ind w:right="540"/>
              <w:spacing w:after="0" w:line="202" w:lineRule="exact"/>
              <w:rPr>
                <w:sz w:val="20"/>
                <w:szCs w:val="20"/>
                <w:color w:val="auto"/>
              </w:rPr>
            </w:pPr>
            <w:r>
              <w:rPr>
                <w:rFonts w:ascii="Arial" w:cs="Arial" w:eastAsia="Arial" w:hAnsi="Arial"/>
                <w:sz w:val="18"/>
                <w:szCs w:val="18"/>
                <w:color w:val="auto"/>
              </w:rPr>
              <w:t>March 15, 2021</w:t>
            </w:r>
          </w:p>
        </w:tc>
        <w:tc>
          <w:tcPr>
            <w:tcW w:w="140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April 15, 2021</w:t>
            </w:r>
          </w:p>
        </w:tc>
        <w:tc>
          <w:tcPr>
            <w:tcW w:w="1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165,400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gridSpan w:val="4"/>
          </w:tcPr>
          <w:p>
            <w:pPr>
              <w:spacing w:after="0" w:line="202" w:lineRule="exact"/>
              <w:rPr>
                <w:sz w:val="20"/>
                <w:szCs w:val="20"/>
                <w:color w:val="auto"/>
              </w:rPr>
            </w:pPr>
            <w:r>
              <w:rPr>
                <w:rFonts w:ascii="Arial" w:cs="Arial" w:eastAsia="Arial" w:hAnsi="Arial"/>
                <w:sz w:val="18"/>
                <w:szCs w:val="18"/>
                <w:color w:val="auto"/>
              </w:rPr>
              <w:t>February 17, 2021</w:t>
            </w: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88"/>
              </w:rPr>
              <w:t>Special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60" w:type="dxa"/>
            <w:vAlign w:val="bottom"/>
            <w:gridSpan w:val="5"/>
          </w:tcPr>
          <w:p>
            <w:pPr>
              <w:jc w:val="right"/>
              <w:ind w:right="540"/>
              <w:spacing w:after="0" w:line="202" w:lineRule="exact"/>
              <w:rPr>
                <w:sz w:val="20"/>
                <w:szCs w:val="20"/>
                <w:color w:val="auto"/>
              </w:rPr>
            </w:pPr>
            <w:r>
              <w:rPr>
                <w:rFonts w:ascii="Arial" w:cs="Arial" w:eastAsia="Arial" w:hAnsi="Arial"/>
                <w:sz w:val="18"/>
                <w:szCs w:val="18"/>
                <w:color w:val="auto"/>
              </w:rPr>
              <w:t>March 25, 2021</w:t>
            </w:r>
          </w:p>
        </w:tc>
        <w:tc>
          <w:tcPr>
            <w:tcW w:w="14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April 8, 2021</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483,361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Borders>
              <w:bottom w:val="single" w:sz="8" w:color="CFF0FC"/>
            </w:tcBorders>
            <w:gridSpan w:val="4"/>
            <w:shd w:val="clear" w:color="auto" w:fill="CFF0FC"/>
          </w:tcPr>
          <w:p>
            <w:pPr>
              <w:spacing w:after="0" w:line="202" w:lineRule="exact"/>
              <w:rPr>
                <w:sz w:val="20"/>
                <w:szCs w:val="20"/>
                <w:color w:val="auto"/>
              </w:rPr>
            </w:pPr>
            <w:r>
              <w:rPr>
                <w:rFonts w:ascii="Arial" w:cs="Arial" w:eastAsia="Arial" w:hAnsi="Arial"/>
                <w:sz w:val="18"/>
                <w:szCs w:val="18"/>
                <w:color w:val="auto"/>
              </w:rPr>
              <w:t>May 4, 2021</w:t>
            </w:r>
          </w:p>
        </w:tc>
        <w:tc>
          <w:tcPr>
            <w:tcW w:w="1160" w:type="dxa"/>
            <w:vAlign w:val="bottom"/>
            <w:tcBorders>
              <w:bottom w:val="single" w:sz="8" w:color="CFF0FC"/>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87"/>
              </w:rPr>
              <w:t>Base</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2460" w:type="dxa"/>
            <w:vAlign w:val="bottom"/>
            <w:tcBorders>
              <w:bottom w:val="single" w:sz="8" w:color="CFF0FC"/>
            </w:tcBorders>
            <w:gridSpan w:val="5"/>
            <w:shd w:val="clear" w:color="auto" w:fill="CFF0FC"/>
          </w:tcPr>
          <w:p>
            <w:pPr>
              <w:jc w:val="right"/>
              <w:ind w:right="540"/>
              <w:spacing w:after="0" w:line="202" w:lineRule="exact"/>
              <w:rPr>
                <w:sz w:val="20"/>
                <w:szCs w:val="20"/>
                <w:color w:val="auto"/>
              </w:rPr>
            </w:pPr>
            <w:r>
              <w:rPr>
                <w:rFonts w:ascii="Arial" w:cs="Arial" w:eastAsia="Arial" w:hAnsi="Arial"/>
                <w:sz w:val="18"/>
                <w:szCs w:val="18"/>
                <w:color w:val="auto"/>
              </w:rPr>
              <w:t>May 28, 2021</w:t>
            </w:r>
          </w:p>
        </w:tc>
        <w:tc>
          <w:tcPr>
            <w:tcW w:w="1400" w:type="dxa"/>
            <w:vAlign w:val="bottom"/>
            <w:tcBorders>
              <w:bottom w:val="single" w:sz="8" w:color="CFF0FC"/>
            </w:tcBorders>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June 30, 2021</w:t>
            </w:r>
          </w:p>
        </w:tc>
        <w:tc>
          <w:tcPr>
            <w:tcW w:w="8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30,924</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gridSpan w:val="4"/>
          </w:tcPr>
          <w:p>
            <w:pPr>
              <w:ind w:left="180"/>
              <w:spacing w:after="0" w:line="196" w:lineRule="exact"/>
              <w:rPr>
                <w:sz w:val="20"/>
                <w:szCs w:val="20"/>
                <w:color w:val="auto"/>
              </w:rPr>
            </w:pPr>
            <w:r>
              <w:rPr>
                <w:rFonts w:ascii="Arial" w:cs="Arial" w:eastAsia="Arial" w:hAnsi="Arial"/>
                <w:sz w:val="18"/>
                <w:szCs w:val="18"/>
                <w:b w:val="1"/>
                <w:bCs w:val="1"/>
                <w:color w:val="auto"/>
              </w:rPr>
              <w:t>Total Shares Issued</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915,785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-1550670</wp:posOffset>
            </wp:positionV>
            <wp:extent cx="5143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-1533525</wp:posOffset>
            </wp:positionV>
            <wp:extent cx="5143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ind w:left="5540" w:right="4860" w:hanging="5532"/>
        <w:spacing w:after="0" w:line="606" w:lineRule="auto"/>
        <w:tabs>
          <w:tab w:leader="none" w:pos="523"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See Note 11 for further information on base, supplemental and special dividends.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4" w:name="page45"/>
    <w:bookmarkEnd w:id="44"/>
    <w:p>
      <w:pPr>
        <w:ind w:right="20" w:firstLine="255"/>
        <w:spacing w:after="0" w:line="284" w:lineRule="auto"/>
        <w:rPr>
          <w:sz w:val="20"/>
          <w:szCs w:val="20"/>
          <w:color w:val="auto"/>
        </w:rPr>
      </w:pPr>
      <w:r>
        <w:rPr>
          <w:rFonts w:ascii="Arial" w:cs="Arial" w:eastAsia="Arial" w:hAnsi="Arial"/>
          <w:sz w:val="16"/>
          <w:szCs w:val="16"/>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May 3, 2022. The amount and timing of stock repurchases under the program may vary depending on market conditions, and no assurance can be given that any particular amount of common stock will be repurchased.</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 shares were repurchased during the six months ended June 30, 2022 and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(Loss) per share</w:t>
      </w:r>
    </w:p>
    <w:p>
      <w:pPr>
        <w:spacing w:after="0" w:line="108" w:lineRule="exact"/>
        <w:rPr>
          <w:sz w:val="20"/>
          <w:szCs w:val="20"/>
          <w:color w:val="auto"/>
        </w:rPr>
      </w:pPr>
    </w:p>
    <w:p>
      <w:pPr>
        <w:ind w:right="120" w:firstLine="255"/>
        <w:spacing w:after="0" w:line="261" w:lineRule="auto"/>
        <w:rPr>
          <w:sz w:val="20"/>
          <w:szCs w:val="20"/>
          <w:color w:val="auto"/>
        </w:rPr>
      </w:pPr>
      <w:r>
        <w:rPr>
          <w:rFonts w:ascii="Arial" w:cs="Arial" w:eastAsia="Arial" w:hAnsi="Arial"/>
          <w:sz w:val="18"/>
          <w:szCs w:val="18"/>
          <w:color w:val="auto"/>
        </w:rPr>
        <w:t>The following table sets forth the computation of basic and diluted earnings (loss) per common share for the three and six months ended June 30, 2022 and 2021:</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June 30, 2022</w:t>
            </w:r>
          </w:p>
        </w:tc>
        <w:tc>
          <w:tcPr>
            <w:tcW w:w="140" w:type="dxa"/>
            <w:vAlign w:val="bottom"/>
          </w:tcPr>
          <w:p>
            <w:pPr>
              <w:spacing w:after="0"/>
              <w:rPr>
                <w:sz w:val="14"/>
                <w:szCs w:val="14"/>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June 30, 2021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93"/>
              <w:spacing w:after="0"/>
              <w:rPr>
                <w:sz w:val="20"/>
                <w:szCs w:val="20"/>
                <w:color w:val="auto"/>
              </w:rPr>
            </w:pPr>
            <w:r>
              <w:rPr>
                <w:rFonts w:ascii="Arial" w:cs="Arial" w:eastAsia="Arial" w:hAnsi="Arial"/>
                <w:sz w:val="14"/>
                <w:szCs w:val="14"/>
                <w:b w:val="1"/>
                <w:bCs w:val="1"/>
                <w:color w:val="auto"/>
                <w:w w:val="94"/>
              </w:rPr>
              <w:t>June 30, 2022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June 30, 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w w:val="93"/>
              </w:rPr>
              <w:t>Earnings (loss) per common share—basic</w:t>
            </w:r>
          </w:p>
        </w:tc>
        <w:tc>
          <w:tcPr>
            <w:tcW w:w="1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w w:val="93"/>
              </w:rPr>
              <w:t>Numerator for basic earnings (loss) per share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(13,525 )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58,354</w:t>
            </w: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27,360</w:t>
            </w:r>
          </w:p>
        </w:tc>
        <w:tc>
          <w:tcPr>
            <w:tcW w:w="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115,006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Denominator for basic weighted average</w:t>
            </w:r>
          </w:p>
        </w:tc>
        <w:tc>
          <w:tcPr>
            <w:tcW w:w="16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76,265,661</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72,556,471</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76,119,681</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71,131,732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shares</w:t>
            </w: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line="196" w:lineRule="exact"/>
              <w:rPr>
                <w:sz w:val="20"/>
                <w:szCs w:val="20"/>
                <w:color w:val="auto"/>
              </w:rPr>
            </w:pPr>
            <w:r>
              <w:rPr>
                <w:rFonts w:ascii="Arial" w:cs="Arial" w:eastAsia="Arial" w:hAnsi="Arial"/>
                <w:sz w:val="18"/>
                <w:szCs w:val="18"/>
                <w:color w:val="auto"/>
              </w:rPr>
              <w:t>Earnings (loss) per common share—basic</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(0.18 )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0.80</w:t>
            </w:r>
          </w:p>
        </w:tc>
        <w:tc>
          <w:tcPr>
            <w:tcW w:w="3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0.36</w:t>
            </w:r>
          </w:p>
        </w:tc>
        <w:tc>
          <w:tcPr>
            <w:tcW w:w="3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400" w:type="dxa"/>
            <w:vAlign w:val="bottom"/>
            <w:shd w:val="clear" w:color="auto" w:fill="CFF0FC"/>
          </w:tcPr>
          <w:p>
            <w:pPr>
              <w:spacing w:after="0" w:line="156" w:lineRule="exact"/>
              <w:rPr>
                <w:sz w:val="20"/>
                <w:szCs w:val="20"/>
                <w:color w:val="auto"/>
              </w:rPr>
            </w:pPr>
            <w:r>
              <w:rPr>
                <w:rFonts w:ascii="Arial" w:cs="Arial" w:eastAsia="Arial" w:hAnsi="Arial"/>
                <w:sz w:val="18"/>
                <w:szCs w:val="18"/>
                <w:b w:val="1"/>
                <w:bCs w:val="1"/>
                <w:color w:val="auto"/>
              </w:rPr>
              <w:t>Earnings (loss) per common share—</w:t>
            </w:r>
          </w:p>
        </w:tc>
        <w:tc>
          <w:tcPr>
            <w:tcW w:w="16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diluted</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line="162" w:lineRule="exact"/>
              <w:rPr>
                <w:sz w:val="20"/>
                <w:szCs w:val="20"/>
                <w:color w:val="auto"/>
              </w:rPr>
            </w:pPr>
            <w:r>
              <w:rPr>
                <w:rFonts w:ascii="Arial" w:cs="Arial" w:eastAsia="Arial" w:hAnsi="Arial"/>
                <w:sz w:val="18"/>
                <w:szCs w:val="18"/>
                <w:color w:val="auto"/>
              </w:rPr>
              <w:t>Numerator for increase (decrease) in net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(13,525 )</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58,354</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27,360</w:t>
            </w:r>
          </w:p>
        </w:tc>
        <w:tc>
          <w:tcPr>
            <w:tcW w:w="3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115,006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assets per share</w:t>
            </w:r>
          </w:p>
        </w:tc>
        <w:tc>
          <w:tcPr>
            <w:tcW w:w="160" w:type="dxa"/>
            <w:vAlign w:val="bottom"/>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w w:val="93"/>
              </w:rPr>
              <w:t>Adjustment for interest expense and deferred</w:t>
            </w: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spacing w:after="0" w:line="176" w:lineRule="exact"/>
              <w:rPr>
                <w:sz w:val="20"/>
                <w:szCs w:val="20"/>
                <w:color w:val="auto"/>
              </w:rPr>
            </w:pPr>
            <w:r>
              <w:rPr>
                <w:rFonts w:ascii="Arial" w:cs="Arial" w:eastAsia="Arial" w:hAnsi="Arial"/>
                <w:sz w:val="18"/>
                <w:szCs w:val="18"/>
                <w:color w:val="auto"/>
              </w:rPr>
              <w:t>financing</w:t>
            </w: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FF0FC"/>
          </w:tcPr>
          <w:p>
            <w:pPr>
              <w:ind w:left="140"/>
              <w:spacing w:after="0" w:line="176" w:lineRule="exact"/>
              <w:rPr>
                <w:sz w:val="20"/>
                <w:szCs w:val="20"/>
                <w:color w:val="auto"/>
              </w:rPr>
            </w:pPr>
            <w:r>
              <w:rPr>
                <w:rFonts w:ascii="Arial" w:cs="Arial" w:eastAsia="Arial" w:hAnsi="Arial"/>
                <w:sz w:val="18"/>
                <w:szCs w:val="18"/>
                <w:color w:val="auto"/>
                <w:w w:val="94"/>
              </w:rPr>
              <w:t>costs on 2022 Convertible Notes, incentive</w:t>
            </w: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spacing w:after="0" w:line="176" w:lineRule="exact"/>
              <w:rPr>
                <w:sz w:val="20"/>
                <w:szCs w:val="20"/>
                <w:color w:val="auto"/>
              </w:rPr>
            </w:pPr>
            <w:r>
              <w:rPr>
                <w:rFonts w:ascii="Arial" w:cs="Arial" w:eastAsia="Arial" w:hAnsi="Arial"/>
                <w:sz w:val="18"/>
                <w:szCs w:val="18"/>
                <w:color w:val="auto"/>
              </w:rPr>
              <w:t>fee and</w:t>
            </w:r>
          </w:p>
        </w:tc>
        <w:tc>
          <w:tcPr>
            <w:tcW w:w="16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1,997</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2,866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excise tax, net</w:t>
            </w: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line="156" w:lineRule="exact"/>
              <w:rPr>
                <w:sz w:val="20"/>
                <w:szCs w:val="20"/>
                <w:color w:val="auto"/>
              </w:rPr>
            </w:pPr>
            <w:r>
              <w:rPr>
                <w:rFonts w:ascii="Arial" w:cs="Arial" w:eastAsia="Arial" w:hAnsi="Arial"/>
                <w:sz w:val="18"/>
                <w:szCs w:val="18"/>
                <w:color w:val="auto"/>
              </w:rPr>
              <w:t>Numerator for diluted earnings (loss) per</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(12,526 )</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59,781</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29,357</w:t>
            </w:r>
          </w:p>
        </w:tc>
        <w:tc>
          <w:tcPr>
            <w:tcW w:w="3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117,872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share</w:t>
            </w:r>
          </w:p>
        </w:tc>
        <w:tc>
          <w:tcPr>
            <w:tcW w:w="160" w:type="dxa"/>
            <w:vAlign w:val="bottom"/>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Denominator for basic weighted average</w:t>
            </w:r>
          </w:p>
        </w:tc>
        <w:tc>
          <w:tcPr>
            <w:tcW w:w="16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76,265,661</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72,556,471</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76,119,681</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71,131,732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shares</w:t>
            </w:r>
          </w:p>
        </w:tc>
        <w:tc>
          <w:tcPr>
            <w:tcW w:w="160" w:type="dxa"/>
            <w:vAlign w:val="bottom"/>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line="162" w:lineRule="exact"/>
              <w:rPr>
                <w:sz w:val="20"/>
                <w:szCs w:val="20"/>
                <w:color w:val="auto"/>
              </w:rPr>
            </w:pPr>
            <w:r>
              <w:rPr>
                <w:rFonts w:ascii="Arial" w:cs="Arial" w:eastAsia="Arial" w:hAnsi="Arial"/>
                <w:sz w:val="18"/>
                <w:szCs w:val="18"/>
                <w:color w:val="auto"/>
              </w:rPr>
              <w:t>Adjustment for dilutive effect of 2022</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5,580,973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7,693,056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5,580,973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7,693,056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Convertible Notes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40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Denominator for diluted weighted average</w:t>
            </w:r>
          </w:p>
        </w:tc>
        <w:tc>
          <w:tcPr>
            <w:tcW w:w="160" w:type="dxa"/>
            <w:vAlign w:val="bottom"/>
            <w:shd w:val="clear" w:color="auto" w:fill="CFF0FC"/>
          </w:tcPr>
          <w:p>
            <w:pPr>
              <w:spacing w:after="0"/>
              <w:rPr>
                <w:sz w:val="13"/>
                <w:szCs w:val="13"/>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81,846,634</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80,249,527</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81,700,654</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78,824,788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4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shares</w:t>
            </w: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line="196" w:lineRule="exact"/>
              <w:rPr>
                <w:sz w:val="20"/>
                <w:szCs w:val="20"/>
                <w:color w:val="auto"/>
              </w:rPr>
            </w:pPr>
            <w:r>
              <w:rPr>
                <w:rFonts w:ascii="Arial" w:cs="Arial" w:eastAsia="Arial" w:hAnsi="Arial"/>
                <w:sz w:val="18"/>
                <w:szCs w:val="18"/>
                <w:color w:val="auto"/>
                <w:w w:val="97"/>
              </w:rPr>
              <w:t>Earnings (loss) per common share—diluted</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(0.15 )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0.74</w:t>
            </w:r>
          </w:p>
        </w:tc>
        <w:tc>
          <w:tcPr>
            <w:tcW w:w="3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0.36</w:t>
            </w:r>
          </w:p>
        </w:tc>
        <w:tc>
          <w:tcPr>
            <w:tcW w:w="3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-2293620</wp:posOffset>
            </wp:positionV>
            <wp:extent cx="60325" cy="57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-2293620</wp:posOffset>
            </wp:positionV>
            <wp:extent cx="60325" cy="571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-2293620</wp:posOffset>
            </wp:positionV>
            <wp:extent cx="51435" cy="571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-2293620</wp:posOffset>
            </wp:positionV>
            <wp:extent cx="51435" cy="57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-1102360</wp:posOffset>
            </wp:positionV>
            <wp:extent cx="60325" cy="57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-1102360</wp:posOffset>
            </wp:positionV>
            <wp:extent cx="60325" cy="57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-1102360</wp:posOffset>
            </wp:positionV>
            <wp:extent cx="51435" cy="57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-1102360</wp:posOffset>
            </wp:positionV>
            <wp:extent cx="51435" cy="57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-142240</wp:posOffset>
            </wp:positionV>
            <wp:extent cx="60325" cy="57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-142240</wp:posOffset>
            </wp:positionV>
            <wp:extent cx="60325" cy="571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-142240</wp:posOffset>
            </wp:positionV>
            <wp:extent cx="51435" cy="571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-142240</wp:posOffset>
            </wp:positionV>
            <wp:extent cx="51435" cy="571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ind w:firstLine="255"/>
        <w:spacing w:after="0" w:line="257" w:lineRule="auto"/>
        <w:rPr>
          <w:sz w:val="20"/>
          <w:szCs w:val="20"/>
          <w:color w:val="auto"/>
        </w:rPr>
      </w:pPr>
      <w:r>
        <w:rPr>
          <w:rFonts w:ascii="Arial" w:cs="Arial" w:eastAsia="Arial" w:hAnsi="Arial"/>
          <w:sz w:val="17"/>
          <w:szCs w:val="17"/>
          <w:color w:val="auto"/>
        </w:rPr>
        <w:t>The 2022 Convertible Notes will be convertible into a combination of cash and shares of the Company’s common stock, which can be dilutive to common stockholders. Diluted earnings (loss) per share is the amount of earnings (loss) available to each share of common stock outstanding during the reporting period including any additional shares of common stock that would be issued if all potentially dilutive securities were exercised. Upon adoption of ASU 2020-06 during the period ended March 31, 2021 the Company is required to disclose diluted EPS using the if-converted method. The if-converted method is a method of computing EPS that assumes conversion of convertible securities at the beginning of the reporting period and is intended to show the maximum dilution effect to common stockholders regardless of how the conversion can occur.</w:t>
      </w:r>
    </w:p>
    <w:p>
      <w:pPr>
        <w:spacing w:after="0" w:line="162" w:lineRule="exact"/>
        <w:rPr>
          <w:sz w:val="20"/>
          <w:szCs w:val="20"/>
          <w:color w:val="auto"/>
        </w:rPr>
      </w:pPr>
    </w:p>
    <w:p>
      <w:pPr>
        <w:ind w:firstLine="255"/>
        <w:spacing w:after="0" w:line="231" w:lineRule="auto"/>
        <w:rPr>
          <w:sz w:val="20"/>
          <w:szCs w:val="20"/>
          <w:color w:val="auto"/>
        </w:rPr>
      </w:pPr>
      <w:r>
        <w:rPr>
          <w:rFonts w:ascii="Arial" w:cs="Arial" w:eastAsia="Arial" w:hAnsi="Arial"/>
          <w:sz w:val="18"/>
          <w:szCs w:val="18"/>
          <w:color w:val="auto"/>
        </w:rPr>
        <w:t>For the purpose of calculating diluted earnings per common share, the average daily closing price of the Company’s common stock for the three and six months ended June 30, 2022 and 2021, respectively, was greater than the estimated adjusted conversion price for the 2022 Convertible Notes outstanding as of June 30, 2022 and 2021, respectively. Therefore, for these periods presented in the consolidated financial statements the Company applied the if-converted method for purposes of calculating diluted earnings per common share.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11. Dividends</w:t>
      </w:r>
    </w:p>
    <w:p>
      <w:pPr>
        <w:spacing w:after="0" w:line="108" w:lineRule="exact"/>
        <w:rPr>
          <w:sz w:val="20"/>
          <w:szCs w:val="20"/>
          <w:color w:val="auto"/>
        </w:rPr>
      </w:pPr>
    </w:p>
    <w:p>
      <w:pPr>
        <w:ind w:right="240" w:firstLine="255"/>
        <w:spacing w:after="0" w:line="324" w:lineRule="auto"/>
        <w:rPr>
          <w:sz w:val="20"/>
          <w:szCs w:val="20"/>
          <w:color w:val="auto"/>
        </w:rPr>
      </w:pPr>
      <w:r>
        <w:rPr>
          <w:rFonts w:ascii="Arial" w:cs="Arial" w:eastAsia="Arial" w:hAnsi="Arial"/>
          <w:sz w:val="16"/>
          <w:szCs w:val="16"/>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dividends declared during the six months ended June 30, 2022 and 2021:</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40" w:type="dxa"/>
            <w:vAlign w:val="bottom"/>
            <w:gridSpan w:val="6"/>
          </w:tcPr>
          <w:p>
            <w:pPr>
              <w:jc w:val="center"/>
              <w:ind w:left="17"/>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27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center"/>
              <w:ind w:left="17"/>
              <w:spacing w:after="0"/>
              <w:rPr>
                <w:sz w:val="20"/>
                <w:szCs w:val="20"/>
                <w:color w:val="auto"/>
              </w:rPr>
            </w:pPr>
            <w:r>
              <w:rPr>
                <w:rFonts w:ascii="Arial" w:cs="Arial" w:eastAsia="Arial" w:hAnsi="Arial"/>
                <w:sz w:val="14"/>
                <w:szCs w:val="14"/>
                <w:b w:val="1"/>
                <w:bCs w:val="1"/>
                <w:color w:val="auto"/>
                <w:w w:val="92"/>
              </w:rPr>
              <w:t>June 30, 2022</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2720" w:type="dxa"/>
            <w:vAlign w:val="bottom"/>
          </w:tcPr>
          <w:p>
            <w:pPr>
              <w:spacing w:after="0"/>
              <w:rPr>
                <w:sz w:val="20"/>
                <w:szCs w:val="20"/>
                <w:color w:val="auto"/>
              </w:rPr>
            </w:pPr>
            <w:r>
              <w:rPr>
                <w:rFonts w:ascii="Arial" w:cs="Arial" w:eastAsia="Arial" w:hAnsi="Arial"/>
                <w:sz w:val="14"/>
                <w:szCs w:val="14"/>
                <w:b w:val="1"/>
                <w:bCs w:val="1"/>
                <w:color w:val="auto"/>
              </w:rPr>
              <w:t>Date Declared</w:t>
            </w:r>
          </w:p>
        </w:tc>
        <w:tc>
          <w:tcPr>
            <w:tcW w:w="13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4"/>
              </w:rPr>
              <w:t>Dividend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Record Date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Dividend per Share</w:t>
            </w:r>
          </w:p>
        </w:tc>
        <w:tc>
          <w:tcPr>
            <w:tcW w:w="80" w:type="dxa"/>
            <w:vAlign w:val="bottom"/>
          </w:tcPr>
          <w:p>
            <w:pPr>
              <w:spacing w:after="0"/>
              <w:rPr>
                <w:sz w:val="14"/>
                <w:szCs w:val="14"/>
                <w:color w:val="auto"/>
              </w:rPr>
            </w:pPr>
          </w:p>
        </w:tc>
      </w:tr>
      <w:tr>
        <w:trPr>
          <w:trHeight w:val="196"/>
        </w:trPr>
        <w:tc>
          <w:tcPr>
            <w:tcW w:w="2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February 17, 2022</w:t>
            </w:r>
          </w:p>
        </w:tc>
        <w:tc>
          <w:tcPr>
            <w:tcW w:w="1340" w:type="dxa"/>
            <w:vAlign w:val="bottom"/>
            <w:gridSpan w:val="2"/>
            <w:shd w:val="clear" w:color="auto" w:fill="CFF0FC"/>
          </w:tcPr>
          <w:p>
            <w:pPr>
              <w:jc w:val="center"/>
              <w:ind w:right="20"/>
              <w:spacing w:after="0" w:line="196" w:lineRule="exact"/>
              <w:rPr>
                <w:sz w:val="20"/>
                <w:szCs w:val="20"/>
                <w:color w:val="auto"/>
              </w:rPr>
            </w:pPr>
            <w:r>
              <w:rPr>
                <w:rFonts w:ascii="Arial" w:cs="Arial" w:eastAsia="Arial" w:hAnsi="Arial"/>
                <w:sz w:val="18"/>
                <w:szCs w:val="18"/>
                <w:color w:val="auto"/>
                <w:w w:val="90"/>
              </w:rPr>
              <w:t>Supplemental</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February 28, 2022</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March 31, 2022</w:t>
            </w:r>
          </w:p>
        </w:tc>
        <w:tc>
          <w:tcPr>
            <w:tcW w:w="10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0.11</w:t>
            </w:r>
          </w:p>
        </w:tc>
        <w:tc>
          <w:tcPr>
            <w:tcW w:w="80" w:type="dxa"/>
            <w:vAlign w:val="bottom"/>
            <w:shd w:val="clear" w:color="auto" w:fill="CFF0FC"/>
          </w:tcPr>
          <w:p>
            <w:pPr>
              <w:spacing w:after="0"/>
              <w:rPr>
                <w:sz w:val="17"/>
                <w:szCs w:val="17"/>
                <w:color w:val="auto"/>
              </w:rPr>
            </w:pP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color w:val="auto"/>
              </w:rPr>
              <w:t>February 17, 2022</w:t>
            </w:r>
          </w:p>
        </w:tc>
        <w:tc>
          <w:tcPr>
            <w:tcW w:w="134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87"/>
              </w:rPr>
              <w:t>Base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March 15, 2022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April 18, 2022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0.41</w:t>
            </w:r>
          </w:p>
        </w:tc>
        <w:tc>
          <w:tcPr>
            <w:tcW w:w="80" w:type="dxa"/>
            <w:vAlign w:val="bottom"/>
          </w:tcPr>
          <w:p>
            <w:pPr>
              <w:spacing w:after="0"/>
              <w:rPr>
                <w:sz w:val="17"/>
                <w:szCs w:val="17"/>
                <w:color w:val="auto"/>
              </w:rPr>
            </w:pPr>
          </w:p>
        </w:tc>
      </w:tr>
      <w:tr>
        <w:trPr>
          <w:trHeight w:val="203"/>
        </w:trPr>
        <w:tc>
          <w:tcPr>
            <w:tcW w:w="2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May 3, 2022</w:t>
            </w:r>
          </w:p>
        </w:tc>
        <w:tc>
          <w:tcPr>
            <w:tcW w:w="1340" w:type="dxa"/>
            <w:vAlign w:val="bottom"/>
            <w:gridSpan w:val="2"/>
            <w:shd w:val="clear" w:color="auto" w:fill="CFF0FC"/>
          </w:tcPr>
          <w:p>
            <w:pPr>
              <w:jc w:val="center"/>
              <w:ind w:right="20"/>
              <w:spacing w:after="0" w:line="202" w:lineRule="exact"/>
              <w:rPr>
                <w:sz w:val="20"/>
                <w:szCs w:val="20"/>
                <w:color w:val="auto"/>
              </w:rPr>
            </w:pPr>
            <w:r>
              <w:rPr>
                <w:rFonts w:ascii="Arial" w:cs="Arial" w:eastAsia="Arial" w:hAnsi="Arial"/>
                <w:sz w:val="18"/>
                <w:szCs w:val="18"/>
                <w:color w:val="auto"/>
                <w:w w:val="90"/>
              </w:rPr>
              <w:t>Supplemental</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May 31, 2022</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June 30, 2022</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0.04</w:t>
            </w:r>
          </w:p>
        </w:tc>
        <w:tc>
          <w:tcPr>
            <w:tcW w:w="80" w:type="dxa"/>
            <w:vAlign w:val="bottom"/>
            <w:shd w:val="clear" w:color="auto" w:fill="CFF0FC"/>
          </w:tcPr>
          <w:p>
            <w:pPr>
              <w:spacing w:after="0"/>
              <w:rPr>
                <w:sz w:val="17"/>
                <w:szCs w:val="17"/>
                <w:color w:val="auto"/>
              </w:rPr>
            </w:pP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color w:val="auto"/>
              </w:rPr>
              <w:t>May 3, 2022</w:t>
            </w:r>
          </w:p>
        </w:tc>
        <w:tc>
          <w:tcPr>
            <w:tcW w:w="134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87"/>
              </w:rPr>
              <w:t>Base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June 15, 2022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July 15, 2022</w:t>
            </w:r>
          </w:p>
        </w:tc>
        <w:tc>
          <w:tcPr>
            <w:tcW w:w="1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0.41</w:t>
            </w:r>
          </w:p>
        </w:tc>
        <w:tc>
          <w:tcPr>
            <w:tcW w:w="80" w:type="dxa"/>
            <w:vAlign w:val="bottom"/>
          </w:tcPr>
          <w:p>
            <w:pPr>
              <w:spacing w:after="0"/>
              <w:rPr>
                <w:sz w:val="17"/>
                <w:szCs w:val="17"/>
                <w:color w:val="auto"/>
              </w:rPr>
            </w:pPr>
          </w:p>
        </w:tc>
      </w:tr>
      <w:tr>
        <w:trPr>
          <w:trHeight w:val="236"/>
        </w:trPr>
        <w:tc>
          <w:tcPr>
            <w:tcW w:w="272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b w:val="1"/>
                <w:bCs w:val="1"/>
                <w:color w:val="auto"/>
              </w:rPr>
              <w:t>Total Dividends Declared</w:t>
            </w:r>
          </w:p>
        </w:tc>
        <w:tc>
          <w:tcPr>
            <w:tcW w:w="12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0.97</w:t>
            </w:r>
          </w:p>
        </w:tc>
        <w:tc>
          <w:tcPr>
            <w:tcW w:w="80" w:type="dxa"/>
            <w:vAlign w:val="bottom"/>
            <w:tcBorders>
              <w:bottom w:val="single" w:sz="8" w:color="CFF0FC"/>
            </w:tcBorders>
            <w:shd w:val="clear" w:color="auto" w:fill="CFF0FC"/>
          </w:tcPr>
          <w:p>
            <w:pPr>
              <w:spacing w:after="0"/>
              <w:rPr>
                <w:sz w:val="20"/>
                <w:szCs w:val="20"/>
                <w:color w:val="auto"/>
              </w:rPr>
            </w:pPr>
          </w:p>
        </w:tc>
      </w:tr>
      <w:tr>
        <w:trPr>
          <w:trHeight w:val="349"/>
        </w:trPr>
        <w:tc>
          <w:tcPr>
            <w:tcW w:w="2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40" w:type="dxa"/>
            <w:vAlign w:val="bottom"/>
            <w:gridSpan w:val="6"/>
          </w:tcPr>
          <w:p>
            <w:pPr>
              <w:jc w:val="center"/>
              <w:ind w:left="37"/>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5"/>
        </w:trPr>
        <w:tc>
          <w:tcPr>
            <w:tcW w:w="27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center"/>
              <w:ind w:left="17"/>
              <w:spacing w:after="0"/>
              <w:rPr>
                <w:sz w:val="20"/>
                <w:szCs w:val="20"/>
                <w:color w:val="auto"/>
              </w:rPr>
            </w:pPr>
            <w:r>
              <w:rPr>
                <w:rFonts w:ascii="Arial" w:cs="Arial" w:eastAsia="Arial" w:hAnsi="Arial"/>
                <w:sz w:val="14"/>
                <w:szCs w:val="14"/>
                <w:b w:val="1"/>
                <w:bCs w:val="1"/>
                <w:color w:val="auto"/>
                <w:w w:val="92"/>
              </w:rPr>
              <w:t>June 30, 2021</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2720" w:type="dxa"/>
            <w:vAlign w:val="bottom"/>
          </w:tcPr>
          <w:p>
            <w:pPr>
              <w:spacing w:after="0"/>
              <w:rPr>
                <w:sz w:val="20"/>
                <w:szCs w:val="20"/>
                <w:color w:val="auto"/>
              </w:rPr>
            </w:pPr>
            <w:r>
              <w:rPr>
                <w:rFonts w:ascii="Arial" w:cs="Arial" w:eastAsia="Arial" w:hAnsi="Arial"/>
                <w:sz w:val="14"/>
                <w:szCs w:val="14"/>
                <w:b w:val="1"/>
                <w:bCs w:val="1"/>
                <w:color w:val="auto"/>
              </w:rPr>
              <w:t>Date Declared</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Dividend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Record Date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Dividend per Share</w:t>
            </w:r>
          </w:p>
        </w:tc>
        <w:tc>
          <w:tcPr>
            <w:tcW w:w="80" w:type="dxa"/>
            <w:vAlign w:val="bottom"/>
          </w:tcPr>
          <w:p>
            <w:pPr>
              <w:spacing w:after="0"/>
              <w:rPr>
                <w:sz w:val="14"/>
                <w:szCs w:val="14"/>
                <w:color w:val="auto"/>
              </w:rPr>
            </w:pPr>
          </w:p>
        </w:tc>
      </w:tr>
      <w:tr>
        <w:trPr>
          <w:trHeight w:val="196"/>
        </w:trPr>
        <w:tc>
          <w:tcPr>
            <w:tcW w:w="2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February 17, 2021</w:t>
            </w:r>
          </w:p>
        </w:tc>
        <w:tc>
          <w:tcPr>
            <w:tcW w:w="126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0"/>
              </w:rPr>
              <w:t>Supplemental</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February 26, 2021</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March 31, 2021</w:t>
            </w:r>
          </w:p>
        </w:tc>
        <w:tc>
          <w:tcPr>
            <w:tcW w:w="60" w:type="dxa"/>
            <w:vAlign w:val="bottom"/>
            <w:shd w:val="clear" w:color="auto" w:fill="CFF0FC"/>
          </w:tcPr>
          <w:p>
            <w:pPr>
              <w:spacing w:after="0"/>
              <w:rPr>
                <w:sz w:val="17"/>
                <w:szCs w:val="17"/>
                <w:color w:val="auto"/>
              </w:rPr>
            </w:pPr>
          </w:p>
        </w:tc>
        <w:tc>
          <w:tcPr>
            <w:tcW w:w="140" w:type="dxa"/>
            <w:vAlign w:val="bottom"/>
            <w:gridSpan w:val="2"/>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0.05</w:t>
            </w:r>
          </w:p>
        </w:tc>
        <w:tc>
          <w:tcPr>
            <w:tcW w:w="80" w:type="dxa"/>
            <w:vAlign w:val="bottom"/>
            <w:shd w:val="clear" w:color="auto" w:fill="CFF0FC"/>
          </w:tcPr>
          <w:p>
            <w:pPr>
              <w:spacing w:after="0"/>
              <w:rPr>
                <w:sz w:val="17"/>
                <w:szCs w:val="17"/>
                <w:color w:val="auto"/>
              </w:rPr>
            </w:pP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color w:val="auto"/>
              </w:rPr>
              <w:t>February 17, 2021</w:t>
            </w:r>
          </w:p>
        </w:tc>
        <w:tc>
          <w:tcPr>
            <w:tcW w:w="134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87"/>
              </w:rPr>
              <w:t>Base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March 15, 2021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April 15, 2021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0.41</w:t>
            </w:r>
          </w:p>
        </w:tc>
        <w:tc>
          <w:tcPr>
            <w:tcW w:w="80" w:type="dxa"/>
            <w:vAlign w:val="bottom"/>
          </w:tcPr>
          <w:p>
            <w:pPr>
              <w:spacing w:after="0"/>
              <w:rPr>
                <w:sz w:val="17"/>
                <w:szCs w:val="17"/>
                <w:color w:val="auto"/>
              </w:rPr>
            </w:pPr>
          </w:p>
        </w:tc>
      </w:tr>
      <w:tr>
        <w:trPr>
          <w:trHeight w:val="203"/>
        </w:trPr>
        <w:tc>
          <w:tcPr>
            <w:tcW w:w="2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February 17, 2021</w:t>
            </w:r>
          </w:p>
        </w:tc>
        <w:tc>
          <w:tcPr>
            <w:tcW w:w="1340" w:type="dxa"/>
            <w:vAlign w:val="bottom"/>
            <w:gridSpan w:val="2"/>
            <w:shd w:val="clear" w:color="auto" w:fill="CFF0FC"/>
          </w:tcPr>
          <w:p>
            <w:pPr>
              <w:jc w:val="center"/>
              <w:ind w:right="100"/>
              <w:spacing w:after="0" w:line="202" w:lineRule="exact"/>
              <w:rPr>
                <w:sz w:val="20"/>
                <w:szCs w:val="20"/>
                <w:color w:val="auto"/>
              </w:rPr>
            </w:pPr>
            <w:r>
              <w:rPr>
                <w:rFonts w:ascii="Arial" w:cs="Arial" w:eastAsia="Arial" w:hAnsi="Arial"/>
                <w:sz w:val="18"/>
                <w:szCs w:val="18"/>
                <w:color w:val="auto"/>
                <w:w w:val="88"/>
              </w:rPr>
              <w:t>Special</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March 25, 2021</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April 8, 2021</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w:t>
            </w:r>
          </w:p>
        </w:tc>
        <w:tc>
          <w:tcPr>
            <w:tcW w:w="80" w:type="dxa"/>
            <w:vAlign w:val="bottom"/>
            <w:shd w:val="clear" w:color="auto" w:fill="CFF0FC"/>
          </w:tcPr>
          <w:p>
            <w:pPr>
              <w:spacing w:after="0"/>
              <w:rPr>
                <w:sz w:val="17"/>
                <w:szCs w:val="17"/>
                <w:color w:val="auto"/>
              </w:rPr>
            </w:pP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color w:val="auto"/>
              </w:rPr>
              <w:t>May 4, 2021</w:t>
            </w:r>
          </w:p>
        </w:tc>
        <w:tc>
          <w:tcPr>
            <w:tcW w:w="134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0"/>
              </w:rPr>
              <w:t>Supplemental</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May 28, 2021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June 30, 2021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0.06</w:t>
            </w:r>
          </w:p>
        </w:tc>
        <w:tc>
          <w:tcPr>
            <w:tcW w:w="80" w:type="dxa"/>
            <w:vAlign w:val="bottom"/>
          </w:tcPr>
          <w:p>
            <w:pPr>
              <w:spacing w:after="0"/>
              <w:rPr>
                <w:sz w:val="17"/>
                <w:szCs w:val="17"/>
                <w:color w:val="auto"/>
              </w:rPr>
            </w:pPr>
          </w:p>
        </w:tc>
      </w:tr>
      <w:tr>
        <w:trPr>
          <w:trHeight w:val="203"/>
        </w:trPr>
        <w:tc>
          <w:tcPr>
            <w:tcW w:w="27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May 4, 2021</w:t>
            </w:r>
          </w:p>
        </w:tc>
        <w:tc>
          <w:tcPr>
            <w:tcW w:w="1340" w:type="dxa"/>
            <w:vAlign w:val="bottom"/>
            <w:tcBorders>
              <w:bottom w:val="single" w:sz="8" w:color="CFF0FC"/>
            </w:tcBorders>
            <w:gridSpan w:val="2"/>
            <w:shd w:val="clear" w:color="auto" w:fill="CFF0FC"/>
          </w:tcPr>
          <w:p>
            <w:pPr>
              <w:jc w:val="center"/>
              <w:ind w:right="100"/>
              <w:spacing w:after="0" w:line="202" w:lineRule="exact"/>
              <w:rPr>
                <w:sz w:val="20"/>
                <w:szCs w:val="20"/>
                <w:color w:val="auto"/>
              </w:rPr>
            </w:pPr>
            <w:r>
              <w:rPr>
                <w:rFonts w:ascii="Arial" w:cs="Arial" w:eastAsia="Arial" w:hAnsi="Arial"/>
                <w:sz w:val="18"/>
                <w:szCs w:val="18"/>
                <w:color w:val="auto"/>
                <w:w w:val="87"/>
              </w:rPr>
              <w:t>Base</w:t>
            </w:r>
          </w:p>
        </w:tc>
        <w:tc>
          <w:tcPr>
            <w:tcW w:w="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CFF0FC"/>
            </w:tcBorders>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June 15, 2021</w:t>
            </w:r>
          </w:p>
        </w:tc>
        <w:tc>
          <w:tcPr>
            <w:tcW w:w="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July 15, 2021</w:t>
            </w:r>
          </w:p>
        </w:tc>
        <w:tc>
          <w:tcPr>
            <w:tcW w:w="10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0.41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2720" w:type="dxa"/>
            <w:vAlign w:val="bottom"/>
          </w:tcPr>
          <w:p>
            <w:pPr>
              <w:ind w:left="180"/>
              <w:spacing w:after="0" w:line="196" w:lineRule="exact"/>
              <w:rPr>
                <w:sz w:val="20"/>
                <w:szCs w:val="20"/>
                <w:color w:val="auto"/>
              </w:rPr>
            </w:pPr>
            <w:r>
              <w:rPr>
                <w:rFonts w:ascii="Arial" w:cs="Arial" w:eastAsia="Arial" w:hAnsi="Arial"/>
                <w:sz w:val="18"/>
                <w:szCs w:val="18"/>
                <w:b w:val="1"/>
                <w:bCs w:val="1"/>
                <w:color w:val="auto"/>
              </w:rPr>
              <w:t>Total Dividends Declared</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2.18</w:t>
            </w:r>
          </w:p>
        </w:tc>
        <w:tc>
          <w:tcPr>
            <w:tcW w:w="80" w:type="dxa"/>
            <w:vAlign w:val="bottom"/>
          </w:tcPr>
          <w:p>
            <w:pPr>
              <w:spacing w:after="0"/>
              <w:rPr>
                <w:sz w:val="17"/>
                <w:szCs w:val="17"/>
                <w:color w:val="auto"/>
              </w:rPr>
            </w:pPr>
          </w:p>
        </w:tc>
      </w:tr>
      <w:tr>
        <w:trPr>
          <w:trHeight w:val="20"/>
        </w:trPr>
        <w:tc>
          <w:tcPr>
            <w:tcW w:w="2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-1311275</wp:posOffset>
            </wp:positionV>
            <wp:extent cx="5143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-1293495</wp:posOffset>
            </wp:positionV>
            <wp:extent cx="5143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The dividends declared during the six months ended June 30, 2022 and 2021 were derived from net investment income, determined on a tax basis.</w:t>
      </w:r>
    </w:p>
    <w:p>
      <w:pPr>
        <w:spacing w:after="0" w:line="23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4" w:right="7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12. Financial Highlights</w:t>
      </w:r>
    </w:p>
    <w:p>
      <w:pPr>
        <w:spacing w:after="0" w:line="108" w:lineRule="exact"/>
        <w:rPr>
          <w:sz w:val="20"/>
          <w:szCs w:val="20"/>
          <w:color w:val="auto"/>
        </w:rPr>
      </w:pPr>
    </w:p>
    <w:p>
      <w:pPr>
        <w:ind w:right="260" w:firstLine="255"/>
        <w:spacing w:after="0" w:line="261"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stock outstanding during the six months ended June 30, 2022 and 2021.</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4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40" w:type="dxa"/>
            <w:vAlign w:val="bottom"/>
            <w:gridSpan w:val="2"/>
          </w:tcPr>
          <w:p>
            <w:pPr>
              <w:jc w:val="right"/>
              <w:ind w:right="641"/>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5"/>
                <w:szCs w:val="15"/>
                <w:color w:val="auto"/>
              </w:rPr>
            </w:pPr>
          </w:p>
        </w:tc>
        <w:tc>
          <w:tcPr>
            <w:tcW w:w="19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24"/>
                <w:szCs w:val="24"/>
                <w:b w:val="1"/>
                <w:bCs w:val="1"/>
                <w:color w:val="auto"/>
                <w:vertAlign w:val="superscript"/>
              </w:rPr>
              <w:t>(8)</w:t>
            </w:r>
          </w:p>
        </w:tc>
        <w:tc>
          <w:tcPr>
            <w:tcW w:w="260" w:type="dxa"/>
            <w:vAlign w:val="bottom"/>
          </w:tcPr>
          <w:p>
            <w:pPr>
              <w:spacing w:after="0"/>
              <w:rPr>
                <w:sz w:val="16"/>
                <w:szCs w:val="16"/>
                <w:color w:val="auto"/>
              </w:rPr>
            </w:pPr>
          </w:p>
        </w:tc>
        <w:tc>
          <w:tcPr>
            <w:tcW w:w="2040" w:type="dxa"/>
            <w:vAlign w:val="bottom"/>
            <w:gridSpan w:val="2"/>
          </w:tcPr>
          <w:p>
            <w:pPr>
              <w:jc w:val="right"/>
              <w:ind w:right="781"/>
              <w:spacing w:after="0"/>
              <w:rPr>
                <w:sz w:val="20"/>
                <w:szCs w:val="20"/>
                <w:color w:val="auto"/>
              </w:rPr>
            </w:pPr>
            <w:r>
              <w:rPr>
                <w:rFonts w:ascii="Arial" w:cs="Arial" w:eastAsia="Arial" w:hAnsi="Arial"/>
                <w:sz w:val="14"/>
                <w:szCs w:val="14"/>
                <w:b w:val="1"/>
                <w:bCs w:val="1"/>
                <w:color w:val="auto"/>
              </w:rPr>
              <w:t>June 30, 2022</w:t>
            </w:r>
          </w:p>
        </w:tc>
        <w:tc>
          <w:tcPr>
            <w:tcW w:w="280" w:type="dxa"/>
            <w:vAlign w:val="bottom"/>
          </w:tcPr>
          <w:p>
            <w:pPr>
              <w:spacing w:after="0"/>
              <w:rPr>
                <w:sz w:val="16"/>
                <w:szCs w:val="16"/>
                <w:color w:val="auto"/>
              </w:rPr>
            </w:pPr>
          </w:p>
        </w:tc>
        <w:tc>
          <w:tcPr>
            <w:tcW w:w="19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196"/>
        </w:trPr>
        <w:tc>
          <w:tcPr>
            <w:tcW w:w="4560" w:type="dxa"/>
            <w:vAlign w:val="bottom"/>
            <w:vMerge w:val="continue"/>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Net asset value, beginning of period</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16.84</w:t>
            </w:r>
          </w:p>
        </w:tc>
        <w:tc>
          <w:tcPr>
            <w:tcW w:w="24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17.16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456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24"/>
                <w:szCs w:val="24"/>
                <w:color w:val="auto"/>
                <w:vertAlign w:val="superscript"/>
              </w:rPr>
              <w:t>(1)</w:t>
            </w:r>
          </w:p>
        </w:tc>
        <w:tc>
          <w:tcPr>
            <w:tcW w:w="2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0.84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56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Net realized and unrealized</w:t>
            </w:r>
          </w:p>
        </w:tc>
        <w:tc>
          <w:tcPr>
            <w:tcW w:w="260" w:type="dxa"/>
            <w:vAlign w:val="bottom"/>
            <w:shd w:val="clear" w:color="auto" w:fill="CFF0FC"/>
          </w:tcPr>
          <w:p>
            <w:pPr>
              <w:spacing w:after="0"/>
              <w:rPr>
                <w:sz w:val="14"/>
                <w:szCs w:val="14"/>
                <w:color w:val="auto"/>
              </w:rPr>
            </w:pPr>
          </w:p>
        </w:tc>
        <w:tc>
          <w:tcPr>
            <w:tcW w:w="2040" w:type="dxa"/>
            <w:vAlign w:val="bottom"/>
            <w:gridSpan w:val="2"/>
            <w:vMerge w:val="restart"/>
            <w:shd w:val="clear" w:color="auto" w:fill="CFF0FC"/>
          </w:tcPr>
          <w:p>
            <w:pPr>
              <w:jc w:val="right"/>
              <w:ind w:right="101"/>
              <w:spacing w:after="0"/>
              <w:rPr>
                <w:sz w:val="20"/>
                <w:szCs w:val="20"/>
                <w:color w:val="auto"/>
              </w:rPr>
            </w:pPr>
            <w:r>
              <w:rPr>
                <w:rFonts w:ascii="Arial" w:cs="Arial" w:eastAsia="Arial" w:hAnsi="Arial"/>
                <w:sz w:val="18"/>
                <w:szCs w:val="18"/>
                <w:color w:val="auto"/>
              </w:rPr>
              <w:t>(0.65 )</w:t>
            </w:r>
          </w:p>
        </w:tc>
        <w:tc>
          <w:tcPr>
            <w:tcW w:w="280" w:type="dxa"/>
            <w:vAlign w:val="bottom"/>
            <w:shd w:val="clear" w:color="auto" w:fill="CFF0FC"/>
          </w:tcPr>
          <w:p>
            <w:pPr>
              <w:spacing w:after="0"/>
              <w:rPr>
                <w:sz w:val="14"/>
                <w:szCs w:val="14"/>
                <w:color w:val="auto"/>
              </w:rPr>
            </w:pPr>
          </w:p>
        </w:tc>
        <w:tc>
          <w:tcPr>
            <w:tcW w:w="1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8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ind w:left="140"/>
              <w:spacing w:after="0" w:line="202" w:lineRule="exact"/>
              <w:rPr>
                <w:sz w:val="20"/>
                <w:szCs w:val="20"/>
                <w:color w:val="auto"/>
              </w:rPr>
            </w:pPr>
            <w:r>
              <w:rPr>
                <w:rFonts w:ascii="Arial" w:cs="Arial" w:eastAsia="Arial" w:hAnsi="Arial"/>
                <w:sz w:val="17"/>
                <w:szCs w:val="17"/>
                <w:color w:val="auto"/>
              </w:rPr>
              <w:t xml:space="preserve">gain </w:t>
            </w:r>
            <w:r>
              <w:rPr>
                <w:rFonts w:ascii="Arial" w:cs="Arial" w:eastAsia="Arial" w:hAnsi="Arial"/>
                <w:sz w:val="23"/>
                <w:szCs w:val="23"/>
                <w:color w:val="auto"/>
                <w:vertAlign w:val="superscript"/>
              </w:rPr>
              <w:t>(1)</w:t>
            </w:r>
          </w:p>
        </w:tc>
        <w:tc>
          <w:tcPr>
            <w:tcW w:w="260" w:type="dxa"/>
            <w:vAlign w:val="bottom"/>
            <w:shd w:val="clear" w:color="auto" w:fill="CFF0FC"/>
          </w:tcPr>
          <w:p>
            <w:pPr>
              <w:spacing w:after="0"/>
              <w:rPr>
                <w:sz w:val="17"/>
                <w:szCs w:val="17"/>
                <w:color w:val="auto"/>
              </w:rPr>
            </w:pPr>
          </w:p>
        </w:tc>
        <w:tc>
          <w:tcPr>
            <w:tcW w:w="2040" w:type="dxa"/>
            <w:vAlign w:val="bottom"/>
            <w:gridSpan w:val="2"/>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6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Borders>
              <w:top w:val="single" w:sz="8" w:color="CFF0FC"/>
            </w:tcBorders>
          </w:tcPr>
          <w:p>
            <w:pPr>
              <w:ind w:left="180"/>
              <w:spacing w:after="0" w:line="196" w:lineRule="exact"/>
              <w:rPr>
                <w:sz w:val="20"/>
                <w:szCs w:val="20"/>
                <w:color w:val="auto"/>
              </w:rPr>
            </w:pPr>
            <w:r>
              <w:rPr>
                <w:rFonts w:ascii="Arial" w:cs="Arial" w:eastAsia="Arial" w:hAnsi="Arial"/>
                <w:sz w:val="18"/>
                <w:szCs w:val="18"/>
                <w:color w:val="auto"/>
              </w:rPr>
              <w:t>Total from operations</w:t>
            </w:r>
          </w:p>
        </w:tc>
        <w:tc>
          <w:tcPr>
            <w:tcW w:w="2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0.36</w:t>
            </w:r>
          </w:p>
        </w:tc>
        <w:tc>
          <w:tcPr>
            <w:tcW w:w="2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1.62</w:t>
            </w:r>
          </w:p>
        </w:tc>
        <w:tc>
          <w:tcPr>
            <w:tcW w:w="80" w:type="dxa"/>
            <w:vAlign w:val="bottom"/>
            <w:tcBorders>
              <w:top w:val="single" w:sz="8" w:color="CFF0FC"/>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56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Issuance of common stock, net of</w:t>
            </w:r>
          </w:p>
        </w:tc>
        <w:tc>
          <w:tcPr>
            <w:tcW w:w="260" w:type="dxa"/>
            <w:vAlign w:val="bottom"/>
            <w:shd w:val="clear" w:color="auto" w:fill="CFF0FC"/>
          </w:tcPr>
          <w:p>
            <w:pPr>
              <w:spacing w:after="0"/>
              <w:rPr>
                <w:sz w:val="14"/>
                <w:szCs w:val="14"/>
                <w:color w:val="auto"/>
              </w:rPr>
            </w:pPr>
          </w:p>
        </w:tc>
        <w:tc>
          <w:tcPr>
            <w:tcW w:w="1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40"/>
              <w:spacing w:after="0" w:line="216" w:lineRule="exact"/>
              <w:rPr>
                <w:sz w:val="20"/>
                <w:szCs w:val="20"/>
                <w:color w:val="auto"/>
              </w:rPr>
            </w:pPr>
            <w:r>
              <w:rPr>
                <w:rFonts w:ascii="Arial" w:cs="Arial" w:eastAsia="Arial" w:hAnsi="Arial"/>
                <w:sz w:val="18"/>
                <w:szCs w:val="18"/>
                <w:color w:val="auto"/>
              </w:rPr>
              <w:t xml:space="preserve">offering costs </w:t>
            </w:r>
            <w:r>
              <w:rPr>
                <w:rFonts w:ascii="Arial" w:cs="Arial" w:eastAsia="Arial" w:hAnsi="Arial"/>
                <w:sz w:val="24"/>
                <w:szCs w:val="24"/>
                <w:color w:val="auto"/>
                <w:vertAlign w:val="superscript"/>
              </w:rPr>
              <w:t>(2)</w:t>
            </w:r>
          </w:p>
        </w:tc>
        <w:tc>
          <w:tcPr>
            <w:tcW w:w="260" w:type="dxa"/>
            <w:vAlign w:val="bottom"/>
            <w:shd w:val="clear" w:color="auto" w:fill="CFF0FC"/>
          </w:tcPr>
          <w:p>
            <w:pPr>
              <w:spacing w:after="0"/>
              <w:rPr>
                <w:sz w:val="18"/>
                <w:szCs w:val="18"/>
                <w:color w:val="auto"/>
              </w:rPr>
            </w:pPr>
          </w:p>
        </w:tc>
        <w:tc>
          <w:tcPr>
            <w:tcW w:w="18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8"/>
                <w:szCs w:val="18"/>
                <w:color w:val="auto"/>
              </w:rPr>
              <w:t>Dividends declared from net</w:t>
            </w:r>
          </w:p>
        </w:tc>
        <w:tc>
          <w:tcPr>
            <w:tcW w:w="260" w:type="dxa"/>
            <w:vAlign w:val="bottom"/>
          </w:tcPr>
          <w:p>
            <w:pPr>
              <w:spacing w:after="0"/>
              <w:rPr>
                <w:sz w:val="14"/>
                <w:szCs w:val="14"/>
                <w:color w:val="auto"/>
              </w:rPr>
            </w:pPr>
          </w:p>
        </w:tc>
        <w:tc>
          <w:tcPr>
            <w:tcW w:w="2040" w:type="dxa"/>
            <w:vAlign w:val="bottom"/>
            <w:gridSpan w:val="2"/>
            <w:vMerge w:val="restart"/>
          </w:tcPr>
          <w:p>
            <w:pPr>
              <w:jc w:val="right"/>
              <w:ind w:right="101"/>
              <w:spacing w:after="0"/>
              <w:rPr>
                <w:sz w:val="20"/>
                <w:szCs w:val="20"/>
                <w:color w:val="auto"/>
              </w:rPr>
            </w:pPr>
            <w:r>
              <w:rPr>
                <w:rFonts w:ascii="Arial" w:cs="Arial" w:eastAsia="Arial" w:hAnsi="Arial"/>
                <w:sz w:val="18"/>
                <w:szCs w:val="18"/>
                <w:color w:val="auto"/>
              </w:rPr>
              <w:t>(0.97 )</w:t>
            </w:r>
          </w:p>
        </w:tc>
        <w:tc>
          <w:tcPr>
            <w:tcW w:w="280" w:type="dxa"/>
            <w:vAlign w:val="bottom"/>
          </w:tcPr>
          <w:p>
            <w:pPr>
              <w:spacing w:after="0"/>
              <w:rPr>
                <w:sz w:val="14"/>
                <w:szCs w:val="14"/>
                <w:color w:val="auto"/>
              </w:rPr>
            </w:pPr>
          </w:p>
        </w:tc>
        <w:tc>
          <w:tcPr>
            <w:tcW w:w="1840" w:type="dxa"/>
            <w:vAlign w:val="bottom"/>
            <w:gridSpan w:val="2"/>
            <w:vMerge w:val="restart"/>
          </w:tcPr>
          <w:p>
            <w:pPr>
              <w:jc w:val="right"/>
              <w:spacing w:after="0"/>
              <w:rPr>
                <w:sz w:val="20"/>
                <w:szCs w:val="20"/>
                <w:color w:val="auto"/>
              </w:rPr>
            </w:pPr>
            <w:r>
              <w:rPr>
                <w:rFonts w:ascii="Arial" w:cs="Arial" w:eastAsia="Arial" w:hAnsi="Arial"/>
                <w:sz w:val="18"/>
                <w:szCs w:val="18"/>
                <w:color w:val="auto"/>
              </w:rPr>
              <w:t>(2.18 )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140"/>
              <w:spacing w:after="0" w:line="202" w:lineRule="exact"/>
              <w:rPr>
                <w:sz w:val="20"/>
                <w:szCs w:val="20"/>
                <w:color w:val="auto"/>
              </w:rPr>
            </w:pPr>
            <w:r>
              <w:rPr>
                <w:rFonts w:ascii="Arial" w:cs="Arial" w:eastAsia="Arial" w:hAnsi="Arial"/>
                <w:sz w:val="17"/>
                <w:szCs w:val="17"/>
                <w:color w:val="auto"/>
              </w:rPr>
              <w:t xml:space="preserve">investment income </w:t>
            </w:r>
            <w:r>
              <w:rPr>
                <w:rFonts w:ascii="Arial" w:cs="Arial" w:eastAsia="Arial" w:hAnsi="Arial"/>
                <w:sz w:val="23"/>
                <w:szCs w:val="23"/>
                <w:color w:val="auto"/>
                <w:vertAlign w:val="superscript"/>
              </w:rPr>
              <w:t>(2)</w:t>
            </w:r>
          </w:p>
        </w:tc>
        <w:tc>
          <w:tcPr>
            <w:tcW w:w="260" w:type="dxa"/>
            <w:vAlign w:val="bottom"/>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increase/(decrease) in net assets</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(0.57</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(0.31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Pr>
          <w:p>
            <w:pPr>
              <w:spacing w:after="0" w:line="196" w:lineRule="exact"/>
              <w:rPr>
                <w:sz w:val="20"/>
                <w:szCs w:val="20"/>
                <w:color w:val="auto"/>
              </w:rPr>
            </w:pPr>
            <w:r>
              <w:rPr>
                <w:rFonts w:ascii="Arial" w:cs="Arial" w:eastAsia="Arial" w:hAnsi="Arial"/>
                <w:sz w:val="18"/>
                <w:szCs w:val="18"/>
                <w:b w:val="1"/>
                <w:bCs w:val="1"/>
                <w:color w:val="auto"/>
              </w:rPr>
              <w:t>Net Asset Value, End of Period</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16.27</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56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Per share market value at end of</w:t>
            </w:r>
          </w:p>
        </w:tc>
        <w:tc>
          <w:tcPr>
            <w:tcW w:w="260" w:type="dxa"/>
            <w:vAlign w:val="bottom"/>
            <w:vMerge w:val="restart"/>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18.50</w:t>
            </w:r>
          </w:p>
        </w:tc>
        <w:tc>
          <w:tcPr>
            <w:tcW w:w="240" w:type="dxa"/>
            <w:vAlign w:val="bottom"/>
            <w:shd w:val="clear" w:color="auto" w:fill="CFF0FC"/>
          </w:tcPr>
          <w:p>
            <w:pPr>
              <w:spacing w:after="0"/>
              <w:rPr>
                <w:sz w:val="13"/>
                <w:szCs w:val="13"/>
                <w:color w:val="auto"/>
              </w:rPr>
            </w:pPr>
          </w:p>
        </w:tc>
        <w:tc>
          <w:tcPr>
            <w:tcW w:w="2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22.19</w:t>
            </w:r>
          </w:p>
        </w:tc>
        <w:tc>
          <w:tcPr>
            <w:tcW w:w="80" w:type="dxa"/>
            <w:vAlign w:val="bottom"/>
            <w:shd w:val="clear" w:color="auto" w:fill="CFF0FC"/>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period</w:t>
            </w:r>
          </w:p>
        </w:tc>
        <w:tc>
          <w:tcPr>
            <w:tcW w:w="260" w:type="dxa"/>
            <w:vAlign w:val="bottom"/>
            <w:vMerge w:val="continue"/>
            <w:shd w:val="clear" w:color="auto" w:fill="CFF0FC"/>
          </w:tcPr>
          <w:p>
            <w:pPr>
              <w:spacing w:after="0"/>
              <w:rPr>
                <w:sz w:val="18"/>
                <w:szCs w:val="18"/>
                <w:color w:val="auto"/>
              </w:rPr>
            </w:pPr>
          </w:p>
        </w:tc>
        <w:tc>
          <w:tcPr>
            <w:tcW w:w="18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17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8"/>
                <w:szCs w:val="18"/>
                <w:color w:val="auto"/>
              </w:rPr>
              <w:t>Total return based on market value</w:t>
            </w:r>
          </w:p>
        </w:tc>
        <w:tc>
          <w:tcPr>
            <w:tcW w:w="260" w:type="dxa"/>
            <w:vAlign w:val="bottom"/>
          </w:tcPr>
          <w:p>
            <w:pPr>
              <w:spacing w:after="0"/>
              <w:rPr>
                <w:sz w:val="14"/>
                <w:szCs w:val="14"/>
                <w:color w:val="auto"/>
              </w:rPr>
            </w:pPr>
          </w:p>
        </w:tc>
        <w:tc>
          <w:tcPr>
            <w:tcW w:w="2040" w:type="dxa"/>
            <w:vAlign w:val="bottom"/>
            <w:gridSpan w:val="2"/>
            <w:vMerge w:val="restart"/>
          </w:tcPr>
          <w:p>
            <w:pPr>
              <w:jc w:val="right"/>
              <w:ind w:right="1"/>
              <w:spacing w:after="0"/>
              <w:rPr>
                <w:sz w:val="20"/>
                <w:szCs w:val="20"/>
                <w:color w:val="auto"/>
              </w:rPr>
            </w:pPr>
            <w:r>
              <w:rPr>
                <w:rFonts w:ascii="Arial" w:cs="Arial" w:eastAsia="Arial" w:hAnsi="Arial"/>
                <w:sz w:val="18"/>
                <w:szCs w:val="18"/>
                <w:color w:val="auto"/>
              </w:rPr>
              <w:t>-17.06 %</w:t>
            </w:r>
          </w:p>
        </w:tc>
        <w:tc>
          <w:tcPr>
            <w:tcW w:w="280" w:type="dxa"/>
            <w:vAlign w:val="bottom"/>
          </w:tcPr>
          <w:p>
            <w:pPr>
              <w:spacing w:after="0"/>
              <w:rPr>
                <w:sz w:val="14"/>
                <w:szCs w:val="14"/>
                <w:color w:val="auto"/>
              </w:rPr>
            </w:pPr>
          </w:p>
        </w:tc>
        <w:tc>
          <w:tcPr>
            <w:tcW w:w="1920" w:type="dxa"/>
            <w:vAlign w:val="bottom"/>
            <w:gridSpan w:val="3"/>
            <w:vMerge w:val="restart"/>
          </w:tcPr>
          <w:p>
            <w:pPr>
              <w:jc w:val="right"/>
              <w:spacing w:after="0"/>
              <w:rPr>
                <w:sz w:val="20"/>
                <w:szCs w:val="20"/>
                <w:color w:val="auto"/>
              </w:rPr>
            </w:pPr>
            <w:r>
              <w:rPr>
                <w:rFonts w:ascii="Arial" w:cs="Arial" w:eastAsia="Arial" w:hAnsi="Arial"/>
                <w:sz w:val="18"/>
                <w:szCs w:val="18"/>
                <w:color w:val="auto"/>
              </w:rPr>
              <w:t>18.27 %</w:t>
            </w:r>
          </w:p>
        </w:tc>
        <w:tc>
          <w:tcPr>
            <w:tcW w:w="0" w:type="dxa"/>
            <w:vAlign w:val="bottom"/>
          </w:tcPr>
          <w:p>
            <w:pPr>
              <w:spacing w:after="0"/>
              <w:rPr>
                <w:sz w:val="1"/>
                <w:szCs w:val="1"/>
                <w:color w:val="auto"/>
              </w:rPr>
            </w:pPr>
          </w:p>
        </w:tc>
      </w:tr>
      <w:tr>
        <w:trPr>
          <w:trHeight w:val="175"/>
        </w:trPr>
        <w:tc>
          <w:tcPr>
            <w:tcW w:w="4560" w:type="dxa"/>
            <w:vAlign w:val="bottom"/>
          </w:tcPr>
          <w:p>
            <w:pPr>
              <w:ind w:left="140"/>
              <w:spacing w:after="0" w:line="176" w:lineRule="exact"/>
              <w:rPr>
                <w:sz w:val="20"/>
                <w:szCs w:val="20"/>
                <w:color w:val="auto"/>
              </w:rPr>
            </w:pPr>
            <w:r>
              <w:rPr>
                <w:rFonts w:ascii="Arial" w:cs="Arial" w:eastAsia="Arial" w:hAnsi="Arial"/>
                <w:sz w:val="15"/>
                <w:szCs w:val="15"/>
                <w:color w:val="auto"/>
              </w:rPr>
              <w:t xml:space="preserve">with reinvestment of dividends </w:t>
            </w:r>
            <w:r>
              <w:rPr>
                <w:rFonts w:ascii="Arial" w:cs="Arial" w:eastAsia="Arial" w:hAnsi="Arial"/>
                <w:sz w:val="20"/>
                <w:szCs w:val="20"/>
                <w:color w:val="auto"/>
                <w:vertAlign w:val="superscript"/>
              </w:rPr>
              <w:t>(3)</w:t>
            </w:r>
          </w:p>
        </w:tc>
        <w:tc>
          <w:tcPr>
            <w:tcW w:w="26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60" w:type="dxa"/>
            <w:vAlign w:val="bottom"/>
          </w:tcPr>
          <w:p>
            <w:pPr>
              <w:spacing w:after="0" w:line="243" w:lineRule="exact"/>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24"/>
                <w:szCs w:val="24"/>
                <w:color w:val="auto"/>
                <w:vertAlign w:val="superscript"/>
              </w:rPr>
              <w:t>(4)</w:t>
            </w:r>
          </w:p>
        </w:tc>
        <w:tc>
          <w:tcPr>
            <w:tcW w:w="260" w:type="dxa"/>
            <w:vAlign w:val="bottom"/>
          </w:tcPr>
          <w:p>
            <w:pPr>
              <w:spacing w:after="0"/>
              <w:rPr>
                <w:sz w:val="21"/>
                <w:szCs w:val="21"/>
                <w:color w:val="auto"/>
              </w:rPr>
            </w:pPr>
          </w:p>
        </w:tc>
        <w:tc>
          <w:tcPr>
            <w:tcW w:w="2040" w:type="dxa"/>
            <w:vAlign w:val="bottom"/>
            <w:gridSpan w:val="2"/>
          </w:tcPr>
          <w:p>
            <w:pPr>
              <w:jc w:val="right"/>
              <w:ind w:right="1"/>
              <w:spacing w:after="0"/>
              <w:rPr>
                <w:sz w:val="20"/>
                <w:szCs w:val="20"/>
                <w:color w:val="auto"/>
              </w:rPr>
            </w:pPr>
            <w:r>
              <w:rPr>
                <w:rFonts w:ascii="Arial" w:cs="Arial" w:eastAsia="Arial" w:hAnsi="Arial"/>
                <w:sz w:val="18"/>
                <w:szCs w:val="18"/>
                <w:color w:val="auto"/>
              </w:rPr>
              <w:t>-16.76 %</w:t>
            </w:r>
          </w:p>
        </w:tc>
        <w:tc>
          <w:tcPr>
            <w:tcW w:w="28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17.45 %</w:t>
            </w: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8"/>
                <w:szCs w:val="18"/>
                <w:color w:val="auto"/>
              </w:rPr>
              <w:t>Total return based on net asset</w:t>
            </w:r>
          </w:p>
        </w:tc>
        <w:tc>
          <w:tcPr>
            <w:tcW w:w="260" w:type="dxa"/>
            <w:vAlign w:val="bottom"/>
          </w:tcPr>
          <w:p>
            <w:pPr>
              <w:spacing w:after="0"/>
              <w:rPr>
                <w:sz w:val="14"/>
                <w:szCs w:val="14"/>
                <w:color w:val="auto"/>
              </w:rPr>
            </w:pPr>
          </w:p>
        </w:tc>
        <w:tc>
          <w:tcPr>
            <w:tcW w:w="2040" w:type="dxa"/>
            <w:vAlign w:val="bottom"/>
            <w:gridSpan w:val="2"/>
            <w:vMerge w:val="restart"/>
          </w:tcPr>
          <w:p>
            <w:pPr>
              <w:jc w:val="right"/>
              <w:ind w:right="1"/>
              <w:spacing w:after="0"/>
              <w:rPr>
                <w:sz w:val="20"/>
                <w:szCs w:val="20"/>
                <w:color w:val="auto"/>
              </w:rPr>
            </w:pPr>
            <w:r>
              <w:rPr>
                <w:rFonts w:ascii="Arial" w:cs="Arial" w:eastAsia="Arial" w:hAnsi="Arial"/>
                <w:sz w:val="18"/>
                <w:szCs w:val="18"/>
                <w:color w:val="auto"/>
              </w:rPr>
              <w:t>2.38 %</w:t>
            </w:r>
          </w:p>
        </w:tc>
        <w:tc>
          <w:tcPr>
            <w:tcW w:w="280" w:type="dxa"/>
            <w:vAlign w:val="bottom"/>
          </w:tcPr>
          <w:p>
            <w:pPr>
              <w:spacing w:after="0"/>
              <w:rPr>
                <w:sz w:val="14"/>
                <w:szCs w:val="14"/>
                <w:color w:val="auto"/>
              </w:rPr>
            </w:pPr>
          </w:p>
        </w:tc>
        <w:tc>
          <w:tcPr>
            <w:tcW w:w="1920" w:type="dxa"/>
            <w:vAlign w:val="bottom"/>
            <w:gridSpan w:val="3"/>
            <w:vMerge w:val="restart"/>
          </w:tcPr>
          <w:p>
            <w:pPr>
              <w:jc w:val="right"/>
              <w:spacing w:after="0"/>
              <w:rPr>
                <w:sz w:val="20"/>
                <w:szCs w:val="20"/>
                <w:color w:val="auto"/>
              </w:rPr>
            </w:pPr>
            <w:r>
              <w:rPr>
                <w:rFonts w:ascii="Arial" w:cs="Arial" w:eastAsia="Arial" w:hAnsi="Arial"/>
                <w:sz w:val="18"/>
                <w:szCs w:val="18"/>
                <w:color w:val="auto"/>
              </w:rPr>
              <w:t>10.90 %</w:t>
            </w:r>
          </w:p>
        </w:tc>
        <w:tc>
          <w:tcPr>
            <w:tcW w:w="0" w:type="dxa"/>
            <w:vAlign w:val="bottom"/>
          </w:tcPr>
          <w:p>
            <w:pPr>
              <w:spacing w:after="0"/>
              <w:rPr>
                <w:sz w:val="1"/>
                <w:szCs w:val="1"/>
                <w:color w:val="auto"/>
              </w:rPr>
            </w:pPr>
          </w:p>
        </w:tc>
      </w:tr>
      <w:tr>
        <w:trPr>
          <w:trHeight w:val="216"/>
        </w:trPr>
        <w:tc>
          <w:tcPr>
            <w:tcW w:w="4560" w:type="dxa"/>
            <w:vAlign w:val="bottom"/>
          </w:tcPr>
          <w:p>
            <w:pPr>
              <w:ind w:left="140"/>
              <w:spacing w:after="0" w:line="216" w:lineRule="exact"/>
              <w:rPr>
                <w:sz w:val="20"/>
                <w:szCs w:val="20"/>
                <w:color w:val="auto"/>
              </w:rPr>
            </w:pPr>
            <w:r>
              <w:rPr>
                <w:rFonts w:ascii="Arial" w:cs="Arial" w:eastAsia="Arial" w:hAnsi="Arial"/>
                <w:sz w:val="18"/>
                <w:szCs w:val="18"/>
                <w:color w:val="auto"/>
              </w:rPr>
              <w:t xml:space="preserve">value </w:t>
            </w:r>
            <w:r>
              <w:rPr>
                <w:rFonts w:ascii="Arial" w:cs="Arial" w:eastAsia="Arial" w:hAnsi="Arial"/>
                <w:sz w:val="24"/>
                <w:szCs w:val="24"/>
                <w:color w:val="auto"/>
                <w:vertAlign w:val="superscript"/>
              </w:rPr>
              <w:t>(5)</w:t>
            </w:r>
          </w:p>
        </w:tc>
        <w:tc>
          <w:tcPr>
            <w:tcW w:w="26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8"/>
                <w:szCs w:val="18"/>
                <w:color w:val="auto"/>
              </w:rPr>
              <w:t>Shares Outstanding, End of Period</w:t>
            </w:r>
          </w:p>
        </w:tc>
        <w:tc>
          <w:tcPr>
            <w:tcW w:w="260" w:type="dxa"/>
            <w:vAlign w:val="bottom"/>
          </w:tcPr>
          <w:p>
            <w:pPr>
              <w:spacing w:after="0"/>
              <w:rPr>
                <w:sz w:val="14"/>
                <w:szCs w:val="14"/>
                <w:color w:val="auto"/>
              </w:rPr>
            </w:pPr>
          </w:p>
        </w:tc>
        <w:tc>
          <w:tcPr>
            <w:tcW w:w="1800" w:type="dxa"/>
            <w:vAlign w:val="bottom"/>
          </w:tcPr>
          <w:p>
            <w:pPr>
              <w:jc w:val="right"/>
              <w:spacing w:after="0" w:line="162" w:lineRule="exact"/>
              <w:rPr>
                <w:sz w:val="20"/>
                <w:szCs w:val="20"/>
                <w:color w:val="auto"/>
              </w:rPr>
            </w:pPr>
            <w:r>
              <w:rPr>
                <w:rFonts w:ascii="Arial" w:cs="Arial" w:eastAsia="Arial" w:hAnsi="Arial"/>
                <w:sz w:val="18"/>
                <w:szCs w:val="18"/>
                <w:color w:val="auto"/>
              </w:rPr>
              <w:t>76,339,515</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jc w:val="right"/>
              <w:spacing w:after="0" w:line="162" w:lineRule="exact"/>
              <w:rPr>
                <w:sz w:val="20"/>
                <w:szCs w:val="20"/>
                <w:color w:val="auto"/>
              </w:rPr>
            </w:pPr>
            <w:r>
              <w:rPr>
                <w:rFonts w:ascii="Arial" w:cs="Arial" w:eastAsia="Arial" w:hAnsi="Arial"/>
                <w:sz w:val="18"/>
                <w:szCs w:val="18"/>
                <w:color w:val="auto"/>
              </w:rPr>
              <w:t>72,649,683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560" w:type="dxa"/>
            <w:vAlign w:val="bottom"/>
          </w:tcPr>
          <w:p>
            <w:pPr>
              <w:spacing w:after="0" w:line="243" w:lineRule="exact"/>
              <w:rPr>
                <w:sz w:val="20"/>
                <w:szCs w:val="20"/>
                <w:color w:val="auto"/>
              </w:rPr>
            </w:pPr>
            <w:r>
              <w:rPr>
                <w:rFonts w:ascii="Arial" w:cs="Arial" w:eastAsia="Arial" w:hAnsi="Arial"/>
                <w:sz w:val="18"/>
                <w:szCs w:val="18"/>
                <w:b w:val="1"/>
                <w:bCs w:val="1"/>
                <w:color w:val="auto"/>
              </w:rPr>
              <w:t xml:space="preserve">Ratios / Supplemental Data </w:t>
            </w:r>
            <w:r>
              <w:rPr>
                <w:rFonts w:ascii="Arial" w:cs="Arial" w:eastAsia="Arial" w:hAnsi="Arial"/>
                <w:sz w:val="24"/>
                <w:szCs w:val="24"/>
                <w:b w:val="1"/>
                <w:bCs w:val="1"/>
                <w:color w:val="auto"/>
                <w:vertAlign w:val="superscript"/>
              </w:rPr>
              <w:t>(6)</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8"/>
                <w:szCs w:val="18"/>
                <w:color w:val="auto"/>
              </w:rPr>
              <w:t>Ratio of net expenses to average</w:t>
            </w:r>
          </w:p>
        </w:tc>
        <w:tc>
          <w:tcPr>
            <w:tcW w:w="260" w:type="dxa"/>
            <w:vAlign w:val="bottom"/>
          </w:tcPr>
          <w:p>
            <w:pPr>
              <w:spacing w:after="0"/>
              <w:rPr>
                <w:sz w:val="14"/>
                <w:szCs w:val="14"/>
                <w:color w:val="auto"/>
              </w:rPr>
            </w:pPr>
          </w:p>
        </w:tc>
        <w:tc>
          <w:tcPr>
            <w:tcW w:w="2040" w:type="dxa"/>
            <w:vAlign w:val="bottom"/>
            <w:gridSpan w:val="2"/>
            <w:vMerge w:val="restart"/>
          </w:tcPr>
          <w:p>
            <w:pPr>
              <w:jc w:val="right"/>
              <w:ind w:right="1"/>
              <w:spacing w:after="0"/>
              <w:rPr>
                <w:sz w:val="20"/>
                <w:szCs w:val="20"/>
                <w:color w:val="auto"/>
              </w:rPr>
            </w:pPr>
            <w:r>
              <w:rPr>
                <w:rFonts w:ascii="Arial" w:cs="Arial" w:eastAsia="Arial" w:hAnsi="Arial"/>
                <w:sz w:val="18"/>
                <w:szCs w:val="18"/>
                <w:color w:val="auto"/>
              </w:rPr>
              <w:t>8.65 %</w:t>
            </w:r>
          </w:p>
        </w:tc>
        <w:tc>
          <w:tcPr>
            <w:tcW w:w="280" w:type="dxa"/>
            <w:vAlign w:val="bottom"/>
          </w:tcPr>
          <w:p>
            <w:pPr>
              <w:spacing w:after="0"/>
              <w:rPr>
                <w:sz w:val="14"/>
                <w:szCs w:val="14"/>
                <w:color w:val="auto"/>
              </w:rPr>
            </w:pPr>
          </w:p>
        </w:tc>
        <w:tc>
          <w:tcPr>
            <w:tcW w:w="1920" w:type="dxa"/>
            <w:vAlign w:val="bottom"/>
            <w:gridSpan w:val="3"/>
            <w:vMerge w:val="restart"/>
          </w:tcPr>
          <w:p>
            <w:pPr>
              <w:jc w:val="right"/>
              <w:spacing w:after="0"/>
              <w:rPr>
                <w:sz w:val="20"/>
                <w:szCs w:val="20"/>
                <w:color w:val="auto"/>
              </w:rPr>
            </w:pPr>
            <w:r>
              <w:rPr>
                <w:rFonts w:ascii="Arial" w:cs="Arial" w:eastAsia="Arial" w:hAnsi="Arial"/>
                <w:sz w:val="18"/>
                <w:szCs w:val="18"/>
                <w:color w:val="auto"/>
              </w:rPr>
              <w:t>11.66 %</w:t>
            </w:r>
          </w:p>
        </w:tc>
        <w:tc>
          <w:tcPr>
            <w:tcW w:w="0" w:type="dxa"/>
            <w:vAlign w:val="bottom"/>
          </w:tcPr>
          <w:p>
            <w:pPr>
              <w:spacing w:after="0"/>
              <w:rPr>
                <w:sz w:val="1"/>
                <w:szCs w:val="1"/>
                <w:color w:val="auto"/>
              </w:rPr>
            </w:pPr>
          </w:p>
        </w:tc>
      </w:tr>
      <w:tr>
        <w:trPr>
          <w:trHeight w:val="216"/>
        </w:trPr>
        <w:tc>
          <w:tcPr>
            <w:tcW w:w="4560" w:type="dxa"/>
            <w:vAlign w:val="bottom"/>
          </w:tcPr>
          <w:p>
            <w:pPr>
              <w:ind w:left="140"/>
              <w:spacing w:after="0" w:line="216" w:lineRule="exact"/>
              <w:rPr>
                <w:sz w:val="20"/>
                <w:szCs w:val="20"/>
                <w:color w:val="auto"/>
              </w:rPr>
            </w:pPr>
            <w:r>
              <w:rPr>
                <w:rFonts w:ascii="Arial" w:cs="Arial" w:eastAsia="Arial" w:hAnsi="Arial"/>
                <w:sz w:val="18"/>
                <w:szCs w:val="18"/>
                <w:color w:val="auto"/>
              </w:rPr>
              <w:t xml:space="preserve">net assets </w:t>
            </w:r>
            <w:r>
              <w:rPr>
                <w:rFonts w:ascii="Arial" w:cs="Arial" w:eastAsia="Arial" w:hAnsi="Arial"/>
                <w:sz w:val="24"/>
                <w:szCs w:val="24"/>
                <w:color w:val="auto"/>
                <w:vertAlign w:val="superscript"/>
              </w:rPr>
              <w:t>(7)</w:t>
            </w:r>
          </w:p>
        </w:tc>
        <w:tc>
          <w:tcPr>
            <w:tcW w:w="26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8"/>
                <w:szCs w:val="18"/>
                <w:color w:val="auto"/>
              </w:rPr>
              <w:t>Ratio of net investment income</w:t>
            </w:r>
          </w:p>
        </w:tc>
        <w:tc>
          <w:tcPr>
            <w:tcW w:w="260" w:type="dxa"/>
            <w:vAlign w:val="bottom"/>
          </w:tcPr>
          <w:p>
            <w:pPr>
              <w:spacing w:after="0"/>
              <w:rPr>
                <w:sz w:val="14"/>
                <w:szCs w:val="14"/>
                <w:color w:val="auto"/>
              </w:rPr>
            </w:pPr>
          </w:p>
        </w:tc>
        <w:tc>
          <w:tcPr>
            <w:tcW w:w="2040" w:type="dxa"/>
            <w:vAlign w:val="bottom"/>
            <w:gridSpan w:val="2"/>
            <w:vMerge w:val="restart"/>
          </w:tcPr>
          <w:p>
            <w:pPr>
              <w:jc w:val="right"/>
              <w:ind w:right="1"/>
              <w:spacing w:after="0"/>
              <w:rPr>
                <w:sz w:val="20"/>
                <w:szCs w:val="20"/>
                <w:color w:val="auto"/>
              </w:rPr>
            </w:pPr>
            <w:r>
              <w:rPr>
                <w:rFonts w:ascii="Arial" w:cs="Arial" w:eastAsia="Arial" w:hAnsi="Arial"/>
                <w:sz w:val="18"/>
                <w:szCs w:val="18"/>
                <w:color w:val="auto"/>
              </w:rPr>
              <w:t>12.08 %</w:t>
            </w:r>
          </w:p>
        </w:tc>
        <w:tc>
          <w:tcPr>
            <w:tcW w:w="280" w:type="dxa"/>
            <w:vAlign w:val="bottom"/>
          </w:tcPr>
          <w:p>
            <w:pPr>
              <w:spacing w:after="0"/>
              <w:rPr>
                <w:sz w:val="14"/>
                <w:szCs w:val="14"/>
                <w:color w:val="auto"/>
              </w:rPr>
            </w:pPr>
          </w:p>
        </w:tc>
        <w:tc>
          <w:tcPr>
            <w:tcW w:w="1920" w:type="dxa"/>
            <w:vAlign w:val="bottom"/>
            <w:gridSpan w:val="3"/>
            <w:vMerge w:val="restart"/>
          </w:tcPr>
          <w:p>
            <w:pPr>
              <w:jc w:val="right"/>
              <w:spacing w:after="0"/>
              <w:rPr>
                <w:sz w:val="20"/>
                <w:szCs w:val="20"/>
                <w:color w:val="auto"/>
              </w:rPr>
            </w:pPr>
            <w:r>
              <w:rPr>
                <w:rFonts w:ascii="Arial" w:cs="Arial" w:eastAsia="Arial" w:hAnsi="Arial"/>
                <w:sz w:val="18"/>
                <w:szCs w:val="18"/>
                <w:color w:val="auto"/>
              </w:rPr>
              <w:t>10.03 %</w:t>
            </w:r>
          </w:p>
        </w:tc>
        <w:tc>
          <w:tcPr>
            <w:tcW w:w="0" w:type="dxa"/>
            <w:vAlign w:val="bottom"/>
          </w:tcPr>
          <w:p>
            <w:pPr>
              <w:spacing w:after="0"/>
              <w:rPr>
                <w:sz w:val="1"/>
                <w:szCs w:val="1"/>
                <w:color w:val="auto"/>
              </w:rPr>
            </w:pPr>
          </w:p>
        </w:tc>
      </w:tr>
      <w:tr>
        <w:trPr>
          <w:trHeight w:val="216"/>
        </w:trPr>
        <w:tc>
          <w:tcPr>
            <w:tcW w:w="4560" w:type="dxa"/>
            <w:vAlign w:val="bottom"/>
          </w:tcPr>
          <w:p>
            <w:pPr>
              <w:ind w:left="240"/>
              <w:spacing w:after="0"/>
              <w:rPr>
                <w:sz w:val="20"/>
                <w:szCs w:val="20"/>
                <w:color w:val="auto"/>
              </w:rPr>
            </w:pPr>
            <w:r>
              <w:rPr>
                <w:rFonts w:ascii="Arial" w:cs="Arial" w:eastAsia="Arial" w:hAnsi="Arial"/>
                <w:sz w:val="18"/>
                <w:szCs w:val="18"/>
                <w:color w:val="auto"/>
              </w:rPr>
              <w:t>to average net assets</w:t>
            </w:r>
          </w:p>
        </w:tc>
        <w:tc>
          <w:tcPr>
            <w:tcW w:w="26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Portfolio turnover</w:t>
            </w:r>
          </w:p>
        </w:tc>
        <w:tc>
          <w:tcPr>
            <w:tcW w:w="260" w:type="dxa"/>
            <w:vAlign w:val="bottom"/>
          </w:tcPr>
          <w:p>
            <w:pPr>
              <w:spacing w:after="0"/>
              <w:rPr>
                <w:sz w:val="17"/>
                <w:szCs w:val="17"/>
                <w:color w:val="auto"/>
              </w:rPr>
            </w:pPr>
          </w:p>
        </w:tc>
        <w:tc>
          <w:tcPr>
            <w:tcW w:w="204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31.11 %</w:t>
            </w:r>
          </w:p>
        </w:tc>
        <w:tc>
          <w:tcPr>
            <w:tcW w:w="280" w:type="dxa"/>
            <w:vAlign w:val="bottom"/>
          </w:tcPr>
          <w:p>
            <w:pPr>
              <w:spacing w:after="0"/>
              <w:rPr>
                <w:sz w:val="17"/>
                <w:szCs w:val="17"/>
                <w:color w:val="auto"/>
              </w:rPr>
            </w:pPr>
          </w:p>
        </w:tc>
        <w:tc>
          <w:tcPr>
            <w:tcW w:w="1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18.92 %</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1,241,959</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1,223,813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-3497580</wp:posOffset>
            </wp:positionV>
            <wp:extent cx="5700395" cy="12890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-3240405</wp:posOffset>
            </wp:positionV>
            <wp:extent cx="5700395" cy="12890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-2748915</wp:posOffset>
            </wp:positionV>
            <wp:extent cx="60325" cy="57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-2748915</wp:posOffset>
            </wp:positionV>
            <wp:extent cx="51435" cy="57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-2002790</wp:posOffset>
            </wp:positionV>
            <wp:extent cx="60325" cy="571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-2002790</wp:posOffset>
            </wp:positionV>
            <wp:extent cx="51435" cy="571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-1379855</wp:posOffset>
            </wp:positionV>
            <wp:extent cx="5700395" cy="12890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-1011555</wp:posOffset>
            </wp:positionV>
            <wp:extent cx="5700395" cy="12890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-754380</wp:posOffset>
            </wp:positionV>
            <wp:extent cx="5700395" cy="24003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700395" cy="24003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-274320</wp:posOffset>
            </wp:positionV>
            <wp:extent cx="5700395" cy="12890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700395" cy="128905"/>
                    </a:xfrm>
                    <a:prstGeom prst="rect">
                      <a:avLst/>
                    </a:prstGeom>
                    <a:noFill/>
                  </pic:spPr>
                </pic:pic>
              </a:graphicData>
            </a:graphic>
          </wp:anchor>
        </w:drawing>
      </w:r>
    </w:p>
    <w:p>
      <w:pPr>
        <w:spacing w:after="0" w:line="140"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11" w:lineRule="exact"/>
        <w:rPr>
          <w:rFonts w:ascii="Arial" w:cs="Arial" w:eastAsia="Arial" w:hAnsi="Arial"/>
          <w:sz w:val="18"/>
          <w:szCs w:val="18"/>
          <w:color w:val="auto"/>
        </w:rPr>
      </w:pPr>
    </w:p>
    <w:p>
      <w:pPr>
        <w:ind w:left="520" w:hanging="512"/>
        <w:spacing w:after="0" w:line="234"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ind w:left="520" w:right="180" w:hanging="512"/>
        <w:spacing w:after="0" w:line="234"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return based on market value with dividends reinvested is calculated as the change in market value per share during the period plus declared dividends per share, assuming reinvestment of dividends, divided by the beginning market value per share.</w:t>
      </w:r>
    </w:p>
    <w:p>
      <w:pPr>
        <w:spacing w:after="0" w:line="1" w:lineRule="exact"/>
        <w:rPr>
          <w:rFonts w:ascii="Arial" w:cs="Arial" w:eastAsia="Arial" w:hAnsi="Arial"/>
          <w:sz w:val="18"/>
          <w:szCs w:val="18"/>
          <w:color w:val="auto"/>
        </w:rPr>
      </w:pPr>
    </w:p>
    <w:p>
      <w:pPr>
        <w:ind w:left="520" w:hanging="512"/>
        <w:spacing w:after="0" w:line="234"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spacing w:after="0" w:line="1" w:lineRule="exact"/>
        <w:rPr>
          <w:rFonts w:ascii="Arial" w:cs="Arial" w:eastAsia="Arial" w:hAnsi="Arial"/>
          <w:sz w:val="18"/>
          <w:szCs w:val="18"/>
          <w:color w:val="auto"/>
        </w:rPr>
      </w:pPr>
    </w:p>
    <w:p>
      <w:pPr>
        <w:ind w:left="520" w:right="360" w:hanging="512"/>
        <w:spacing w:after="0" w:line="234"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spacing w:after="0" w:line="1" w:lineRule="exact"/>
        <w:rPr>
          <w:rFonts w:ascii="Arial" w:cs="Arial" w:eastAsia="Arial" w:hAnsi="Arial"/>
          <w:sz w:val="18"/>
          <w:szCs w:val="18"/>
          <w:color w:val="auto"/>
        </w:rPr>
      </w:pPr>
    </w:p>
    <w:p>
      <w:pPr>
        <w:ind w:left="520" w:hanging="512"/>
        <w:spacing w:after="0" w:line="234"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jc w:val="both"/>
        <w:ind w:left="520" w:right="180" w:hanging="512"/>
        <w:spacing w:after="0" w:line="234"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ratio of net expenses to average net assets in the table above reflects the Adviser’s waivers of its right to receive a portion of the Management Fee pursuant to the Leverage Waiver. Excluding the effects of waivers, the ratio of net expenses to average net assets would have been 8.65% and 11.68%, respectively for the six months ended June 30, 2022 and 2021.</w:t>
      </w:r>
    </w:p>
    <w:p>
      <w:pPr>
        <w:spacing w:after="0" w:line="2" w:lineRule="exact"/>
        <w:rPr>
          <w:rFonts w:ascii="Arial" w:cs="Arial" w:eastAsia="Arial" w:hAnsi="Arial"/>
          <w:sz w:val="18"/>
          <w:szCs w:val="18"/>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08" w:lineRule="exact"/>
        <w:rPr>
          <w:sz w:val="20"/>
          <w:szCs w:val="20"/>
          <w:color w:val="auto"/>
        </w:rPr>
      </w:pPr>
    </w:p>
    <w:p>
      <w:pPr>
        <w:jc w:val="both"/>
        <w:ind w:right="280" w:firstLine="255"/>
        <w:spacing w:after="0" w:line="294" w:lineRule="auto"/>
        <w:rPr>
          <w:sz w:val="20"/>
          <w:szCs w:val="20"/>
          <w:color w:val="auto"/>
        </w:rPr>
      </w:pPr>
      <w:r>
        <w:rPr>
          <w:rFonts w:ascii="Arial" w:cs="Arial" w:eastAsia="Arial" w:hAnsi="Arial"/>
          <w:sz w:val="16"/>
          <w:szCs w:val="16"/>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and for the three and six months ended June 30, 2022.</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160" w:firstLine="255"/>
        <w:spacing w:after="0" w:line="235"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on page 3 of this Quarterly Report on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80" w:firstLine="255"/>
        <w:spacing w:after="0" w:line="228" w:lineRule="auto"/>
        <w:rPr>
          <w:sz w:val="20"/>
          <w:szCs w:val="20"/>
          <w:color w:val="auto"/>
        </w:rPr>
      </w:pPr>
      <w:r>
        <w:rPr>
          <w:rFonts w:ascii="Arial" w:cs="Arial" w:eastAsia="Arial" w:hAnsi="Arial"/>
          <w:sz w:val="18"/>
          <w:szCs w:val="18"/>
          <w:color w:val="auto"/>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in which we hold assets that were previously used to support our asset-backed credit facility, Sixth Street SL Holding, LLC, a Delaware limited liability company, in which we hold certain investments, and Sixth Street Specialty Lending Sub, LLC, a Cayman Islands limited liability company, in which we plan to hold certain investments.</w:t>
      </w:r>
    </w:p>
    <w:p>
      <w:pPr>
        <w:spacing w:after="0" w:line="178" w:lineRule="exact"/>
        <w:rPr>
          <w:sz w:val="20"/>
          <w:szCs w:val="20"/>
          <w:color w:val="auto"/>
        </w:rPr>
      </w:pPr>
    </w:p>
    <w:p>
      <w:pPr>
        <w:ind w:right="100" w:firstLine="255"/>
        <w:spacing w:after="0" w:line="246"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20" w:hanging="257"/>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90" w:lineRule="exact"/>
        <w:rPr>
          <w:rFonts w:ascii="Arial" w:cs="Arial" w:eastAsia="Arial" w:hAnsi="Arial"/>
          <w:sz w:val="18"/>
          <w:szCs w:val="18"/>
          <w:color w:val="auto"/>
        </w:rPr>
      </w:pPr>
    </w:p>
    <w:p>
      <w:pPr>
        <w:ind w:left="520" w:hanging="257"/>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90" w:lineRule="exact"/>
        <w:rPr>
          <w:rFonts w:ascii="Arial" w:cs="Arial" w:eastAsia="Arial" w:hAnsi="Arial"/>
          <w:sz w:val="18"/>
          <w:szCs w:val="18"/>
          <w:color w:val="auto"/>
        </w:rPr>
      </w:pPr>
    </w:p>
    <w:p>
      <w:pPr>
        <w:ind w:left="520" w:hanging="257"/>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90" w:lineRule="exact"/>
        <w:rPr>
          <w:rFonts w:ascii="Arial" w:cs="Arial" w:eastAsia="Arial" w:hAnsi="Arial"/>
          <w:sz w:val="18"/>
          <w:szCs w:val="18"/>
          <w:color w:val="auto"/>
        </w:rPr>
      </w:pPr>
    </w:p>
    <w:p>
      <w:pPr>
        <w:ind w:left="520" w:right="340" w:hanging="257"/>
        <w:spacing w:after="0" w:line="246"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listed on the NYSE under the symbol “TSLX.”</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94" w:lineRule="exact"/>
        <w:rPr>
          <w:sz w:val="20"/>
          <w:szCs w:val="20"/>
          <w:color w:val="auto"/>
        </w:rPr>
      </w:pPr>
    </w:p>
    <w:p>
      <w:pPr>
        <w:ind w:right="80" w:firstLine="255"/>
        <w:spacing w:after="0" w:line="242"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June 30, 2022, we have originated approximately $22.0 billion aggregate principal amount of investments and retained approximately $8.7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89" w:lineRule="exact"/>
        <w:rPr>
          <w:sz w:val="20"/>
          <w:szCs w:val="20"/>
          <w:color w:val="auto"/>
        </w:rPr>
      </w:pPr>
    </w:p>
    <w:p>
      <w:pPr>
        <w:ind w:right="80" w:firstLine="255"/>
        <w:spacing w:after="0" w:line="243"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June 30, 2022, our core portfolio companies, which exclude certain investments that fall outside of our typical borrower profile and represent 89.0% of our total investments based on fair value, had weighted average annual revenue of $140.0 million and weighted average annual EBITDA of $33.8 million.</w:t>
      </w:r>
    </w:p>
    <w:p>
      <w:pPr>
        <w:spacing w:after="0" w:line="188" w:lineRule="exact"/>
        <w:rPr>
          <w:sz w:val="20"/>
          <w:szCs w:val="20"/>
          <w:color w:val="auto"/>
        </w:rPr>
      </w:pPr>
    </w:p>
    <w:p>
      <w:pPr>
        <w:ind w:firstLine="255"/>
        <w:spacing w:after="0" w:line="241"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9" w:lineRule="exact"/>
        <w:rPr>
          <w:sz w:val="20"/>
          <w:szCs w:val="20"/>
          <w:color w:val="auto"/>
        </w:rPr>
      </w:pPr>
    </w:p>
    <w:p>
      <w:pPr>
        <w:jc w:val="both"/>
        <w:ind w:right="120" w:firstLine="255"/>
        <w:spacing w:after="0" w:line="248"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82" w:lineRule="exact"/>
        <w:rPr>
          <w:sz w:val="20"/>
          <w:szCs w:val="20"/>
          <w:color w:val="auto"/>
        </w:rPr>
      </w:pPr>
    </w:p>
    <w:p>
      <w:pPr>
        <w:ind w:right="40" w:firstLine="255"/>
        <w:spacing w:after="0" w:line="291"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As of June 30, 2022, the largest single investment based on fair value represented 3.4% of our total investment portfolio.</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2022, the average investment size in each of our portfolio companies was approximately $27.0 million based on fair value.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48" w:name="page49"/>
    <w:bookmarkEnd w:id="48"/>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23" w:lineRule="exact"/>
        <w:rPr>
          <w:sz w:val="20"/>
          <w:szCs w:val="20"/>
          <w:color w:val="auto"/>
        </w:rPr>
      </w:pPr>
    </w:p>
    <w:p>
      <w:pPr>
        <w:ind w:right="40" w:firstLine="255"/>
        <w:spacing w:after="0" w:line="243"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8" w:lineRule="exact"/>
        <w:rPr>
          <w:sz w:val="20"/>
          <w:szCs w:val="20"/>
          <w:color w:val="auto"/>
        </w:rPr>
      </w:pPr>
    </w:p>
    <w:p>
      <w:pPr>
        <w:ind w:right="80" w:firstLine="255"/>
        <w:spacing w:after="0" w:line="248"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2022, the largest industry represented 14.7% of our total investment portfolio based on fair value.</w:t>
      </w:r>
    </w:p>
    <w:p>
      <w:pPr>
        <w:spacing w:after="0" w:line="212" w:lineRule="exact"/>
        <w:rPr>
          <w:sz w:val="20"/>
          <w:szCs w:val="20"/>
          <w:color w:val="auto"/>
        </w:rPr>
      </w:pPr>
    </w:p>
    <w:p>
      <w:pPr>
        <w:ind w:firstLine="255"/>
        <w:spacing w:after="0" w:line="255"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June 30, 2022, approximately 92.1%</w:t>
      </w:r>
      <w:r>
        <w:rPr>
          <w:rFonts w:ascii="Arial" w:cs="Arial" w:eastAsia="Arial" w:hAnsi="Arial"/>
          <w:sz w:val="17"/>
          <w:szCs w:val="17"/>
          <w:i w:val="1"/>
          <w:iCs w:val="1"/>
          <w:color w:val="auto"/>
        </w:rPr>
        <w:t xml:space="preserve"> </w:t>
      </w:r>
      <w:r>
        <w:rPr>
          <w:rFonts w:ascii="Arial" w:cs="Arial" w:eastAsia="Arial" w:hAnsi="Arial"/>
          <w:sz w:val="17"/>
          <w:szCs w:val="17"/>
          <w:color w:val="auto"/>
        </w:rPr>
        <w:t>of our portfolio was invested in secured debt, including 90.5%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June 30, 2022, the weighted average term on new investment commitments in new portfolio companies was 5.7 years.</w:t>
      </w:r>
    </w:p>
    <w:p>
      <w:pPr>
        <w:spacing w:after="0" w:line="180" w:lineRule="exact"/>
        <w:rPr>
          <w:sz w:val="20"/>
          <w:szCs w:val="20"/>
          <w:color w:val="auto"/>
        </w:rPr>
      </w:pPr>
    </w:p>
    <w:p>
      <w:pPr>
        <w:ind w:right="180" w:firstLine="255"/>
        <w:spacing w:after="0" w:line="261"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1" w:lineRule="exact"/>
        <w:rPr>
          <w:sz w:val="20"/>
          <w:szCs w:val="20"/>
          <w:color w:val="auto"/>
        </w:rPr>
      </w:pPr>
    </w:p>
    <w:p>
      <w:pPr>
        <w:ind w:right="60" w:firstLine="255"/>
        <w:spacing w:after="0" w:line="241" w:lineRule="auto"/>
        <w:rPr>
          <w:sz w:val="20"/>
          <w:szCs w:val="20"/>
          <w:color w:val="auto"/>
        </w:rPr>
      </w:pPr>
      <w:r>
        <w:rPr>
          <w:rFonts w:ascii="Arial" w:cs="Arial" w:eastAsia="Arial" w:hAnsi="Arial"/>
          <w:sz w:val="18"/>
          <w:szCs w:val="18"/>
          <w:i w:val="1"/>
          <w:iCs w:val="1"/>
          <w:color w:val="auto"/>
        </w:rPr>
        <w:t xml:space="preserve">Risk Mitigation. </w:t>
      </w:r>
      <w:r>
        <w:rPr>
          <w:rFonts w:ascii="Arial" w:cs="Arial" w:eastAsia="Arial" w:hAnsi="Arial"/>
          <w:sz w:val="18"/>
          <w:szCs w:val="18"/>
          <w:color w:val="auto"/>
        </w:rPr>
        <w:t>We seek to mitigate non-credit-related risk on our returns in several ways, including call protection provisions to protect future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As of June 30, 2022, we had call protection on 81.3% of our debt investments based on fair value, with weighted average call prices of 107.4% for the first year, 104.1% for the second year and 101.2% for the third year, in each case from the date of the initial investment. As of June 30, 2022, 99.2% of our debt investments based on fair value bore interest at floating rates, with 100.0% of these subject to interest rate floors, which we believe helps act as a portfolio-wide hedge against inflation.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and Sixth Street</w:t>
      </w:r>
    </w:p>
    <w:p>
      <w:pPr>
        <w:spacing w:after="0" w:line="104" w:lineRule="exact"/>
        <w:rPr>
          <w:sz w:val="20"/>
          <w:szCs w:val="20"/>
          <w:color w:val="auto"/>
        </w:rPr>
      </w:pPr>
    </w:p>
    <w:p>
      <w:pPr>
        <w:ind w:right="280" w:firstLine="255"/>
        <w:spacing w:after="0"/>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89" w:lineRule="exact"/>
        <w:rPr>
          <w:sz w:val="20"/>
          <w:szCs w:val="20"/>
          <w:color w:val="auto"/>
        </w:rPr>
      </w:pPr>
    </w:p>
    <w:p>
      <w:pPr>
        <w:ind w:right="60" w:firstLine="255"/>
        <w:spacing w:after="0" w:line="270" w:lineRule="auto"/>
        <w:rPr>
          <w:sz w:val="20"/>
          <w:szCs w:val="20"/>
          <w:color w:val="auto"/>
        </w:rPr>
      </w:pPr>
      <w:r>
        <w:rPr>
          <w:rFonts w:ascii="Arial" w:cs="Arial" w:eastAsia="Arial" w:hAnsi="Arial"/>
          <w:sz w:val="16"/>
          <w:szCs w:val="16"/>
          <w:color w:val="auto"/>
        </w:rPr>
        <w:t>Sixth Street is a global investment business with over $60 billion of assets under management as of June 30, 2022.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370 investment and operating professionals. As of June 30, 2022, thirty-five (35) of these personnel are dedicated to our business, including twenty-eight (28) investment professionals.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9" w:name="page50"/>
    <w:bookmarkEnd w:id="49"/>
    <w:p>
      <w:pPr>
        <w:ind w:right="20" w:firstLine="255"/>
        <w:spacing w:after="0" w:line="257" w:lineRule="auto"/>
        <w:rPr>
          <w:sz w:val="20"/>
          <w:szCs w:val="20"/>
          <w:color w:val="auto"/>
        </w:rPr>
      </w:pPr>
      <w:r>
        <w:rPr>
          <w:rFonts w:ascii="Arial" w:cs="Arial" w:eastAsia="Arial" w:hAnsi="Arial"/>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5" w:lineRule="exact"/>
        <w:rPr>
          <w:sz w:val="20"/>
          <w:szCs w:val="20"/>
          <w:color w:val="auto"/>
        </w:rPr>
      </w:pPr>
    </w:p>
    <w:p>
      <w:pPr>
        <w:ind w:firstLine="255"/>
        <w:spacing w:after="0" w:line="253" w:lineRule="auto"/>
        <w:rPr>
          <w:sz w:val="20"/>
          <w:szCs w:val="20"/>
          <w:color w:val="auto"/>
        </w:rPr>
      </w:pPr>
      <w:r>
        <w:rPr>
          <w:rFonts w:ascii="Arial" w:cs="Arial" w:eastAsia="Arial" w:hAnsi="Arial"/>
          <w:sz w:val="17"/>
          <w:szCs w:val="17"/>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July 8, 2022, the SEC issued a notice of the new application providing that an order granting the exemptive relief described in the new application will be granted unless the SEC orders a hearing on or prior to August 2, 2022. Although a notice for a new order has been issued, there can be no assurance when or if the SEC will grant the new order in response to our application, particularly in the event a public hearing is requested or required at the SEC prior to any formal action on our application. Until such time a new order is granted, we will continue to operate under the terms of our current exemptive order.</w:t>
      </w:r>
    </w:p>
    <w:p>
      <w:pPr>
        <w:spacing w:after="0" w:line="180" w:lineRule="exact"/>
        <w:rPr>
          <w:sz w:val="20"/>
          <w:szCs w:val="20"/>
          <w:color w:val="auto"/>
        </w:rPr>
      </w:pPr>
    </w:p>
    <w:p>
      <w:pPr>
        <w:ind w:firstLine="255"/>
        <w:spacing w:after="0" w:line="243" w:lineRule="auto"/>
        <w:rPr>
          <w:sz w:val="20"/>
          <w:szCs w:val="20"/>
          <w:color w:val="auto"/>
        </w:rPr>
      </w:pPr>
      <w:r>
        <w:rPr>
          <w:rFonts w:ascii="Arial" w:cs="Arial" w:eastAsia="Arial" w:hAnsi="Arial"/>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8" w:lineRule="exact"/>
        <w:rPr>
          <w:sz w:val="20"/>
          <w:szCs w:val="20"/>
          <w:color w:val="auto"/>
        </w:rPr>
      </w:pPr>
    </w:p>
    <w:p>
      <w:pPr>
        <w:jc w:val="both"/>
        <w:ind w:right="20" w:firstLine="255"/>
        <w:spacing w:after="0" w:line="294"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7" w:lineRule="exact"/>
        <w:rPr>
          <w:sz w:val="20"/>
          <w:szCs w:val="20"/>
          <w:color w:val="auto"/>
        </w:rPr>
      </w:pPr>
    </w:p>
    <w:p>
      <w:pPr>
        <w:ind w:right="340" w:firstLine="255"/>
        <w:spacing w:after="0" w:line="243"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198" w:lineRule="exact"/>
        <w:rPr>
          <w:sz w:val="20"/>
          <w:szCs w:val="20"/>
          <w:color w:val="auto"/>
        </w:rPr>
      </w:pPr>
    </w:p>
    <w:p>
      <w:pPr>
        <w:ind w:right="60" w:firstLine="255"/>
        <w:spacing w:after="0" w:line="276"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08" w:lineRule="exact"/>
        <w:rPr>
          <w:sz w:val="20"/>
          <w:szCs w:val="20"/>
          <w:color w:val="auto"/>
        </w:rPr>
      </w:pPr>
    </w:p>
    <w:p>
      <w:pPr>
        <w:ind w:right="280" w:firstLine="255"/>
        <w:spacing w:after="0" w:line="246"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firstLine="255"/>
        <w:spacing w:after="0" w:line="261"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June 30, 2022, 99.2% of these investments based on fair value bore interest at a floating rate, with 100.0% of these subject to interest rate floors. Interest on debt investments is generally payable quarterly or semiannually. Some of our debt investments provide for deferred interest payments or PIK interest. For the three months ended June 30, 2022, 5.2% of our total investment income was comprised of PIK interest.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0" w:name="page51"/>
    <w:bookmarkEnd w:id="50"/>
    <w:p>
      <w:pPr>
        <w:ind w:right="140" w:firstLine="255"/>
        <w:spacing w:after="0" w:line="272" w:lineRule="auto"/>
        <w:rPr>
          <w:sz w:val="20"/>
          <w:szCs w:val="20"/>
          <w:color w:val="auto"/>
        </w:rPr>
      </w:pPr>
      <w:r>
        <w:rPr>
          <w:rFonts w:ascii="Arial" w:cs="Arial" w:eastAsia="Arial" w:hAnsi="Arial"/>
          <w:sz w:val="16"/>
          <w:szCs w:val="16"/>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2022 Convertible Notes, 2023 Notes, 2024 Notes and 2026 Notes, after taking into account the effect of the interest rate swaps we have entered into in connection with these securities, all bear interest at floating rates. Macro trends in base interest rates like LIBOR or other reference rates may affect our net investment income over the long term. However, because we generally originate loans to a limited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68" w:lineRule="exact"/>
        <w:rPr>
          <w:sz w:val="20"/>
          <w:szCs w:val="20"/>
          <w:color w:val="auto"/>
        </w:rPr>
      </w:pPr>
    </w:p>
    <w:p>
      <w:pPr>
        <w:ind w:right="40" w:firstLine="255"/>
        <w:spacing w:after="0" w:line="279"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59" w:lineRule="exact"/>
        <w:rPr>
          <w:sz w:val="20"/>
          <w:szCs w:val="20"/>
          <w:color w:val="auto"/>
        </w:rPr>
      </w:pPr>
    </w:p>
    <w:p>
      <w:pPr>
        <w:ind w:firstLine="255"/>
        <w:spacing w:after="0" w:line="259" w:lineRule="auto"/>
        <w:rPr>
          <w:sz w:val="20"/>
          <w:szCs w:val="20"/>
          <w:color w:val="auto"/>
        </w:rPr>
      </w:pPr>
      <w:r>
        <w:rPr>
          <w:rFonts w:ascii="Arial" w:cs="Arial" w:eastAsia="Arial" w:hAnsi="Arial"/>
          <w:sz w:val="17"/>
          <w:szCs w:val="17"/>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74" w:lineRule="exact"/>
        <w:rPr>
          <w:sz w:val="20"/>
          <w:szCs w:val="20"/>
          <w:color w:val="auto"/>
        </w:rPr>
      </w:pPr>
    </w:p>
    <w:p>
      <w:pPr>
        <w:ind w:right="140" w:firstLine="255"/>
        <w:spacing w:after="0" w:line="261"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1" w:lineRule="exact"/>
        <w:rPr>
          <w:sz w:val="20"/>
          <w:szCs w:val="20"/>
          <w:color w:val="auto"/>
        </w:rPr>
      </w:pPr>
    </w:p>
    <w:p>
      <w:pPr>
        <w:ind w:right="260" w:firstLine="255"/>
        <w:spacing w:after="0" w:line="243"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04" w:lineRule="exact"/>
        <w:rPr>
          <w:sz w:val="20"/>
          <w:szCs w:val="20"/>
          <w:color w:val="auto"/>
        </w:rPr>
      </w:pPr>
    </w:p>
    <w:p>
      <w:pPr>
        <w:ind w:right="120" w:firstLine="255"/>
        <w:spacing w:after="0" w:line="248"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4" w:lineRule="exact"/>
        <w:rPr>
          <w:sz w:val="20"/>
          <w:szCs w:val="20"/>
          <w:color w:val="auto"/>
        </w:rPr>
      </w:pPr>
    </w:p>
    <w:p>
      <w:pPr>
        <w:ind w:left="520" w:hanging="257"/>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03" w:lineRule="exact"/>
        <w:rPr>
          <w:rFonts w:ascii="Arial" w:cs="Arial" w:eastAsia="Arial" w:hAnsi="Arial"/>
          <w:sz w:val="18"/>
          <w:szCs w:val="18"/>
          <w:color w:val="auto"/>
        </w:rPr>
      </w:pPr>
    </w:p>
    <w:p>
      <w:pPr>
        <w:ind w:left="520" w:right="300" w:hanging="257"/>
        <w:spacing w:after="0" w:line="248"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7"/>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03" w:lineRule="exact"/>
        <w:rPr>
          <w:rFonts w:ascii="Arial" w:cs="Arial" w:eastAsia="Arial" w:hAnsi="Arial"/>
          <w:sz w:val="18"/>
          <w:szCs w:val="18"/>
          <w:color w:val="auto"/>
        </w:rPr>
      </w:pPr>
    </w:p>
    <w:p>
      <w:pPr>
        <w:ind w:left="520" w:right="60" w:hanging="257"/>
        <w:spacing w:after="0" w:line="241"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provide operational and administrative services to us pursuant to the Administration Agreement (based on the percentage of time those individuals devote, on an estimated basis, to our business and affairs);</w:t>
      </w:r>
    </w:p>
    <w:p>
      <w:pPr>
        <w:spacing w:after="0" w:line="81" w:lineRule="exact"/>
        <w:rPr>
          <w:rFonts w:ascii="Arial" w:cs="Arial" w:eastAsia="Arial" w:hAnsi="Arial"/>
          <w:sz w:val="18"/>
          <w:szCs w:val="18"/>
          <w:color w:val="auto"/>
        </w:rPr>
      </w:pPr>
    </w:p>
    <w:p>
      <w:pPr>
        <w:ind w:left="520" w:hanging="257"/>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 w:name="page52"/>
    <w:bookmarkEnd w:id="51"/>
    <w:p>
      <w:pPr>
        <w:ind w:left="520" w:hanging="257"/>
        <w:spacing w:after="0"/>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15" w:lineRule="exact"/>
        <w:rPr>
          <w:rFonts w:ascii="Arial" w:cs="Arial" w:eastAsia="Arial" w:hAnsi="Arial"/>
          <w:sz w:val="17"/>
          <w:szCs w:val="17"/>
          <w:color w:val="auto"/>
        </w:rPr>
      </w:pPr>
    </w:p>
    <w:p>
      <w:pPr>
        <w:ind w:left="520" w:hanging="257"/>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taxes;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03" w:lineRule="exact"/>
        <w:rPr>
          <w:rFonts w:ascii="Arial" w:cs="Arial" w:eastAsia="Arial" w:hAnsi="Arial"/>
          <w:sz w:val="18"/>
          <w:szCs w:val="18"/>
          <w:color w:val="auto"/>
        </w:rPr>
      </w:pPr>
    </w:p>
    <w:p>
      <w:pPr>
        <w:ind w:left="520" w:right="120" w:hanging="257"/>
        <w:spacing w:after="0" w:line="324" w:lineRule="auto"/>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6" w:lineRule="exact"/>
        <w:rPr>
          <w:rFonts w:ascii="Arial" w:cs="Arial" w:eastAsia="Arial" w:hAnsi="Arial"/>
          <w:sz w:val="16"/>
          <w:szCs w:val="16"/>
          <w:color w:val="auto"/>
        </w:rPr>
      </w:pPr>
    </w:p>
    <w:p>
      <w:pPr>
        <w:ind w:left="520" w:hanging="257"/>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12" w:lineRule="exact"/>
        <w:rPr>
          <w:sz w:val="20"/>
          <w:szCs w:val="20"/>
          <w:color w:val="auto"/>
        </w:rPr>
      </w:pPr>
    </w:p>
    <w:p>
      <w:pPr>
        <w:ind w:right="140" w:firstLine="255"/>
        <w:spacing w:after="0" w:line="261"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04" w:lineRule="exact"/>
        <w:rPr>
          <w:sz w:val="20"/>
          <w:szCs w:val="20"/>
          <w:color w:val="auto"/>
        </w:rPr>
      </w:pPr>
    </w:p>
    <w:p>
      <w:pPr>
        <w:ind w:right="80" w:firstLine="255"/>
        <w:spacing w:after="0"/>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04" w:lineRule="exact"/>
        <w:rPr>
          <w:sz w:val="20"/>
          <w:szCs w:val="20"/>
          <w:color w:val="auto"/>
        </w:rPr>
      </w:pPr>
    </w:p>
    <w:p>
      <w:pPr>
        <w:ind w:right="100" w:firstLine="255"/>
        <w:spacing w:after="0" w:line="248"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82" w:lineRule="exact"/>
        <w:rPr>
          <w:sz w:val="20"/>
          <w:szCs w:val="20"/>
          <w:color w:val="auto"/>
        </w:rPr>
      </w:pPr>
    </w:p>
    <w:p>
      <w:pPr>
        <w:ind w:firstLine="255"/>
        <w:spacing w:after="0" w:line="262" w:lineRule="auto"/>
        <w:rPr>
          <w:sz w:val="20"/>
          <w:szCs w:val="20"/>
          <w:color w:val="auto"/>
        </w:rPr>
      </w:pPr>
      <w:r>
        <w:rPr>
          <w:rFonts w:ascii="Arial" w:cs="Arial" w:eastAsia="Arial" w:hAnsi="Arial"/>
          <w:sz w:val="17"/>
          <w:szCs w:val="17"/>
          <w:color w:val="auto"/>
        </w:rPr>
        <w:t>Subsequent to the global financial crisis, the implementation of regulatory changes such as Basel III requirements, Leverage Lending Guidance, and the Volker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72" w:lineRule="exact"/>
        <w:rPr>
          <w:sz w:val="20"/>
          <w:szCs w:val="20"/>
          <w:color w:val="auto"/>
        </w:rPr>
      </w:pPr>
    </w:p>
    <w:p>
      <w:pPr>
        <w:jc w:val="both"/>
        <w:ind w:right="180" w:firstLine="255"/>
        <w:spacing w:after="0" w:line="243" w:lineRule="auto"/>
        <w:rPr>
          <w:sz w:val="20"/>
          <w:szCs w:val="20"/>
          <w:color w:val="auto"/>
        </w:rPr>
      </w:pPr>
      <w:r>
        <w:rPr>
          <w:rFonts w:ascii="Arial" w:cs="Arial" w:eastAsia="Arial" w:hAnsi="Arial"/>
          <w:sz w:val="18"/>
          <w:szCs w:val="18"/>
          <w:color w:val="auto"/>
        </w:rPr>
        <w:t>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p>
    <w:p>
      <w:pPr>
        <w:spacing w:after="0" w:line="188" w:lineRule="exact"/>
        <w:rPr>
          <w:sz w:val="20"/>
          <w:szCs w:val="20"/>
          <w:color w:val="auto"/>
        </w:rPr>
      </w:pPr>
    </w:p>
    <w:p>
      <w:pPr>
        <w:ind w:firstLine="255"/>
        <w:spacing w:after="0" w:line="284"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52" w:name="page53"/>
    <w:bookmarkEnd w:id="52"/>
    <w:p>
      <w:pPr>
        <w:ind w:firstLine="255"/>
        <w:spacing w:after="0" w:line="254" w:lineRule="auto"/>
        <w:rPr>
          <w:sz w:val="20"/>
          <w:szCs w:val="20"/>
          <w:color w:val="auto"/>
        </w:rPr>
      </w:pPr>
      <w:r>
        <w:rPr>
          <w:rFonts w:ascii="Arial" w:cs="Arial" w:eastAsia="Arial" w:hAnsi="Arial"/>
          <w:sz w:val="17"/>
          <w:szCs w:val="17"/>
          <w:color w:val="auto"/>
        </w:rPr>
        <w:t>In late 2019 and early 2020, the novel coronavirus SARS-CoV-2 and related respiratory disease COVID-19 spread rapidly across the world, including to the United States. This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The federal government and the Federal Reserve, as well as foreign governments and central banks, have implemented significant fiscal and monetary policies in response to these disruptions, and additional government and regulatory responses may be possible. It is currently impossible to determine the scope of this or any future outbreak, how long any such outbreak and market disruption, volatility or uncertainty may last, the effect any governmental actions and changes in base interest rates will have or the full potential impact on us, our industry and our portfolio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08" w:lineRule="exact"/>
        <w:rPr>
          <w:sz w:val="20"/>
          <w:szCs w:val="20"/>
          <w:color w:val="auto"/>
        </w:rPr>
      </w:pPr>
    </w:p>
    <w:p>
      <w:pPr>
        <w:jc w:val="both"/>
        <w:ind w:right="240" w:firstLine="255"/>
        <w:spacing w:after="0" w:line="270" w:lineRule="auto"/>
        <w:rPr>
          <w:sz w:val="20"/>
          <w:szCs w:val="20"/>
          <w:color w:val="auto"/>
        </w:rPr>
      </w:pPr>
      <w:r>
        <w:rPr>
          <w:rFonts w:ascii="Arial" w:cs="Arial" w:eastAsia="Arial" w:hAnsi="Arial"/>
          <w:sz w:val="17"/>
          <w:szCs w:val="17"/>
          <w:color w:val="auto"/>
        </w:rPr>
        <w:t>As of June 30, 2022, our portfolio based on fair value consisted of 90.5% first-lien debt investments, 1.6% second-lien investments, 0.4% mezzanine debt investments, and 7.5% equity and other investments. As of December 31, 2021, our portfolio based on fair value consisted of 91.2% first-lien debt investments, 1.7% second-lien debt investments, 0.7% mezzanine debt investments, and 6.4% equity and other investments.</w:t>
      </w:r>
    </w:p>
    <w:p>
      <w:pPr>
        <w:spacing w:after="0" w:line="164" w:lineRule="exact"/>
        <w:rPr>
          <w:sz w:val="20"/>
          <w:szCs w:val="20"/>
          <w:color w:val="auto"/>
        </w:rPr>
      </w:pPr>
    </w:p>
    <w:p>
      <w:pPr>
        <w:ind w:right="300" w:firstLine="255"/>
        <w:spacing w:after="0" w:line="294" w:lineRule="auto"/>
        <w:rPr>
          <w:sz w:val="20"/>
          <w:szCs w:val="20"/>
          <w:color w:val="auto"/>
        </w:rPr>
      </w:pPr>
      <w:r>
        <w:rPr>
          <w:rFonts w:ascii="Arial" w:cs="Arial" w:eastAsia="Arial" w:hAnsi="Arial"/>
          <w:sz w:val="16"/>
          <w:szCs w:val="16"/>
          <w:color w:val="auto"/>
        </w:rPr>
        <w:t>As of June 30, 2022 and December 31, 2021, our weighted average total yield of debt and income-producing securities at fair value (which includes interest income and amortization of fees and discounts) was 10.9% and 10.0%, respectively, and our weighted average total yield of debt and income-producing securities at amortized cost (which includes interest income and amortization of fees and discounts) was 10.9% and 10.2%, respectively.</w:t>
      </w:r>
    </w:p>
    <w:p>
      <w:pPr>
        <w:spacing w:after="0" w:line="147" w:lineRule="exact"/>
        <w:rPr>
          <w:sz w:val="20"/>
          <w:szCs w:val="20"/>
          <w:color w:val="auto"/>
        </w:rPr>
      </w:pPr>
    </w:p>
    <w:p>
      <w:pPr>
        <w:ind w:right="580" w:firstLine="255"/>
        <w:spacing w:after="0" w:line="261" w:lineRule="auto"/>
        <w:rPr>
          <w:sz w:val="20"/>
          <w:szCs w:val="20"/>
          <w:color w:val="auto"/>
        </w:rPr>
      </w:pPr>
      <w:r>
        <w:rPr>
          <w:rFonts w:ascii="Arial" w:cs="Arial" w:eastAsia="Arial" w:hAnsi="Arial"/>
          <w:sz w:val="18"/>
          <w:szCs w:val="18"/>
          <w:color w:val="auto"/>
        </w:rPr>
        <w:t>As of June 30, 2022 and December 31, 2021, we had investments in 94 and 72 portfolio companies, respectively, with an aggregate fair value of $2,536.4 million and $2,521.6 million, respectively.</w:t>
      </w:r>
    </w:p>
    <w:p>
      <w:pPr>
        <w:spacing w:after="0" w:line="171" w:lineRule="exact"/>
        <w:rPr>
          <w:sz w:val="20"/>
          <w:szCs w:val="20"/>
          <w:color w:val="auto"/>
        </w:rPr>
      </w:pPr>
    </w:p>
    <w:p>
      <w:pPr>
        <w:ind w:right="180" w:firstLine="255"/>
        <w:spacing w:after="0" w:line="291" w:lineRule="auto"/>
        <w:rPr>
          <w:sz w:val="20"/>
          <w:szCs w:val="20"/>
          <w:color w:val="auto"/>
        </w:rPr>
      </w:pPr>
      <w:r>
        <w:rPr>
          <w:rFonts w:ascii="Arial" w:cs="Arial" w:eastAsia="Arial" w:hAnsi="Arial"/>
          <w:sz w:val="17"/>
          <w:szCs w:val="17"/>
          <w:color w:val="auto"/>
        </w:rPr>
        <w:t>For the three months ended June 30, 2022, the principal amount of new investments funded was $324.8 million in thirty new portfolio companies and two existing portfolio companies. For this period, we had $212.0 million aggregate principal amount in exits and repayments.</w:t>
      </w:r>
    </w:p>
    <w:p>
      <w:pPr>
        <w:spacing w:after="0" w:line="147" w:lineRule="exact"/>
        <w:rPr>
          <w:sz w:val="20"/>
          <w:szCs w:val="20"/>
          <w:color w:val="auto"/>
        </w:rPr>
      </w:pPr>
    </w:p>
    <w:p>
      <w:pPr>
        <w:ind w:right="160" w:firstLine="255"/>
        <w:spacing w:after="0" w:line="291" w:lineRule="auto"/>
        <w:rPr>
          <w:sz w:val="20"/>
          <w:szCs w:val="20"/>
          <w:color w:val="auto"/>
        </w:rPr>
      </w:pPr>
      <w:r>
        <w:rPr>
          <w:rFonts w:ascii="Arial" w:cs="Arial" w:eastAsia="Arial" w:hAnsi="Arial"/>
          <w:sz w:val="17"/>
          <w:szCs w:val="17"/>
          <w:color w:val="auto"/>
        </w:rPr>
        <w:t>For the three months ended June 30, 2021, the principal amount of new investments funded was $265.2 million in seven new portfolio companies and eight existing portfolio companies. For this period, we had $107.8 million aggregate principal amount in exits and repayments.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3" w:name="page54"/>
    <w:bookmarkEnd w:id="53"/>
    <w:p>
      <w:pPr>
        <w:ind w:right="440" w:firstLine="255"/>
        <w:spacing w:after="0" w:line="261" w:lineRule="auto"/>
        <w:rPr>
          <w:sz w:val="20"/>
          <w:szCs w:val="20"/>
          <w:color w:val="auto"/>
        </w:rPr>
      </w:pPr>
      <w:r>
        <w:rPr>
          <w:rFonts w:ascii="Arial" w:cs="Arial" w:eastAsia="Arial" w:hAnsi="Arial"/>
          <w:sz w:val="18"/>
          <w:szCs w:val="18"/>
          <w:color w:val="auto"/>
        </w:rPr>
        <w:t>Our investment activity for the three months ended June 30, 2022 and 2021 is presented below (information presented herein is at par value unless otherwise indicated).</w:t>
      </w:r>
    </w:p>
    <w:p>
      <w:pPr>
        <w:spacing w:after="0" w:line="162" w:lineRule="exact"/>
        <w:rPr>
          <w:sz w:val="20"/>
          <w:szCs w:val="20"/>
          <w:color w:val="auto"/>
        </w:rPr>
      </w:pPr>
    </w:p>
    <w:tbl>
      <w:tblPr>
        <w:tblLayout w:type="fixed"/>
        <w:tblInd w:w="260" w:type="dxa"/>
        <w:tblCellMar>
          <w:top w:w="0" w:type="dxa"/>
          <w:left w:w="0" w:type="dxa"/>
          <w:bottom w:w="0" w:type="dxa"/>
          <w:right w:w="0" w:type="dxa"/>
        </w:tblCellMar>
      </w:tblPr>
      <w:tr>
        <w:trPr>
          <w:trHeight w:val="185"/>
        </w:trPr>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 in millions)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4"/>
                <w:szCs w:val="14"/>
                <w:color w:val="auto"/>
              </w:rPr>
            </w:pPr>
          </w:p>
        </w:tc>
        <w:tc>
          <w:tcPr>
            <w:tcW w:w="134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rPr>
              <w:t>June 30, 2021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40" w:type="dxa"/>
            <w:vAlign w:val="bottom"/>
          </w:tcPr>
          <w:p>
            <w:pPr>
              <w:ind w:left="180"/>
              <w:spacing w:after="0" w:line="202" w:lineRule="exact"/>
              <w:rPr>
                <w:sz w:val="20"/>
                <w:szCs w:val="20"/>
                <w:color w:val="auto"/>
              </w:rPr>
            </w:pPr>
            <w:r>
              <w:rPr>
                <w:rFonts w:ascii="Arial" w:cs="Arial" w:eastAsia="Arial" w:hAnsi="Arial"/>
                <w:sz w:val="18"/>
                <w:szCs w:val="18"/>
                <w:color w:val="auto"/>
              </w:rPr>
              <w:t>Gross originations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ind w:right="348"/>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1,569.3</w:t>
            </w:r>
          </w:p>
        </w:tc>
        <w:tc>
          <w:tcPr>
            <w:tcW w:w="58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660.3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Less: Syndications/sell downs</w:t>
            </w:r>
          </w:p>
        </w:tc>
        <w:tc>
          <w:tcPr>
            <w:tcW w:w="2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1,190.4</w:t>
            </w:r>
          </w:p>
        </w:tc>
        <w:tc>
          <w:tcPr>
            <w:tcW w:w="1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357.2</w:t>
            </w:r>
          </w:p>
        </w:tc>
        <w:tc>
          <w:tcPr>
            <w:tcW w:w="80" w:type="dxa"/>
            <w:vAlign w:val="bottom"/>
            <w:tcBorders>
              <w:bottom w:val="single" w:sz="8" w:color="CFF0FC"/>
            </w:tcBorders>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40" w:type="dxa"/>
            <w:vAlign w:val="bottom"/>
          </w:tcPr>
          <w:p>
            <w:pPr>
              <w:ind w:left="360"/>
              <w:spacing w:after="0" w:line="196" w:lineRule="exact"/>
              <w:rPr>
                <w:sz w:val="20"/>
                <w:szCs w:val="20"/>
                <w:color w:val="auto"/>
              </w:rPr>
            </w:pPr>
            <w:r>
              <w:rPr>
                <w:rFonts w:ascii="Arial" w:cs="Arial" w:eastAsia="Arial" w:hAnsi="Arial"/>
                <w:sz w:val="18"/>
                <w:szCs w:val="18"/>
                <w:color w:val="auto"/>
              </w:rPr>
              <w:t>Total new investment commitments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ind w:right="348"/>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378.9</w:t>
            </w:r>
          </w:p>
        </w:tc>
        <w:tc>
          <w:tcPr>
            <w:tcW w:w="580" w:type="dxa"/>
            <w:vAlign w:val="bottom"/>
            <w:gridSpan w:val="2"/>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303.1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Principal amount of investments funded:</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40" w:type="dxa"/>
            <w:vAlign w:val="bottom"/>
          </w:tcPr>
          <w:p>
            <w:pPr>
              <w:ind w:left="180"/>
              <w:spacing w:after="0" w:line="202" w:lineRule="exact"/>
              <w:rPr>
                <w:sz w:val="20"/>
                <w:szCs w:val="20"/>
                <w:color w:val="auto"/>
              </w:rPr>
            </w:pPr>
            <w:r>
              <w:rPr>
                <w:rFonts w:ascii="Arial" w:cs="Arial" w:eastAsia="Arial" w:hAnsi="Arial"/>
                <w:sz w:val="18"/>
                <w:szCs w:val="18"/>
                <w:color w:val="auto"/>
              </w:rPr>
              <w:t>First-lien</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ind w:right="348"/>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267.5</w:t>
            </w:r>
          </w:p>
        </w:tc>
        <w:tc>
          <w:tcPr>
            <w:tcW w:w="58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243.8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Second-lien</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40" w:type="dxa"/>
            <w:vAlign w:val="bottom"/>
          </w:tcPr>
          <w:p>
            <w:pPr>
              <w:ind w:left="180"/>
              <w:spacing w:after="0" w:line="202" w:lineRule="exact"/>
              <w:rPr>
                <w:sz w:val="20"/>
                <w:szCs w:val="20"/>
                <w:color w:val="auto"/>
              </w:rPr>
            </w:pPr>
            <w:r>
              <w:rPr>
                <w:rFonts w:ascii="Arial" w:cs="Arial" w:eastAsia="Arial" w:hAnsi="Arial"/>
                <w:sz w:val="18"/>
                <w:szCs w:val="18"/>
                <w:color w:val="auto"/>
              </w:rPr>
              <w:t>Mezzanine</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Equity and other</w:t>
            </w:r>
          </w:p>
        </w:tc>
        <w:tc>
          <w:tcPr>
            <w:tcW w:w="2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57.3</w:t>
            </w:r>
          </w:p>
        </w:tc>
        <w:tc>
          <w:tcPr>
            <w:tcW w:w="1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17.4</w:t>
            </w:r>
          </w:p>
        </w:tc>
        <w:tc>
          <w:tcPr>
            <w:tcW w:w="80" w:type="dxa"/>
            <w:vAlign w:val="bottom"/>
            <w:tcBorders>
              <w:bottom w:val="single" w:sz="8" w:color="CFF0FC"/>
            </w:tcBorders>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40" w:type="dxa"/>
            <w:vAlign w:val="bottom"/>
          </w:tcPr>
          <w:p>
            <w:pPr>
              <w:ind w:left="360"/>
              <w:spacing w:after="0" w:line="196" w:lineRule="exact"/>
              <w:rPr>
                <w:sz w:val="20"/>
                <w:szCs w:val="20"/>
                <w:color w:val="auto"/>
              </w:rPr>
            </w:pPr>
            <w:r>
              <w:rPr>
                <w:rFonts w:ascii="Arial" w:cs="Arial" w:eastAsia="Arial" w:hAnsi="Arial"/>
                <w:sz w:val="18"/>
                <w:szCs w:val="18"/>
                <w:color w:val="auto"/>
              </w:rPr>
              <w:t>Total</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ind w:right="348"/>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324.8</w:t>
            </w:r>
          </w:p>
        </w:tc>
        <w:tc>
          <w:tcPr>
            <w:tcW w:w="580" w:type="dxa"/>
            <w:vAlign w:val="bottom"/>
            <w:gridSpan w:val="2"/>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265.2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w w:val="93"/>
              </w:rPr>
              <w:t>Principal amount of investments sold or repaid:</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40" w:type="dxa"/>
            <w:vAlign w:val="bottom"/>
          </w:tcPr>
          <w:p>
            <w:pPr>
              <w:ind w:left="180"/>
              <w:spacing w:after="0" w:line="202" w:lineRule="exact"/>
              <w:rPr>
                <w:sz w:val="20"/>
                <w:szCs w:val="20"/>
                <w:color w:val="auto"/>
              </w:rPr>
            </w:pPr>
            <w:r>
              <w:rPr>
                <w:rFonts w:ascii="Arial" w:cs="Arial" w:eastAsia="Arial" w:hAnsi="Arial"/>
                <w:sz w:val="18"/>
                <w:szCs w:val="18"/>
                <w:color w:val="auto"/>
              </w:rPr>
              <w:t>First-lien</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ind w:right="348"/>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211.6</w:t>
            </w:r>
          </w:p>
        </w:tc>
        <w:tc>
          <w:tcPr>
            <w:tcW w:w="58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101.2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Second-lien</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40" w:type="dxa"/>
            <w:vAlign w:val="bottom"/>
          </w:tcPr>
          <w:p>
            <w:pPr>
              <w:ind w:left="180"/>
              <w:spacing w:after="0" w:line="202" w:lineRule="exact"/>
              <w:rPr>
                <w:sz w:val="20"/>
                <w:szCs w:val="20"/>
                <w:color w:val="auto"/>
              </w:rPr>
            </w:pPr>
            <w:r>
              <w:rPr>
                <w:rFonts w:ascii="Arial" w:cs="Arial" w:eastAsia="Arial" w:hAnsi="Arial"/>
                <w:sz w:val="18"/>
                <w:szCs w:val="18"/>
                <w:color w:val="auto"/>
              </w:rPr>
              <w:t>Mezzanine</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Equity and other</w:t>
            </w:r>
          </w:p>
        </w:tc>
        <w:tc>
          <w:tcPr>
            <w:tcW w:w="2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0.4</w:t>
            </w:r>
          </w:p>
        </w:tc>
        <w:tc>
          <w:tcPr>
            <w:tcW w:w="1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80" w:type="dxa"/>
            <w:vAlign w:val="bottom"/>
            <w:tcBorders>
              <w:bottom w:val="single" w:sz="8" w:color="CFF0FC"/>
            </w:tcBorders>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40" w:type="dxa"/>
            <w:vAlign w:val="bottom"/>
          </w:tcPr>
          <w:p>
            <w:pPr>
              <w:ind w:left="360"/>
              <w:spacing w:after="0" w:line="196" w:lineRule="exact"/>
              <w:rPr>
                <w:sz w:val="20"/>
                <w:szCs w:val="20"/>
                <w:color w:val="auto"/>
              </w:rPr>
            </w:pPr>
            <w:r>
              <w:rPr>
                <w:rFonts w:ascii="Arial" w:cs="Arial" w:eastAsia="Arial" w:hAnsi="Arial"/>
                <w:sz w:val="18"/>
                <w:szCs w:val="18"/>
                <w:color w:val="auto"/>
              </w:rPr>
              <w:t>Total</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ind w:right="348"/>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212.0</w:t>
            </w:r>
          </w:p>
        </w:tc>
        <w:tc>
          <w:tcPr>
            <w:tcW w:w="580" w:type="dxa"/>
            <w:vAlign w:val="bottom"/>
            <w:gridSpan w:val="2"/>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107.8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40" w:type="dxa"/>
            <w:vAlign w:val="bottom"/>
            <w:shd w:val="clear" w:color="auto" w:fill="CFF0FC"/>
          </w:tcPr>
          <w:p>
            <w:pPr>
              <w:spacing w:after="0" w:line="156" w:lineRule="exact"/>
              <w:rPr>
                <w:sz w:val="20"/>
                <w:szCs w:val="20"/>
                <w:color w:val="auto"/>
              </w:rPr>
            </w:pPr>
            <w:r>
              <w:rPr>
                <w:rFonts w:ascii="Arial" w:cs="Arial" w:eastAsia="Arial" w:hAnsi="Arial"/>
                <w:sz w:val="18"/>
                <w:szCs w:val="18"/>
                <w:b w:val="1"/>
                <w:bCs w:val="1"/>
                <w:color w:val="auto"/>
              </w:rPr>
              <w:t>Number of new investment commitments in</w:t>
            </w: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2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40" w:type="dxa"/>
            <w:vAlign w:val="bottom"/>
          </w:tcPr>
          <w:p>
            <w:pPr>
              <w:spacing w:after="0" w:line="162" w:lineRule="exact"/>
              <w:rPr>
                <w:sz w:val="20"/>
                <w:szCs w:val="20"/>
                <w:color w:val="auto"/>
              </w:rPr>
            </w:pPr>
            <w:r>
              <w:rPr>
                <w:rFonts w:ascii="Arial" w:cs="Arial" w:eastAsia="Arial" w:hAnsi="Arial"/>
                <w:sz w:val="18"/>
                <w:szCs w:val="18"/>
                <w:b w:val="1"/>
                <w:bCs w:val="1"/>
                <w:color w:val="auto"/>
                <w:w w:val="92"/>
              </w:rPr>
              <w:t>Average new investment commitment amount in</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gridSpan w:val="2"/>
            <w:vMerge w:val="restart"/>
          </w:tcPr>
          <w:p>
            <w:pPr>
              <w:jc w:val="right"/>
              <w:ind w:right="348"/>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12.0</w:t>
            </w:r>
          </w:p>
        </w:tc>
        <w:tc>
          <w:tcPr>
            <w:tcW w:w="580" w:type="dxa"/>
            <w:vAlign w:val="bottom"/>
            <w:gridSpan w:val="2"/>
            <w:vMerge w:val="restart"/>
          </w:tcPr>
          <w:p>
            <w:pPr>
              <w:jc w:val="right"/>
              <w:ind w:right="22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40" w:type="dxa"/>
            <w:vAlign w:val="bottom"/>
            <w:shd w:val="clear" w:color="auto" w:fill="CFF0FC"/>
          </w:tcPr>
          <w:p>
            <w:pPr>
              <w:spacing w:after="0" w:line="162" w:lineRule="exact"/>
              <w:rPr>
                <w:sz w:val="20"/>
                <w:szCs w:val="20"/>
                <w:color w:val="auto"/>
              </w:rPr>
            </w:pPr>
            <w:r>
              <w:rPr>
                <w:rFonts w:ascii="Arial" w:cs="Arial" w:eastAsia="Arial" w:hAnsi="Arial"/>
                <w:sz w:val="18"/>
                <w:szCs w:val="18"/>
                <w:b w:val="1"/>
                <w:bCs w:val="1"/>
                <w:color w:val="auto"/>
              </w:rPr>
              <w:t>Weighted average term for new investment</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40" w:type="dxa"/>
            <w:vAlign w:val="bottom"/>
            <w:shd w:val="clear" w:color="auto" w:fill="CFF0FC"/>
          </w:tcPr>
          <w:p>
            <w:pPr>
              <w:ind w:left="140"/>
              <w:spacing w:after="0" w:line="176" w:lineRule="exact"/>
              <w:rPr>
                <w:sz w:val="20"/>
                <w:szCs w:val="20"/>
                <w:color w:val="auto"/>
              </w:rPr>
            </w:pPr>
            <w:r>
              <w:rPr>
                <w:rFonts w:ascii="Arial" w:cs="Arial" w:eastAsia="Arial" w:hAnsi="Arial"/>
                <w:sz w:val="18"/>
                <w:szCs w:val="18"/>
                <w:b w:val="1"/>
                <w:bCs w:val="1"/>
                <w:color w:val="auto"/>
              </w:rPr>
              <w:t>commitments in new portfolio companies</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2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40" w:type="dxa"/>
            <w:vAlign w:val="bottom"/>
          </w:tcPr>
          <w:p>
            <w:pPr>
              <w:spacing w:after="0" w:line="162" w:lineRule="exact"/>
              <w:rPr>
                <w:sz w:val="20"/>
                <w:szCs w:val="20"/>
                <w:color w:val="auto"/>
              </w:rPr>
            </w:pPr>
            <w:r>
              <w:rPr>
                <w:rFonts w:ascii="Arial" w:cs="Arial" w:eastAsia="Arial" w:hAnsi="Arial"/>
                <w:sz w:val="18"/>
                <w:szCs w:val="18"/>
                <w:b w:val="1"/>
                <w:bCs w:val="1"/>
                <w:color w:val="auto"/>
                <w:w w:val="90"/>
              </w:rPr>
              <w:t>Percentage of new debt investment commitments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8"/>
                <w:szCs w:val="18"/>
                <w:color w:val="auto"/>
              </w:rPr>
              <w:t>100.0 %</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restart"/>
          </w:tcPr>
          <w:p>
            <w:pPr>
              <w:jc w:val="right"/>
              <w:ind w:right="380"/>
              <w:spacing w:after="0"/>
              <w:rPr>
                <w:sz w:val="20"/>
                <w:szCs w:val="20"/>
                <w:color w:val="auto"/>
              </w:rPr>
            </w:pPr>
            <w:r>
              <w:rPr>
                <w:rFonts w:ascii="Arial" w:cs="Arial" w:eastAsia="Arial" w:hAnsi="Arial"/>
                <w:sz w:val="18"/>
                <w:szCs w:val="18"/>
                <w:color w:val="auto"/>
              </w:rPr>
              <w:t>98.2 %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Pr>
          <w:p>
            <w:pPr>
              <w:ind w:left="140"/>
              <w:spacing w:after="0"/>
              <w:rPr>
                <w:sz w:val="20"/>
                <w:szCs w:val="20"/>
                <w:color w:val="auto"/>
              </w:rPr>
            </w:pPr>
            <w:r>
              <w:rPr>
                <w:rFonts w:ascii="Arial" w:cs="Arial" w:eastAsia="Arial" w:hAnsi="Arial"/>
                <w:sz w:val="18"/>
                <w:szCs w:val="18"/>
                <w:b w:val="1"/>
                <w:bCs w:val="1"/>
                <w:color w:val="auto"/>
              </w:rPr>
              <w:t>at floating rates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40" w:type="dxa"/>
            <w:vAlign w:val="bottom"/>
          </w:tcPr>
          <w:p>
            <w:pPr>
              <w:spacing w:after="0" w:line="162" w:lineRule="exact"/>
              <w:rPr>
                <w:sz w:val="20"/>
                <w:szCs w:val="20"/>
                <w:color w:val="auto"/>
              </w:rPr>
            </w:pPr>
            <w:r>
              <w:rPr>
                <w:rFonts w:ascii="Arial" w:cs="Arial" w:eastAsia="Arial" w:hAnsi="Arial"/>
                <w:sz w:val="18"/>
                <w:szCs w:val="18"/>
                <w:b w:val="1"/>
                <w:bCs w:val="1"/>
                <w:color w:val="auto"/>
                <w:w w:val="90"/>
              </w:rPr>
              <w:t>Percentage of new debt investment commitments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restart"/>
          </w:tcPr>
          <w:p>
            <w:pPr>
              <w:jc w:val="right"/>
              <w:ind w:right="380"/>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Pr>
          <w:p>
            <w:pPr>
              <w:ind w:left="140"/>
              <w:spacing w:after="0"/>
              <w:rPr>
                <w:sz w:val="20"/>
                <w:szCs w:val="20"/>
                <w:color w:val="auto"/>
              </w:rPr>
            </w:pPr>
            <w:r>
              <w:rPr>
                <w:rFonts w:ascii="Arial" w:cs="Arial" w:eastAsia="Arial" w:hAnsi="Arial"/>
                <w:sz w:val="18"/>
                <w:szCs w:val="18"/>
                <w:b w:val="1"/>
                <w:bCs w:val="1"/>
                <w:color w:val="auto"/>
              </w:rPr>
              <w:t>at fixed rates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40" w:type="dxa"/>
            <w:vAlign w:val="bottom"/>
          </w:tcPr>
          <w:p>
            <w:pPr>
              <w:spacing w:after="0" w:line="162" w:lineRule="exact"/>
              <w:rPr>
                <w:sz w:val="20"/>
                <w:szCs w:val="20"/>
                <w:color w:val="auto"/>
              </w:rPr>
            </w:pPr>
            <w:r>
              <w:rPr>
                <w:rFonts w:ascii="Arial" w:cs="Arial" w:eastAsia="Arial" w:hAnsi="Arial"/>
                <w:sz w:val="18"/>
                <w:szCs w:val="18"/>
                <w:b w:val="1"/>
                <w:bCs w:val="1"/>
                <w:color w:val="auto"/>
              </w:rPr>
              <w:t>Weighted average interest rate of new</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8"/>
                <w:szCs w:val="18"/>
                <w:color w:val="auto"/>
              </w:rPr>
              <w:t>9.2 %</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restart"/>
          </w:tcPr>
          <w:p>
            <w:pPr>
              <w:jc w:val="right"/>
              <w:ind w:right="380"/>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40" w:type="dxa"/>
            <w:vAlign w:val="bottom"/>
          </w:tcPr>
          <w:p>
            <w:pPr>
              <w:spacing w:after="0" w:line="162" w:lineRule="exact"/>
              <w:rPr>
                <w:sz w:val="20"/>
                <w:szCs w:val="20"/>
                <w:color w:val="auto"/>
              </w:rPr>
            </w:pPr>
            <w:r>
              <w:rPr>
                <w:rFonts w:ascii="Arial" w:cs="Arial" w:eastAsia="Arial" w:hAnsi="Arial"/>
                <w:sz w:val="18"/>
                <w:szCs w:val="18"/>
                <w:b w:val="1"/>
                <w:bCs w:val="1"/>
                <w:color w:val="auto"/>
                <w:w w:val="93"/>
              </w:rPr>
              <w:t>Weighted average spread over reference rate of</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8"/>
                <w:szCs w:val="18"/>
                <w:color w:val="auto"/>
              </w:rPr>
              <w:t>7.3 %</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restart"/>
          </w:tcPr>
          <w:p>
            <w:pPr>
              <w:jc w:val="right"/>
              <w:ind w:right="380"/>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40" w:type="dxa"/>
            <w:vAlign w:val="bottom"/>
          </w:tcPr>
          <w:p>
            <w:pPr>
              <w:ind w:left="140"/>
              <w:spacing w:after="0"/>
              <w:rPr>
                <w:sz w:val="20"/>
                <w:szCs w:val="20"/>
                <w:color w:val="auto"/>
              </w:rPr>
            </w:pPr>
            <w:r>
              <w:rPr>
                <w:rFonts w:ascii="Arial" w:cs="Arial" w:eastAsia="Arial" w:hAnsi="Arial"/>
                <w:sz w:val="18"/>
                <w:szCs w:val="18"/>
                <w:b w:val="1"/>
                <w:bCs w:val="1"/>
                <w:color w:val="auto"/>
              </w:rPr>
              <w:t>new floating rate investment commitments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40" w:type="dxa"/>
            <w:vAlign w:val="bottom"/>
          </w:tcPr>
          <w:p>
            <w:pPr>
              <w:spacing w:after="0" w:line="162" w:lineRule="exact"/>
              <w:rPr>
                <w:sz w:val="20"/>
                <w:szCs w:val="20"/>
                <w:color w:val="auto"/>
              </w:rPr>
            </w:pPr>
            <w:r>
              <w:rPr>
                <w:rFonts w:ascii="Arial" w:cs="Arial" w:eastAsia="Arial" w:hAnsi="Arial"/>
                <w:sz w:val="18"/>
                <w:szCs w:val="18"/>
                <w:b w:val="1"/>
                <w:bCs w:val="1"/>
                <w:color w:val="auto"/>
                <w:w w:val="95"/>
              </w:rPr>
              <w:t>Weighted average interest rate on investments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8"/>
                <w:szCs w:val="18"/>
                <w:color w:val="auto"/>
              </w:rPr>
              <w:t>9.1 %</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restart"/>
          </w:tcPr>
          <w:p>
            <w:pPr>
              <w:jc w:val="right"/>
              <w:ind w:right="380"/>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40" w:type="dxa"/>
            <w:vAlign w:val="bottom"/>
          </w:tcPr>
          <w:p>
            <w:pPr>
              <w:ind w:left="140"/>
              <w:spacing w:after="0"/>
              <w:rPr>
                <w:sz w:val="20"/>
                <w:szCs w:val="20"/>
                <w:color w:val="auto"/>
              </w:rPr>
            </w:pPr>
            <w:r>
              <w:rPr>
                <w:rFonts w:ascii="Arial" w:cs="Arial" w:eastAsia="Arial" w:hAnsi="Arial"/>
                <w:sz w:val="18"/>
                <w:szCs w:val="18"/>
                <w:b w:val="1"/>
                <w:bCs w:val="1"/>
                <w:color w:val="auto"/>
              </w:rPr>
              <w:t>fully sold or paid down</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6700" w:type="dxa"/>
            <w:vAlign w:val="bottom"/>
            <w:gridSpan w:val="7"/>
          </w:tcPr>
          <w:p>
            <w:pPr>
              <w:jc w:val="right"/>
              <w:ind w:right="196"/>
              <w:spacing w:after="0"/>
              <w:rPr>
                <w:sz w:val="20"/>
                <w:szCs w:val="20"/>
                <w:color w:val="auto"/>
              </w:rPr>
            </w:pPr>
            <w:r>
              <w:rPr>
                <w:rFonts w:ascii="Arial" w:cs="Arial" w:eastAsia="Arial" w:hAnsi="Arial"/>
                <w:sz w:val="18"/>
                <w:szCs w:val="18"/>
                <w:color w:val="auto"/>
                <w:w w:val="90"/>
              </w:rPr>
              <w:t>As of June 30, 2022 and December 31, 2021, our investments consisted of the following:</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200" w:type="dxa"/>
            <w:vAlign w:val="bottom"/>
          </w:tcPr>
          <w:p>
            <w:pPr>
              <w:spacing w:after="0"/>
              <w:rPr>
                <w:sz w:val="14"/>
                <w:szCs w:val="14"/>
                <w:color w:val="auto"/>
              </w:rPr>
            </w:pPr>
          </w:p>
        </w:tc>
        <w:tc>
          <w:tcPr>
            <w:tcW w:w="1020" w:type="dxa"/>
            <w:vAlign w:val="bottom"/>
          </w:tcPr>
          <w:p>
            <w:pPr>
              <w:jc w:val="right"/>
              <w:ind w:right="195"/>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26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4"/>
                <w:szCs w:val="14"/>
                <w:color w:val="auto"/>
              </w:rPr>
            </w:pPr>
          </w:p>
        </w:tc>
        <w:tc>
          <w:tcPr>
            <w:tcW w:w="1400" w:type="dxa"/>
            <w:vAlign w:val="bottom"/>
            <w:gridSpan w:val="4"/>
          </w:tcPr>
          <w:p>
            <w:pPr>
              <w:ind w:left="2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Amortized Cost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4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First-lien debt investments</w:t>
            </w: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2,295.4</w:t>
            </w:r>
          </w:p>
        </w:tc>
        <w:tc>
          <w:tcPr>
            <w:tcW w:w="240" w:type="dxa"/>
            <w:vAlign w:val="bottom"/>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ind w:right="316"/>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2,298.7</w:t>
            </w:r>
          </w:p>
        </w:tc>
        <w:tc>
          <w:tcPr>
            <w:tcW w:w="24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ind w:right="394"/>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2,298.9</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2,265.6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Second-lien debt investments</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41.5</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42.7</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42.6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4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Mezzanine debt investments</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w:t>
            </w: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18.6</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Equity and other investments</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189.1</w:t>
            </w:r>
          </w:p>
        </w:tc>
        <w:tc>
          <w:tcPr>
            <w:tcW w:w="2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162.6</w:t>
            </w:r>
          </w:p>
        </w:tc>
        <w:tc>
          <w:tcPr>
            <w:tcW w:w="2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161.4</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8"/>
                <w:szCs w:val="18"/>
                <w:color w:val="auto"/>
              </w:rPr>
              <w:t>114.4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0" w:type="dxa"/>
            <w:vAlign w:val="bottom"/>
          </w:tcPr>
          <w:p>
            <w:pPr>
              <w:spacing w:after="0"/>
              <w:rPr>
                <w:sz w:val="20"/>
                <w:szCs w:val="20"/>
                <w:color w:val="auto"/>
              </w:rPr>
            </w:pPr>
          </w:p>
        </w:tc>
        <w:tc>
          <w:tcPr>
            <w:tcW w:w="4400" w:type="dxa"/>
            <w:vAlign w:val="bottom"/>
            <w:tcBorders>
              <w:bottom w:val="single" w:sz="8" w:color="CFF0FC"/>
            </w:tcBorders>
            <w:gridSpan w:val="2"/>
            <w:shd w:val="clear" w:color="auto" w:fill="CFF0FC"/>
          </w:tcPr>
          <w:p>
            <w:pPr>
              <w:ind w:left="180"/>
              <w:spacing w:after="0" w:line="196" w:lineRule="exact"/>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2,536.4</w:t>
            </w:r>
          </w:p>
        </w:tc>
        <w:tc>
          <w:tcPr>
            <w:tcW w:w="24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16"/>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2,511.3</w:t>
            </w:r>
          </w:p>
        </w:tc>
        <w:tc>
          <w:tcPr>
            <w:tcW w:w="24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94"/>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2,521.6</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2,432.0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-5062855</wp:posOffset>
            </wp:positionV>
            <wp:extent cx="59690" cy="571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-5062855</wp:posOffset>
            </wp:positionV>
            <wp:extent cx="51435" cy="571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-4282440</wp:posOffset>
            </wp:positionV>
            <wp:extent cx="59690" cy="571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-4282440</wp:posOffset>
            </wp:positionV>
            <wp:extent cx="51435" cy="571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-3502660</wp:posOffset>
            </wp:positionV>
            <wp:extent cx="59690" cy="571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-3502660</wp:posOffset>
            </wp:positionV>
            <wp:extent cx="51435" cy="57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-2287905</wp:posOffset>
            </wp:positionV>
            <wp:extent cx="5700395" cy="24003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700395" cy="24003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-1807845</wp:posOffset>
            </wp:positionV>
            <wp:extent cx="5700395" cy="24003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700395" cy="24003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6858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032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032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032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032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5" w:lineRule="exact"/>
        <w:rPr>
          <w:sz w:val="20"/>
          <w:szCs w:val="20"/>
          <w:color w:val="auto"/>
        </w:rPr>
      </w:pPr>
    </w:p>
    <w:p>
      <w:pPr>
        <w:ind w:right="420" w:firstLine="255"/>
        <w:spacing w:after="0" w:line="261" w:lineRule="auto"/>
        <w:rPr>
          <w:sz w:val="20"/>
          <w:szCs w:val="20"/>
          <w:color w:val="auto"/>
        </w:rPr>
      </w:pPr>
      <w:r>
        <w:rPr>
          <w:rFonts w:ascii="Arial" w:cs="Arial" w:eastAsia="Arial" w:hAnsi="Arial"/>
          <w:sz w:val="18"/>
          <w:szCs w:val="18"/>
          <w:color w:val="auto"/>
        </w:rPr>
        <w:t>The following tables show the fair value and amortized cost of our performing and non-accrual investments as of June 30, 2022 and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4"/>
          </w:tcPr>
          <w:p>
            <w:pPr>
              <w:jc w:val="right"/>
              <w:ind w:right="113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6"/>
                <w:szCs w:val="16"/>
                <w:color w:val="auto"/>
              </w:rPr>
            </w:pPr>
          </w:p>
        </w:tc>
        <w:tc>
          <w:tcPr>
            <w:tcW w:w="3160" w:type="dxa"/>
            <w:vAlign w:val="bottom"/>
            <w:gridSpan w:val="4"/>
          </w:tcPr>
          <w:p>
            <w:pPr>
              <w:jc w:val="right"/>
              <w:ind w:right="1330"/>
              <w:spacing w:after="0"/>
              <w:rPr>
                <w:sz w:val="20"/>
                <w:szCs w:val="20"/>
                <w:color w:val="auto"/>
              </w:rPr>
            </w:pPr>
            <w:r>
              <w:rPr>
                <w:rFonts w:ascii="Arial" w:cs="Arial" w:eastAsia="Arial" w:hAnsi="Arial"/>
                <w:sz w:val="14"/>
                <w:szCs w:val="14"/>
                <w:b w:val="1"/>
                <w:bCs w:val="1"/>
                <w:color w:val="auto"/>
              </w:rPr>
              <w:t>December 31, 2021</w:t>
            </w:r>
          </w:p>
        </w:tc>
      </w:tr>
      <w:tr>
        <w:trPr>
          <w:trHeight w:val="169"/>
        </w:trPr>
        <w:tc>
          <w:tcPr>
            <w:tcW w:w="58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4"/>
                <w:szCs w:val="14"/>
                <w:color w:val="auto"/>
              </w:rPr>
              <w:t>($ in millions)</w:t>
            </w: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Percentage</w:t>
            </w:r>
          </w:p>
        </w:tc>
        <w:tc>
          <w:tcPr>
            <w:tcW w:w="2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Fair Value</w:t>
            </w: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Percentage</w:t>
            </w:r>
          </w:p>
        </w:tc>
        <w:tc>
          <w:tcPr>
            <w:tcW w:w="660" w:type="dxa"/>
            <w:vAlign w:val="bottom"/>
          </w:tcPr>
          <w:p>
            <w:pPr>
              <w:spacing w:after="0"/>
              <w:rPr>
                <w:sz w:val="14"/>
                <w:szCs w:val="14"/>
                <w:color w:val="auto"/>
              </w:rPr>
            </w:pPr>
          </w:p>
        </w:tc>
      </w:tr>
      <w:tr>
        <w:trPr>
          <w:trHeight w:val="160"/>
        </w:trPr>
        <w:tc>
          <w:tcPr>
            <w:tcW w:w="580" w:type="dxa"/>
            <w:vAlign w:val="bottom"/>
          </w:tcPr>
          <w:p>
            <w:pPr>
              <w:spacing w:after="0"/>
              <w:rPr>
                <w:sz w:val="13"/>
                <w:szCs w:val="13"/>
                <w:color w:val="auto"/>
              </w:rPr>
            </w:pPr>
          </w:p>
        </w:tc>
        <w:tc>
          <w:tcPr>
            <w:tcW w:w="4300" w:type="dxa"/>
            <w:vAlign w:val="bottom"/>
          </w:tcPr>
          <w:p>
            <w:pPr>
              <w:spacing w:after="0" w:line="160" w:lineRule="exact"/>
              <w:rPr>
                <w:sz w:val="20"/>
                <w:szCs w:val="20"/>
                <w:color w:val="auto"/>
              </w:rPr>
            </w:pPr>
            <w:r>
              <w:rPr>
                <w:rFonts w:ascii="Arial" w:cs="Arial" w:eastAsia="Arial" w:hAnsi="Arial"/>
                <w:sz w:val="18"/>
                <w:szCs w:val="18"/>
                <w:color w:val="auto"/>
              </w:rPr>
              <w:t>Performing</w:t>
            </w:r>
          </w:p>
        </w:tc>
        <w:tc>
          <w:tcPr>
            <w:tcW w:w="180" w:type="dxa"/>
            <w:vAlign w:val="bottom"/>
          </w:tcPr>
          <w:p>
            <w:pPr>
              <w:jc w:val="right"/>
              <w:spacing w:after="0" w:line="160"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60" w:lineRule="exact"/>
              <w:rPr>
                <w:sz w:val="20"/>
                <w:szCs w:val="20"/>
                <w:color w:val="auto"/>
              </w:rPr>
            </w:pPr>
            <w:r>
              <w:rPr>
                <w:rFonts w:ascii="Arial" w:cs="Arial" w:eastAsia="Arial" w:hAnsi="Arial"/>
                <w:sz w:val="18"/>
                <w:szCs w:val="18"/>
                <w:color w:val="auto"/>
              </w:rPr>
              <w:t>2,536.2</w:t>
            </w:r>
          </w:p>
        </w:tc>
        <w:tc>
          <w:tcPr>
            <w:tcW w:w="280" w:type="dxa"/>
            <w:vAlign w:val="bottom"/>
          </w:tcPr>
          <w:p>
            <w:pPr>
              <w:spacing w:after="0"/>
              <w:rPr>
                <w:sz w:val="13"/>
                <w:szCs w:val="13"/>
                <w:color w:val="auto"/>
              </w:rPr>
            </w:pPr>
          </w:p>
        </w:tc>
        <w:tc>
          <w:tcPr>
            <w:tcW w:w="1320" w:type="dxa"/>
            <w:vAlign w:val="bottom"/>
          </w:tcPr>
          <w:p>
            <w:pPr>
              <w:jc w:val="right"/>
              <w:spacing w:after="0" w:line="160" w:lineRule="exact"/>
              <w:rPr>
                <w:sz w:val="20"/>
                <w:szCs w:val="20"/>
                <w:color w:val="auto"/>
              </w:rPr>
            </w:pPr>
            <w:r>
              <w:rPr>
                <w:rFonts w:ascii="Arial" w:cs="Arial" w:eastAsia="Arial" w:hAnsi="Arial"/>
                <w:sz w:val="18"/>
                <w:szCs w:val="18"/>
                <w:color w:val="auto"/>
              </w:rPr>
              <w:t>100.0</w:t>
            </w:r>
          </w:p>
        </w:tc>
        <w:tc>
          <w:tcPr>
            <w:tcW w:w="260" w:type="dxa"/>
            <w:vAlign w:val="bottom"/>
          </w:tcPr>
          <w:p>
            <w:pPr>
              <w:jc w:val="right"/>
              <w:ind w:right="10"/>
              <w:spacing w:after="0" w:line="160" w:lineRule="exact"/>
              <w:rPr>
                <w:sz w:val="20"/>
                <w:szCs w:val="20"/>
                <w:color w:val="auto"/>
              </w:rPr>
            </w:pPr>
            <w:r>
              <w:rPr>
                <w:rFonts w:ascii="Arial" w:cs="Arial" w:eastAsia="Arial" w:hAnsi="Arial"/>
                <w:sz w:val="18"/>
                <w:szCs w:val="18"/>
                <w:color w:val="auto"/>
                <w:w w:val="87"/>
              </w:rPr>
              <w:t>%</w:t>
            </w:r>
          </w:p>
        </w:tc>
        <w:tc>
          <w:tcPr>
            <w:tcW w:w="180" w:type="dxa"/>
            <w:vAlign w:val="bottom"/>
          </w:tcPr>
          <w:p>
            <w:pPr>
              <w:jc w:val="right"/>
              <w:spacing w:after="0" w:line="160"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60" w:lineRule="exact"/>
              <w:rPr>
                <w:sz w:val="20"/>
                <w:szCs w:val="20"/>
                <w:color w:val="auto"/>
              </w:rPr>
            </w:pPr>
            <w:r>
              <w:rPr>
                <w:rFonts w:ascii="Arial" w:cs="Arial" w:eastAsia="Arial" w:hAnsi="Arial"/>
                <w:sz w:val="18"/>
                <w:szCs w:val="18"/>
                <w:color w:val="auto"/>
              </w:rPr>
              <w:t>2,521.4</w:t>
            </w:r>
          </w:p>
        </w:tc>
        <w:tc>
          <w:tcPr>
            <w:tcW w:w="240" w:type="dxa"/>
            <w:vAlign w:val="bottom"/>
          </w:tcPr>
          <w:p>
            <w:pPr>
              <w:spacing w:after="0"/>
              <w:rPr>
                <w:sz w:val="13"/>
                <w:szCs w:val="13"/>
                <w:color w:val="auto"/>
              </w:rPr>
            </w:pPr>
          </w:p>
        </w:tc>
        <w:tc>
          <w:tcPr>
            <w:tcW w:w="1300" w:type="dxa"/>
            <w:vAlign w:val="bottom"/>
          </w:tcPr>
          <w:p>
            <w:pPr>
              <w:jc w:val="right"/>
              <w:spacing w:after="0" w:line="160" w:lineRule="exact"/>
              <w:rPr>
                <w:sz w:val="20"/>
                <w:szCs w:val="20"/>
                <w:color w:val="auto"/>
              </w:rPr>
            </w:pPr>
            <w:r>
              <w:rPr>
                <w:rFonts w:ascii="Arial" w:cs="Arial" w:eastAsia="Arial" w:hAnsi="Arial"/>
                <w:sz w:val="18"/>
                <w:szCs w:val="18"/>
                <w:color w:val="auto"/>
              </w:rPr>
              <w:t>100.0</w:t>
            </w:r>
          </w:p>
        </w:tc>
        <w:tc>
          <w:tcPr>
            <w:tcW w:w="660" w:type="dxa"/>
            <w:vAlign w:val="bottom"/>
          </w:tcPr>
          <w:p>
            <w:pPr>
              <w:jc w:val="right"/>
              <w:ind w:right="410"/>
              <w:spacing w:after="0" w:line="160" w:lineRule="exact"/>
              <w:rPr>
                <w:sz w:val="20"/>
                <w:szCs w:val="20"/>
                <w:color w:val="auto"/>
              </w:rPr>
            </w:pPr>
            <w:r>
              <w:rPr>
                <w:rFonts w:ascii="Arial" w:cs="Arial" w:eastAsia="Arial" w:hAnsi="Arial"/>
                <w:sz w:val="18"/>
                <w:szCs w:val="18"/>
                <w:color w:val="auto"/>
                <w:w w:val="87"/>
              </w:rPr>
              <w:t>%</w:t>
            </w:r>
          </w:p>
        </w:tc>
      </w:tr>
      <w:tr>
        <w:trPr>
          <w:trHeight w:val="239"/>
        </w:trPr>
        <w:tc>
          <w:tcPr>
            <w:tcW w:w="580" w:type="dxa"/>
            <w:vAlign w:val="bottom"/>
          </w:tcPr>
          <w:p>
            <w:pPr>
              <w:spacing w:after="0"/>
              <w:rPr>
                <w:sz w:val="20"/>
                <w:szCs w:val="20"/>
                <w:color w:val="auto"/>
              </w:rPr>
            </w:pPr>
          </w:p>
        </w:tc>
        <w:tc>
          <w:tcPr>
            <w:tcW w:w="4300" w:type="dxa"/>
            <w:vAlign w:val="bottom"/>
          </w:tcPr>
          <w:p>
            <w:pPr>
              <w:spacing w:after="0" w:line="239" w:lineRule="exact"/>
              <w:rPr>
                <w:sz w:val="20"/>
                <w:szCs w:val="20"/>
                <w:color w:val="auto"/>
              </w:rPr>
            </w:pPr>
            <w:r>
              <w:rPr>
                <w:rFonts w:ascii="Arial" w:cs="Arial" w:eastAsia="Arial" w:hAnsi="Arial"/>
                <w:sz w:val="18"/>
                <w:szCs w:val="18"/>
                <w:color w:val="auto"/>
              </w:rPr>
              <w:t xml:space="preserve">Non-accrual </w:t>
            </w:r>
            <w:r>
              <w:rPr>
                <w:rFonts w:ascii="Arial" w:cs="Arial" w:eastAsia="Arial" w:hAnsi="Arial"/>
                <w:sz w:val="24"/>
                <w:szCs w:val="24"/>
                <w:color w:val="auto"/>
                <w:vertAlign w:val="superscript"/>
              </w:rPr>
              <w:t>(1)</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660" w:type="dxa"/>
            <w:vAlign w:val="bottom"/>
          </w:tcPr>
          <w:p>
            <w:pPr>
              <w:spacing w:after="0"/>
              <w:rPr>
                <w:sz w:val="20"/>
                <w:szCs w:val="20"/>
                <w:color w:val="auto"/>
              </w:rPr>
            </w:pPr>
          </w:p>
        </w:tc>
      </w:tr>
      <w:tr>
        <w:trPr>
          <w:trHeight w:val="196"/>
        </w:trPr>
        <w:tc>
          <w:tcPr>
            <w:tcW w:w="580" w:type="dxa"/>
            <w:vAlign w:val="bottom"/>
          </w:tcPr>
          <w:p>
            <w:pPr>
              <w:spacing w:after="0"/>
              <w:rPr>
                <w:sz w:val="17"/>
                <w:szCs w:val="17"/>
                <w:color w:val="auto"/>
              </w:rPr>
            </w:pPr>
          </w:p>
        </w:tc>
        <w:tc>
          <w:tcPr>
            <w:tcW w:w="4300" w:type="dxa"/>
            <w:vAlign w:val="bottom"/>
          </w:tcPr>
          <w:p>
            <w:pPr>
              <w:ind w:left="180"/>
              <w:spacing w:after="0" w:line="196" w:lineRule="exact"/>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2,536.4</w:t>
            </w:r>
          </w:p>
        </w:tc>
        <w:tc>
          <w:tcPr>
            <w:tcW w:w="28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100.0</w:t>
            </w:r>
          </w:p>
        </w:tc>
        <w:tc>
          <w:tcPr>
            <w:tcW w:w="260" w:type="dxa"/>
            <w:vAlign w:val="bottom"/>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2,521.6</w:t>
            </w:r>
          </w:p>
        </w:tc>
        <w:tc>
          <w:tcPr>
            <w:tcW w:w="24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100.0</w:t>
            </w:r>
          </w:p>
        </w:tc>
        <w:tc>
          <w:tcPr>
            <w:tcW w:w="660" w:type="dxa"/>
            <w:vAlign w:val="bottom"/>
          </w:tcPr>
          <w:p>
            <w:pPr>
              <w:jc w:val="right"/>
              <w:ind w:right="410"/>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236"/>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3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-899795</wp:posOffset>
            </wp:positionV>
            <wp:extent cx="6412230" cy="12890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-633730</wp:posOffset>
            </wp:positionV>
            <wp:extent cx="6412230" cy="15430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4" w:name="page55"/>
    <w:bookmarkEnd w:id="54"/>
    <w:tbl>
      <w:tblPr>
        <w:tblLayout w:type="fixed"/>
        <w:tblInd w:w="58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4"/>
          </w:tcPr>
          <w:p>
            <w:pPr>
              <w:jc w:val="right"/>
              <w:ind w:right="1130"/>
              <w:spacing w:after="0"/>
              <w:rPr>
                <w:sz w:val="20"/>
                <w:szCs w:val="20"/>
                <w:color w:val="auto"/>
              </w:rPr>
            </w:pPr>
            <w:r>
              <w:rPr>
                <w:rFonts w:ascii="Arial" w:cs="Arial" w:eastAsia="Arial" w:hAnsi="Arial"/>
                <w:sz w:val="14"/>
                <w:szCs w:val="14"/>
                <w:b w:val="1"/>
                <w:bCs w:val="1"/>
                <w:color w:val="auto"/>
              </w:rPr>
              <w:t>June 30, 2022</w:t>
            </w:r>
          </w:p>
        </w:tc>
        <w:tc>
          <w:tcPr>
            <w:tcW w:w="340" w:type="dxa"/>
            <w:vAlign w:val="bottom"/>
          </w:tcPr>
          <w:p>
            <w:pPr>
              <w:spacing w:after="0"/>
              <w:rPr>
                <w:sz w:val="16"/>
                <w:szCs w:val="16"/>
                <w:color w:val="auto"/>
              </w:rPr>
            </w:pPr>
          </w:p>
        </w:tc>
        <w:tc>
          <w:tcPr>
            <w:tcW w:w="2500" w:type="dxa"/>
            <w:vAlign w:val="bottom"/>
            <w:gridSpan w:val="4"/>
          </w:tcPr>
          <w:p>
            <w:pPr>
              <w:jc w:val="right"/>
              <w:ind w:right="830"/>
              <w:spacing w:after="0"/>
              <w:rPr>
                <w:sz w:val="20"/>
                <w:szCs w:val="20"/>
                <w:color w:val="auto"/>
              </w:rPr>
            </w:pPr>
            <w:r>
              <w:rPr>
                <w:rFonts w:ascii="Arial" w:cs="Arial" w:eastAsia="Arial" w:hAnsi="Arial"/>
                <w:sz w:val="14"/>
                <w:szCs w:val="14"/>
                <w:b w:val="1"/>
                <w:bCs w:val="1"/>
                <w:color w:val="auto"/>
              </w:rPr>
              <w:t>December 31, 2021</w:t>
            </w:r>
          </w:p>
        </w:tc>
      </w:tr>
      <w:tr>
        <w:trPr>
          <w:trHeight w:val="169"/>
        </w:trPr>
        <w:tc>
          <w:tcPr>
            <w:tcW w:w="4300" w:type="dxa"/>
            <w:vAlign w:val="bottom"/>
          </w:tcPr>
          <w:p>
            <w:pPr>
              <w:spacing w:after="0"/>
              <w:rPr>
                <w:sz w:val="20"/>
                <w:szCs w:val="20"/>
                <w:color w:val="auto"/>
              </w:rPr>
            </w:pPr>
            <w:r>
              <w:rPr>
                <w:rFonts w:ascii="Arial" w:cs="Arial" w:eastAsia="Arial" w:hAnsi="Arial"/>
                <w:sz w:val="14"/>
                <w:szCs w:val="14"/>
                <w:color w:val="auto"/>
              </w:rPr>
              <w:t>($ in millions)</w:t>
            </w:r>
          </w:p>
        </w:tc>
        <w:tc>
          <w:tcPr>
            <w:tcW w:w="1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2"/>
              </w:rPr>
              <w:t>Amortized Cost</w:t>
            </w:r>
          </w:p>
        </w:tc>
        <w:tc>
          <w:tcPr>
            <w:tcW w:w="260" w:type="dxa"/>
            <w:vAlign w:val="bottom"/>
            <w:tcBorders>
              <w:top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Percentage</w:t>
            </w:r>
          </w:p>
        </w:tc>
        <w:tc>
          <w:tcPr>
            <w:tcW w:w="260" w:type="dxa"/>
            <w:vAlign w:val="bottom"/>
          </w:tcPr>
          <w:p>
            <w:pPr>
              <w:spacing w:after="0"/>
              <w:rPr>
                <w:sz w:val="14"/>
                <w:szCs w:val="14"/>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4"/>
                <w:szCs w:val="14"/>
                <w:color w:val="auto"/>
              </w:rPr>
            </w:pPr>
          </w:p>
        </w:tc>
      </w:tr>
      <w:tr>
        <w:trPr>
          <w:trHeight w:val="160"/>
        </w:trPr>
        <w:tc>
          <w:tcPr>
            <w:tcW w:w="4300" w:type="dxa"/>
            <w:vAlign w:val="bottom"/>
          </w:tcPr>
          <w:p>
            <w:pPr>
              <w:spacing w:after="0" w:line="160" w:lineRule="exact"/>
              <w:rPr>
                <w:sz w:val="20"/>
                <w:szCs w:val="20"/>
                <w:color w:val="auto"/>
              </w:rPr>
            </w:pPr>
            <w:r>
              <w:rPr>
                <w:rFonts w:ascii="Arial" w:cs="Arial" w:eastAsia="Arial" w:hAnsi="Arial"/>
                <w:sz w:val="18"/>
                <w:szCs w:val="18"/>
                <w:color w:val="auto"/>
              </w:rPr>
              <w:t>Performing</w:t>
            </w:r>
          </w:p>
        </w:tc>
        <w:tc>
          <w:tcPr>
            <w:tcW w:w="100" w:type="dxa"/>
            <w:vAlign w:val="bottom"/>
          </w:tcPr>
          <w:p>
            <w:pPr>
              <w:jc w:val="right"/>
              <w:spacing w:after="0" w:line="160"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60" w:lineRule="exact"/>
              <w:rPr>
                <w:sz w:val="20"/>
                <w:szCs w:val="20"/>
                <w:color w:val="auto"/>
              </w:rPr>
            </w:pPr>
            <w:r>
              <w:rPr>
                <w:rFonts w:ascii="Arial" w:cs="Arial" w:eastAsia="Arial" w:hAnsi="Arial"/>
                <w:sz w:val="18"/>
                <w:szCs w:val="18"/>
                <w:color w:val="auto"/>
              </w:rPr>
              <w:t>2,507.9</w:t>
            </w:r>
          </w:p>
        </w:tc>
        <w:tc>
          <w:tcPr>
            <w:tcW w:w="260" w:type="dxa"/>
            <w:vAlign w:val="bottom"/>
          </w:tcPr>
          <w:p>
            <w:pPr>
              <w:spacing w:after="0"/>
              <w:rPr>
                <w:sz w:val="13"/>
                <w:szCs w:val="13"/>
                <w:color w:val="auto"/>
              </w:rPr>
            </w:pPr>
          </w:p>
        </w:tc>
        <w:tc>
          <w:tcPr>
            <w:tcW w:w="1320" w:type="dxa"/>
            <w:vAlign w:val="bottom"/>
          </w:tcPr>
          <w:p>
            <w:pPr>
              <w:jc w:val="right"/>
              <w:spacing w:after="0" w:line="160" w:lineRule="exact"/>
              <w:rPr>
                <w:sz w:val="20"/>
                <w:szCs w:val="20"/>
                <w:color w:val="auto"/>
              </w:rPr>
            </w:pPr>
            <w:r>
              <w:rPr>
                <w:rFonts w:ascii="Arial" w:cs="Arial" w:eastAsia="Arial" w:hAnsi="Arial"/>
                <w:sz w:val="18"/>
                <w:szCs w:val="18"/>
                <w:color w:val="auto"/>
              </w:rPr>
              <w:t>99.9</w:t>
            </w:r>
          </w:p>
        </w:tc>
        <w:tc>
          <w:tcPr>
            <w:tcW w:w="260" w:type="dxa"/>
            <w:vAlign w:val="bottom"/>
          </w:tcPr>
          <w:p>
            <w:pPr>
              <w:jc w:val="right"/>
              <w:ind w:right="10"/>
              <w:spacing w:after="0" w:line="160" w:lineRule="exact"/>
              <w:rPr>
                <w:sz w:val="20"/>
                <w:szCs w:val="20"/>
                <w:color w:val="auto"/>
              </w:rPr>
            </w:pPr>
            <w:r>
              <w:rPr>
                <w:rFonts w:ascii="Arial" w:cs="Arial" w:eastAsia="Arial" w:hAnsi="Arial"/>
                <w:sz w:val="18"/>
                <w:szCs w:val="18"/>
                <w:color w:val="auto"/>
                <w:w w:val="87"/>
              </w:rPr>
              <w:t>%</w:t>
            </w:r>
          </w:p>
        </w:tc>
        <w:tc>
          <w:tcPr>
            <w:tcW w:w="340" w:type="dxa"/>
            <w:vAlign w:val="bottom"/>
          </w:tcPr>
          <w:p>
            <w:pPr>
              <w:jc w:val="right"/>
              <w:ind w:right="156"/>
              <w:spacing w:after="0" w:line="160"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60" w:lineRule="exact"/>
              <w:rPr>
                <w:sz w:val="20"/>
                <w:szCs w:val="20"/>
                <w:color w:val="auto"/>
              </w:rPr>
            </w:pPr>
            <w:r>
              <w:rPr>
                <w:rFonts w:ascii="Arial" w:cs="Arial" w:eastAsia="Arial" w:hAnsi="Arial"/>
                <w:sz w:val="18"/>
                <w:szCs w:val="18"/>
                <w:color w:val="auto"/>
              </w:rPr>
              <w:t>2,428.6</w:t>
            </w:r>
          </w:p>
        </w:tc>
        <w:tc>
          <w:tcPr>
            <w:tcW w:w="240" w:type="dxa"/>
            <w:vAlign w:val="bottom"/>
          </w:tcPr>
          <w:p>
            <w:pPr>
              <w:spacing w:after="0"/>
              <w:rPr>
                <w:sz w:val="13"/>
                <w:szCs w:val="13"/>
                <w:color w:val="auto"/>
              </w:rPr>
            </w:pPr>
          </w:p>
        </w:tc>
        <w:tc>
          <w:tcPr>
            <w:tcW w:w="1300" w:type="dxa"/>
            <w:vAlign w:val="bottom"/>
          </w:tcPr>
          <w:p>
            <w:pPr>
              <w:jc w:val="right"/>
              <w:spacing w:after="0" w:line="160" w:lineRule="exact"/>
              <w:rPr>
                <w:sz w:val="20"/>
                <w:szCs w:val="20"/>
                <w:color w:val="auto"/>
              </w:rPr>
            </w:pPr>
            <w:r>
              <w:rPr>
                <w:rFonts w:ascii="Arial" w:cs="Arial" w:eastAsia="Arial" w:hAnsi="Arial"/>
                <w:sz w:val="18"/>
                <w:szCs w:val="18"/>
                <w:color w:val="auto"/>
              </w:rPr>
              <w:t>99.9</w:t>
            </w:r>
          </w:p>
        </w:tc>
        <w:tc>
          <w:tcPr>
            <w:tcW w:w="160" w:type="dxa"/>
            <w:vAlign w:val="bottom"/>
          </w:tcPr>
          <w:p>
            <w:pPr>
              <w:jc w:val="right"/>
              <w:spacing w:after="0" w:line="160" w:lineRule="exact"/>
              <w:rPr>
                <w:sz w:val="20"/>
                <w:szCs w:val="20"/>
                <w:color w:val="auto"/>
              </w:rPr>
            </w:pPr>
            <w:r>
              <w:rPr>
                <w:rFonts w:ascii="Arial" w:cs="Arial" w:eastAsia="Arial" w:hAnsi="Arial"/>
                <w:sz w:val="18"/>
                <w:szCs w:val="18"/>
                <w:color w:val="auto"/>
                <w:w w:val="87"/>
              </w:rPr>
              <w:t>%</w:t>
            </w:r>
          </w:p>
        </w:tc>
      </w:tr>
      <w:tr>
        <w:trPr>
          <w:trHeight w:val="239"/>
        </w:trPr>
        <w:tc>
          <w:tcPr>
            <w:tcW w:w="4300" w:type="dxa"/>
            <w:vAlign w:val="bottom"/>
          </w:tcPr>
          <w:p>
            <w:pPr>
              <w:spacing w:after="0" w:line="239" w:lineRule="exact"/>
              <w:rPr>
                <w:sz w:val="20"/>
                <w:szCs w:val="20"/>
                <w:color w:val="auto"/>
              </w:rPr>
            </w:pPr>
            <w:r>
              <w:rPr>
                <w:rFonts w:ascii="Arial" w:cs="Arial" w:eastAsia="Arial" w:hAnsi="Arial"/>
                <w:sz w:val="18"/>
                <w:szCs w:val="18"/>
                <w:color w:val="auto"/>
              </w:rPr>
              <w:t xml:space="preserve">Non-accrual </w:t>
            </w:r>
            <w:r>
              <w:rPr>
                <w:rFonts w:ascii="Arial" w:cs="Arial" w:eastAsia="Arial" w:hAnsi="Arial"/>
                <w:sz w:val="24"/>
                <w:szCs w:val="24"/>
                <w:color w:val="auto"/>
                <w:vertAlign w:val="superscript"/>
              </w:rPr>
              <w:t>(1)</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0"/>
                <w:szCs w:val="20"/>
                <w:color w:val="auto"/>
              </w:rPr>
            </w:pPr>
          </w:p>
        </w:tc>
      </w:tr>
      <w:tr>
        <w:trPr>
          <w:trHeight w:val="196"/>
        </w:trPr>
        <w:tc>
          <w:tcPr>
            <w:tcW w:w="4300" w:type="dxa"/>
            <w:vAlign w:val="bottom"/>
          </w:tcPr>
          <w:p>
            <w:pPr>
              <w:ind w:left="180"/>
              <w:spacing w:after="0" w:line="196" w:lineRule="exact"/>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2,511.3</w:t>
            </w:r>
          </w:p>
        </w:tc>
        <w:tc>
          <w:tcPr>
            <w:tcW w:w="26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100.0</w:t>
            </w:r>
          </w:p>
        </w:tc>
        <w:tc>
          <w:tcPr>
            <w:tcW w:w="260" w:type="dxa"/>
            <w:vAlign w:val="bottom"/>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340" w:type="dxa"/>
            <w:vAlign w:val="bottom"/>
            <w:tcBorders>
              <w:top w:val="single" w:sz="8" w:color="auto"/>
              <w:bottom w:val="single" w:sz="8" w:color="auto"/>
            </w:tcBorders>
          </w:tcPr>
          <w:p>
            <w:pPr>
              <w:jc w:val="right"/>
              <w:ind w:right="15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2,432.0</w:t>
            </w:r>
          </w:p>
        </w:tc>
        <w:tc>
          <w:tcPr>
            <w:tcW w:w="24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-419735</wp:posOffset>
            </wp:positionV>
            <wp:extent cx="6412230" cy="12890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-153670</wp:posOffset>
            </wp:positionV>
            <wp:extent cx="6412230" cy="15430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9" w:lineRule="exact"/>
        <w:rPr>
          <w:sz w:val="20"/>
          <w:szCs w:val="20"/>
          <w:color w:val="auto"/>
        </w:rPr>
      </w:pPr>
    </w:p>
    <w:p>
      <w:pPr>
        <w:ind w:left="520" w:right="140" w:hanging="512"/>
        <w:spacing w:after="0" w:line="279" w:lineRule="auto"/>
        <w:tabs>
          <w:tab w:leader="none" w:pos="371" w:val="left"/>
        </w:tabs>
        <w:numPr>
          <w:ilvl w:val="0"/>
          <w:numId w:val="40"/>
        </w:numPr>
        <w:rPr>
          <w:rFonts w:ascii="Arial" w:cs="Arial" w:eastAsia="Arial" w:hAnsi="Arial"/>
          <w:sz w:val="16"/>
          <w:szCs w:val="16"/>
          <w:color w:val="auto"/>
        </w:rPr>
      </w:pPr>
      <w:r>
        <w:rPr>
          <w:rFonts w:ascii="Arial" w:cs="Arial" w:eastAsia="Arial" w:hAnsi="Arial"/>
          <w:sz w:val="16"/>
          <w:szCs w:val="16"/>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59" w:lineRule="exact"/>
        <w:rPr>
          <w:sz w:val="20"/>
          <w:szCs w:val="20"/>
          <w:color w:val="auto"/>
        </w:rPr>
      </w:pPr>
    </w:p>
    <w:p>
      <w:pPr>
        <w:ind w:right="320" w:firstLine="255"/>
        <w:spacing w:after="0" w:line="261" w:lineRule="auto"/>
        <w:rPr>
          <w:sz w:val="20"/>
          <w:szCs w:val="20"/>
          <w:color w:val="auto"/>
        </w:rPr>
      </w:pPr>
      <w:r>
        <w:rPr>
          <w:rFonts w:ascii="Arial" w:cs="Arial" w:eastAsia="Arial" w:hAnsi="Arial"/>
          <w:sz w:val="18"/>
          <w:szCs w:val="18"/>
          <w:color w:val="auto"/>
        </w:rPr>
        <w:t>The weighted average yields and interest rates of our performing debt investments at fair value as of June 30, 2022 and December 31, 2021 were as follows: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80" w:type="dxa"/>
            <w:vAlign w:val="bottom"/>
            <w:vMerge w:val="restart"/>
          </w:tcPr>
          <w:p>
            <w:pPr>
              <w:spacing w:after="0"/>
              <w:rPr>
                <w:sz w:val="20"/>
                <w:szCs w:val="20"/>
                <w:color w:val="auto"/>
              </w:rPr>
            </w:pPr>
            <w:r>
              <w:rPr>
                <w:rFonts w:ascii="Arial" w:cs="Arial" w:eastAsia="Arial" w:hAnsi="Arial"/>
                <w:sz w:val="18"/>
                <w:szCs w:val="18"/>
                <w:color w:val="auto"/>
              </w:rPr>
              <w:t>Weighted average total yield of debt and income</w:t>
            </w:r>
          </w:p>
        </w:tc>
        <w:tc>
          <w:tcPr>
            <w:tcW w:w="12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w w:val="92"/>
              </w:rPr>
              <w:t>June 30, 2022</w:t>
            </w:r>
          </w:p>
        </w:tc>
        <w:tc>
          <w:tcPr>
            <w:tcW w:w="3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280" w:type="dxa"/>
            <w:vAlign w:val="bottom"/>
            <w:vMerge w:val="continue"/>
          </w:tcPr>
          <w:p>
            <w:pPr>
              <w:spacing w:after="0"/>
              <w:rPr>
                <w:sz w:val="13"/>
                <w:szCs w:val="13"/>
                <w:color w:val="auto"/>
              </w:rPr>
            </w:pPr>
          </w:p>
        </w:tc>
        <w:tc>
          <w:tcPr>
            <w:tcW w:w="1260" w:type="dxa"/>
            <w:vAlign w:val="bottom"/>
          </w:tcPr>
          <w:p>
            <w:pPr>
              <w:spacing w:after="0"/>
              <w:rPr>
                <w:sz w:val="13"/>
                <w:szCs w:val="13"/>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2"/>
              </w:rPr>
              <w:t>10.9 %</w:t>
            </w:r>
          </w:p>
        </w:tc>
        <w:tc>
          <w:tcPr>
            <w:tcW w:w="188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6540" w:type="dxa"/>
            <w:vAlign w:val="bottom"/>
            <w:gridSpan w:val="2"/>
          </w:tcPr>
          <w:p>
            <w:pPr>
              <w:ind w:left="140"/>
              <w:spacing w:after="0" w:line="216" w:lineRule="exact"/>
              <w:rPr>
                <w:sz w:val="20"/>
                <w:szCs w:val="20"/>
                <w:color w:val="auto"/>
              </w:rPr>
            </w:pPr>
            <w:r>
              <w:rPr>
                <w:rFonts w:ascii="Arial" w:cs="Arial" w:eastAsia="Arial" w:hAnsi="Arial"/>
                <w:sz w:val="18"/>
                <w:szCs w:val="18"/>
                <w:color w:val="auto"/>
              </w:rPr>
              <w:t xml:space="preserve">producing securities </w:t>
            </w:r>
            <w:r>
              <w:rPr>
                <w:rFonts w:ascii="Arial" w:cs="Arial" w:eastAsia="Arial" w:hAnsi="Arial"/>
                <w:sz w:val="24"/>
                <w:szCs w:val="24"/>
                <w:color w:val="auto"/>
                <w:vertAlign w:val="superscript"/>
              </w:rPr>
              <w:t>(1)</w:t>
            </w:r>
          </w:p>
        </w:tc>
        <w:tc>
          <w:tcPr>
            <w:tcW w:w="640" w:type="dxa"/>
            <w:vAlign w:val="bottom"/>
            <w:gridSpan w:val="2"/>
            <w:vMerge w:val="continue"/>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540" w:type="dxa"/>
            <w:vAlign w:val="bottom"/>
            <w:gridSpan w:val="2"/>
          </w:tcPr>
          <w:p>
            <w:pPr>
              <w:spacing w:after="0" w:line="162" w:lineRule="exact"/>
              <w:rPr>
                <w:sz w:val="20"/>
                <w:szCs w:val="20"/>
                <w:color w:val="auto"/>
              </w:rPr>
            </w:pPr>
            <w:r>
              <w:rPr>
                <w:rFonts w:ascii="Arial" w:cs="Arial" w:eastAsia="Arial" w:hAnsi="Arial"/>
                <w:sz w:val="18"/>
                <w:szCs w:val="18"/>
                <w:color w:val="auto"/>
              </w:rPr>
              <w:t>Weighted average interest rate of debt and income</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2"/>
              </w:rPr>
              <w:t>10.3 %</w:t>
            </w:r>
          </w:p>
        </w:tc>
        <w:tc>
          <w:tcPr>
            <w:tcW w:w="1880" w:type="dxa"/>
            <w:vAlign w:val="bottom"/>
            <w:gridSpan w:val="2"/>
            <w:vMerge w:val="restart"/>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16"/>
        </w:trPr>
        <w:tc>
          <w:tcPr>
            <w:tcW w:w="6540" w:type="dxa"/>
            <w:vAlign w:val="bottom"/>
            <w:gridSpan w:val="2"/>
          </w:tcPr>
          <w:p>
            <w:pPr>
              <w:ind w:left="140"/>
              <w:spacing w:after="0"/>
              <w:rPr>
                <w:sz w:val="20"/>
                <w:szCs w:val="20"/>
                <w:color w:val="auto"/>
              </w:rPr>
            </w:pPr>
            <w:r>
              <w:rPr>
                <w:rFonts w:ascii="Arial" w:cs="Arial" w:eastAsia="Arial" w:hAnsi="Arial"/>
                <w:sz w:val="18"/>
                <w:szCs w:val="18"/>
                <w:color w:val="auto"/>
              </w:rPr>
              <w:t>producing securities</w:t>
            </w:r>
          </w:p>
        </w:tc>
        <w:tc>
          <w:tcPr>
            <w:tcW w:w="640" w:type="dxa"/>
            <w:vAlign w:val="bottom"/>
            <w:gridSpan w:val="2"/>
            <w:vMerge w:val="continue"/>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540" w:type="dxa"/>
            <w:vAlign w:val="bottom"/>
            <w:gridSpan w:val="2"/>
          </w:tcPr>
          <w:p>
            <w:pPr>
              <w:spacing w:after="0" w:line="162" w:lineRule="exact"/>
              <w:rPr>
                <w:sz w:val="20"/>
                <w:szCs w:val="20"/>
                <w:color w:val="auto"/>
              </w:rPr>
            </w:pPr>
            <w:r>
              <w:rPr>
                <w:rFonts w:ascii="Arial" w:cs="Arial" w:eastAsia="Arial" w:hAnsi="Arial"/>
                <w:sz w:val="18"/>
                <w:szCs w:val="18"/>
                <w:color w:val="auto"/>
              </w:rPr>
              <w:t>Weighted average spread over reference rate of all</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9.5 %</w:t>
            </w:r>
          </w:p>
        </w:tc>
        <w:tc>
          <w:tcPr>
            <w:tcW w:w="1880" w:type="dxa"/>
            <w:vAlign w:val="bottom"/>
            <w:gridSpan w:val="2"/>
            <w:vMerge w:val="restart"/>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16"/>
        </w:trPr>
        <w:tc>
          <w:tcPr>
            <w:tcW w:w="6540" w:type="dxa"/>
            <w:vAlign w:val="bottom"/>
            <w:gridSpan w:val="2"/>
          </w:tcPr>
          <w:p>
            <w:pPr>
              <w:ind w:left="140"/>
              <w:spacing w:after="0" w:line="216" w:lineRule="exact"/>
              <w:rPr>
                <w:sz w:val="20"/>
                <w:szCs w:val="20"/>
                <w:color w:val="auto"/>
              </w:rPr>
            </w:pPr>
            <w:r>
              <w:rPr>
                <w:rFonts w:ascii="Arial" w:cs="Arial" w:eastAsia="Arial" w:hAnsi="Arial"/>
                <w:sz w:val="18"/>
                <w:szCs w:val="18"/>
                <w:color w:val="auto"/>
              </w:rPr>
              <w:t xml:space="preserve">floating rate investments </w:t>
            </w:r>
            <w:r>
              <w:rPr>
                <w:rFonts w:ascii="Arial" w:cs="Arial" w:eastAsia="Arial" w:hAnsi="Arial"/>
                <w:sz w:val="24"/>
                <w:szCs w:val="24"/>
                <w:color w:val="auto"/>
                <w:vertAlign w:val="superscript"/>
              </w:rPr>
              <w:t>(2)</w:t>
            </w:r>
          </w:p>
        </w:tc>
        <w:tc>
          <w:tcPr>
            <w:tcW w:w="640" w:type="dxa"/>
            <w:vAlign w:val="bottom"/>
            <w:gridSpan w:val="2"/>
            <w:vMerge w:val="continue"/>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-719455</wp:posOffset>
            </wp:positionV>
            <wp:extent cx="5700395" cy="24003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700395" cy="24003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-239395</wp:posOffset>
            </wp:positionV>
            <wp:extent cx="5700395" cy="24003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195"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Weighted average total portfolio yield at fair value was 10.2% at June 30, 2022 and 9.4% at December 31, 2021.</w:t>
      </w:r>
    </w:p>
    <w:p>
      <w:pPr>
        <w:spacing w:after="0" w:line="36" w:lineRule="exact"/>
        <w:rPr>
          <w:rFonts w:ascii="Arial" w:cs="Arial" w:eastAsia="Arial" w:hAnsi="Arial"/>
          <w:sz w:val="18"/>
          <w:szCs w:val="18"/>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fixed rate investments for which we entered into interest rate swap agreements to swap to floating rates.</w:t>
      </w:r>
    </w:p>
    <w:p>
      <w:pPr>
        <w:spacing w:after="0" w:line="212" w:lineRule="exact"/>
        <w:rPr>
          <w:sz w:val="20"/>
          <w:szCs w:val="20"/>
          <w:color w:val="auto"/>
        </w:rPr>
      </w:pPr>
    </w:p>
    <w:p>
      <w:pPr>
        <w:jc w:val="both"/>
        <w:ind w:right="100" w:firstLine="255"/>
        <w:spacing w:after="0" w:line="248"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4" w:lineRule="exact"/>
        <w:rPr>
          <w:sz w:val="20"/>
          <w:szCs w:val="20"/>
          <w:color w:val="auto"/>
        </w:rPr>
      </w:pPr>
    </w:p>
    <w:p>
      <w:pPr>
        <w:ind w:left="520" w:hanging="257"/>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03" w:lineRule="exact"/>
        <w:rPr>
          <w:rFonts w:ascii="Arial" w:cs="Arial" w:eastAsia="Arial" w:hAnsi="Arial"/>
          <w:sz w:val="18"/>
          <w:szCs w:val="18"/>
          <w:color w:val="auto"/>
        </w:rPr>
      </w:pPr>
    </w:p>
    <w:p>
      <w:pPr>
        <w:ind w:left="520" w:right="20" w:hanging="257"/>
        <w:spacing w:after="0" w:line="261"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98" w:lineRule="exact"/>
        <w:rPr>
          <w:sz w:val="20"/>
          <w:szCs w:val="20"/>
          <w:color w:val="auto"/>
        </w:rPr>
      </w:pPr>
    </w:p>
    <w:p>
      <w:pPr>
        <w:ind w:firstLine="255"/>
        <w:spacing w:after="0" w:line="235"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7" w:lineRule="exact"/>
        <w:rPr>
          <w:sz w:val="20"/>
          <w:szCs w:val="20"/>
          <w:color w:val="auto"/>
        </w:rPr>
      </w:pPr>
    </w:p>
    <w:p>
      <w:pPr>
        <w:jc w:val="both"/>
        <w:ind w:left="520" w:right="600" w:hanging="257"/>
        <w:spacing w:after="0" w:line="235"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6" w:lineRule="exact"/>
        <w:rPr>
          <w:rFonts w:ascii="Arial" w:cs="Arial" w:eastAsia="Arial" w:hAnsi="Arial"/>
          <w:sz w:val="18"/>
          <w:szCs w:val="18"/>
          <w:color w:val="auto"/>
        </w:rPr>
      </w:pPr>
    </w:p>
    <w:p>
      <w:pPr>
        <w:ind w:left="520" w:right="80" w:hanging="257"/>
        <w:spacing w:after="0" w:line="235"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6" w:lineRule="exact"/>
        <w:rPr>
          <w:rFonts w:ascii="Arial" w:cs="Arial" w:eastAsia="Arial" w:hAnsi="Arial"/>
          <w:sz w:val="18"/>
          <w:szCs w:val="18"/>
          <w:color w:val="auto"/>
        </w:rPr>
      </w:pPr>
    </w:p>
    <w:p>
      <w:pPr>
        <w:ind w:left="520" w:right="140" w:hanging="257"/>
        <w:spacing w:after="0" w:line="235"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55" w:name="page56"/>
    <w:bookmarkEnd w:id="55"/>
    <w:p>
      <w:pPr>
        <w:ind w:left="520" w:right="140" w:hanging="257"/>
        <w:spacing w:after="0" w:line="227"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67" w:lineRule="exact"/>
        <w:rPr>
          <w:rFonts w:ascii="Arial" w:cs="Arial" w:eastAsia="Arial" w:hAnsi="Arial"/>
          <w:sz w:val="18"/>
          <w:szCs w:val="18"/>
          <w:color w:val="auto"/>
        </w:rPr>
      </w:pPr>
    </w:p>
    <w:p>
      <w:pPr>
        <w:ind w:left="520" w:right="340" w:hanging="257"/>
        <w:spacing w:after="0" w:line="246"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1" w:lineRule="exact"/>
        <w:rPr>
          <w:sz w:val="20"/>
          <w:szCs w:val="20"/>
          <w:color w:val="auto"/>
        </w:rPr>
      </w:pPr>
    </w:p>
    <w:p>
      <w:pPr>
        <w:ind w:right="340" w:firstLine="255"/>
        <w:spacing w:after="0" w:line="253" w:lineRule="auto"/>
        <w:rPr>
          <w:sz w:val="20"/>
          <w:szCs w:val="20"/>
          <w:color w:val="auto"/>
        </w:rPr>
      </w:pPr>
      <w:r>
        <w:rPr>
          <w:rFonts w:ascii="Arial" w:cs="Arial" w:eastAsia="Arial" w:hAnsi="Arial"/>
          <w:sz w:val="17"/>
          <w:szCs w:val="17"/>
          <w:color w:val="auto"/>
        </w:rPr>
        <w:t>The following table shows the distribution of our investments on the 1 to 5 investment performance rating scale at fair value as of June 30, 2022 and December 31, 2021. Investment performance ratings are accurate only as of those dates and may change due to subsequent developments relating to a portfolio company’s business or financial condition, market conditions or developments, and other factors.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center"/>
              <w:ind w:left="1197"/>
              <w:spacing w:after="0"/>
              <w:rPr>
                <w:sz w:val="20"/>
                <w:szCs w:val="20"/>
                <w:color w:val="auto"/>
              </w:rPr>
            </w:pPr>
            <w:r>
              <w:rPr>
                <w:rFonts w:ascii="Arial" w:cs="Arial" w:eastAsia="Arial" w:hAnsi="Arial"/>
                <w:sz w:val="14"/>
                <w:szCs w:val="14"/>
                <w:b w:val="1"/>
                <w:bCs w:val="1"/>
                <w:color w:val="auto"/>
                <w:w w:val="90"/>
              </w:rPr>
              <w:t>June 30, 2022</w:t>
            </w:r>
          </w:p>
        </w:tc>
        <w:tc>
          <w:tcPr>
            <w:tcW w:w="15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center"/>
              <w:ind w:left="1077"/>
              <w:spacing w:after="0"/>
              <w:rPr>
                <w:sz w:val="20"/>
                <w:szCs w:val="20"/>
                <w:color w:val="auto"/>
              </w:rPr>
            </w:pPr>
            <w:r>
              <w:rPr>
                <w:rFonts w:ascii="Arial" w:cs="Arial" w:eastAsia="Arial" w:hAnsi="Arial"/>
                <w:sz w:val="14"/>
                <w:szCs w:val="14"/>
                <w:b w:val="1"/>
                <w:bCs w:val="1"/>
                <w:color w:val="auto"/>
                <w:w w:val="91"/>
              </w:rPr>
              <w:t>December 31, 2021</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28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auto"/>
                <w:w w:val="94"/>
              </w:rPr>
              <w:t>Investment</w:t>
            </w:r>
          </w:p>
        </w:tc>
        <w:tc>
          <w:tcPr>
            <w:tcW w:w="300" w:type="dxa"/>
            <w:vAlign w:val="bottom"/>
          </w:tcPr>
          <w:p>
            <w:pPr>
              <w:spacing w:after="0"/>
              <w:rPr>
                <w:sz w:val="13"/>
                <w:szCs w:val="13"/>
                <w:color w:val="auto"/>
              </w:rPr>
            </w:pPr>
          </w:p>
        </w:tc>
        <w:tc>
          <w:tcPr>
            <w:tcW w:w="1640" w:type="dxa"/>
            <w:vAlign w:val="bottom"/>
          </w:tcPr>
          <w:p>
            <w:pPr>
              <w:jc w:val="center"/>
              <w:ind w:right="217"/>
              <w:spacing w:after="0" w:line="160" w:lineRule="exact"/>
              <w:rPr>
                <w:sz w:val="20"/>
                <w:szCs w:val="20"/>
                <w:color w:val="auto"/>
              </w:rPr>
            </w:pPr>
            <w:r>
              <w:rPr>
                <w:rFonts w:ascii="Arial" w:cs="Arial" w:eastAsia="Arial" w:hAnsi="Arial"/>
                <w:sz w:val="14"/>
                <w:szCs w:val="14"/>
                <w:b w:val="1"/>
                <w:bCs w:val="1"/>
                <w:color w:val="auto"/>
                <w:w w:val="91"/>
              </w:rPr>
              <w:t>Investments at</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tcPr>
          <w:p>
            <w:pPr>
              <w:jc w:val="center"/>
              <w:ind w:right="217"/>
              <w:spacing w:after="0" w:line="160" w:lineRule="exact"/>
              <w:rPr>
                <w:sz w:val="20"/>
                <w:szCs w:val="20"/>
                <w:color w:val="auto"/>
              </w:rPr>
            </w:pPr>
            <w:r>
              <w:rPr>
                <w:rFonts w:ascii="Arial" w:cs="Arial" w:eastAsia="Arial" w:hAnsi="Arial"/>
                <w:sz w:val="14"/>
                <w:szCs w:val="14"/>
                <w:b w:val="1"/>
                <w:bCs w:val="1"/>
                <w:color w:val="auto"/>
                <w:w w:val="91"/>
              </w:rPr>
              <w:t>Investments at</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Performance</w:t>
            </w:r>
          </w:p>
        </w:tc>
        <w:tc>
          <w:tcPr>
            <w:tcW w:w="300" w:type="dxa"/>
            <w:vAlign w:val="bottom"/>
          </w:tcPr>
          <w:p>
            <w:pPr>
              <w:spacing w:after="0"/>
              <w:rPr>
                <w:sz w:val="15"/>
                <w:szCs w:val="15"/>
                <w:color w:val="auto"/>
              </w:rPr>
            </w:pPr>
          </w:p>
        </w:tc>
        <w:tc>
          <w:tcPr>
            <w:tcW w:w="1640" w:type="dxa"/>
            <w:vAlign w:val="bottom"/>
          </w:tcPr>
          <w:p>
            <w:pPr>
              <w:jc w:val="center"/>
              <w:ind w:right="217"/>
              <w:spacing w:after="0"/>
              <w:rPr>
                <w:sz w:val="20"/>
                <w:szCs w:val="20"/>
                <w:color w:val="auto"/>
              </w:rPr>
            </w:pPr>
            <w:r>
              <w:rPr>
                <w:rFonts w:ascii="Arial" w:cs="Arial" w:eastAsia="Arial" w:hAnsi="Arial"/>
                <w:sz w:val="14"/>
                <w:szCs w:val="14"/>
                <w:b w:val="1"/>
                <w:bCs w:val="1"/>
                <w:color w:val="auto"/>
                <w:w w:val="98"/>
              </w:rPr>
              <w:t>Fair Value</w:t>
            </w: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00" w:type="dxa"/>
            <w:vAlign w:val="bottom"/>
            <w:gridSpan w:val="2"/>
          </w:tcPr>
          <w:p>
            <w:pPr>
              <w:jc w:val="right"/>
              <w:ind w:right="810"/>
              <w:spacing w:after="0"/>
              <w:rPr>
                <w:sz w:val="20"/>
                <w:szCs w:val="20"/>
                <w:color w:val="auto"/>
              </w:rPr>
            </w:pPr>
            <w:r>
              <w:rPr>
                <w:rFonts w:ascii="Arial" w:cs="Arial" w:eastAsia="Arial" w:hAnsi="Arial"/>
                <w:sz w:val="14"/>
                <w:szCs w:val="14"/>
                <w:b w:val="1"/>
                <w:bCs w:val="1"/>
                <w:color w:val="auto"/>
              </w:rPr>
              <w:t>Percentage of</w:t>
            </w:r>
          </w:p>
        </w:tc>
        <w:tc>
          <w:tcPr>
            <w:tcW w:w="320" w:type="dxa"/>
            <w:vAlign w:val="bottom"/>
          </w:tcPr>
          <w:p>
            <w:pPr>
              <w:spacing w:after="0"/>
              <w:rPr>
                <w:sz w:val="15"/>
                <w:szCs w:val="15"/>
                <w:color w:val="auto"/>
              </w:rPr>
            </w:pPr>
          </w:p>
        </w:tc>
        <w:tc>
          <w:tcPr>
            <w:tcW w:w="1600" w:type="dxa"/>
            <w:vAlign w:val="bottom"/>
          </w:tcPr>
          <w:p>
            <w:pPr>
              <w:jc w:val="center"/>
              <w:ind w:right="237"/>
              <w:spacing w:after="0"/>
              <w:rPr>
                <w:sz w:val="20"/>
                <w:szCs w:val="20"/>
                <w:color w:val="auto"/>
              </w:rPr>
            </w:pPr>
            <w:r>
              <w:rPr>
                <w:rFonts w:ascii="Arial" w:cs="Arial" w:eastAsia="Arial" w:hAnsi="Arial"/>
                <w:sz w:val="14"/>
                <w:szCs w:val="14"/>
                <w:b w:val="1"/>
                <w:bCs w:val="1"/>
                <w:color w:val="auto"/>
                <w:w w:val="95"/>
              </w:rPr>
              <w:t>Fair Value</w:t>
            </w: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4"/>
              </w:rPr>
              <w:t>Percentage of</w:t>
            </w:r>
          </w:p>
        </w:tc>
        <w:tc>
          <w:tcPr>
            <w:tcW w:w="0" w:type="dxa"/>
            <w:vAlign w:val="bottom"/>
          </w:tcPr>
          <w:p>
            <w:pPr>
              <w:spacing w:after="0"/>
              <w:rPr>
                <w:sz w:val="1"/>
                <w:szCs w:val="1"/>
                <w:color w:val="auto"/>
              </w:rPr>
            </w:pPr>
          </w:p>
        </w:tc>
      </w:tr>
      <w:tr>
        <w:trPr>
          <w:trHeight w:val="185"/>
        </w:trPr>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Rating</w:t>
            </w:r>
          </w:p>
        </w:tc>
        <w:tc>
          <w:tcPr>
            <w:tcW w:w="300" w:type="dxa"/>
            <w:vAlign w:val="bottom"/>
          </w:tcPr>
          <w:p>
            <w:pPr>
              <w:spacing w:after="0"/>
              <w:rPr>
                <w:sz w:val="16"/>
                <w:szCs w:val="16"/>
                <w:color w:val="auto"/>
              </w:rPr>
            </w:pPr>
          </w:p>
        </w:tc>
        <w:tc>
          <w:tcPr>
            <w:tcW w:w="1640" w:type="dxa"/>
            <w:vAlign w:val="bottom"/>
          </w:tcPr>
          <w:p>
            <w:pPr>
              <w:jc w:val="center"/>
              <w:ind w:right="217"/>
              <w:spacing w:after="0"/>
              <w:rPr>
                <w:sz w:val="20"/>
                <w:szCs w:val="20"/>
                <w:color w:val="auto"/>
              </w:rPr>
            </w:pPr>
            <w:r>
              <w:rPr>
                <w:rFonts w:ascii="Arial" w:cs="Arial" w:eastAsia="Arial" w:hAnsi="Arial"/>
                <w:sz w:val="14"/>
                <w:szCs w:val="14"/>
                <w:b w:val="1"/>
                <w:bCs w:val="1"/>
                <w:color w:val="auto"/>
                <w:w w:val="95"/>
              </w:rPr>
              <w:t>($ in millions)</w:t>
            </w: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00" w:type="dxa"/>
            <w:vAlign w:val="bottom"/>
            <w:gridSpan w:val="2"/>
          </w:tcPr>
          <w:p>
            <w:pPr>
              <w:jc w:val="right"/>
              <w:ind w:right="770"/>
              <w:spacing w:after="0"/>
              <w:rPr>
                <w:sz w:val="20"/>
                <w:szCs w:val="20"/>
                <w:color w:val="auto"/>
              </w:rPr>
            </w:pPr>
            <w:r>
              <w:rPr>
                <w:rFonts w:ascii="Arial" w:cs="Arial" w:eastAsia="Arial" w:hAnsi="Arial"/>
                <w:sz w:val="14"/>
                <w:szCs w:val="14"/>
                <w:b w:val="1"/>
                <w:bCs w:val="1"/>
                <w:color w:val="auto"/>
              </w:rPr>
              <w:t>Total Portfolio</w:t>
            </w:r>
          </w:p>
        </w:tc>
        <w:tc>
          <w:tcPr>
            <w:tcW w:w="320" w:type="dxa"/>
            <w:vAlign w:val="bottom"/>
          </w:tcPr>
          <w:p>
            <w:pPr>
              <w:spacing w:after="0"/>
              <w:rPr>
                <w:sz w:val="16"/>
                <w:szCs w:val="16"/>
                <w:color w:val="auto"/>
              </w:rPr>
            </w:pPr>
          </w:p>
        </w:tc>
        <w:tc>
          <w:tcPr>
            <w:tcW w:w="1600" w:type="dxa"/>
            <w:vAlign w:val="bottom"/>
          </w:tcPr>
          <w:p>
            <w:pPr>
              <w:jc w:val="center"/>
              <w:ind w:right="237"/>
              <w:spacing w:after="0"/>
              <w:rPr>
                <w:sz w:val="20"/>
                <w:szCs w:val="20"/>
                <w:color w:val="auto"/>
              </w:rPr>
            </w:pPr>
            <w:r>
              <w:rPr>
                <w:rFonts w:ascii="Arial" w:cs="Arial" w:eastAsia="Arial" w:hAnsi="Arial"/>
                <w:sz w:val="14"/>
                <w:szCs w:val="14"/>
                <w:b w:val="1"/>
                <w:bCs w:val="1"/>
                <w:color w:val="auto"/>
                <w:w w:val="93"/>
              </w:rPr>
              <w:t>($ in millions)</w:t>
            </w: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6"/>
              </w:rPr>
              <w:t>Total Portfolio</w:t>
            </w:r>
          </w:p>
        </w:tc>
        <w:tc>
          <w:tcPr>
            <w:tcW w:w="0" w:type="dxa"/>
            <w:vAlign w:val="bottom"/>
          </w:tcPr>
          <w:p>
            <w:pPr>
              <w:spacing w:after="0"/>
              <w:rPr>
                <w:sz w:val="1"/>
                <w:szCs w:val="1"/>
                <w:color w:val="auto"/>
              </w:rPr>
            </w:pPr>
          </w:p>
        </w:tc>
      </w:tr>
      <w:tr>
        <w:trPr>
          <w:trHeight w:val="196"/>
        </w:trPr>
        <w:tc>
          <w:tcPr>
            <w:tcW w:w="204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7"/>
                <w:szCs w:val="17"/>
                <w:color w:val="auto"/>
              </w:rPr>
            </w:pPr>
          </w:p>
        </w:tc>
        <w:tc>
          <w:tcPr>
            <w:tcW w:w="30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2,228.4</w:t>
            </w:r>
          </w:p>
        </w:tc>
        <w:tc>
          <w:tcPr>
            <w:tcW w:w="3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87.9</w:t>
            </w:r>
          </w:p>
        </w:tc>
        <w:tc>
          <w:tcPr>
            <w:tcW w:w="32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7"/>
              </w:rPr>
              <w:t>%</w:t>
            </w:r>
          </w:p>
        </w:tc>
        <w:tc>
          <w:tcPr>
            <w:tcW w:w="32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2,264.8</w:t>
            </w:r>
          </w:p>
        </w:tc>
        <w:tc>
          <w:tcPr>
            <w:tcW w:w="34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89.8</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274.8</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175.8</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33.0</w:t>
            </w:r>
          </w:p>
        </w:tc>
        <w:tc>
          <w:tcPr>
            <w:tcW w:w="3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80.8</w:t>
            </w:r>
          </w:p>
        </w:tc>
        <w:tc>
          <w:tcPr>
            <w:tcW w:w="3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99"/>
              </w:rPr>
              <w:t>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20"/>
              <w:spacing w:after="0"/>
              <w:rPr>
                <w:sz w:val="20"/>
                <w:szCs w:val="20"/>
                <w:color w:val="auto"/>
              </w:rPr>
            </w:pPr>
            <w:r>
              <w:rPr>
                <w:rFonts w:ascii="Arial" w:cs="Arial" w:eastAsia="Arial" w:hAnsi="Arial"/>
                <w:sz w:val="12"/>
                <w:szCs w:val="12"/>
                <w:color w:val="auto"/>
              </w:rPr>
              <w:t>(1)</w:t>
            </w:r>
          </w:p>
        </w:tc>
        <w:tc>
          <w:tcPr>
            <w:tcW w:w="420" w:type="dxa"/>
            <w:vAlign w:val="bottom"/>
          </w:tcPr>
          <w:p>
            <w:pPr>
              <w:spacing w:after="0"/>
              <w:rPr>
                <w:sz w:val="17"/>
                <w:szCs w:val="17"/>
                <w:color w:val="auto"/>
              </w:rPr>
            </w:pPr>
          </w:p>
        </w:tc>
        <w:tc>
          <w:tcPr>
            <w:tcW w:w="190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vMerge w:val="restart"/>
          </w:tcPr>
          <w:p>
            <w:pPr>
              <w:jc w:val="right"/>
              <w:ind w:right="20"/>
              <w:spacing w:after="0"/>
              <w:rPr>
                <w:sz w:val="20"/>
                <w:szCs w:val="20"/>
                <w:color w:val="auto"/>
              </w:rPr>
            </w:pPr>
            <w:r>
              <w:rPr>
                <w:rFonts w:ascii="Arial" w:cs="Arial" w:eastAsia="Arial" w:hAnsi="Arial"/>
                <w:sz w:val="12"/>
                <w:szCs w:val="12"/>
                <w:color w:val="auto"/>
              </w:rPr>
              <w:t>(1)</w:t>
            </w:r>
          </w:p>
        </w:tc>
        <w:tc>
          <w:tcPr>
            <w:tcW w:w="500" w:type="dxa"/>
            <w:vAlign w:val="bottom"/>
          </w:tcPr>
          <w:p>
            <w:pPr>
              <w:spacing w:after="0"/>
              <w:rPr>
                <w:sz w:val="17"/>
                <w:szCs w:val="17"/>
                <w:color w:val="auto"/>
              </w:rPr>
            </w:pPr>
          </w:p>
        </w:tc>
        <w:tc>
          <w:tcPr>
            <w:tcW w:w="15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99"/>
              </w:rPr>
              <w:t>5</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w:t>
            </w:r>
          </w:p>
        </w:tc>
        <w:tc>
          <w:tcPr>
            <w:tcW w:w="360" w:type="dxa"/>
            <w:vAlign w:val="bottom"/>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w:t>
            </w:r>
          </w:p>
        </w:tc>
        <w:tc>
          <w:tcPr>
            <w:tcW w:w="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w:t>
            </w:r>
          </w:p>
        </w:tc>
        <w:tc>
          <w:tcPr>
            <w:tcW w:w="340" w:type="dxa"/>
            <w:vAlign w:val="bottom"/>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4"/>
              </w:rPr>
              <w:t>Total</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2,536.4</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100.0 %</w:t>
            </w: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2,521.6</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2890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Includes investments with an amortized cost of $1.5 million for which the fair value as of June 30, 2022 and December 31, 2021 was $0.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three and six months ended June 30, 2022 and 2021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Arial" w:cs="Arial" w:eastAsia="Arial" w:hAnsi="Arial"/>
                <w:sz w:val="14"/>
                <w:szCs w:val="14"/>
                <w:color w:val="auto"/>
              </w:rPr>
              <w:t>($ in millions)</w:t>
            </w:r>
          </w:p>
        </w:tc>
        <w:tc>
          <w:tcPr>
            <w:tcW w:w="68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2022</w:t>
            </w:r>
          </w:p>
        </w:tc>
        <w:tc>
          <w:tcPr>
            <w:tcW w:w="4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June 30, 2021</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2022</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June 30, 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investment income</w:t>
            </w:r>
          </w:p>
        </w:tc>
        <w:tc>
          <w:tcPr>
            <w:tcW w:w="6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63.9</w:t>
            </w:r>
          </w:p>
        </w:tc>
        <w:tc>
          <w:tcPr>
            <w:tcW w:w="3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62.8</w:t>
            </w:r>
          </w:p>
        </w:tc>
        <w:tc>
          <w:tcPr>
            <w:tcW w:w="20" w:type="dxa"/>
            <w:vAlign w:val="bottom"/>
            <w:shd w:val="clear" w:color="auto" w:fill="CFF0FC"/>
          </w:tcPr>
          <w:p>
            <w:pPr>
              <w:spacing w:after="0"/>
              <w:rPr>
                <w:sz w:val="17"/>
                <w:szCs w:val="17"/>
                <w:color w:val="auto"/>
              </w:rPr>
            </w:pPr>
          </w:p>
        </w:tc>
        <w:tc>
          <w:tcPr>
            <w:tcW w:w="380" w:type="dxa"/>
            <w:vAlign w:val="bottom"/>
            <w:tcBorders>
              <w:right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131.3</w:t>
            </w:r>
          </w:p>
        </w:tc>
        <w:tc>
          <w:tcPr>
            <w:tcW w:w="38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ind w:right="256"/>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129.0</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Less: Net expenses</w:t>
            </w:r>
          </w:p>
        </w:tc>
        <w:tc>
          <w:tcPr>
            <w:tcW w:w="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35.2</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53.7</w:t>
            </w:r>
          </w:p>
        </w:tc>
        <w:tc>
          <w:tcPr>
            <w:tcW w:w="3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2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Net investment income before income taxes</w:t>
            </w: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41.6</w:t>
            </w:r>
          </w:p>
        </w:tc>
        <w:tc>
          <w:tcPr>
            <w:tcW w:w="3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27.6</w:t>
            </w:r>
          </w:p>
        </w:tc>
        <w:tc>
          <w:tcPr>
            <w:tcW w:w="20" w:type="dxa"/>
            <w:vAlign w:val="bottom"/>
            <w:shd w:val="clear" w:color="auto" w:fill="CFF0FC"/>
          </w:tcPr>
          <w:p>
            <w:pPr>
              <w:spacing w:after="0"/>
              <w:rPr>
                <w:sz w:val="17"/>
                <w:szCs w:val="17"/>
                <w:color w:val="auto"/>
              </w:rPr>
            </w:pPr>
          </w:p>
        </w:tc>
        <w:tc>
          <w:tcPr>
            <w:tcW w:w="38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77.6</w:t>
            </w:r>
          </w:p>
        </w:tc>
        <w:tc>
          <w:tcPr>
            <w:tcW w:w="3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60.3</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20" w:type="dxa"/>
            <w:vAlign w:val="bottom"/>
          </w:tcPr>
          <w:p>
            <w:pPr>
              <w:ind w:left="180"/>
              <w:spacing w:after="0" w:line="202" w:lineRule="exact"/>
              <w:rPr>
                <w:sz w:val="20"/>
                <w:szCs w:val="20"/>
                <w:color w:val="auto"/>
              </w:rPr>
            </w:pPr>
            <w:r>
              <w:rPr>
                <w:rFonts w:ascii="Arial" w:cs="Arial" w:eastAsia="Arial" w:hAnsi="Arial"/>
                <w:sz w:val="18"/>
                <w:szCs w:val="18"/>
                <w:color w:val="auto"/>
              </w:rPr>
              <w:t>Less: Income taxes, including excise taxes</w:t>
            </w:r>
          </w:p>
        </w:tc>
        <w:tc>
          <w:tcPr>
            <w:tcW w:w="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0.8</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3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520" w:type="dxa"/>
            <w:vAlign w:val="bottom"/>
          </w:tcPr>
          <w:p>
            <w:pPr>
              <w:ind w:left="180"/>
              <w:spacing w:after="0" w:line="156" w:lineRule="exact"/>
              <w:rPr>
                <w:sz w:val="20"/>
                <w:szCs w:val="20"/>
                <w:color w:val="auto"/>
              </w:rPr>
            </w:pPr>
            <w:r>
              <w:rPr>
                <w:rFonts w:ascii="Arial" w:cs="Arial" w:eastAsia="Arial" w:hAnsi="Arial"/>
                <w:sz w:val="18"/>
                <w:szCs w:val="18"/>
                <w:color w:val="auto"/>
              </w:rPr>
              <w:t>Net investment income</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8"/>
                <w:szCs w:val="18"/>
                <w:color w:val="auto"/>
              </w:rPr>
              <w:t>40.8</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Arial" w:cs="Arial" w:eastAsia="Arial" w:hAnsi="Arial"/>
                <w:sz w:val="18"/>
                <w:szCs w:val="18"/>
                <w:color w:val="auto"/>
              </w:rPr>
              <w:t>27.4</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Arial" w:cs="Arial" w:eastAsia="Arial" w:hAnsi="Arial"/>
                <w:sz w:val="18"/>
                <w:szCs w:val="18"/>
                <w:color w:val="auto"/>
              </w:rPr>
              <w:t>76.5</w:t>
            </w: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jc w:val="right"/>
              <w:spacing w:after="0" w:line="156" w:lineRule="exact"/>
              <w:rPr>
                <w:sz w:val="20"/>
                <w:szCs w:val="20"/>
                <w:color w:val="auto"/>
              </w:rPr>
            </w:pPr>
            <w:r>
              <w:rPr>
                <w:rFonts w:ascii="Arial" w:cs="Arial" w:eastAsia="Arial" w:hAnsi="Arial"/>
                <w:sz w:val="18"/>
                <w:szCs w:val="18"/>
                <w:color w:val="auto"/>
              </w:rPr>
              <w:t>59.7</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7"/>
                <w:szCs w:val="17"/>
                <w:color w:val="auto"/>
              </w:rPr>
              <w:t xml:space="preserve">Net realized gains </w:t>
            </w:r>
            <w:r>
              <w:rPr>
                <w:rFonts w:ascii="Arial" w:cs="Arial" w:eastAsia="Arial" w:hAnsi="Arial"/>
                <w:sz w:val="23"/>
                <w:szCs w:val="23"/>
                <w:color w:val="auto"/>
                <w:vertAlign w:val="superscript"/>
              </w:rPr>
              <w:t>(1)</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16.6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520" w:type="dxa"/>
            <w:vAlign w:val="bottom"/>
          </w:tcPr>
          <w:p>
            <w:pPr>
              <w:spacing w:after="0" w:line="243" w:lineRule="exact"/>
              <w:rPr>
                <w:sz w:val="20"/>
                <w:szCs w:val="20"/>
                <w:color w:val="auto"/>
              </w:rPr>
            </w:pPr>
            <w:r>
              <w:rPr>
                <w:rFonts w:ascii="Arial" w:cs="Arial" w:eastAsia="Arial" w:hAnsi="Arial"/>
                <w:sz w:val="18"/>
                <w:szCs w:val="18"/>
                <w:color w:val="auto"/>
              </w:rPr>
              <w:t xml:space="preserve">Net change in unrealized gains (losses) </w:t>
            </w:r>
            <w:r>
              <w:rPr>
                <w:rFonts w:ascii="Arial" w:cs="Arial" w:eastAsia="Arial" w:hAnsi="Arial"/>
                <w:sz w:val="24"/>
                <w:szCs w:val="24"/>
                <w:color w:val="auto"/>
                <w:vertAlign w:val="superscript"/>
              </w:rPr>
              <w:t>(1)</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(54.7 )</w:t>
            </w: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(63.2 )</w:t>
            </w:r>
          </w:p>
        </w:tc>
        <w:tc>
          <w:tcPr>
            <w:tcW w:w="4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2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7"/>
              </w:rPr>
              <w:t>Net increase in net assets resulting from operations</w:t>
            </w: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(13.5 )</w:t>
            </w:r>
          </w:p>
        </w:tc>
        <w:tc>
          <w:tcPr>
            <w:tcW w:w="52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58.4</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27.4</w:t>
            </w:r>
          </w:p>
        </w:tc>
        <w:tc>
          <w:tcPr>
            <w:tcW w:w="380" w:type="dxa"/>
            <w:vAlign w:val="bottom"/>
          </w:tcPr>
          <w:p>
            <w:pPr>
              <w:spacing w:after="0"/>
              <w:rPr>
                <w:sz w:val="17"/>
                <w:szCs w:val="17"/>
                <w:color w:val="auto"/>
              </w:rPr>
            </w:pPr>
          </w:p>
        </w:tc>
        <w:tc>
          <w:tcPr>
            <w:tcW w:w="440" w:type="dxa"/>
            <w:vAlign w:val="bottom"/>
          </w:tcPr>
          <w:p>
            <w:pPr>
              <w:jc w:val="right"/>
              <w:ind w:right="256"/>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w w:val="97"/>
              </w:rPr>
              <w:t>115.0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8"/>
                <w:szCs w:val="18"/>
                <w:color w:val="auto"/>
              </w:rPr>
              <w:t>(1)</w:t>
            </w:r>
          </w:p>
        </w:tc>
        <w:tc>
          <w:tcPr>
            <w:tcW w:w="474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foreign exchange hedging activity.</w:t>
            </w: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0" w:type="dxa"/>
            <w:vAlign w:val="bottom"/>
            <w:vMerge w:val="continue"/>
          </w:tcPr>
          <w:p>
            <w:pPr>
              <w:spacing w:after="0"/>
              <w:rPr>
                <w:sz w:val="24"/>
                <w:szCs w:val="24"/>
                <w:color w:val="auto"/>
              </w:rPr>
            </w:pPr>
          </w:p>
        </w:tc>
        <w:tc>
          <w:tcPr>
            <w:tcW w:w="47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51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Investment Income</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Arial" w:cs="Arial" w:eastAsia="Arial" w:hAnsi="Arial"/>
                <w:sz w:val="14"/>
                <w:szCs w:val="14"/>
                <w:color w:val="auto"/>
              </w:rPr>
              <w:t>($ in millions)</w:t>
            </w:r>
          </w:p>
        </w:tc>
        <w:tc>
          <w:tcPr>
            <w:tcW w:w="6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2022</w:t>
            </w:r>
          </w:p>
        </w:tc>
        <w:tc>
          <w:tcPr>
            <w:tcW w:w="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June 30, 2021</w:t>
            </w:r>
          </w:p>
        </w:tc>
        <w:tc>
          <w:tcPr>
            <w:tcW w:w="3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2022</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June 30, 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Interest from investments</w:t>
            </w:r>
          </w:p>
        </w:tc>
        <w:tc>
          <w:tcPr>
            <w:tcW w:w="6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61.2</w:t>
            </w:r>
          </w:p>
        </w:tc>
        <w:tc>
          <w:tcPr>
            <w:tcW w:w="360" w:type="dxa"/>
            <w:vAlign w:val="bottom"/>
            <w:shd w:val="clear" w:color="auto" w:fill="CFF0FC"/>
          </w:tcPr>
          <w:p>
            <w:pPr>
              <w:spacing w:after="0"/>
              <w:rPr>
                <w:sz w:val="17"/>
                <w:szCs w:val="17"/>
                <w:color w:val="auto"/>
              </w:rPr>
            </w:pPr>
          </w:p>
        </w:tc>
        <w:tc>
          <w:tcPr>
            <w:tcW w:w="520" w:type="dxa"/>
            <w:vAlign w:val="bottom"/>
            <w:tcBorders>
              <w:top w:val="single" w:sz="8" w:color="auto"/>
            </w:tcBorders>
            <w:gridSpan w:val="2"/>
            <w:shd w:val="clear" w:color="auto" w:fill="CFF0FC"/>
          </w:tcPr>
          <w:p>
            <w:pPr>
              <w:jc w:val="right"/>
              <w:ind w:right="342"/>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60.9</w:t>
            </w:r>
          </w:p>
        </w:tc>
        <w:tc>
          <w:tcPr>
            <w:tcW w:w="380" w:type="dxa"/>
            <w:vAlign w:val="bottom"/>
            <w:tcBorders>
              <w:right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126.6</w:t>
            </w:r>
          </w:p>
        </w:tc>
        <w:tc>
          <w:tcPr>
            <w:tcW w:w="38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ind w:right="256"/>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123.8</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Dividend income</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0.8</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income</w:t>
            </w:r>
          </w:p>
        </w:tc>
        <w:tc>
          <w:tcPr>
            <w:tcW w:w="6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3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380" w:type="dxa"/>
            <w:vAlign w:val="bottom"/>
            <w:tcBorders>
              <w:bottom w:val="single" w:sz="8" w:color="CFF0FC"/>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3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20" w:type="dxa"/>
            <w:vAlign w:val="bottom"/>
          </w:tcPr>
          <w:p>
            <w:pPr>
              <w:ind w:left="180"/>
              <w:spacing w:after="0" w:line="196" w:lineRule="exact"/>
              <w:rPr>
                <w:sz w:val="20"/>
                <w:szCs w:val="20"/>
                <w:color w:val="auto"/>
              </w:rPr>
            </w:pPr>
            <w:r>
              <w:rPr>
                <w:rFonts w:ascii="Arial" w:cs="Arial" w:eastAsia="Arial" w:hAnsi="Arial"/>
                <w:sz w:val="18"/>
                <w:szCs w:val="18"/>
                <w:b w:val="1"/>
                <w:bCs w:val="1"/>
                <w:color w:val="auto"/>
              </w:rPr>
              <w:t>Total investment income</w:t>
            </w:r>
          </w:p>
        </w:tc>
        <w:tc>
          <w:tcPr>
            <w:tcW w:w="960" w:type="dxa"/>
            <w:vAlign w:val="bottom"/>
            <w:gridSpan w:val="2"/>
          </w:tcPr>
          <w:p>
            <w:pPr>
              <w:ind w:left="680"/>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63.9</w:t>
            </w:r>
          </w:p>
        </w:tc>
        <w:tc>
          <w:tcPr>
            <w:tcW w:w="360" w:type="dxa"/>
            <w:vAlign w:val="bottom"/>
          </w:tcPr>
          <w:p>
            <w:pPr>
              <w:spacing w:after="0"/>
              <w:rPr>
                <w:sz w:val="17"/>
                <w:szCs w:val="17"/>
                <w:color w:val="auto"/>
              </w:rPr>
            </w:pPr>
          </w:p>
        </w:tc>
        <w:tc>
          <w:tcPr>
            <w:tcW w:w="520" w:type="dxa"/>
            <w:vAlign w:val="bottom"/>
            <w:gridSpan w:val="2"/>
          </w:tcPr>
          <w:p>
            <w:pPr>
              <w:jc w:val="right"/>
              <w:ind w:right="342"/>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62.8</w:t>
            </w:r>
          </w:p>
        </w:tc>
        <w:tc>
          <w:tcPr>
            <w:tcW w:w="38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131.3</w:t>
            </w:r>
          </w:p>
        </w:tc>
        <w:tc>
          <w:tcPr>
            <w:tcW w:w="380" w:type="dxa"/>
            <w:vAlign w:val="bottom"/>
          </w:tcPr>
          <w:p>
            <w:pPr>
              <w:spacing w:after="0"/>
              <w:rPr>
                <w:sz w:val="17"/>
                <w:szCs w:val="17"/>
                <w:color w:val="auto"/>
              </w:rPr>
            </w:pPr>
          </w:p>
        </w:tc>
        <w:tc>
          <w:tcPr>
            <w:tcW w:w="440" w:type="dxa"/>
            <w:vAlign w:val="bottom"/>
          </w:tcPr>
          <w:p>
            <w:pPr>
              <w:jc w:val="right"/>
              <w:ind w:right="256"/>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w w:val="97"/>
              </w:rPr>
              <w:t>129.0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5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-2571115</wp:posOffset>
            </wp:positionV>
            <wp:extent cx="6412230" cy="12890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-2313940</wp:posOffset>
            </wp:positionV>
            <wp:extent cx="6412230" cy="13716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-639445</wp:posOffset>
            </wp:positionV>
            <wp:extent cx="68580" cy="571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-639445</wp:posOffset>
            </wp:positionV>
            <wp:extent cx="68580" cy="571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-639445</wp:posOffset>
            </wp:positionV>
            <wp:extent cx="60325" cy="571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-639445</wp:posOffset>
            </wp:positionV>
            <wp:extent cx="60325" cy="571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22" w:right="279" w:bottom="1440" w:gutter="0" w:footer="0" w:header="0"/>
        </w:sectPr>
      </w:pPr>
    </w:p>
    <w:bookmarkStart w:id="56" w:name="page57"/>
    <w:bookmarkEnd w:id="56"/>
    <w:p>
      <w:pPr>
        <w:ind w:right="20" w:firstLine="255"/>
        <w:spacing w:after="0" w:line="270"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$60.9 million for the three months ended June 30, 2021 to $61.2 million for the three months ended June 30, 2022. The increase in interest from investments was primarily the result of an increase in amendment fees and an increase in interest earned due to an increase in reference rates for the period ended June 30, 2022 compared to the same period in 2021. Accelerated amortization of upfront fees, which were primarily from unscheduled paydowns, increased from $0.9 million for the three months ended June 30, 2021 to $1.7 million for the three months ended June 30, 2022. Prepayment fees increased from $1.3 million for the three months ended June 30, 2021 to $1.5 million for the three months ended June 30, 2022. Accelerated amortization of upfront fees and prepayment fees primarily resulted from full paydowns on two portfolio investments, a partial paydown on one portfolio investment, realizations on two portfolio investments, and earning prepayment fees on two portfolio investments during the three months ended June 30, 2021 and from full paydowns on three portfolio investments, partial paydowns on three portfolio investments, a realization of one portfolio investment and earning prepayment fees on one portfolio investment during the three months ended June 30, 2022. Other income increased from $1.1 million for the three months ended June 30, 2021 to $1.6 million for the three months ended June 30, 2022, primarily due to increased amendment fees during the three months ended June 30, 2022 compared to the same period in 2021.</w:t>
      </w:r>
    </w:p>
    <w:p>
      <w:pPr>
        <w:spacing w:after="0" w:line="59" w:lineRule="exact"/>
        <w:rPr>
          <w:sz w:val="20"/>
          <w:szCs w:val="20"/>
          <w:color w:val="auto"/>
        </w:rPr>
      </w:pPr>
    </w:p>
    <w:p>
      <w:pPr>
        <w:ind w:right="80" w:firstLine="255"/>
        <w:spacing w:after="0" w:line="252" w:lineRule="auto"/>
        <w:rPr>
          <w:sz w:val="20"/>
          <w:szCs w:val="20"/>
          <w:color w:val="auto"/>
        </w:rPr>
      </w:pPr>
      <w:r>
        <w:rPr>
          <w:rFonts w:ascii="Arial" w:cs="Arial" w:eastAsia="Arial" w:hAnsi="Arial"/>
          <w:sz w:val="17"/>
          <w:szCs w:val="17"/>
          <w:color w:val="auto"/>
        </w:rPr>
        <w:t>Interest from investments, which includes amortization of upfront fees and prepayment fees, increased from $123.8 million for the six months ended June 30, 2021 to $126.6 million for the six months ended June 30, 2022. The increase in interest from investments was primarily a result of an increase in prepayment fees related to paydowns and increase in interest earned due to an increase in reference rates from the period ended June 30, 2022 compared to the same period in 2021. Accelerated amortization of upfront fees from unscheduled paydowns decreased from $5.5 million for the six months ended June 30, 2021 to $3.4 million for the six months ended June 30, 2022. Prepayment fees increased from $4.7 million for the six months ended June 30, 2021 to $6.6 million for the six months ended June 30, 2022. Accelerated amortization of upfront fees and prepayment fees primarily resulted from full paydowns on five portfolio investments, partial paydowns on two portfolio investments, realizations on two portfolio investments and earning prepayment fees on five portfolio investments during the six months ended June 30, 2021 and full paydowns on seven portfolio investments, partial paydowns on seven portfolio investments, a partial realization of one portfolio investment, a realization of one portfolio investments and earning prepayment fees on eight portfolio investments during the six months ended June 30, 2022. Other income decreased from $3.4 million for the six months ended June 30, 2021 to $3.3 million for the six months ended June 30, 2022, primarily due to decreased miscellaneous fees earned during the six months ended June 30, 2022 compared to the same period in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three and six months ended June 30, 2022 and 2021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Arial" w:cs="Arial" w:eastAsia="Arial" w:hAnsi="Arial"/>
                <w:sz w:val="14"/>
                <w:szCs w:val="14"/>
                <w:color w:val="auto"/>
              </w:rPr>
              <w:t>($ in millions)</w:t>
            </w:r>
          </w:p>
        </w:tc>
        <w:tc>
          <w:tcPr>
            <w:tcW w:w="760" w:type="dxa"/>
            <w:vAlign w:val="bottom"/>
          </w:tcPr>
          <w:p>
            <w:pPr>
              <w:spacing w:after="0"/>
              <w:rPr>
                <w:sz w:val="14"/>
                <w:szCs w:val="14"/>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6"/>
              </w:rPr>
              <w:t>June 30, 2022</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June 30, 2021</w:t>
            </w:r>
          </w:p>
        </w:tc>
        <w:tc>
          <w:tcPr>
            <w:tcW w:w="380" w:type="dxa"/>
            <w:vAlign w:val="bottom"/>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June 30, 2022</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June 30, 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Interest</w:t>
            </w:r>
          </w:p>
        </w:tc>
        <w:tc>
          <w:tcPr>
            <w:tcW w:w="7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w:t>
            </w:r>
          </w:p>
        </w:tc>
        <w:tc>
          <w:tcPr>
            <w:tcW w:w="22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ind w:right="416"/>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w:t>
            </w:r>
          </w:p>
        </w:tc>
        <w:tc>
          <w:tcPr>
            <w:tcW w:w="38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9"/>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21.6</w:t>
            </w:r>
          </w:p>
        </w:tc>
        <w:tc>
          <w:tcPr>
            <w:tcW w:w="180" w:type="dxa"/>
            <w:vAlign w:val="bottom"/>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ind w:right="356"/>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19.1</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Management fees (net of waivers)</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18.8</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52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w w:val="99"/>
              </w:rPr>
              <w:t>Incentive fees related to pre-incentive fee net investment</w:t>
            </w: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w:t>
            </w: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w w:val="99"/>
              </w:rPr>
              <w:t>Incentive fees related to realized/unrealized capital gains</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(9.1 )</w:t>
            </w:r>
          </w:p>
        </w:tc>
        <w:tc>
          <w:tcPr>
            <w:tcW w:w="6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(7.7 )</w:t>
            </w:r>
          </w:p>
        </w:tc>
        <w:tc>
          <w:tcPr>
            <w:tcW w:w="56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Professional fees</w:t>
            </w: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20" w:type="dxa"/>
            <w:vAlign w:val="bottom"/>
          </w:tcPr>
          <w:p>
            <w:pPr>
              <w:spacing w:after="0" w:line="202" w:lineRule="exact"/>
              <w:rPr>
                <w:sz w:val="20"/>
                <w:szCs w:val="20"/>
                <w:color w:val="auto"/>
              </w:rPr>
            </w:pPr>
            <w:r>
              <w:rPr>
                <w:rFonts w:ascii="Arial" w:cs="Arial" w:eastAsia="Arial" w:hAnsi="Arial"/>
                <w:sz w:val="18"/>
                <w:szCs w:val="18"/>
                <w:color w:val="auto"/>
              </w:rPr>
              <w:t>Directors fees</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5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general and administrative</w:t>
            </w:r>
          </w:p>
        </w:tc>
        <w:tc>
          <w:tcPr>
            <w:tcW w:w="7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2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3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w:t>
            </w:r>
          </w:p>
        </w:tc>
        <w:tc>
          <w:tcPr>
            <w:tcW w:w="1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520" w:type="dxa"/>
            <w:vAlign w:val="bottom"/>
          </w:tcPr>
          <w:p>
            <w:pPr>
              <w:spacing w:after="0" w:line="196" w:lineRule="exact"/>
              <w:rPr>
                <w:sz w:val="20"/>
                <w:szCs w:val="20"/>
                <w:color w:val="auto"/>
              </w:rPr>
            </w:pPr>
            <w:r>
              <w:rPr>
                <w:rFonts w:ascii="Arial" w:cs="Arial" w:eastAsia="Arial" w:hAnsi="Arial"/>
                <w:sz w:val="18"/>
                <w:szCs w:val="18"/>
                <w:b w:val="1"/>
                <w:bCs w:val="1"/>
                <w:color w:val="auto"/>
              </w:rPr>
              <w:t>Net Expenses</w:t>
            </w:r>
          </w:p>
        </w:tc>
        <w:tc>
          <w:tcPr>
            <w:tcW w:w="1020" w:type="dxa"/>
            <w:vAlign w:val="bottom"/>
            <w:gridSpan w:val="2"/>
          </w:tcPr>
          <w:p>
            <w:pPr>
              <w:jc w:val="right"/>
              <w:ind w:right="79"/>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22.3</w:t>
            </w:r>
          </w:p>
        </w:tc>
        <w:tc>
          <w:tcPr>
            <w:tcW w:w="220" w:type="dxa"/>
            <w:vAlign w:val="bottom"/>
          </w:tcPr>
          <w:p>
            <w:pPr>
              <w:spacing w:after="0"/>
              <w:rPr>
                <w:sz w:val="17"/>
                <w:szCs w:val="17"/>
                <w:color w:val="auto"/>
              </w:rPr>
            </w:pPr>
          </w:p>
        </w:tc>
        <w:tc>
          <w:tcPr>
            <w:tcW w:w="600" w:type="dxa"/>
            <w:vAlign w:val="bottom"/>
          </w:tcPr>
          <w:p>
            <w:pPr>
              <w:jc w:val="right"/>
              <w:ind w:right="416"/>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35.2</w:t>
            </w:r>
          </w:p>
        </w:tc>
        <w:tc>
          <w:tcPr>
            <w:tcW w:w="680" w:type="dxa"/>
            <w:vAlign w:val="bottom"/>
            <w:gridSpan w:val="2"/>
          </w:tcPr>
          <w:p>
            <w:pPr>
              <w:jc w:val="right"/>
              <w:ind w:right="119"/>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53.7</w:t>
            </w:r>
          </w:p>
        </w:tc>
        <w:tc>
          <w:tcPr>
            <w:tcW w:w="180" w:type="dxa"/>
            <w:vAlign w:val="bottom"/>
          </w:tcPr>
          <w:p>
            <w:pPr>
              <w:spacing w:after="0"/>
              <w:rPr>
                <w:sz w:val="17"/>
                <w:szCs w:val="17"/>
                <w:color w:val="auto"/>
              </w:rPr>
            </w:pPr>
          </w:p>
        </w:tc>
        <w:tc>
          <w:tcPr>
            <w:tcW w:w="560" w:type="dxa"/>
            <w:vAlign w:val="bottom"/>
          </w:tcPr>
          <w:p>
            <w:pPr>
              <w:jc w:val="right"/>
              <w:ind w:right="356"/>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68.7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color w:val="auto"/>
              </w:rPr>
              <w:t>57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5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-630555</wp:posOffset>
            </wp:positionV>
            <wp:extent cx="68580" cy="571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-630555</wp:posOffset>
            </wp:positionV>
            <wp:extent cx="68580" cy="571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-630555</wp:posOffset>
            </wp:positionV>
            <wp:extent cx="60325" cy="571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-630555</wp:posOffset>
            </wp:positionV>
            <wp:extent cx="60325" cy="571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57" w:name="page58"/>
    <w:bookmarkEnd w:id="57"/>
    <w:p>
      <w:pPr>
        <w:ind w:left="260"/>
        <w:spacing w:after="0"/>
        <w:rPr>
          <w:sz w:val="20"/>
          <w:szCs w:val="20"/>
          <w:color w:val="auto"/>
        </w:rPr>
      </w:pPr>
      <w:r>
        <w:rPr>
          <w:rFonts w:ascii="Arial" w:cs="Arial" w:eastAsia="Arial" w:hAnsi="Arial"/>
          <w:sz w:val="18"/>
          <w:szCs w:val="18"/>
          <w:i w:val="1"/>
          <w:iCs w:val="1"/>
          <w:color w:val="auto"/>
        </w:rPr>
        <w:t>Interest</w:t>
      </w:r>
    </w:p>
    <w:p>
      <w:pPr>
        <w:spacing w:after="0" w:line="104" w:lineRule="exact"/>
        <w:rPr>
          <w:sz w:val="20"/>
          <w:szCs w:val="20"/>
          <w:color w:val="auto"/>
        </w:rPr>
      </w:pPr>
    </w:p>
    <w:p>
      <w:pPr>
        <w:ind w:right="180" w:firstLine="255"/>
        <w:spacing w:after="0" w:line="241" w:lineRule="auto"/>
        <w:rPr>
          <w:sz w:val="20"/>
          <w:szCs w:val="20"/>
          <w:color w:val="auto"/>
        </w:rPr>
      </w:pPr>
      <w:r>
        <w:rPr>
          <w:rFonts w:ascii="Arial" w:cs="Arial" w:eastAsia="Arial" w:hAnsi="Arial"/>
          <w:sz w:val="18"/>
          <w:szCs w:val="18"/>
          <w:color w:val="auto"/>
        </w:rPr>
        <w:t>Interest expense, including other debt financing expenses, increased from $10.2 million for the three months ended June 30, 2021 to $11.9 million for the three months ended June 30, 2022. This increase was primarily due to an increase in the average interest rate on our debt outstanding which was partially offset by a decrease in the average debt outstanding from $1,282.2 million for the three months ended June 30, 2021 to $1,156.4 million for the three months ended June 30, 2022. The average interest rate on our debt outstanding increased from 2.3% for the three months ended June 30, 2021 to 3.1% for the three months ended June 30, 2022.</w:t>
      </w:r>
    </w:p>
    <w:p>
      <w:pPr>
        <w:spacing w:after="0" w:line="81" w:lineRule="exact"/>
        <w:rPr>
          <w:sz w:val="20"/>
          <w:szCs w:val="20"/>
          <w:color w:val="auto"/>
        </w:rPr>
      </w:pPr>
    </w:p>
    <w:p>
      <w:pPr>
        <w:ind w:right="60" w:firstLine="255"/>
        <w:spacing w:after="0" w:line="248" w:lineRule="auto"/>
        <w:rPr>
          <w:sz w:val="20"/>
          <w:szCs w:val="20"/>
          <w:color w:val="auto"/>
        </w:rPr>
      </w:pPr>
      <w:r>
        <w:rPr>
          <w:rFonts w:ascii="Arial" w:cs="Arial" w:eastAsia="Arial" w:hAnsi="Arial"/>
          <w:sz w:val="18"/>
          <w:szCs w:val="18"/>
          <w:color w:val="auto"/>
        </w:rPr>
        <w:t>Interest expense, including other debt financing expenses, increased from $19.1 million for the six months ended June 30, 2021 to $21.6 million for the six months ended June 30, 2022. This decrease was primarily due to an increase in the average interest rate on our debt outstanding from 2.3% for the six months ended June 30, 2021 to 2.7% for the six months ended June 30, 2022.</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04" w:lineRule="exact"/>
        <w:rPr>
          <w:sz w:val="20"/>
          <w:szCs w:val="20"/>
          <w:color w:val="auto"/>
        </w:rPr>
      </w:pPr>
    </w:p>
    <w:p>
      <w:pPr>
        <w:ind w:right="140" w:firstLine="255"/>
        <w:spacing w:after="0" w:line="241" w:lineRule="auto"/>
        <w:rPr>
          <w:sz w:val="20"/>
          <w:szCs w:val="20"/>
          <w:color w:val="auto"/>
        </w:rPr>
      </w:pPr>
      <w:r>
        <w:rPr>
          <w:rFonts w:ascii="Arial" w:cs="Arial" w:eastAsia="Arial" w:hAnsi="Arial"/>
          <w:sz w:val="18"/>
          <w:szCs w:val="18"/>
          <w:color w:val="auto"/>
        </w:rPr>
        <w:t>Management Fees (gross of waivers) increased from $9.4 million for the three months ended June 30, 2021 to $9.5 million for the three months ended June 30, 2022 due to an increase in average assets for the three months ended June 30, 2022 compared to the same period in 2021. Management Fees (net of waivers) increased from $9.3 million for the three months ended June 30, 2021 to $9.5 million for the three months ended June 30, 2022. The Adviser waived Management Fees of $0.1 million and less than $0.1 million, respectively, for the three months ended June 30, 2021 and 2022 pursuant to the Leverage Waiver.</w:t>
      </w:r>
    </w:p>
    <w:p>
      <w:pPr>
        <w:spacing w:after="0" w:line="81" w:lineRule="exact"/>
        <w:rPr>
          <w:sz w:val="20"/>
          <w:szCs w:val="20"/>
          <w:color w:val="auto"/>
        </w:rPr>
      </w:pPr>
    </w:p>
    <w:p>
      <w:pPr>
        <w:ind w:right="100" w:firstLine="255"/>
        <w:spacing w:after="0" w:line="241" w:lineRule="auto"/>
        <w:rPr>
          <w:sz w:val="20"/>
          <w:szCs w:val="20"/>
          <w:color w:val="auto"/>
        </w:rPr>
      </w:pPr>
      <w:r>
        <w:rPr>
          <w:rFonts w:ascii="Arial" w:cs="Arial" w:eastAsia="Arial" w:hAnsi="Arial"/>
          <w:sz w:val="18"/>
          <w:szCs w:val="18"/>
          <w:color w:val="auto"/>
        </w:rPr>
        <w:t>Management Fees (gross of waivers) increased from $18.2 million for the six months ended June 30, 2021 to $18.8 million for the six months ended June 30, 2022 due to an increase in average assets for the six months ended June 30, 2022 compared to the same period in 2021. Management Fees (net of waivers) increased from $18.0 million for the six months ended June 30, 2021 to $18.8 million for the six months ended June 30, 2022. The Adviser waived Management Fees of $0.1 million and less than $0.1 million, respectively, for the six months ended June 30, 2021 and 2022 pursuant to the Leverage Waiver.</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04" w:lineRule="exact"/>
        <w:rPr>
          <w:sz w:val="20"/>
          <w:szCs w:val="20"/>
          <w:color w:val="auto"/>
        </w:rPr>
      </w:pPr>
    </w:p>
    <w:p>
      <w:pPr>
        <w:ind w:firstLine="255"/>
        <w:spacing w:after="0" w:line="259" w:lineRule="auto"/>
        <w:rPr>
          <w:sz w:val="20"/>
          <w:szCs w:val="20"/>
          <w:color w:val="auto"/>
        </w:rPr>
      </w:pPr>
      <w:r>
        <w:rPr>
          <w:rFonts w:ascii="Arial" w:cs="Arial" w:eastAsia="Arial" w:hAnsi="Arial"/>
          <w:sz w:val="17"/>
          <w:szCs w:val="17"/>
          <w:color w:val="auto"/>
        </w:rPr>
        <w:t>Incentive Fees related to pre-Incentive Fee net investment income decreased from $7.0 million for the three months ended June 30, 2021 to $6.7 million for the three months ended June 30, 2022 . This decrease resulted from an increase in interest expense for the three months ended June 30, 2022. The Adviser did not waive any Incentive Fees related to pre-Incentive Fee net investment income for the three months ended June 30, 2022 or 2021. For the three months ended June 30, 2022 and 2021, ($9.1) million and $5.6 million, respectively, of Incentive Fees were accrued related to Capital Gains Fees. As of June 30, 2022, these accrued Incentive Fees are not contractually payable to the Adviser.</w:t>
      </w:r>
    </w:p>
    <w:p>
      <w:pPr>
        <w:spacing w:after="0" w:line="66" w:lineRule="exact"/>
        <w:rPr>
          <w:sz w:val="20"/>
          <w:szCs w:val="20"/>
          <w:color w:val="auto"/>
        </w:rPr>
      </w:pPr>
    </w:p>
    <w:p>
      <w:pPr>
        <w:ind w:right="160" w:firstLine="255"/>
        <w:spacing w:after="0" w:line="259" w:lineRule="auto"/>
        <w:rPr>
          <w:sz w:val="20"/>
          <w:szCs w:val="20"/>
          <w:color w:val="auto"/>
        </w:rPr>
      </w:pPr>
      <w:r>
        <w:rPr>
          <w:rFonts w:ascii="Arial" w:cs="Arial" w:eastAsia="Arial" w:hAnsi="Arial"/>
          <w:sz w:val="17"/>
          <w:szCs w:val="17"/>
          <w:color w:val="auto"/>
        </w:rPr>
        <w:t>Incentive Fees related to pre-Incentive Fee net investment income decreased from $14.8 million for the six months ended June 30, 2021 to $14.6 million for the six months ended June 30, 2022. This decrease resulted from an increase in interest expense for the six months ended June 30, 2022. The Adviser did not waive any Incentive Fees related to pre-Incentive Fee net investment income for the six months ended June 30, 2022 or 2021. For the six months ended June 30, 2022 and 2021, ($7.7) million and $10.1 million, respectively, of Incentive Fees were accrued related to Capital Gains Fees. As of June 30, 2022, these accrued Incentive Fees are not contractually payable to the Adviser.</w:t>
      </w: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04" w:lineRule="exact"/>
        <w:rPr>
          <w:sz w:val="20"/>
          <w:szCs w:val="20"/>
          <w:color w:val="auto"/>
        </w:rPr>
      </w:pPr>
    </w:p>
    <w:p>
      <w:pPr>
        <w:jc w:val="both"/>
        <w:ind w:right="40" w:firstLine="255"/>
        <w:spacing w:after="0" w:line="248" w:lineRule="auto"/>
        <w:rPr>
          <w:sz w:val="20"/>
          <w:szCs w:val="20"/>
          <w:color w:val="auto"/>
        </w:rPr>
      </w:pPr>
      <w:r>
        <w:rPr>
          <w:rFonts w:ascii="Arial" w:cs="Arial" w:eastAsia="Arial" w:hAnsi="Arial"/>
          <w:sz w:val="18"/>
          <w:szCs w:val="18"/>
          <w:color w:val="auto"/>
        </w:rPr>
        <w:t>Professional fees increased from $1.7 million for the three months ended June 30, 2021 to $1.8 million for the three months ended June 30, 2022. Other general and administrative expenses increased from $1.2 million for the three months ended June 30, 2021 to $1.3 million for the three months ended June 30, 2022.</w:t>
      </w:r>
    </w:p>
    <w:p>
      <w:pPr>
        <w:spacing w:after="0" w:line="74" w:lineRule="exact"/>
        <w:rPr>
          <w:sz w:val="20"/>
          <w:szCs w:val="20"/>
          <w:color w:val="auto"/>
        </w:rPr>
      </w:pPr>
    </w:p>
    <w:p>
      <w:pPr>
        <w:ind w:right="80" w:firstLine="255"/>
        <w:spacing w:after="0" w:line="248" w:lineRule="auto"/>
        <w:rPr>
          <w:sz w:val="20"/>
          <w:szCs w:val="20"/>
          <w:color w:val="auto"/>
        </w:rPr>
      </w:pPr>
      <w:r>
        <w:rPr>
          <w:rFonts w:ascii="Arial" w:cs="Arial" w:eastAsia="Arial" w:hAnsi="Arial"/>
          <w:sz w:val="18"/>
          <w:szCs w:val="18"/>
          <w:color w:val="auto"/>
        </w:rPr>
        <w:t>Professional fees increased from $3.2 million for the six months ended June 30, 2021 to $3.3 million for the six months ended June 30, 2022. Other general and administrative expenses decreased from $3.1 million for the six months ended June 30, 2021 to $2.7 million for the six months ended June 30, 2022 primarily due to lower administrative services payable to the adviser.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04" w:lineRule="exact"/>
        <w:rPr>
          <w:sz w:val="20"/>
          <w:szCs w:val="20"/>
          <w:color w:val="auto"/>
        </w:rPr>
      </w:pPr>
    </w:p>
    <w:p>
      <w:pPr>
        <w:ind w:right="160" w:firstLine="255"/>
        <w:spacing w:after="0" w:line="241"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8" w:name="page59"/>
    <w:bookmarkEnd w:id="58"/>
    <w:p>
      <w:pPr>
        <w:ind w:right="60" w:firstLine="255"/>
        <w:spacing w:after="0" w:line="262"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2" w:lineRule="exact"/>
        <w:rPr>
          <w:sz w:val="20"/>
          <w:szCs w:val="20"/>
          <w:color w:val="auto"/>
        </w:rPr>
      </w:pPr>
    </w:p>
    <w:p>
      <w:pPr>
        <w:ind w:right="100" w:firstLine="255"/>
        <w:spacing w:after="0" w:line="248" w:lineRule="auto"/>
        <w:rPr>
          <w:sz w:val="20"/>
          <w:szCs w:val="20"/>
          <w:color w:val="auto"/>
        </w:rPr>
      </w:pPr>
      <w:r>
        <w:rPr>
          <w:rFonts w:ascii="Arial" w:cs="Arial" w:eastAsia="Arial" w:hAnsi="Arial"/>
          <w:sz w:val="18"/>
          <w:szCs w:val="18"/>
          <w:color w:val="auto"/>
        </w:rPr>
        <w:t>For the three and six months ended June 30, 2022, we recorded a net expense of $0.8 million and $1.1 million, respectively, for U.S. federal excise tax and other taxes. For the three and six months ended June 30, 2021, we recorded a net expense of $0.2 million and $0.6 million, respectively, for U.S. federal excise tax and other taxes.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summarizes our net realized and unrealized gains (losses) for the three and six months ended June 30, 2022 and 2021:</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20"/>
                <w:szCs w:val="20"/>
                <w:color w:val="auto"/>
              </w:rPr>
            </w:pPr>
            <w:r>
              <w:rPr>
                <w:rFonts w:ascii="Arial" w:cs="Arial" w:eastAsia="Arial" w:hAnsi="Arial"/>
                <w:sz w:val="14"/>
                <w:szCs w:val="14"/>
                <w:color w:val="auto"/>
              </w:rPr>
              <w:t>($ in millions)</w:t>
            </w: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w w:val="90"/>
              </w:rPr>
              <w:t>June 30, 2022</w:t>
            </w: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0"/>
              </w:rPr>
              <w:t>June 30, 2021</w:t>
            </w:r>
          </w:p>
        </w:tc>
        <w:tc>
          <w:tcPr>
            <w:tcW w:w="220" w:type="dxa"/>
            <w:vAlign w:val="bottom"/>
          </w:tcPr>
          <w:p>
            <w:pPr>
              <w:spacing w:after="0"/>
              <w:rPr>
                <w:sz w:val="14"/>
                <w:szCs w:val="14"/>
                <w:color w:val="auto"/>
              </w:rPr>
            </w:pPr>
          </w:p>
        </w:tc>
        <w:tc>
          <w:tcPr>
            <w:tcW w:w="1220" w:type="dxa"/>
            <w:vAlign w:val="bottom"/>
            <w:tcBorders>
              <w:top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w w:val="98"/>
              </w:rPr>
              <w:t>June 30, 2022</w:t>
            </w:r>
          </w:p>
        </w:tc>
        <w:tc>
          <w:tcPr>
            <w:tcW w:w="10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June 30,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realized gains on investments</w:t>
            </w: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0.4</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3"/>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w:t>
            </w:r>
          </w:p>
        </w:tc>
        <w:tc>
          <w:tcPr>
            <w:tcW w:w="220" w:type="dxa"/>
            <w:vAlign w:val="bottom"/>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ind w:right="353"/>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Net realized gains (losses) on foreign currency transactions</w:t>
            </w:r>
          </w:p>
        </w:tc>
        <w:tc>
          <w:tcPr>
            <w:tcW w:w="100" w:type="dxa"/>
            <w:vAlign w:val="bottom"/>
          </w:tcPr>
          <w:p>
            <w:pPr>
              <w:spacing w:after="0"/>
              <w:rPr>
                <w:sz w:val="17"/>
                <w:szCs w:val="17"/>
                <w:color w:val="auto"/>
              </w:rPr>
            </w:pPr>
          </w:p>
        </w:tc>
        <w:tc>
          <w:tcPr>
            <w:tcW w:w="11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(0.0 )</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(0.0 )</w:t>
            </w:r>
          </w:p>
        </w:tc>
        <w:tc>
          <w:tcPr>
            <w:tcW w:w="5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realized gains (losses) on foreign currency investments</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(0.0 )</w:t>
            </w: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Net realized gains (losses) on foreign currency borrowings</w:t>
            </w: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(0.0 )</w:t>
            </w:r>
          </w:p>
        </w:tc>
        <w:tc>
          <w:tcPr>
            <w:tcW w:w="320" w:type="dxa"/>
            <w:vAlign w:val="bottom"/>
          </w:tcPr>
          <w:p>
            <w:pPr>
              <w:spacing w:after="0"/>
              <w:rPr>
                <w:sz w:val="17"/>
                <w:szCs w:val="17"/>
                <w:color w:val="auto"/>
              </w:rPr>
            </w:pPr>
          </w:p>
        </w:tc>
        <w:tc>
          <w:tcPr>
            <w:tcW w:w="9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(0.1 )</w:t>
            </w:r>
          </w:p>
        </w:tc>
        <w:tc>
          <w:tcPr>
            <w:tcW w:w="54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36"/>
        </w:trPr>
        <w:tc>
          <w:tcPr>
            <w:tcW w:w="52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Realized Gains (Losses)</w:t>
            </w: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0.4</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3"/>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w:t>
            </w:r>
          </w:p>
        </w:tc>
        <w:tc>
          <w:tcPr>
            <w:tcW w:w="2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jc w:val="right"/>
              <w:ind w:right="353"/>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unrealized gains on investments</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38.4</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3"/>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w:t>
            </w: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53"/>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Change in unrealized losses on investments</w:t>
            </w:r>
          </w:p>
        </w:tc>
        <w:tc>
          <w:tcPr>
            <w:tcW w:w="100" w:type="dxa"/>
            <w:vAlign w:val="bottom"/>
          </w:tcPr>
          <w:p>
            <w:pPr>
              <w:spacing w:after="0"/>
              <w:rPr>
                <w:sz w:val="17"/>
                <w:szCs w:val="17"/>
                <w:color w:val="auto"/>
              </w:rPr>
            </w:pPr>
          </w:p>
        </w:tc>
        <w:tc>
          <w:tcPr>
            <w:tcW w:w="11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(66.6 )</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(8.4 )</w:t>
            </w:r>
          </w:p>
        </w:tc>
        <w:tc>
          <w:tcPr>
            <w:tcW w:w="320" w:type="dxa"/>
            <w:vAlign w:val="bottom"/>
          </w:tcPr>
          <w:p>
            <w:pPr>
              <w:spacing w:after="0"/>
              <w:rPr>
                <w:sz w:val="17"/>
                <w:szCs w:val="17"/>
                <w:color w:val="auto"/>
              </w:rPr>
            </w:pPr>
          </w:p>
        </w:tc>
        <w:tc>
          <w:tcPr>
            <w:tcW w:w="9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(87.0 )</w:t>
            </w:r>
          </w:p>
        </w:tc>
        <w:tc>
          <w:tcPr>
            <w:tcW w:w="54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20" w:type="dxa"/>
            <w:vAlign w:val="bottom"/>
            <w:shd w:val="clear" w:color="auto" w:fill="CFF0FC"/>
          </w:tcPr>
          <w:p>
            <w:pPr>
              <w:spacing w:after="0" w:line="156" w:lineRule="exact"/>
              <w:rPr>
                <w:sz w:val="20"/>
                <w:szCs w:val="20"/>
                <w:color w:val="auto"/>
              </w:rPr>
            </w:pPr>
            <w:r>
              <w:rPr>
                <w:rFonts w:ascii="Arial" w:cs="Arial" w:eastAsia="Arial" w:hAnsi="Arial"/>
                <w:sz w:val="18"/>
                <w:szCs w:val="18"/>
                <w:b w:val="1"/>
                <w:bCs w:val="1"/>
                <w:color w:val="auto"/>
              </w:rPr>
              <w:t>Net Change in Unrealized Gains (Losses) on</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(60.8 )</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FF0FC"/>
          </w:tcPr>
          <w:p>
            <w:pPr>
              <w:spacing w:after="0"/>
              <w:rPr>
                <w:sz w:val="13"/>
                <w:szCs w:val="13"/>
                <w:color w:val="auto"/>
              </w:rPr>
            </w:pPr>
          </w:p>
        </w:tc>
        <w:tc>
          <w:tcPr>
            <w:tcW w:w="320" w:type="dxa"/>
            <w:vAlign w:val="bottom"/>
            <w:vMerge w:val="restart"/>
            <w:shd w:val="clear" w:color="auto" w:fill="CFF0FC"/>
          </w:tcPr>
          <w:p>
            <w:pPr>
              <w:jc w:val="right"/>
              <w:ind w:right="133"/>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(64.5 )</w:t>
            </w:r>
          </w:p>
        </w:tc>
        <w:tc>
          <w:tcPr>
            <w:tcW w:w="540" w:type="dxa"/>
            <w:vAlign w:val="bottom"/>
            <w:vMerge w:val="restart"/>
            <w:shd w:val="clear" w:color="auto" w:fill="CFF0FC"/>
          </w:tcPr>
          <w:p>
            <w:pPr>
              <w:jc w:val="right"/>
              <w:ind w:right="353"/>
              <w:spacing w:after="0"/>
              <w:rPr>
                <w:sz w:val="20"/>
                <w:szCs w:val="20"/>
                <w:color w:val="auto"/>
              </w:rPr>
            </w:pPr>
            <w:r>
              <w:rPr>
                <w:rFonts w:ascii="Arial" w:cs="Arial" w:eastAsia="Arial" w:hAnsi="Arial"/>
                <w:sz w:val="18"/>
                <w:szCs w:val="18"/>
                <w:color w:val="auto"/>
                <w:w w:val="79"/>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Investments</w:t>
            </w:r>
          </w:p>
        </w:tc>
        <w:tc>
          <w:tcPr>
            <w:tcW w:w="100" w:type="dxa"/>
            <w:vAlign w:val="bottom"/>
            <w:vMerge w:val="continue"/>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vMerge w:val="continue"/>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540" w:type="dxa"/>
            <w:vAlign w:val="bottom"/>
            <w:vMerge w:val="continue"/>
            <w:shd w:val="clear" w:color="auto" w:fill="CFF0FC"/>
          </w:tcPr>
          <w:p>
            <w:pPr>
              <w:spacing w:after="0"/>
              <w:rPr>
                <w:sz w:val="18"/>
                <w:szCs w:val="18"/>
                <w:color w:val="auto"/>
              </w:rPr>
            </w:pPr>
          </w:p>
        </w:tc>
        <w:tc>
          <w:tcPr>
            <w:tcW w:w="4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Unrealized gains on foreign currency borrowings</w:t>
            </w: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Unrealized losses on foreign currency cash</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(0.0 )</w:t>
            </w: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(0.0 )</w:t>
            </w:r>
          </w:p>
        </w:tc>
        <w:tc>
          <w:tcPr>
            <w:tcW w:w="54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Unrealized losses on interest rate swaps</w:t>
            </w:r>
          </w:p>
        </w:tc>
        <w:tc>
          <w:tcPr>
            <w:tcW w:w="100" w:type="dxa"/>
            <w:vAlign w:val="bottom"/>
          </w:tcPr>
          <w:p>
            <w:pPr>
              <w:spacing w:after="0"/>
              <w:rPr>
                <w:sz w:val="17"/>
                <w:szCs w:val="17"/>
                <w:color w:val="auto"/>
              </w:rPr>
            </w:pPr>
          </w:p>
        </w:tc>
        <w:tc>
          <w:tcPr>
            <w:tcW w:w="11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(1.6 )</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(1.4 )</w:t>
            </w:r>
          </w:p>
        </w:tc>
        <w:tc>
          <w:tcPr>
            <w:tcW w:w="320" w:type="dxa"/>
            <w:vAlign w:val="bottom"/>
          </w:tcPr>
          <w:p>
            <w:pPr>
              <w:spacing w:after="0"/>
              <w:rPr>
                <w:sz w:val="17"/>
                <w:szCs w:val="17"/>
                <w:color w:val="auto"/>
              </w:rPr>
            </w:pPr>
          </w:p>
        </w:tc>
        <w:tc>
          <w:tcPr>
            <w:tcW w:w="9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(4.6 )</w:t>
            </w:r>
          </w:p>
        </w:tc>
        <w:tc>
          <w:tcPr>
            <w:tcW w:w="54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20" w:type="dxa"/>
            <w:vAlign w:val="bottom"/>
            <w:shd w:val="clear" w:color="auto" w:fill="CFF0FC"/>
          </w:tcPr>
          <w:p>
            <w:pPr>
              <w:spacing w:after="0" w:line="156" w:lineRule="exact"/>
              <w:rPr>
                <w:sz w:val="20"/>
                <w:szCs w:val="20"/>
                <w:color w:val="auto"/>
              </w:rPr>
            </w:pPr>
            <w:r>
              <w:rPr>
                <w:rFonts w:ascii="Arial" w:cs="Arial" w:eastAsia="Arial" w:hAnsi="Arial"/>
                <w:sz w:val="18"/>
                <w:szCs w:val="18"/>
                <w:b w:val="1"/>
                <w:bCs w:val="1"/>
                <w:color w:val="auto"/>
              </w:rPr>
              <w:t>Net Change in Unrealized Gains (Losses) on Foreign</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(1.0 )</w:t>
            </w:r>
          </w:p>
        </w:tc>
        <w:tc>
          <w:tcPr>
            <w:tcW w:w="320" w:type="dxa"/>
            <w:vAlign w:val="bottom"/>
            <w:vMerge w:val="restart"/>
            <w:shd w:val="clear" w:color="auto" w:fill="CFF0FC"/>
          </w:tcPr>
          <w:p>
            <w:pPr>
              <w:jc w:val="right"/>
              <w:ind w:right="133"/>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3"/>
                <w:szCs w:val="13"/>
                <w:color w:val="auto"/>
              </w:rPr>
            </w:pPr>
          </w:p>
        </w:tc>
        <w:tc>
          <w:tcPr>
            <w:tcW w:w="540" w:type="dxa"/>
            <w:vAlign w:val="bottom"/>
            <w:vMerge w:val="restart"/>
            <w:shd w:val="clear" w:color="auto" w:fill="CFF0FC"/>
          </w:tcPr>
          <w:p>
            <w:pPr>
              <w:jc w:val="right"/>
              <w:ind w:right="353"/>
              <w:spacing w:after="0"/>
              <w:rPr>
                <w:sz w:val="20"/>
                <w:szCs w:val="20"/>
                <w:color w:val="auto"/>
              </w:rPr>
            </w:pPr>
            <w:r>
              <w:rPr>
                <w:rFonts w:ascii="Arial" w:cs="Arial" w:eastAsia="Arial" w:hAnsi="Arial"/>
                <w:sz w:val="18"/>
                <w:szCs w:val="18"/>
                <w:color w:val="auto"/>
                <w:w w:val="79"/>
              </w:rPr>
              <w:t>$</w:t>
            </w:r>
          </w:p>
        </w:tc>
        <w:tc>
          <w:tcPr>
            <w:tcW w:w="5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Currency Transactions and Interest Rate Swaps</w:t>
            </w:r>
          </w:p>
        </w:tc>
        <w:tc>
          <w:tcPr>
            <w:tcW w:w="100" w:type="dxa"/>
            <w:vAlign w:val="bottom"/>
            <w:vMerge w:val="continue"/>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320" w:type="dxa"/>
            <w:vAlign w:val="bottom"/>
            <w:vMerge w:val="continue"/>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vMerge w:val="continue"/>
            <w:shd w:val="clear" w:color="auto" w:fill="CFF0FC"/>
          </w:tcPr>
          <w:p>
            <w:pPr>
              <w:spacing w:after="0"/>
              <w:rPr>
                <w:sz w:val="18"/>
                <w:szCs w:val="18"/>
                <w:color w:val="auto"/>
              </w:rPr>
            </w:pPr>
          </w:p>
        </w:tc>
        <w:tc>
          <w:tcPr>
            <w:tcW w:w="5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Change in Unrealized Gains (Losses)</w:t>
            </w: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(54.7</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29.0</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3"/>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(63.2</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ind w:right="353"/>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-1584960</wp:posOffset>
            </wp:positionV>
            <wp:extent cx="6858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-1567815</wp:posOffset>
            </wp:positionV>
            <wp:extent cx="6858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-1584960</wp:posOffset>
            </wp:positionV>
            <wp:extent cx="685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-1567815</wp:posOffset>
            </wp:positionV>
            <wp:extent cx="6858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-1584960</wp:posOffset>
            </wp:positionV>
            <wp:extent cx="6032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-1567815</wp:posOffset>
            </wp:positionV>
            <wp:extent cx="6032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-1584960</wp:posOffset>
            </wp:positionV>
            <wp:extent cx="6032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-1567815</wp:posOffset>
            </wp:positionV>
            <wp:extent cx="6032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right="120" w:firstLine="255"/>
        <w:spacing w:after="0" w:line="255" w:lineRule="auto"/>
        <w:rPr>
          <w:sz w:val="20"/>
          <w:szCs w:val="20"/>
          <w:color w:val="auto"/>
        </w:rPr>
      </w:pPr>
      <w:r>
        <w:rPr>
          <w:rFonts w:ascii="Arial" w:cs="Arial" w:eastAsia="Arial" w:hAnsi="Arial"/>
          <w:sz w:val="17"/>
          <w:szCs w:val="17"/>
          <w:color w:val="auto"/>
        </w:rPr>
        <w:t>For the three and six months ended June 30, 2022, we had net realized gains on investments of $0.4 million and $14.1 million, respectively, primarily driven by one investment and one investment, respectively. For the three and six months ended June 30, 2022, we had net realized losses of less than $0.1 million on foreign currency transactions, primarily as a result of translating foreign currency related to our non-USD denominated investments. For the three and six months ended June 30, 2022, we had net realized gains of less than $0.1 million and $0.1 million, respectively, on foreign currency investments. For the three months ended June 30, 2022, we had net realized gains of less than $0.1 million on foreign currency borrowings and for the six months ended June 30, 2022 we had net realized losses of $0.1 million on foreign currency borrowings. The net realized gains and losses on foreign currency borrowings were a result of payments on our revolving credit facility.</w:t>
      </w:r>
    </w:p>
    <w:p>
      <w:pPr>
        <w:spacing w:after="0" w:line="180" w:lineRule="exact"/>
        <w:rPr>
          <w:sz w:val="20"/>
          <w:szCs w:val="20"/>
          <w:color w:val="auto"/>
        </w:rPr>
      </w:pPr>
    </w:p>
    <w:p>
      <w:pPr>
        <w:ind w:firstLine="255"/>
        <w:spacing w:after="0" w:line="238" w:lineRule="auto"/>
        <w:rPr>
          <w:sz w:val="20"/>
          <w:szCs w:val="20"/>
          <w:color w:val="auto"/>
        </w:rPr>
      </w:pPr>
      <w:r>
        <w:rPr>
          <w:rFonts w:ascii="Arial" w:cs="Arial" w:eastAsia="Arial" w:hAnsi="Arial"/>
          <w:sz w:val="18"/>
          <w:szCs w:val="18"/>
          <w:color w:val="auto"/>
        </w:rPr>
        <w:t>For the three months ended June 30, 2022, we had $5.8 million in unrealized gains on 6 portfolio company investments, which was offset by $66.6 million in unrealized losses on 90 portfolio company investments. Unrealized gains resulted from an increase in fair value, primarily due to positive portfolio company specific developments. Unrealized losses primarily resulted from widening credit spreads, and also lesser impacts from the reversal of prior period unrealized gains due to realizations and negative portfolio company specific developments. For the six months ended June 30, 2022, we had $22.5 million in unrealized gains on 9 portfolio company investments, which was offset by $87.0 million in unrealized losses on 91 portfolio company investments. Unrealized gains resulted from an increase in fair value, primarily due to positive portfolio company specific developments. Unrealized losses primarily resulted from widening credit spreads, and also lesser impacts from the reversal of prior period unrealized gains due to realizations and negative portfolio company specific developments.</w:t>
      </w:r>
    </w:p>
    <w:p>
      <w:pPr>
        <w:spacing w:after="0" w:line="194" w:lineRule="exact"/>
        <w:rPr>
          <w:sz w:val="20"/>
          <w:szCs w:val="20"/>
          <w:color w:val="auto"/>
        </w:rPr>
      </w:pPr>
    </w:p>
    <w:p>
      <w:pPr>
        <w:ind w:right="300" w:firstLine="255"/>
        <w:spacing w:after="0" w:line="248" w:lineRule="auto"/>
        <w:rPr>
          <w:sz w:val="20"/>
          <w:szCs w:val="20"/>
          <w:color w:val="auto"/>
        </w:rPr>
      </w:pPr>
      <w:r>
        <w:rPr>
          <w:rFonts w:ascii="Arial" w:cs="Arial" w:eastAsia="Arial" w:hAnsi="Arial"/>
          <w:sz w:val="18"/>
          <w:szCs w:val="18"/>
          <w:color w:val="auto"/>
        </w:rPr>
        <w:t>For the three and six months ended June 30, 2022, we had unrealized gains on foreign currency borrowings of $7.7 million and $5.9 million, respectively, on foreign currency borrowings, as a result of fluctuations in the AUD, CAD, EUR and GBP exchange rates. For the three and six months ended June 30, 2022, we had unrealized losses on foreign currency cash of less than $0.1 million.</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59" w:name="page60"/>
    <w:bookmarkEnd w:id="59"/>
    <w:p>
      <w:pPr>
        <w:ind w:right="320"/>
        <w:spacing w:after="0" w:line="261" w:lineRule="auto"/>
        <w:rPr>
          <w:sz w:val="20"/>
          <w:szCs w:val="20"/>
          <w:color w:val="auto"/>
        </w:rPr>
      </w:pPr>
      <w:r>
        <w:rPr>
          <w:rFonts w:ascii="Arial" w:cs="Arial" w:eastAsia="Arial" w:hAnsi="Arial"/>
          <w:sz w:val="18"/>
          <w:szCs w:val="18"/>
          <w:color w:val="auto"/>
        </w:rPr>
        <w:t>For the three and six months ended June 30, 2022, we had unrealized losses on interest rate swaps of $1.6 million and $4.6 million, respectively, due to fluctuations in interest rates and the periodic settlement of interest rate swaps.</w:t>
      </w:r>
    </w:p>
    <w:p>
      <w:pPr>
        <w:spacing w:after="0" w:line="373" w:lineRule="exact"/>
        <w:rPr>
          <w:sz w:val="20"/>
          <w:szCs w:val="20"/>
          <w:color w:val="auto"/>
        </w:rPr>
      </w:pPr>
    </w:p>
    <w:p>
      <w:pPr>
        <w:ind w:firstLine="255"/>
        <w:spacing w:after="0" w:line="257" w:lineRule="auto"/>
        <w:rPr>
          <w:sz w:val="20"/>
          <w:szCs w:val="20"/>
          <w:color w:val="auto"/>
        </w:rPr>
      </w:pPr>
      <w:r>
        <w:rPr>
          <w:rFonts w:ascii="Arial" w:cs="Arial" w:eastAsia="Arial" w:hAnsi="Arial"/>
          <w:sz w:val="17"/>
          <w:szCs w:val="17"/>
          <w:color w:val="auto"/>
        </w:rPr>
        <w:t>For the three and six months ended June 30, 2021, we had net realized gains on investments of $2.0 million and $16.6 million respectively, primarily driven by one investment and three investments, respectively. For the three and six months ended June 30, 2021, we had net realized gains of less than $0.1 million on foreign currency transactions, primarily as a result of translating foreign currency related to our non-USD denominated investments. For the three and six months ended June 30, 2021, we had net realized losses of less than $0.1 million, on foreign currency investments. For the three and six months ended June 30, 2021, we had net realized losses of less than $0.1 million, on foreign currency borrowings. The net realized losses on foreign currency borrowings were a result of payments on our revolving credit facility.</w:t>
      </w:r>
    </w:p>
    <w:p>
      <w:pPr>
        <w:spacing w:after="0" w:line="175" w:lineRule="exact"/>
        <w:rPr>
          <w:sz w:val="20"/>
          <w:szCs w:val="20"/>
          <w:color w:val="auto"/>
        </w:rPr>
      </w:pPr>
    </w:p>
    <w:p>
      <w:pPr>
        <w:ind w:firstLine="255"/>
        <w:spacing w:after="0" w:line="274" w:lineRule="auto"/>
        <w:rPr>
          <w:sz w:val="20"/>
          <w:szCs w:val="20"/>
          <w:color w:val="auto"/>
        </w:rPr>
      </w:pPr>
      <w:r>
        <w:rPr>
          <w:rFonts w:ascii="Arial" w:cs="Arial" w:eastAsia="Arial" w:hAnsi="Arial"/>
          <w:sz w:val="16"/>
          <w:szCs w:val="16"/>
          <w:color w:val="auto"/>
        </w:rPr>
        <w:t>For the three months ended June 30, 2021 we had $38.4 million in unrealized gains on 47 portfolio company investments, which was offset by $8.4 million in unrealized losses on 25 portfolio company investments. Unrealized gains resulted from an increase in fair value, primarily due to tightening of credit spreads and positive portfolio company specific developments. Unrealized losses primarily resulted from the unwind of prior period unrealized gains due to realizations and negative portfolio company specific developments. For the six months ended June 30, 2021 we had $64.9 million in unrealized gains on 56 portfolio company investments, which was offset by $23.5 million in unrealized losses on 23 portfolio company investments. Unrealized gains resulted from an increase in fair value, primarily due to tightening of credit spreads and positive portfolio company specific developments. Unrealized losses primarily resulted from the unwind of prior period unrealized gains due to realizations and negative portfolio company specific developments.</w:t>
      </w:r>
    </w:p>
    <w:p>
      <w:pPr>
        <w:spacing w:after="0" w:line="163" w:lineRule="exact"/>
        <w:rPr>
          <w:sz w:val="20"/>
          <w:szCs w:val="20"/>
          <w:color w:val="auto"/>
        </w:rPr>
      </w:pPr>
    </w:p>
    <w:p>
      <w:pPr>
        <w:ind w:right="200" w:firstLine="255"/>
        <w:spacing w:after="0" w:line="243" w:lineRule="auto"/>
        <w:rPr>
          <w:sz w:val="20"/>
          <w:szCs w:val="20"/>
          <w:color w:val="auto"/>
        </w:rPr>
      </w:pPr>
      <w:r>
        <w:rPr>
          <w:rFonts w:ascii="Arial" w:cs="Arial" w:eastAsia="Arial" w:hAnsi="Arial"/>
          <w:sz w:val="18"/>
          <w:szCs w:val="18"/>
          <w:color w:val="auto"/>
        </w:rPr>
        <w:t>For the three and six months ended June 30, 2021, we had unrealized gains on foreign currency borrowings of $0.4 million and $0.6 million, respectively, as a result of fluctuations in the AUD, CAD and EUR exchange rates. For the three and six months ended June 30, 2021, we had unrealized losses on interest rate swaps of $1.4 million and $3.3 million, respectively, due to fluctuations in interest rates and the periodic settlement of interest rate swaps.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Gross Internal Rate of Return</w:t>
      </w:r>
    </w:p>
    <w:p>
      <w:pPr>
        <w:spacing w:after="0" w:line="104" w:lineRule="exact"/>
        <w:rPr>
          <w:sz w:val="20"/>
          <w:szCs w:val="20"/>
          <w:color w:val="auto"/>
        </w:rPr>
      </w:pPr>
    </w:p>
    <w:p>
      <w:pPr>
        <w:ind w:right="60" w:firstLine="255"/>
        <w:spacing w:after="0" w:line="270" w:lineRule="auto"/>
        <w:rPr>
          <w:sz w:val="20"/>
          <w:szCs w:val="20"/>
          <w:color w:val="auto"/>
        </w:rPr>
      </w:pPr>
      <w:r>
        <w:rPr>
          <w:rFonts w:ascii="Arial" w:cs="Arial" w:eastAsia="Arial" w:hAnsi="Arial"/>
          <w:sz w:val="17"/>
          <w:szCs w:val="17"/>
          <w:color w:val="auto"/>
        </w:rPr>
        <w:t>Since we began investing in 2011 through June 30, 2022 weighted by capital invested, our exited investments have generated an average realized gross internal rate of return to us of 18.4% (based on total capital invested of $6.3 billion and total proceeds from these exited investments of $7.9 billion). Ninety-two percent of these exited investments resulted in a realized gross internal rate of return to us of 10% or greater.</w:t>
      </w:r>
    </w:p>
    <w:p>
      <w:pPr>
        <w:spacing w:after="0" w:line="164" w:lineRule="exact"/>
        <w:rPr>
          <w:sz w:val="20"/>
          <w:szCs w:val="20"/>
          <w:color w:val="auto"/>
        </w:rPr>
      </w:pPr>
    </w:p>
    <w:p>
      <w:pPr>
        <w:ind w:right="300" w:firstLine="255"/>
        <w:spacing w:after="0" w:line="248"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2" w:lineRule="exact"/>
        <w:rPr>
          <w:sz w:val="20"/>
          <w:szCs w:val="20"/>
          <w:color w:val="auto"/>
        </w:rPr>
      </w:pPr>
    </w:p>
    <w:p>
      <w:pPr>
        <w:jc w:val="both"/>
        <w:ind w:right="120" w:firstLine="255"/>
        <w:spacing w:after="0" w:line="324"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firstLine="255"/>
        <w:spacing w:after="0" w:line="261" w:lineRule="auto"/>
        <w:rPr>
          <w:sz w:val="20"/>
          <w:szCs w:val="20"/>
          <w:color w:val="auto"/>
        </w:rPr>
      </w:pPr>
      <w:r>
        <w:rPr>
          <w:rFonts w:ascii="Arial" w:cs="Arial" w:eastAsia="Arial" w:hAnsi="Arial"/>
          <w:sz w:val="18"/>
          <w:szCs w:val="18"/>
          <w:color w:val="auto"/>
        </w:rPr>
        <w:t>Average gross IRR is the average of the gross IRR for each of our exited investments (each calculated as described above), weighted by the total capital invested for each of those investments.</w:t>
      </w:r>
    </w:p>
    <w:p>
      <w:pPr>
        <w:spacing w:after="0" w:line="171" w:lineRule="exact"/>
        <w:rPr>
          <w:sz w:val="20"/>
          <w:szCs w:val="20"/>
          <w:color w:val="auto"/>
        </w:rPr>
      </w:pPr>
    </w:p>
    <w:p>
      <w:pPr>
        <w:ind w:right="140" w:firstLine="255"/>
        <w:spacing w:after="0" w:line="261" w:lineRule="auto"/>
        <w:rPr>
          <w:sz w:val="20"/>
          <w:szCs w:val="20"/>
          <w:color w:val="auto"/>
        </w:rPr>
      </w:pPr>
      <w:r>
        <w:rPr>
          <w:rFonts w:ascii="Arial" w:cs="Arial" w:eastAsia="Arial" w:hAnsi="Arial"/>
          <w:sz w:val="18"/>
          <w:szCs w:val="18"/>
          <w:color w:val="auto"/>
        </w:rPr>
        <w:t>Average gross IRR on our exited investments reflects only invested and realized cash amounts as described above, and does not reflect any unrealized gains or losses in our portfolio.</w:t>
      </w:r>
    </w:p>
    <w:p>
      <w:pPr>
        <w:spacing w:after="0" w:line="171" w:lineRule="exact"/>
        <w:rPr>
          <w:sz w:val="20"/>
          <w:szCs w:val="20"/>
          <w:color w:val="auto"/>
        </w:rPr>
      </w:pPr>
    </w:p>
    <w:p>
      <w:pPr>
        <w:ind w:right="120" w:firstLine="255"/>
        <w:spacing w:after="0" w:line="270" w:lineRule="auto"/>
        <w:rPr>
          <w:sz w:val="20"/>
          <w:szCs w:val="20"/>
          <w:color w:val="auto"/>
        </w:rPr>
      </w:pPr>
      <w:r>
        <w:rPr>
          <w:rFonts w:ascii="Arial" w:cs="Arial" w:eastAsia="Arial" w:hAnsi="Arial"/>
          <w:sz w:val="17"/>
          <w:szCs w:val="17"/>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4" w:lineRule="exact"/>
        <w:rPr>
          <w:sz w:val="20"/>
          <w:szCs w:val="20"/>
          <w:color w:val="auto"/>
        </w:rPr>
      </w:pPr>
    </w:p>
    <w:p>
      <w:pPr>
        <w:ind w:right="100" w:firstLine="255"/>
        <w:spacing w:after="0" w:line="243" w:lineRule="auto"/>
        <w:rPr>
          <w:sz w:val="20"/>
          <w:szCs w:val="20"/>
          <w:color w:val="auto"/>
        </w:rPr>
      </w:pPr>
      <w:r>
        <w:rPr>
          <w:rFonts w:ascii="Arial" w:cs="Arial" w:eastAsia="Arial" w:hAnsi="Arial"/>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or foreign currency borrowings allocable to the investment, if any.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60" w:name="page61"/>
    <w:bookmarkEnd w:id="60"/>
    <w:p>
      <w:pPr>
        <w:ind w:right="20" w:firstLine="255"/>
        <w:spacing w:after="0" w:line="241" w:lineRule="auto"/>
        <w:rPr>
          <w:sz w:val="20"/>
          <w:szCs w:val="20"/>
          <w:color w:val="auto"/>
        </w:rPr>
      </w:pPr>
      <w:r>
        <w:rPr>
          <w:rFonts w:ascii="Arial" w:cs="Arial" w:eastAsia="Arial" w:hAnsi="Arial"/>
          <w:sz w:val="18"/>
          <w:szCs w:val="18"/>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or foreign currency borrowings allocable to the investment, if 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Foreign Currency Hedging</w:t>
      </w:r>
    </w:p>
    <w:p>
      <w:pPr>
        <w:spacing w:after="0" w:line="104" w:lineRule="exact"/>
        <w:rPr>
          <w:sz w:val="20"/>
          <w:szCs w:val="20"/>
          <w:color w:val="auto"/>
        </w:rPr>
      </w:pPr>
    </w:p>
    <w:p>
      <w:pPr>
        <w:ind w:right="160" w:firstLine="255"/>
        <w:spacing w:after="0" w:line="279" w:lineRule="auto"/>
        <w:rPr>
          <w:sz w:val="20"/>
          <w:szCs w:val="20"/>
          <w:color w:val="auto"/>
        </w:rPr>
      </w:pPr>
      <w:r>
        <w:rPr>
          <w:rFonts w:ascii="Arial" w:cs="Arial" w:eastAsia="Arial" w:hAnsi="Arial"/>
          <w:sz w:val="16"/>
          <w:szCs w:val="16"/>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 Our current approach to hedging the foreign currency exposure in our non-U.S. dollar denominated investments is primarily to borrow the par amount in local currency under our Revolving Credit Facility to fund these investments.</w:t>
      </w:r>
    </w:p>
    <w:p>
      <w:pPr>
        <w:spacing w:after="0" w:line="51" w:lineRule="exact"/>
        <w:rPr>
          <w:sz w:val="20"/>
          <w:szCs w:val="20"/>
          <w:color w:val="auto"/>
        </w:rPr>
      </w:pPr>
    </w:p>
    <w:p>
      <w:pPr>
        <w:jc w:val="both"/>
        <w:ind w:right="20" w:firstLine="255"/>
        <w:spacing w:after="0" w:line="270" w:lineRule="auto"/>
        <w:rPr>
          <w:sz w:val="20"/>
          <w:szCs w:val="20"/>
          <w:color w:val="auto"/>
        </w:rPr>
      </w:pPr>
      <w:r>
        <w:rPr>
          <w:rFonts w:ascii="Arial" w:cs="Arial" w:eastAsia="Arial" w:hAnsi="Arial"/>
          <w:sz w:val="17"/>
          <w:szCs w:val="17"/>
          <w:color w:val="auto"/>
        </w:rPr>
        <w:t>For the three and six months ended June 30, 2022, we incurred $7.7 million and $5.9 million of unrealized gains, respectively, on the translation of our non-U.S. dollar denominated debt into U.S. dollars; such amounts approximate the corresponding unrealized gains and losses on the translation of our non-U.S. dollar denominated investments into U.S. dollars for the three and six months ended June 30, 2022 and 2021.</w:t>
      </w:r>
    </w:p>
    <w:p>
      <w:pPr>
        <w:spacing w:after="0" w:line="56" w:lineRule="exact"/>
        <w:rPr>
          <w:sz w:val="20"/>
          <w:szCs w:val="20"/>
          <w:color w:val="auto"/>
        </w:rPr>
      </w:pPr>
    </w:p>
    <w:p>
      <w:pPr>
        <w:jc w:val="both"/>
        <w:ind w:right="20" w:firstLine="255"/>
        <w:spacing w:after="0" w:line="270" w:lineRule="auto"/>
        <w:rPr>
          <w:sz w:val="20"/>
          <w:szCs w:val="20"/>
          <w:color w:val="auto"/>
        </w:rPr>
      </w:pPr>
      <w:r>
        <w:rPr>
          <w:rFonts w:ascii="Arial" w:cs="Arial" w:eastAsia="Arial" w:hAnsi="Arial"/>
          <w:sz w:val="17"/>
          <w:szCs w:val="17"/>
          <w:color w:val="auto"/>
        </w:rPr>
        <w:t>For the three and six months ended June 30, 2021, we incurred $0.4 million and $0.6 million of unrealized gains, respectively, on the translation of our non-U.S. dollar denominated debt into U.S. dollars; such amounts approximate the corresponding unrealized gains and losses on the translation of our non-U.S. dollar denominated investments into U.S. dollars for the three and six months ended June 30, 2021.</w:t>
      </w:r>
    </w:p>
    <w:p>
      <w:pPr>
        <w:spacing w:after="0" w:line="56" w:lineRule="exact"/>
        <w:rPr>
          <w:sz w:val="20"/>
          <w:szCs w:val="20"/>
          <w:color w:val="auto"/>
        </w:rPr>
      </w:pPr>
    </w:p>
    <w:p>
      <w:pPr>
        <w:ind w:right="100" w:firstLine="255"/>
        <w:spacing w:after="0" w:line="248" w:lineRule="auto"/>
        <w:rPr>
          <w:sz w:val="20"/>
          <w:szCs w:val="20"/>
          <w:color w:val="auto"/>
        </w:rPr>
      </w:pPr>
      <w:r>
        <w:rPr>
          <w:rFonts w:ascii="Arial" w:cs="Arial" w:eastAsia="Arial" w:hAnsi="Arial"/>
          <w:sz w:val="18"/>
          <w:szCs w:val="18"/>
          <w:color w:val="auto"/>
        </w:rPr>
        <w:t>See Note 2 for additional disclosure regarding our accounting for foreign currency. See Note 7 for additional disclosure regarding the amounts of outstanding debt denominated in each foreign currency at June 30, 2022. See our consolidated schedule of investments for additional disclosure regarding the foreign currency amounts (in both par and fair value) of our non-U.S. dollar denominated investments.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08" w:lineRule="exact"/>
        <w:rPr>
          <w:sz w:val="20"/>
          <w:szCs w:val="20"/>
          <w:color w:val="auto"/>
        </w:rPr>
      </w:pPr>
    </w:p>
    <w:p>
      <w:pPr>
        <w:ind w:right="100" w:firstLine="255"/>
        <w:spacing w:after="0" w:line="261"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3" w:lineRule="exact"/>
        <w:rPr>
          <w:sz w:val="20"/>
          <w:szCs w:val="20"/>
          <w:color w:val="auto"/>
        </w:rPr>
      </w:pPr>
    </w:p>
    <w:p>
      <w:pPr>
        <w:ind w:left="520" w:hanging="257"/>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12" w:lineRule="exact"/>
        <w:rPr>
          <w:sz w:val="20"/>
          <w:szCs w:val="20"/>
          <w:color w:val="auto"/>
        </w:rPr>
      </w:pPr>
    </w:p>
    <w:p>
      <w:pPr>
        <w:ind w:firstLine="255"/>
        <w:spacing w:after="0" w:line="271" w:lineRule="auto"/>
        <w:rPr>
          <w:sz w:val="20"/>
          <w:szCs w:val="20"/>
          <w:color w:val="auto"/>
        </w:rPr>
      </w:pPr>
      <w:r>
        <w:rPr>
          <w:rFonts w:ascii="Arial" w:cs="Arial" w:eastAsia="Arial" w:hAnsi="Arial"/>
          <w:sz w:val="16"/>
          <w:szCs w:val="16"/>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150%. For more information, see “Key Components of Our Results of Operations — Leverage” above. As of June 30, 2022 and December 31, 2021, our asset coverage ratio was 194.3% and 205.4%,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69" w:lineRule="exact"/>
        <w:rPr>
          <w:sz w:val="20"/>
          <w:szCs w:val="20"/>
          <w:color w:val="auto"/>
        </w:rPr>
      </w:pPr>
    </w:p>
    <w:p>
      <w:pPr>
        <w:ind w:right="20" w:firstLine="255"/>
        <w:spacing w:after="0" w:line="248" w:lineRule="auto"/>
        <w:rPr>
          <w:sz w:val="20"/>
          <w:szCs w:val="20"/>
          <w:color w:val="auto"/>
        </w:rPr>
      </w:pPr>
      <w:r>
        <w:rPr>
          <w:rFonts w:ascii="Arial" w:cs="Arial" w:eastAsia="Arial" w:hAnsi="Arial"/>
          <w:sz w:val="18"/>
          <w:szCs w:val="18"/>
          <w:color w:val="auto"/>
        </w:rPr>
        <w:t>Cash and cash equivalents as of June 30, 2022, taken together with cash available under our credit facilities, is expected to be sufficient for our investing activities and to conduct our operations in the near term. As of June 30, 2022, we had approximately $1.2 billion of availability on our Revolving Credit Facility, subject to asset coverage limitations.</w:t>
      </w:r>
    </w:p>
    <w:p>
      <w:pPr>
        <w:spacing w:after="0" w:line="182" w:lineRule="exact"/>
        <w:rPr>
          <w:sz w:val="20"/>
          <w:szCs w:val="20"/>
          <w:color w:val="auto"/>
        </w:rPr>
      </w:pPr>
    </w:p>
    <w:p>
      <w:pPr>
        <w:ind w:right="240" w:firstLine="255"/>
        <w:spacing w:after="0" w:line="248" w:lineRule="auto"/>
        <w:rPr>
          <w:sz w:val="20"/>
          <w:szCs w:val="20"/>
          <w:color w:val="auto"/>
        </w:rPr>
      </w:pPr>
      <w:r>
        <w:rPr>
          <w:rFonts w:ascii="Arial" w:cs="Arial" w:eastAsia="Arial" w:hAnsi="Arial"/>
          <w:sz w:val="18"/>
          <w:szCs w:val="18"/>
          <w:color w:val="auto"/>
        </w:rPr>
        <w:t>As of June 30, 2022, we had $27.2 million in cash and cash equivalents, including $21.4 million of restricted cash, an increase of $11.2 million from December 31, 2021. During the six months ended June 30, 2022, cash used in operating activities was $34.7 million, primarily attributable to funding portfolio investments of $438.4 million, and other operating activity of $13.2 million which</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61" w:name="page62"/>
    <w:bookmarkEnd w:id="61"/>
    <w:p>
      <w:pPr>
        <w:ind w:right="420"/>
        <w:spacing w:after="0" w:line="294" w:lineRule="auto"/>
        <w:rPr>
          <w:sz w:val="20"/>
          <w:szCs w:val="20"/>
          <w:color w:val="auto"/>
        </w:rPr>
      </w:pPr>
      <w:r>
        <w:rPr>
          <w:rFonts w:ascii="Arial" w:cs="Arial" w:eastAsia="Arial" w:hAnsi="Arial"/>
          <w:sz w:val="16"/>
          <w:szCs w:val="16"/>
          <w:color w:val="auto"/>
        </w:rPr>
        <w:t>was partially offset by repayments and proceeds from investments of $389.5 million and an increase in net assets resulting from operations of $27.4 million. Cash provided by financing activities was $45.9 million during the period due to borrowings of $498.7 million, which was partially offset by paydowns on our Revolving Credit Facility of $387.6 million, dividends paid of $60.9 million, and deferred financing costs of $4.3 million.</w:t>
      </w:r>
    </w:p>
    <w:p>
      <w:pPr>
        <w:spacing w:after="0" w:line="147" w:lineRule="exact"/>
        <w:rPr>
          <w:sz w:val="20"/>
          <w:szCs w:val="20"/>
          <w:color w:val="auto"/>
        </w:rPr>
      </w:pPr>
    </w:p>
    <w:p>
      <w:pPr>
        <w:ind w:right="180" w:firstLine="255"/>
        <w:spacing w:after="0" w:line="261" w:lineRule="auto"/>
        <w:rPr>
          <w:sz w:val="20"/>
          <w:szCs w:val="20"/>
          <w:color w:val="auto"/>
        </w:rPr>
      </w:pPr>
      <w:r>
        <w:rPr>
          <w:rFonts w:ascii="Arial" w:cs="Arial" w:eastAsia="Arial" w:hAnsi="Arial"/>
          <w:sz w:val="18"/>
          <w:szCs w:val="18"/>
          <w:color w:val="auto"/>
        </w:rPr>
        <w:t>As of June 30, 2022, we had $19.1 million of restricted cash pledged as collateral under our interest rate swap agreements, an increase of $4.7 million from December 31, 2021 primarily due to a decrease in the fair value of our swaps.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90" w:lineRule="exact"/>
        <w:rPr>
          <w:sz w:val="20"/>
          <w:szCs w:val="20"/>
          <w:color w:val="auto"/>
        </w:rPr>
      </w:pPr>
    </w:p>
    <w:p>
      <w:pPr>
        <w:ind w:right="440" w:firstLine="255"/>
        <w:spacing w:after="0" w:line="253" w:lineRule="auto"/>
        <w:rPr>
          <w:sz w:val="20"/>
          <w:szCs w:val="20"/>
          <w:color w:val="auto"/>
        </w:rPr>
      </w:pPr>
      <w:r>
        <w:rPr>
          <w:rFonts w:ascii="Arial" w:cs="Arial" w:eastAsia="Arial" w:hAnsi="Arial"/>
          <w:sz w:val="17"/>
          <w:szCs w:val="17"/>
          <w:color w:val="auto"/>
        </w:rPr>
        <w:t>On February 23, 2021, we issued a total of 4,000,000 shares of common stock at $21.30 per share. Net of underwriting fees and offering costs, we received total cash proceeds of $84.9 million. Subsequent to the offering we issued an additional 49,689 shares in March 2021 pursuant to the overallotment option granted to underwriters and received, net of underwriting fees, total cash proceeds of $1.0 million.</w:t>
      </w:r>
    </w:p>
    <w:p>
      <w:pPr>
        <w:spacing w:after="0" w:line="57" w:lineRule="exact"/>
        <w:rPr>
          <w:sz w:val="20"/>
          <w:szCs w:val="20"/>
          <w:color w:val="auto"/>
        </w:rPr>
      </w:pPr>
    </w:p>
    <w:p>
      <w:pPr>
        <w:ind w:right="100" w:firstLine="255"/>
        <w:spacing w:after="0" w:line="246" w:lineRule="auto"/>
        <w:rPr>
          <w:sz w:val="20"/>
          <w:szCs w:val="20"/>
          <w:color w:val="auto"/>
        </w:rPr>
      </w:pPr>
      <w:r>
        <w:rPr>
          <w:rFonts w:ascii="Arial" w:cs="Arial" w:eastAsia="Arial" w:hAnsi="Arial"/>
          <w:sz w:val="18"/>
          <w:szCs w:val="18"/>
          <w:color w:val="auto"/>
        </w:rPr>
        <w:t>In December 2021, we issued a total of 2,324,820 shares of common stock, or $42.3 million as settlement for the conversion of $42.8 million principal amount of the 2022 Convertible Notes.</w:t>
      </w:r>
    </w:p>
    <w:p>
      <w:pPr>
        <w:spacing w:after="0" w:line="62" w:lineRule="exact"/>
        <w:rPr>
          <w:sz w:val="20"/>
          <w:szCs w:val="20"/>
          <w:color w:val="auto"/>
        </w:rPr>
      </w:pPr>
    </w:p>
    <w:p>
      <w:pPr>
        <w:ind w:right="100" w:firstLine="255"/>
        <w:spacing w:after="0" w:line="266" w:lineRule="auto"/>
        <w:rPr>
          <w:sz w:val="20"/>
          <w:szCs w:val="20"/>
          <w:color w:val="auto"/>
        </w:rPr>
      </w:pPr>
      <w:r>
        <w:rPr>
          <w:rFonts w:ascii="Arial" w:cs="Arial" w:eastAsia="Arial" w:hAnsi="Arial"/>
          <w:sz w:val="16"/>
          <w:szCs w:val="16"/>
          <w:color w:val="auto"/>
        </w:rPr>
        <w:t>During the six months ended June 30, 2022 and 2021, we also issued 567,973 and 915,785 shares of our common stock, respectively, to investors who have not opted out of our dividend reinvestment plan for proceeds of $12.6 million and $19.0 million, respectively. On July15, 2022, we issued 294,337 shares of our common stock through our dividend reinvestment plan for proceeds of $5.2 million, which is not reflected in the number of shares issued for the six months ended June 30, 2022 in this section or the consolidated financial statements for the three and six months ended June 30, 2022.</w:t>
      </w:r>
    </w:p>
    <w:p>
      <w:pPr>
        <w:spacing w:after="0" w:line="156" w:lineRule="exact"/>
        <w:rPr>
          <w:sz w:val="20"/>
          <w:szCs w:val="20"/>
          <w:color w:val="auto"/>
        </w:rPr>
      </w:pPr>
    </w:p>
    <w:p>
      <w:pPr>
        <w:ind w:right="100" w:firstLine="255"/>
        <w:spacing w:after="0" w:line="246" w:lineRule="auto"/>
        <w:rPr>
          <w:sz w:val="20"/>
          <w:szCs w:val="20"/>
          <w:color w:val="auto"/>
        </w:rPr>
      </w:pPr>
      <w:r>
        <w:rPr>
          <w:rFonts w:ascii="Arial" w:cs="Arial" w:eastAsia="Arial" w:hAnsi="Arial"/>
          <w:sz w:val="17"/>
          <w:szCs w:val="17"/>
          <w:color w:val="auto"/>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May 3, 2022. The amount and timing of stock repurchases under the program may vary depending on market conditions, and no assurance can be given that any particular amount of common stock will be repurchased.</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 shares were repurchased during the six months ended June 30, 2022 and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June 30, 2022 and December 31, 2021:</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w w:val="92"/>
              </w:rPr>
              <w:t>June 30, 2022</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1"/>
        </w:trPr>
        <w:tc>
          <w:tcPr>
            <w:tcW w:w="4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right"/>
              <w:ind w:right="195"/>
              <w:spacing w:after="0" w:line="141" w:lineRule="exact"/>
              <w:rPr>
                <w:sz w:val="20"/>
                <w:szCs w:val="20"/>
                <w:color w:val="auto"/>
              </w:rPr>
            </w:pPr>
            <w:r>
              <w:rPr>
                <w:rFonts w:ascii="Arial" w:cs="Arial" w:eastAsia="Arial" w:hAnsi="Arial"/>
                <w:sz w:val="14"/>
                <w:szCs w:val="14"/>
                <w:b w:val="1"/>
                <w:bCs w:val="1"/>
                <w:color w:val="auto"/>
                <w:w w:val="98"/>
              </w:rPr>
              <w:t>Aggregate Principal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2"/>
                <w:szCs w:val="12"/>
                <w:color w:val="auto"/>
              </w:rPr>
            </w:pPr>
          </w:p>
        </w:tc>
        <w:tc>
          <w:tcPr>
            <w:tcW w:w="1020" w:type="dxa"/>
            <w:vAlign w:val="bottom"/>
          </w:tcPr>
          <w:p>
            <w:pPr>
              <w:jc w:val="right"/>
              <w:ind w:right="255"/>
              <w:spacing w:after="0" w:line="141"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258"/>
              <w:spacing w:after="0" w:line="141"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r>
      <w:tr>
        <w:trPr>
          <w:trHeight w:val="204"/>
        </w:trPr>
        <w:tc>
          <w:tcPr>
            <w:tcW w:w="384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80" w:type="dxa"/>
            <w:vAlign w:val="bottom"/>
          </w:tcPr>
          <w:p>
            <w:pPr>
              <w:spacing w:after="0"/>
              <w:rPr>
                <w:sz w:val="17"/>
                <w:szCs w:val="17"/>
                <w:color w:val="auto"/>
              </w:rPr>
            </w:pPr>
          </w:p>
        </w:tc>
        <w:tc>
          <w:tcPr>
            <w:tcW w:w="1600" w:type="dxa"/>
            <w:vAlign w:val="bottom"/>
          </w:tcPr>
          <w:p>
            <w:pPr>
              <w:jc w:val="right"/>
              <w:ind w:right="195"/>
              <w:spacing w:after="0"/>
              <w:rPr>
                <w:sz w:val="20"/>
                <w:szCs w:val="20"/>
                <w:color w:val="auto"/>
              </w:rPr>
            </w:pPr>
            <w:r>
              <w:rPr>
                <w:rFonts w:ascii="Arial" w:cs="Arial" w:eastAsia="Arial" w:hAnsi="Arial"/>
                <w:sz w:val="14"/>
                <w:szCs w:val="14"/>
                <w:b w:val="1"/>
                <w:bCs w:val="1"/>
                <w:color w:val="auto"/>
              </w:rPr>
              <w:t>Amount Committed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7"/>
                <w:szCs w:val="17"/>
                <w:color w:val="auto"/>
              </w:rPr>
            </w:pPr>
          </w:p>
        </w:tc>
        <w:tc>
          <w:tcPr>
            <w:tcW w:w="1020" w:type="dxa"/>
            <w:vAlign w:val="bottom"/>
          </w:tcPr>
          <w:p>
            <w:pPr>
              <w:jc w:val="right"/>
              <w:ind w:right="155"/>
              <w:spacing w:after="0" w:line="204" w:lineRule="exact"/>
              <w:rPr>
                <w:sz w:val="20"/>
                <w:szCs w:val="20"/>
                <w:color w:val="auto"/>
              </w:rPr>
            </w:pPr>
            <w:r>
              <w:rPr>
                <w:rFonts w:ascii="Arial" w:cs="Arial" w:eastAsia="Arial" w:hAnsi="Arial"/>
                <w:sz w:val="14"/>
                <w:szCs w:val="14"/>
                <w:b w:val="1"/>
                <w:bCs w:val="1"/>
                <w:color w:val="auto"/>
                <w:w w:val="93"/>
              </w:rPr>
              <w:t xml:space="preserve">Available </w:t>
            </w:r>
            <w:r>
              <w:rPr>
                <w:rFonts w:ascii="Arial" w:cs="Arial" w:eastAsia="Arial" w:hAnsi="Arial"/>
                <w:sz w:val="19"/>
                <w:szCs w:val="19"/>
                <w:b w:val="1"/>
                <w:bCs w:val="1"/>
                <w:color w:val="auto"/>
                <w:w w:val="93"/>
                <w:vertAlign w:val="superscript"/>
              </w:rPr>
              <w:t>(1)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38"/>
              <w:spacing w:after="0" w:line="204" w:lineRule="exact"/>
              <w:rPr>
                <w:sz w:val="20"/>
                <w:szCs w:val="20"/>
                <w:color w:val="auto"/>
              </w:rPr>
            </w:pPr>
            <w:r>
              <w:rPr>
                <w:rFonts w:ascii="Arial" w:cs="Arial" w:eastAsia="Arial" w:hAnsi="Arial"/>
                <w:sz w:val="23"/>
                <w:szCs w:val="23"/>
                <w:b w:val="1"/>
                <w:bCs w:val="1"/>
                <w:color w:val="auto"/>
                <w:vertAlign w:val="subscript"/>
              </w:rPr>
              <w:t>Value</w:t>
            </w:r>
            <w:r>
              <w:rPr>
                <w:rFonts w:ascii="Arial" w:cs="Arial" w:eastAsia="Arial" w:hAnsi="Arial"/>
                <w:sz w:val="9"/>
                <w:szCs w:val="9"/>
                <w:b w:val="1"/>
                <w:bCs w:val="1"/>
                <w:color w:val="auto"/>
              </w:rPr>
              <w:t xml:space="preserve"> (2)(3)</w:t>
            </w:r>
          </w:p>
        </w:tc>
        <w:tc>
          <w:tcPr>
            <w:tcW w:w="100" w:type="dxa"/>
            <w:vAlign w:val="bottom"/>
          </w:tcPr>
          <w:p>
            <w:pPr>
              <w:spacing w:after="0"/>
              <w:rPr>
                <w:sz w:val="17"/>
                <w:szCs w:val="17"/>
                <w:color w:val="auto"/>
              </w:rPr>
            </w:pPr>
          </w:p>
        </w:tc>
      </w:tr>
      <w:tr>
        <w:trPr>
          <w:trHeight w:val="196"/>
        </w:trPr>
        <w:tc>
          <w:tcPr>
            <w:tcW w:w="38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Revolving Credit Facility</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1,585.0</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421.7</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1,163.3</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407.0</w:t>
            </w:r>
          </w:p>
        </w:tc>
        <w:tc>
          <w:tcPr>
            <w:tcW w:w="100" w:type="dxa"/>
            <w:vAlign w:val="bottom"/>
            <w:shd w:val="clear" w:color="auto" w:fill="CFF0FC"/>
          </w:tcPr>
          <w:p>
            <w:pPr>
              <w:spacing w:after="0"/>
              <w:rPr>
                <w:sz w:val="17"/>
                <w:szCs w:val="17"/>
                <w:color w:val="auto"/>
              </w:rPr>
            </w:pPr>
          </w:p>
        </w:tc>
      </w:tr>
      <w:tr>
        <w:trPr>
          <w:trHeight w:val="203"/>
        </w:trPr>
        <w:tc>
          <w:tcPr>
            <w:tcW w:w="400" w:type="dxa"/>
            <w:vAlign w:val="bottom"/>
          </w:tcPr>
          <w:p>
            <w:pPr>
              <w:spacing w:after="0" w:line="202" w:lineRule="exact"/>
              <w:rPr>
                <w:sz w:val="20"/>
                <w:szCs w:val="20"/>
                <w:color w:val="auto"/>
              </w:rPr>
            </w:pPr>
            <w:r>
              <w:rPr>
                <w:rFonts w:ascii="Arial" w:cs="Arial" w:eastAsia="Arial" w:hAnsi="Arial"/>
                <w:sz w:val="18"/>
                <w:szCs w:val="18"/>
                <w:color w:val="auto"/>
                <w:w w:val="94"/>
              </w:rPr>
              <w:t>2022</w:t>
            </w:r>
          </w:p>
        </w:tc>
        <w:tc>
          <w:tcPr>
            <w:tcW w:w="3440" w:type="dxa"/>
            <w:vAlign w:val="bottom"/>
          </w:tcPr>
          <w:p>
            <w:pPr>
              <w:ind w:left="20"/>
              <w:spacing w:after="0" w:line="202" w:lineRule="exact"/>
              <w:rPr>
                <w:sz w:val="20"/>
                <w:szCs w:val="20"/>
                <w:color w:val="auto"/>
              </w:rPr>
            </w:pPr>
            <w:r>
              <w:rPr>
                <w:rFonts w:ascii="Arial" w:cs="Arial" w:eastAsia="Arial" w:hAnsi="Arial"/>
                <w:sz w:val="18"/>
                <w:szCs w:val="18"/>
                <w:color w:val="auto"/>
              </w:rPr>
              <w:t>Convertible Notes</w:t>
            </w:r>
          </w:p>
        </w:tc>
        <w:tc>
          <w:tcPr>
            <w:tcW w:w="18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100" w:type="dxa"/>
            <w:vAlign w:val="bottom"/>
          </w:tcPr>
          <w:p>
            <w:pPr>
              <w:spacing w:after="0"/>
              <w:rPr>
                <w:sz w:val="17"/>
                <w:szCs w:val="17"/>
                <w:color w:val="auto"/>
              </w:rPr>
            </w:pPr>
          </w:p>
        </w:tc>
      </w:tr>
      <w:tr>
        <w:trPr>
          <w:trHeight w:val="203"/>
        </w:trPr>
        <w:tc>
          <w:tcPr>
            <w:tcW w:w="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4"/>
              </w:rPr>
              <w:t>2023</w:t>
            </w:r>
          </w:p>
        </w:tc>
        <w:tc>
          <w:tcPr>
            <w:tcW w:w="3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Notes</w:t>
            </w:r>
          </w:p>
        </w:tc>
        <w:tc>
          <w:tcPr>
            <w:tcW w:w="18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149.6</w:t>
            </w:r>
          </w:p>
        </w:tc>
        <w:tc>
          <w:tcPr>
            <w:tcW w:w="100" w:type="dxa"/>
            <w:vAlign w:val="bottom"/>
            <w:shd w:val="clear" w:color="auto" w:fill="CFF0FC"/>
          </w:tcPr>
          <w:p>
            <w:pPr>
              <w:spacing w:after="0"/>
              <w:rPr>
                <w:sz w:val="17"/>
                <w:szCs w:val="17"/>
                <w:color w:val="auto"/>
              </w:rPr>
            </w:pPr>
          </w:p>
        </w:tc>
      </w:tr>
      <w:tr>
        <w:trPr>
          <w:trHeight w:val="203"/>
        </w:trPr>
        <w:tc>
          <w:tcPr>
            <w:tcW w:w="400" w:type="dxa"/>
            <w:vAlign w:val="bottom"/>
          </w:tcPr>
          <w:p>
            <w:pPr>
              <w:spacing w:after="0" w:line="202" w:lineRule="exact"/>
              <w:rPr>
                <w:sz w:val="20"/>
                <w:szCs w:val="20"/>
                <w:color w:val="auto"/>
              </w:rPr>
            </w:pPr>
            <w:r>
              <w:rPr>
                <w:rFonts w:ascii="Arial" w:cs="Arial" w:eastAsia="Arial" w:hAnsi="Arial"/>
                <w:sz w:val="18"/>
                <w:szCs w:val="18"/>
                <w:color w:val="auto"/>
                <w:w w:val="94"/>
              </w:rPr>
              <w:t>2024</w:t>
            </w:r>
          </w:p>
        </w:tc>
        <w:tc>
          <w:tcPr>
            <w:tcW w:w="3440" w:type="dxa"/>
            <w:vAlign w:val="bottom"/>
          </w:tcPr>
          <w:p>
            <w:pPr>
              <w:ind w:left="20"/>
              <w:spacing w:after="0" w:line="202" w:lineRule="exact"/>
              <w:rPr>
                <w:sz w:val="20"/>
                <w:szCs w:val="20"/>
                <w:color w:val="auto"/>
              </w:rPr>
            </w:pPr>
            <w:r>
              <w:rPr>
                <w:rFonts w:ascii="Arial" w:cs="Arial" w:eastAsia="Arial" w:hAnsi="Arial"/>
                <w:sz w:val="18"/>
                <w:szCs w:val="18"/>
                <w:color w:val="auto"/>
              </w:rPr>
              <w:t>Notes</w:t>
            </w:r>
          </w:p>
        </w:tc>
        <w:tc>
          <w:tcPr>
            <w:tcW w:w="18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347.5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347.5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331.7</w:t>
            </w:r>
          </w:p>
        </w:tc>
        <w:tc>
          <w:tcPr>
            <w:tcW w:w="100" w:type="dxa"/>
            <w:vAlign w:val="bottom"/>
          </w:tcPr>
          <w:p>
            <w:pPr>
              <w:spacing w:after="0"/>
              <w:rPr>
                <w:sz w:val="17"/>
                <w:szCs w:val="17"/>
                <w:color w:val="auto"/>
              </w:rPr>
            </w:pPr>
          </w:p>
        </w:tc>
      </w:tr>
      <w:tr>
        <w:trPr>
          <w:trHeight w:val="203"/>
        </w:trPr>
        <w:tc>
          <w:tcPr>
            <w:tcW w:w="4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w w:val="94"/>
              </w:rPr>
              <w:t>2026</w:t>
            </w:r>
          </w:p>
        </w:tc>
        <w:tc>
          <w:tcPr>
            <w:tcW w:w="34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Notes</w:t>
            </w:r>
          </w:p>
        </w:tc>
        <w:tc>
          <w:tcPr>
            <w:tcW w:w="18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300.0</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300.0</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266.7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840" w:type="dxa"/>
            <w:vAlign w:val="bottom"/>
            <w:gridSpan w:val="2"/>
          </w:tcPr>
          <w:p>
            <w:pPr>
              <w:ind w:left="180"/>
              <w:spacing w:after="0" w:line="182" w:lineRule="exact"/>
              <w:rPr>
                <w:sz w:val="20"/>
                <w:szCs w:val="20"/>
                <w:color w:val="auto"/>
              </w:rPr>
            </w:pPr>
            <w:r>
              <w:rPr>
                <w:rFonts w:ascii="Arial" w:cs="Arial" w:eastAsia="Arial" w:hAnsi="Arial"/>
                <w:sz w:val="18"/>
                <w:szCs w:val="18"/>
                <w:b w:val="1"/>
                <w:bCs w:val="1"/>
                <w:color w:val="auto"/>
              </w:rPr>
              <w:t>Total Debt</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line="182" w:lineRule="exact"/>
              <w:rPr>
                <w:sz w:val="20"/>
                <w:szCs w:val="20"/>
                <w:color w:val="auto"/>
              </w:rPr>
            </w:pPr>
            <w:r>
              <w:rPr>
                <w:rFonts w:ascii="Arial" w:cs="Arial" w:eastAsia="Arial" w:hAnsi="Arial"/>
                <w:sz w:val="18"/>
                <w:szCs w:val="18"/>
                <w:color w:val="auto"/>
              </w:rPr>
              <w:t>2,482.5</w:t>
            </w:r>
          </w:p>
        </w:tc>
        <w:tc>
          <w:tcPr>
            <w:tcW w:w="4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1,319.2</w:t>
            </w:r>
          </w:p>
        </w:tc>
        <w:tc>
          <w:tcPr>
            <w:tcW w:w="220" w:type="dxa"/>
            <w:vAlign w:val="bottom"/>
          </w:tcPr>
          <w:p>
            <w:pPr>
              <w:spacing w:after="0"/>
              <w:rPr>
                <w:sz w:val="17"/>
                <w:szCs w:val="17"/>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1,163.3</w:t>
            </w:r>
          </w:p>
        </w:tc>
        <w:tc>
          <w:tcPr>
            <w:tcW w:w="42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1,255.0</w:t>
            </w:r>
          </w:p>
        </w:tc>
        <w:tc>
          <w:tcPr>
            <w:tcW w:w="10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-159385</wp:posOffset>
            </wp:positionV>
            <wp:extent cx="68580" cy="571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-159385</wp:posOffset>
            </wp:positionV>
            <wp:extent cx="59690" cy="571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-159385</wp:posOffset>
            </wp:positionV>
            <wp:extent cx="60325" cy="571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09" w:lineRule="exact"/>
        <w:rPr>
          <w:sz w:val="20"/>
          <w:szCs w:val="20"/>
          <w:color w:val="auto"/>
        </w:rPr>
      </w:pPr>
    </w:p>
    <w:p>
      <w:pPr>
        <w:ind w:left="520" w:right="880" w:hanging="512"/>
        <w:spacing w:after="0" w:line="244"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ind w:left="520" w:hanging="512"/>
        <w:spacing w:after="0" w:line="234"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2024 Notes and 2026 Notes are presented net of the combination of deferred financing costs and original issue discounts totaling $14.7 million, $0.1 million, $0.4 million, $3.3 million and $4.7 million, respectively.</w:t>
      </w:r>
    </w:p>
    <w:p>
      <w:pPr>
        <w:spacing w:after="0" w:line="2" w:lineRule="exact"/>
        <w:rPr>
          <w:rFonts w:ascii="Arial" w:cs="Arial" w:eastAsia="Arial" w:hAnsi="Arial"/>
          <w:sz w:val="18"/>
          <w:szCs w:val="18"/>
          <w:color w:val="auto"/>
        </w:rPr>
      </w:pPr>
    </w:p>
    <w:p>
      <w:pPr>
        <w:ind w:left="520" w:right="200" w:hanging="512"/>
        <w:spacing w:after="0" w:line="303" w:lineRule="auto"/>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carrying values of the 2024 Notes and 2026 Notes are presented inclusive of an incremental ($12.5) million and ($28.6) million, respectively, which represents an adjustment in the carrying values of the 2024 Notes and 2026 Notes, each resulting from a hedge accounting relationship.</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2" w:name="page63"/>
    <w:bookmarkEnd w:id="62"/>
    <w:tbl>
      <w:tblPr>
        <w:tblLayout w:type="fixed"/>
        <w:tblInd w:w="580" w:type="dxa"/>
        <w:tblCellMar>
          <w:top w:w="0" w:type="dxa"/>
          <w:left w:w="0" w:type="dxa"/>
          <w:bottom w:w="0" w:type="dxa"/>
          <w:right w:w="0" w:type="dxa"/>
        </w:tblCellMar>
      </w:tblPr>
      <w:tr>
        <w:trPr>
          <w:trHeight w:val="185"/>
        </w:trPr>
        <w:tc>
          <w:tcPr>
            <w:tcW w:w="4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1"/>
        </w:trPr>
        <w:tc>
          <w:tcPr>
            <w:tcW w:w="4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ind w:right="135"/>
              <w:spacing w:after="0" w:line="141" w:lineRule="exact"/>
              <w:rPr>
                <w:sz w:val="20"/>
                <w:szCs w:val="20"/>
                <w:color w:val="auto"/>
              </w:rPr>
            </w:pPr>
            <w:r>
              <w:rPr>
                <w:rFonts w:ascii="Arial" w:cs="Arial" w:eastAsia="Arial" w:hAnsi="Arial"/>
                <w:sz w:val="14"/>
                <w:szCs w:val="14"/>
                <w:b w:val="1"/>
                <w:bCs w:val="1"/>
                <w:color w:val="auto"/>
                <w:w w:val="95"/>
              </w:rPr>
              <w:t>Aggregate Principal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176"/>
              <w:spacing w:after="0" w:line="141" w:lineRule="exact"/>
              <w:rPr>
                <w:sz w:val="20"/>
                <w:szCs w:val="20"/>
                <w:color w:val="auto"/>
              </w:rPr>
            </w:pPr>
            <w:r>
              <w:rPr>
                <w:rFonts w:ascii="Arial" w:cs="Arial" w:eastAsia="Arial" w:hAnsi="Arial"/>
                <w:sz w:val="14"/>
                <w:szCs w:val="14"/>
                <w:b w:val="1"/>
                <w:bCs w:val="1"/>
                <w:color w:val="auto"/>
                <w:w w:val="99"/>
              </w:rPr>
              <w:t>Outstanding</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275"/>
              <w:spacing w:after="0" w:line="141"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258"/>
              <w:spacing w:after="0" w:line="141"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r>
      <w:tr>
        <w:trPr>
          <w:trHeight w:val="204"/>
        </w:trPr>
        <w:tc>
          <w:tcPr>
            <w:tcW w:w="394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Amount Committed</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55"/>
              <w:spacing w:after="0" w:line="204" w:lineRule="exact"/>
              <w:rPr>
                <w:sz w:val="20"/>
                <w:szCs w:val="20"/>
                <w:color w:val="auto"/>
              </w:rPr>
            </w:pPr>
            <w:r>
              <w:rPr>
                <w:rFonts w:ascii="Arial" w:cs="Arial" w:eastAsia="Arial" w:hAnsi="Arial"/>
                <w:sz w:val="14"/>
                <w:szCs w:val="14"/>
                <w:b w:val="1"/>
                <w:bCs w:val="1"/>
                <w:color w:val="auto"/>
                <w:w w:val="88"/>
              </w:rPr>
              <w:t xml:space="preserve">Available </w:t>
            </w:r>
            <w:r>
              <w:rPr>
                <w:rFonts w:ascii="Arial" w:cs="Arial" w:eastAsia="Arial" w:hAnsi="Arial"/>
                <w:sz w:val="19"/>
                <w:szCs w:val="19"/>
                <w:b w:val="1"/>
                <w:bCs w:val="1"/>
                <w:color w:val="auto"/>
                <w:w w:val="88"/>
                <w:vertAlign w:val="superscript"/>
              </w:rPr>
              <w:t>(1)</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8"/>
              <w:spacing w:after="0" w:line="204" w:lineRule="exact"/>
              <w:rPr>
                <w:sz w:val="20"/>
                <w:szCs w:val="20"/>
                <w:color w:val="auto"/>
              </w:rPr>
            </w:pPr>
            <w:r>
              <w:rPr>
                <w:rFonts w:ascii="Arial" w:cs="Arial" w:eastAsia="Arial" w:hAnsi="Arial"/>
                <w:sz w:val="23"/>
                <w:szCs w:val="23"/>
                <w:b w:val="1"/>
                <w:bCs w:val="1"/>
                <w:color w:val="auto"/>
                <w:vertAlign w:val="subscript"/>
              </w:rPr>
              <w:t>Value</w:t>
            </w:r>
            <w:r>
              <w:rPr>
                <w:rFonts w:ascii="Arial" w:cs="Arial" w:eastAsia="Arial" w:hAnsi="Arial"/>
                <w:sz w:val="9"/>
                <w:szCs w:val="9"/>
                <w:b w:val="1"/>
                <w:bCs w:val="1"/>
                <w:color w:val="auto"/>
              </w:rPr>
              <w:t xml:space="preserve"> (2)(3)</w:t>
            </w:r>
          </w:p>
        </w:tc>
        <w:tc>
          <w:tcPr>
            <w:tcW w:w="100" w:type="dxa"/>
            <w:vAlign w:val="bottom"/>
          </w:tcPr>
          <w:p>
            <w:pPr>
              <w:spacing w:after="0"/>
              <w:rPr>
                <w:sz w:val="17"/>
                <w:szCs w:val="17"/>
                <w:color w:val="auto"/>
              </w:rPr>
            </w:pPr>
          </w:p>
        </w:tc>
      </w:tr>
      <w:tr>
        <w:trPr>
          <w:trHeight w:val="196"/>
        </w:trPr>
        <w:tc>
          <w:tcPr>
            <w:tcW w:w="39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Revolving Credit Facility</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1,510.0</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316.4</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1,193.6</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304.6</w:t>
            </w:r>
          </w:p>
        </w:tc>
        <w:tc>
          <w:tcPr>
            <w:tcW w:w="100" w:type="dxa"/>
            <w:vAlign w:val="bottom"/>
            <w:shd w:val="clear" w:color="auto" w:fill="CFF0FC"/>
          </w:tcPr>
          <w:p>
            <w:pPr>
              <w:spacing w:after="0"/>
              <w:rPr>
                <w:sz w:val="17"/>
                <w:szCs w:val="17"/>
                <w:color w:val="auto"/>
              </w:rPr>
            </w:pPr>
          </w:p>
        </w:tc>
      </w:tr>
      <w:tr>
        <w:trPr>
          <w:trHeight w:val="203"/>
        </w:trPr>
        <w:tc>
          <w:tcPr>
            <w:tcW w:w="400" w:type="dxa"/>
            <w:vAlign w:val="bottom"/>
          </w:tcPr>
          <w:p>
            <w:pPr>
              <w:spacing w:after="0" w:line="202" w:lineRule="exact"/>
              <w:rPr>
                <w:sz w:val="20"/>
                <w:szCs w:val="20"/>
                <w:color w:val="auto"/>
              </w:rPr>
            </w:pPr>
            <w:r>
              <w:rPr>
                <w:rFonts w:ascii="Arial" w:cs="Arial" w:eastAsia="Arial" w:hAnsi="Arial"/>
                <w:sz w:val="18"/>
                <w:szCs w:val="18"/>
                <w:color w:val="auto"/>
                <w:w w:val="94"/>
              </w:rPr>
              <w:t>2022</w:t>
            </w:r>
          </w:p>
        </w:tc>
        <w:tc>
          <w:tcPr>
            <w:tcW w:w="3540" w:type="dxa"/>
            <w:vAlign w:val="bottom"/>
          </w:tcPr>
          <w:p>
            <w:pPr>
              <w:ind w:left="20"/>
              <w:spacing w:after="0" w:line="202" w:lineRule="exact"/>
              <w:rPr>
                <w:sz w:val="20"/>
                <w:szCs w:val="20"/>
                <w:color w:val="auto"/>
              </w:rPr>
            </w:pPr>
            <w:r>
              <w:rPr>
                <w:rFonts w:ascii="Arial" w:cs="Arial" w:eastAsia="Arial" w:hAnsi="Arial"/>
                <w:sz w:val="18"/>
                <w:szCs w:val="18"/>
                <w:color w:val="auto"/>
              </w:rPr>
              <w:t>Convertible Notes</w:t>
            </w: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99.7</w:t>
            </w:r>
          </w:p>
        </w:tc>
        <w:tc>
          <w:tcPr>
            <w:tcW w:w="100" w:type="dxa"/>
            <w:vAlign w:val="bottom"/>
          </w:tcPr>
          <w:p>
            <w:pPr>
              <w:spacing w:after="0"/>
              <w:rPr>
                <w:sz w:val="17"/>
                <w:szCs w:val="17"/>
                <w:color w:val="auto"/>
              </w:rPr>
            </w:pPr>
          </w:p>
        </w:tc>
      </w:tr>
      <w:tr>
        <w:trPr>
          <w:trHeight w:val="203"/>
        </w:trPr>
        <w:tc>
          <w:tcPr>
            <w:tcW w:w="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4"/>
              </w:rPr>
              <w:t>2023</w:t>
            </w:r>
          </w:p>
        </w:tc>
        <w:tc>
          <w:tcPr>
            <w:tcW w:w="3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Notes</w:t>
            </w: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149.3</w:t>
            </w:r>
          </w:p>
        </w:tc>
        <w:tc>
          <w:tcPr>
            <w:tcW w:w="100" w:type="dxa"/>
            <w:vAlign w:val="bottom"/>
            <w:shd w:val="clear" w:color="auto" w:fill="CFF0FC"/>
          </w:tcPr>
          <w:p>
            <w:pPr>
              <w:spacing w:after="0"/>
              <w:rPr>
                <w:sz w:val="17"/>
                <w:szCs w:val="17"/>
                <w:color w:val="auto"/>
              </w:rPr>
            </w:pPr>
          </w:p>
        </w:tc>
      </w:tr>
      <w:tr>
        <w:trPr>
          <w:trHeight w:val="203"/>
        </w:trPr>
        <w:tc>
          <w:tcPr>
            <w:tcW w:w="400" w:type="dxa"/>
            <w:vAlign w:val="bottom"/>
          </w:tcPr>
          <w:p>
            <w:pPr>
              <w:spacing w:after="0" w:line="202" w:lineRule="exact"/>
              <w:rPr>
                <w:sz w:val="20"/>
                <w:szCs w:val="20"/>
                <w:color w:val="auto"/>
              </w:rPr>
            </w:pPr>
            <w:r>
              <w:rPr>
                <w:rFonts w:ascii="Arial" w:cs="Arial" w:eastAsia="Arial" w:hAnsi="Arial"/>
                <w:sz w:val="18"/>
                <w:szCs w:val="18"/>
                <w:color w:val="auto"/>
                <w:w w:val="94"/>
              </w:rPr>
              <w:t>2024</w:t>
            </w:r>
          </w:p>
        </w:tc>
        <w:tc>
          <w:tcPr>
            <w:tcW w:w="3540" w:type="dxa"/>
            <w:vAlign w:val="bottom"/>
          </w:tcPr>
          <w:p>
            <w:pPr>
              <w:ind w:left="20"/>
              <w:spacing w:after="0" w:line="202" w:lineRule="exact"/>
              <w:rPr>
                <w:sz w:val="20"/>
                <w:szCs w:val="20"/>
                <w:color w:val="auto"/>
              </w:rPr>
            </w:pPr>
            <w:r>
              <w:rPr>
                <w:rFonts w:ascii="Arial" w:cs="Arial" w:eastAsia="Arial" w:hAnsi="Arial"/>
                <w:sz w:val="18"/>
                <w:szCs w:val="18"/>
                <w:color w:val="auto"/>
              </w:rPr>
              <w:t>Notes</w:t>
            </w: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347.5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347.5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347.9</w:t>
            </w:r>
          </w:p>
        </w:tc>
        <w:tc>
          <w:tcPr>
            <w:tcW w:w="100" w:type="dxa"/>
            <w:vAlign w:val="bottom"/>
          </w:tcPr>
          <w:p>
            <w:pPr>
              <w:spacing w:after="0"/>
              <w:rPr>
                <w:sz w:val="17"/>
                <w:szCs w:val="17"/>
                <w:color w:val="auto"/>
              </w:rPr>
            </w:pPr>
          </w:p>
        </w:tc>
      </w:tr>
      <w:tr>
        <w:trPr>
          <w:trHeight w:val="203"/>
        </w:trPr>
        <w:tc>
          <w:tcPr>
            <w:tcW w:w="4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w w:val="94"/>
              </w:rPr>
              <w:t>2026</w:t>
            </w:r>
          </w:p>
        </w:tc>
        <w:tc>
          <w:tcPr>
            <w:tcW w:w="35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Notes</w:t>
            </w:r>
          </w:p>
        </w:tc>
        <w:tc>
          <w:tcPr>
            <w:tcW w:w="16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300.0</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300.0</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284.5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940" w:type="dxa"/>
            <w:vAlign w:val="bottom"/>
            <w:gridSpan w:val="2"/>
          </w:tcPr>
          <w:p>
            <w:pPr>
              <w:ind w:left="180"/>
              <w:spacing w:after="0" w:line="182" w:lineRule="exact"/>
              <w:rPr>
                <w:sz w:val="20"/>
                <w:szCs w:val="20"/>
                <w:color w:val="auto"/>
              </w:rPr>
            </w:pPr>
            <w:r>
              <w:rPr>
                <w:rFonts w:ascii="Arial" w:cs="Arial" w:eastAsia="Arial" w:hAnsi="Arial"/>
                <w:sz w:val="18"/>
                <w:szCs w:val="18"/>
                <w:b w:val="1"/>
                <w:bCs w:val="1"/>
                <w:color w:val="auto"/>
              </w:rPr>
              <w:t>Total Debt</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2,407.5</w:t>
            </w:r>
          </w:p>
        </w:tc>
        <w:tc>
          <w:tcPr>
            <w:tcW w:w="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1,213.9</w:t>
            </w:r>
          </w:p>
        </w:tc>
        <w:tc>
          <w:tcPr>
            <w:tcW w:w="44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1,193.6</w:t>
            </w:r>
          </w:p>
        </w:tc>
        <w:tc>
          <w:tcPr>
            <w:tcW w:w="42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1,186.0</w:t>
            </w:r>
          </w:p>
        </w:tc>
        <w:tc>
          <w:tcPr>
            <w:tcW w:w="10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-159385</wp:posOffset>
            </wp:positionV>
            <wp:extent cx="68580" cy="571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-159385</wp:posOffset>
            </wp:positionV>
            <wp:extent cx="60325" cy="571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-159385</wp:posOffset>
            </wp:positionV>
            <wp:extent cx="60325" cy="571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68" w:lineRule="exact"/>
        <w:rPr>
          <w:sz w:val="20"/>
          <w:szCs w:val="20"/>
          <w:color w:val="auto"/>
        </w:rPr>
      </w:pPr>
    </w:p>
    <w:p>
      <w:pPr>
        <w:ind w:left="520" w:right="900" w:hanging="512"/>
        <w:spacing w:after="0" w:line="244"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jc w:val="both"/>
        <w:ind w:left="520" w:right="380" w:hanging="512"/>
        <w:spacing w:after="0" w:line="234"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2024 Notes and 2026 Notes are presented net of the combination of deferred financing costs and original issue discounts totaling $11.8 million, $0.3 million, $0.7 million and $4.0 million and $5.3 million, respectively.</w:t>
      </w:r>
    </w:p>
    <w:p>
      <w:pPr>
        <w:spacing w:after="0" w:line="2" w:lineRule="exact"/>
        <w:rPr>
          <w:rFonts w:ascii="Arial" w:cs="Arial" w:eastAsia="Arial" w:hAnsi="Arial"/>
          <w:sz w:val="18"/>
          <w:szCs w:val="18"/>
          <w:color w:val="auto"/>
        </w:rPr>
      </w:pPr>
    </w:p>
    <w:p>
      <w:pPr>
        <w:ind w:left="520" w:right="120" w:hanging="512"/>
        <w:spacing w:after="0" w:line="271"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carrying values of the 2024 Notes and 2026 Notes are presented inclusive of an incremental $4.4 million and ($10.2) million, which represents an adjustment in the carrying values of the 2024 Notes and 2026 Notes, each resulting from a hedge accounting relationship.</w:t>
      </w:r>
    </w:p>
    <w:p>
      <w:pPr>
        <w:spacing w:after="0" w:line="150" w:lineRule="exact"/>
        <w:rPr>
          <w:sz w:val="20"/>
          <w:szCs w:val="20"/>
          <w:color w:val="auto"/>
        </w:rPr>
      </w:pPr>
    </w:p>
    <w:p>
      <w:pPr>
        <w:ind w:firstLine="255"/>
        <w:spacing w:after="0" w:line="246" w:lineRule="auto"/>
        <w:rPr>
          <w:sz w:val="20"/>
          <w:szCs w:val="20"/>
          <w:color w:val="auto"/>
        </w:rPr>
      </w:pPr>
      <w:r>
        <w:rPr>
          <w:rFonts w:ascii="Arial" w:cs="Arial" w:eastAsia="Arial" w:hAnsi="Arial"/>
          <w:sz w:val="18"/>
          <w:szCs w:val="18"/>
          <w:color w:val="auto"/>
        </w:rPr>
        <w:t>As of June 30, 2022 and December 31, 2021, we were in compliance with the terms of our debt arrangements. We intend to continue to utilize our credit facilities to fund investments and for other general corporate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right="220" w:firstLine="255"/>
        <w:spacing w:after="0" w:line="235" w:lineRule="auto"/>
        <w:rPr>
          <w:sz w:val="20"/>
          <w:szCs w:val="20"/>
          <w:color w:val="auto"/>
        </w:rPr>
      </w:pPr>
      <w:r>
        <w:rPr>
          <w:rFonts w:ascii="Arial" w:cs="Arial" w:eastAsia="Arial" w:hAnsi="Arial"/>
          <w:sz w:val="18"/>
          <w:szCs w:val="18"/>
          <w:color w:val="auto"/>
        </w:rPr>
        <w:t>On August 23, 2012, we entered into a senior secured revolving credit agreement with Truist Bank (as successor by merger to SunTrust Bank), as administrative agent, and J.P. Morgan Chase Bank, N.A., as syndication agent, and certain other lenders (as amended and restated, the “Revolving Credit Facility”).</w:t>
      </w:r>
    </w:p>
    <w:p>
      <w:pPr>
        <w:spacing w:after="0" w:line="188" w:lineRule="exact"/>
        <w:rPr>
          <w:sz w:val="20"/>
          <w:szCs w:val="20"/>
          <w:color w:val="auto"/>
        </w:rPr>
      </w:pPr>
    </w:p>
    <w:p>
      <w:pPr>
        <w:jc w:val="both"/>
        <w:ind w:right="80" w:firstLine="255"/>
        <w:spacing w:after="0" w:line="270" w:lineRule="auto"/>
        <w:rPr>
          <w:sz w:val="20"/>
          <w:szCs w:val="20"/>
          <w:color w:val="auto"/>
        </w:rPr>
      </w:pPr>
      <w:r>
        <w:rPr>
          <w:rFonts w:ascii="Arial" w:cs="Arial" w:eastAsia="Arial" w:hAnsi="Arial"/>
          <w:sz w:val="17"/>
          <w:szCs w:val="17"/>
          <w:color w:val="auto"/>
        </w:rPr>
        <w:t>As of March 31, 2022, aggregate commitments under the facility were $1.510 billion. Pursuant to an amendment to the Revolving Credit Facility dated as of April 25, 2022 (the “Twelfth Amendment”), the aggregate commitments under the facility were increased to $1.585 billion. The facility includes an uncommitted accordion feature that allows us, under certain circumstances, to increase the size of the facility to up to $2.0 billion.</w:t>
      </w:r>
    </w:p>
    <w:p>
      <w:pPr>
        <w:spacing w:after="0" w:line="164" w:lineRule="exact"/>
        <w:rPr>
          <w:sz w:val="20"/>
          <w:szCs w:val="20"/>
          <w:color w:val="auto"/>
        </w:rPr>
      </w:pPr>
    </w:p>
    <w:p>
      <w:pPr>
        <w:ind w:right="140" w:firstLine="255"/>
        <w:spacing w:after="0" w:line="241" w:lineRule="auto"/>
        <w:rPr>
          <w:sz w:val="20"/>
          <w:szCs w:val="20"/>
          <w:color w:val="auto"/>
        </w:rPr>
      </w:pPr>
      <w:r>
        <w:rPr>
          <w:rFonts w:ascii="Arial" w:cs="Arial" w:eastAsia="Arial" w:hAnsi="Arial"/>
          <w:sz w:val="18"/>
          <w:szCs w:val="18"/>
          <w:color w:val="auto"/>
        </w:rPr>
        <w:t>Pursuant to the Twelfth Amendment, with respect to $1.510 billion in commitments, the revolving period, during which period we, subject to certain conditions, may make borrowings under the facility, was extended to April 24, 2026 and the stated maturity date was extended to April 23, 2027. For the remaining $75.0 million of commitments, (A) with respect to $25.0 million of commitments, the revolving period ends January 31, 2024 and the stated maturity is January 31, 2025 and (B) with respect to $50.0 million of commitments, the revolving period ends on February 4, 2025 and the stated maturity is February 4, 2026.</w:t>
      </w:r>
    </w:p>
    <w:p>
      <w:pPr>
        <w:spacing w:after="0" w:line="189" w:lineRule="exact"/>
        <w:rPr>
          <w:sz w:val="20"/>
          <w:szCs w:val="20"/>
          <w:color w:val="auto"/>
        </w:rPr>
      </w:pPr>
    </w:p>
    <w:p>
      <w:pPr>
        <w:ind w:right="820" w:firstLine="255"/>
        <w:spacing w:after="0" w:line="261" w:lineRule="auto"/>
        <w:rPr>
          <w:sz w:val="20"/>
          <w:szCs w:val="20"/>
          <w:color w:val="auto"/>
        </w:rPr>
      </w:pPr>
      <w:r>
        <w:rPr>
          <w:rFonts w:ascii="Arial" w:cs="Arial" w:eastAsia="Arial" w:hAnsi="Arial"/>
          <w:sz w:val="18"/>
          <w:szCs w:val="18"/>
          <w:color w:val="auto"/>
        </w:rPr>
        <w:t>Pursuant to an amendment to the Revolving Credit Facility dated as of May 19, 2022 (the “Thirteenth Amendment”), certain non-substantive administrative and operational elements were updated.</w:t>
      </w:r>
    </w:p>
    <w:p>
      <w:pPr>
        <w:spacing w:after="0" w:line="171" w:lineRule="exact"/>
        <w:rPr>
          <w:sz w:val="20"/>
          <w:szCs w:val="20"/>
          <w:color w:val="auto"/>
        </w:rPr>
      </w:pPr>
    </w:p>
    <w:p>
      <w:pPr>
        <w:ind w:right="80" w:firstLine="255"/>
        <w:spacing w:after="0" w:line="248" w:lineRule="auto"/>
        <w:rPr>
          <w:sz w:val="20"/>
          <w:szCs w:val="20"/>
          <w:color w:val="auto"/>
        </w:rPr>
      </w:pPr>
      <w:r>
        <w:rPr>
          <w:rFonts w:ascii="Arial" w:cs="Arial" w:eastAsia="Arial" w:hAnsi="Arial"/>
          <w:sz w:val="18"/>
          <w:szCs w:val="18"/>
          <w:color w:val="auto"/>
        </w:rPr>
        <w:t>We may borrow amounts in U.S. dollars or certain other permitted currencies. As of June 30, 2022, we had outstanding debt denominated in Australian Dollars (AUD) of 59.0 million, British pounds (GBP) of 4.7 million, Canadian Dollars (CAD) of 111.5 million, and Euro (EUR) of 9.6 million on our Revolving Credit Facility, included in the Outstanding Principal amount in the table above.</w:t>
      </w:r>
    </w:p>
    <w:p>
      <w:pPr>
        <w:spacing w:after="0" w:line="182" w:lineRule="exact"/>
        <w:rPr>
          <w:sz w:val="20"/>
          <w:szCs w:val="20"/>
          <w:color w:val="auto"/>
        </w:rPr>
      </w:pPr>
    </w:p>
    <w:p>
      <w:pPr>
        <w:ind w:right="60" w:firstLine="255"/>
        <w:spacing w:after="0" w:line="243"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$75.0 million. As of June 30, 2022 we had less than $0.1 million letters of credit issued through the Revolving Credit Facility and as of December 31, 2021, we had no outstanding letters of credit issued through the Revolving Credit Facility. The amount available for borrowing under the Revolving Credit Facility is reduced by any letters of credit issued through the Revolving Credit Facility.</w:t>
      </w:r>
    </w:p>
    <w:p>
      <w:pPr>
        <w:spacing w:after="0" w:line="188" w:lineRule="exact"/>
        <w:rPr>
          <w:sz w:val="20"/>
          <w:szCs w:val="20"/>
          <w:color w:val="auto"/>
        </w:rPr>
      </w:pPr>
    </w:p>
    <w:p>
      <w:pPr>
        <w:ind w:right="520" w:firstLine="255"/>
        <w:spacing w:after="0" w:line="274" w:lineRule="auto"/>
        <w:rPr>
          <w:sz w:val="20"/>
          <w:szCs w:val="20"/>
          <w:color w:val="auto"/>
        </w:rPr>
      </w:pPr>
      <w:r>
        <w:rPr>
          <w:rFonts w:ascii="Arial" w:cs="Arial" w:eastAsia="Arial" w:hAnsi="Arial"/>
          <w:sz w:val="16"/>
          <w:szCs w:val="16"/>
          <w:color w:val="auto"/>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w:t>
      </w:r>
    </w:p>
    <w:p>
      <w:pPr>
        <w:spacing w:after="0" w:line="1"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0.875%, in each case, based on the total amount of the borrowing base relative to the sum of the total commitments (or, if greater, the total exposure) under the Revolving Credit Facility plus certain other designated secured debt. We may elect either the applicable reference rate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63" w:name="page64"/>
    <w:bookmarkEnd w:id="63"/>
    <w:p>
      <w:pPr>
        <w:ind w:right="100" w:firstLine="255"/>
        <w:spacing w:after="0" w:line="235" w:lineRule="auto"/>
        <w:rPr>
          <w:sz w:val="20"/>
          <w:szCs w:val="20"/>
          <w:color w:val="auto"/>
        </w:rPr>
      </w:pPr>
      <w:r>
        <w:rPr>
          <w:rFonts w:ascii="Arial" w:cs="Arial" w:eastAsia="Arial" w:hAnsi="Arial"/>
          <w:sz w:val="18"/>
          <w:szCs w:val="18"/>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75" w:lineRule="exact"/>
        <w:rPr>
          <w:sz w:val="20"/>
          <w:szCs w:val="20"/>
          <w:color w:val="auto"/>
        </w:rPr>
      </w:pPr>
    </w:p>
    <w:p>
      <w:pPr>
        <w:ind w:right="160" w:firstLine="255"/>
        <w:spacing w:after="0" w:line="246"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In accordance with the terms of the Twelfth Amendment, the financial covenants require:</w:t>
      </w:r>
    </w:p>
    <w:p>
      <w:pPr>
        <w:spacing w:after="0" w:line="62" w:lineRule="exact"/>
        <w:rPr>
          <w:sz w:val="20"/>
          <w:szCs w:val="20"/>
          <w:color w:val="auto"/>
        </w:rPr>
      </w:pPr>
    </w:p>
    <w:p>
      <w:pPr>
        <w:ind w:left="520" w:hanging="257"/>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asset coverage ratio of no less than 1.5 to 1 on the last day of any fiscal quarter;</w:t>
      </w:r>
    </w:p>
    <w:p>
      <w:pPr>
        <w:spacing w:after="0" w:line="90" w:lineRule="exact"/>
        <w:rPr>
          <w:rFonts w:ascii="Arial" w:cs="Arial" w:eastAsia="Arial" w:hAnsi="Arial"/>
          <w:sz w:val="18"/>
          <w:szCs w:val="18"/>
          <w:color w:val="auto"/>
        </w:rPr>
      </w:pPr>
    </w:p>
    <w:p>
      <w:pPr>
        <w:ind w:left="520" w:hanging="257"/>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January 31, 2020; and</w:t>
      </w:r>
    </w:p>
    <w:p>
      <w:pPr>
        <w:spacing w:after="0" w:line="90" w:lineRule="exact"/>
        <w:rPr>
          <w:rFonts w:ascii="Arial" w:cs="Arial" w:eastAsia="Arial" w:hAnsi="Arial"/>
          <w:sz w:val="18"/>
          <w:szCs w:val="18"/>
          <w:color w:val="auto"/>
        </w:rPr>
      </w:pPr>
    </w:p>
    <w:p>
      <w:pPr>
        <w:ind w:left="520" w:right="320" w:hanging="257"/>
        <w:spacing w:after="0" w:line="231"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spacing w:after="0" w:line="175" w:lineRule="exact"/>
        <w:rPr>
          <w:sz w:val="20"/>
          <w:szCs w:val="20"/>
          <w:color w:val="auto"/>
        </w:rPr>
      </w:pPr>
    </w:p>
    <w:p>
      <w:pPr>
        <w:ind w:right="220" w:firstLine="255"/>
        <w:spacing w:after="0" w:line="246" w:lineRule="auto"/>
        <w:rPr>
          <w:sz w:val="20"/>
          <w:szCs w:val="20"/>
          <w:color w:val="auto"/>
        </w:rPr>
      </w:pPr>
      <w:r>
        <w:rPr>
          <w:rFonts w:ascii="Arial" w:cs="Arial" w:eastAsia="Arial" w:hAnsi="Arial"/>
          <w:sz w:val="18"/>
          <w:szCs w:val="18"/>
          <w:color w:val="auto"/>
        </w:rPr>
        <w:t>The Revolving Credit Facility also contains certain additional concentration limits in connection with the calculation of the borrowing base, based on the Obligor Asset Coverage Ratio.</w:t>
      </w:r>
    </w:p>
    <w:p>
      <w:pPr>
        <w:spacing w:after="0" w:line="170" w:lineRule="exact"/>
        <w:rPr>
          <w:sz w:val="20"/>
          <w:szCs w:val="20"/>
          <w:color w:val="auto"/>
        </w:rPr>
      </w:pPr>
    </w:p>
    <w:p>
      <w:pPr>
        <w:ind w:right="260" w:firstLine="255"/>
        <w:spacing w:after="0" w:line="246" w:lineRule="auto"/>
        <w:rPr>
          <w:sz w:val="20"/>
          <w:szCs w:val="20"/>
          <w:color w:val="auto"/>
        </w:rPr>
      </w:pPr>
      <w:r>
        <w:rPr>
          <w:rFonts w:ascii="Arial" w:cs="Arial" w:eastAsia="Arial" w:hAnsi="Arial"/>
          <w:sz w:val="18"/>
          <w:szCs w:val="18"/>
          <w:color w:val="auto"/>
        </w:rPr>
        <w:t>Net proceeds received from the Company’s common stock issuance in February 2021 and net proceeds received from the issuance of the 2026 Notes were used to pay down borrowings on the Revolving Credit Facility.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90" w:lineRule="exact"/>
        <w:rPr>
          <w:sz w:val="20"/>
          <w:szCs w:val="20"/>
          <w:color w:val="auto"/>
        </w:rPr>
      </w:pPr>
    </w:p>
    <w:p>
      <w:pPr>
        <w:ind w:right="40" w:firstLine="255"/>
        <w:spacing w:after="0" w:line="236" w:lineRule="auto"/>
        <w:rPr>
          <w:sz w:val="20"/>
          <w:szCs w:val="20"/>
          <w:color w:val="auto"/>
        </w:rPr>
      </w:pPr>
      <w:r>
        <w:rPr>
          <w:rFonts w:ascii="Arial" w:cs="Arial" w:eastAsia="Arial" w:hAnsi="Arial"/>
          <w:sz w:val="17"/>
          <w:szCs w:val="17"/>
          <w:color w:val="auto"/>
        </w:rPr>
        <w:t>In February 2017, we issued in a private offering $115.0 million aggregate principal amount convertible notes due August 2022 (the “2022 Convertible Notes”). The 2022 Convertible Notes were issued in a private placement only to qualified institutional buyers pursuant to Rule 144A under the Securities Act. The 2022 Convertible Notes are unsecured, and bear interest at a rate of 4.50% per year, payable semiannually. In June 2018, we issued in a registered public offering an additional $57.5 million aggregate principal amount of 2022 Convertible Notes. The additional 2022 Convertible Notes were issued with identical terms, and are fungible with and are part of a single series with the previously outstanding $115.0 million aggregate principal amount of our 2022 Convertible Notes issued in February 2017. The 2022 Convertible Notes will mature on August 1, 2022. The 2022 Convertible Notes will be convertible into a combination of cash and shares of our common stock, at our election. As of June 30, 2022, the estimated adjusted conversion price was approximately $17.92 per share of common stock. In connection with the offering of 2022 Convertible Notes in February 2017 and the reopening in June 2018, we entered into interest rate swaps to align the interest rates of our liabilities with our investment portfolio, which consists of predominately floating rate loans. The notional amount of the interest rate swaps matches the amount of principal outstanding, and matures on August 1, 2022, matching the maturity date of the 2022 Convertible Notes.</w:t>
      </w:r>
    </w:p>
    <w:p>
      <w:pPr>
        <w:spacing w:after="0" w:line="181" w:lineRule="exact"/>
        <w:rPr>
          <w:sz w:val="20"/>
          <w:szCs w:val="20"/>
          <w:color w:val="auto"/>
        </w:rPr>
      </w:pPr>
    </w:p>
    <w:p>
      <w:pPr>
        <w:ind w:firstLine="255"/>
        <w:spacing w:after="0" w:line="256" w:lineRule="auto"/>
        <w:rPr>
          <w:sz w:val="20"/>
          <w:szCs w:val="20"/>
          <w:color w:val="auto"/>
        </w:rPr>
      </w:pPr>
      <w:r>
        <w:rPr>
          <w:rFonts w:ascii="Arial" w:cs="Arial" w:eastAsia="Arial" w:hAnsi="Arial"/>
          <w:sz w:val="16"/>
          <w:szCs w:val="16"/>
          <w:color w:val="auto"/>
        </w:rPr>
        <w:t>During the year ended December 31, 2020, we repurchased on the open market and extinguished $29.7 million in aggregate principal amount of the 2022 Convertible Notes for $29.5 million. These repurchases resulted in a gain on extinguishment of debt of less than $0.7 million. This gain is included in the extinguishment of debt in the accompanying consolidated statements of operations. In connection with the repurchases of the 2022 Convertible Notes, we entered into floating-to-fixed interest rate swaps with an aggregate notional amount equal to the amount of 2022 Convertible Notes repurchased, which had the effect of reducing the notional exposure of the fixed-to-floating interest rate swaps, which were entered into in connection with the issuance of the 2022 Convertible Notes, to match the remaining principal amount of the 2022 Convertible Notes outstanding. As a result of the swaps, our effective interest rate on the outstanding 2022 Convertible Notes is three-month LIBOR plus 2.11% (on a weighted-average basis).</w:t>
      </w:r>
    </w:p>
    <w:p>
      <w:pPr>
        <w:spacing w:after="0" w:line="165" w:lineRule="exact"/>
        <w:rPr>
          <w:sz w:val="20"/>
          <w:szCs w:val="20"/>
          <w:color w:val="auto"/>
        </w:rPr>
      </w:pPr>
    </w:p>
    <w:p>
      <w:pPr>
        <w:jc w:val="both"/>
        <w:ind w:right="40" w:firstLine="255"/>
        <w:spacing w:after="0" w:line="235" w:lineRule="auto"/>
        <w:rPr>
          <w:sz w:val="20"/>
          <w:szCs w:val="20"/>
          <w:color w:val="auto"/>
        </w:rPr>
      </w:pPr>
      <w:r>
        <w:rPr>
          <w:rFonts w:ascii="Arial" w:cs="Arial" w:eastAsia="Arial" w:hAnsi="Arial"/>
          <w:sz w:val="18"/>
          <w:szCs w:val="18"/>
          <w:color w:val="auto"/>
        </w:rPr>
        <w:t>Holders were entitled to convert their 2022 Convertible Notes at their option at any time prior to February 1, 2022 only under certain circumstances. On or after February 1, 2022 until the close of business on the scheduled trading day immediately preceding the maturity date, holders may convert their notes at any time.</w:t>
      </w:r>
    </w:p>
    <w:p>
      <w:pPr>
        <w:spacing w:after="0" w:line="175" w:lineRule="exact"/>
        <w:rPr>
          <w:sz w:val="20"/>
          <w:szCs w:val="20"/>
          <w:color w:val="auto"/>
        </w:rPr>
      </w:pPr>
    </w:p>
    <w:p>
      <w:pPr>
        <w:ind w:right="40" w:firstLine="255"/>
        <w:spacing w:after="0" w:line="237" w:lineRule="auto"/>
        <w:rPr>
          <w:sz w:val="20"/>
          <w:szCs w:val="20"/>
          <w:color w:val="auto"/>
        </w:rPr>
      </w:pPr>
      <w:r>
        <w:rPr>
          <w:rFonts w:ascii="Arial" w:cs="Arial" w:eastAsia="Arial" w:hAnsi="Arial"/>
          <w:sz w:val="17"/>
          <w:szCs w:val="17"/>
          <w:color w:val="auto"/>
        </w:rPr>
        <w:t>On September 30, 2021, we notified the trustee and holders of the 2022 Convertible Notes that the terms of one of the conversion features had been met and the notes were eligible for conversion at the option of the holders. The notes remained convertible until October 12, 2021. During this period $42.8 million aggregate principal amount of notes were surrendered for conversion and we elected combination settlement. During the three months ended December 31, 2021, $42.8 million of principal of the 2022 Convertible Notes were converted and were settled with a combination of cash and 2,324,820 shares of our common stock. In connection with the settlement of the 2022 Convertible Notes, we entered into a floating-to-fixed interest rate swap with an aggregate notional amount equal to the amount of 2022 Convertible Notes settled, which had the effect of reducing the notional exposure of the fixed-to-floating interest rate swaps, which were entered into in connection with the issuance of the 2022 Convertible Notes, to match the remaining principal amount of the 2022 Convertible Notes outstanding. As a result of the swaps, our effective interest rate on the outstanding 2022 Convertible Notes is three-month LIBOR plus 2.11% (on a weighted-average basis).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4" w:name="page65"/>
    <w:bookmarkEnd w:id="64"/>
    <w:p>
      <w:pPr>
        <w:ind w:firstLine="255"/>
        <w:spacing w:after="0" w:line="228" w:lineRule="auto"/>
        <w:rPr>
          <w:sz w:val="20"/>
          <w:szCs w:val="20"/>
          <w:color w:val="auto"/>
        </w:rPr>
      </w:pPr>
      <w:r>
        <w:rPr>
          <w:rFonts w:ascii="Arial" w:cs="Arial" w:eastAsia="Arial" w:hAnsi="Arial"/>
          <w:sz w:val="18"/>
          <w:szCs w:val="18"/>
          <w:color w:val="auto"/>
        </w:rPr>
        <w:t>On January 26, 2022, we notified the trustee and holders of the 2022 Convertible Notes that the terms of settlement for the notes at our election are a combination settlement of cash and stock to occur after the 40 day observation period described in the notes indenture. We have elected to settle any 2022 Convertible Notes that are converted between February 1, 2022 and August 1, 2022 with a specified cash amount (as defined in the indenture governing the 2022 Convertible Notes) of $20.00 per $1,000 principal amount of the 2022 Convertible Notes and any additional amounts in stock based on the applicable conversion rate as described in the indenture.</w:t>
      </w:r>
    </w:p>
    <w:p>
      <w:pPr>
        <w:spacing w:after="0" w:line="178" w:lineRule="exact"/>
        <w:rPr>
          <w:sz w:val="20"/>
          <w:szCs w:val="20"/>
          <w:color w:val="auto"/>
        </w:rPr>
      </w:pPr>
    </w:p>
    <w:p>
      <w:pPr>
        <w:jc w:val="both"/>
        <w:ind w:right="20" w:firstLine="255"/>
        <w:spacing w:after="0" w:line="228" w:lineRule="auto"/>
        <w:rPr>
          <w:sz w:val="20"/>
          <w:szCs w:val="20"/>
          <w:color w:val="auto"/>
        </w:rPr>
      </w:pPr>
      <w:r>
        <w:rPr>
          <w:rFonts w:ascii="Arial" w:cs="Arial" w:eastAsia="Arial" w:hAnsi="Arial"/>
          <w:sz w:val="18"/>
          <w:szCs w:val="18"/>
          <w:color w:val="auto"/>
        </w:rPr>
        <w:t>The 2022 Convertible Notes are our unsecured obligations and rank senior in right of payment to our future indebtedness that is expressly subordinated in right of payment to the 2022 Convertible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78" w:lineRule="exact"/>
        <w:rPr>
          <w:sz w:val="20"/>
          <w:szCs w:val="20"/>
          <w:color w:val="auto"/>
        </w:rPr>
      </w:pPr>
    </w:p>
    <w:p>
      <w:pPr>
        <w:ind w:right="180" w:firstLine="255"/>
        <w:spacing w:after="0" w:line="246" w:lineRule="auto"/>
        <w:rPr>
          <w:sz w:val="20"/>
          <w:szCs w:val="20"/>
          <w:color w:val="auto"/>
        </w:rPr>
      </w:pPr>
      <w:r>
        <w:rPr>
          <w:rFonts w:ascii="Arial" w:cs="Arial" w:eastAsia="Arial" w:hAnsi="Arial"/>
          <w:sz w:val="17"/>
          <w:szCs w:val="17"/>
          <w:color w:val="auto"/>
        </w:rPr>
        <w:t>The indenture governing the 2022 Convertible Notes contains certain covenants, including covenants requiring us to comply with the applicable asset coverage ratio requirement under the 1940 Act and to provide financial information to the holders of the 2022 Convertible Notes under certain circumstances. These covenants are subject to important limitations and exceptions that are described in the indenture governing the 2022 Convertible Notes. As of June 30, 2022, we were in compliance with the terms of the indenture governing the 2022 Convertible Notes.</w:t>
      </w:r>
    </w:p>
    <w:p>
      <w:pPr>
        <w:spacing w:after="0" w:line="171" w:lineRule="exact"/>
        <w:rPr>
          <w:sz w:val="20"/>
          <w:szCs w:val="20"/>
          <w:color w:val="auto"/>
        </w:rPr>
      </w:pPr>
    </w:p>
    <w:p>
      <w:pPr>
        <w:ind w:right="60" w:firstLine="255"/>
        <w:spacing w:after="0" w:line="266" w:lineRule="auto"/>
        <w:rPr>
          <w:sz w:val="20"/>
          <w:szCs w:val="20"/>
          <w:color w:val="auto"/>
        </w:rPr>
      </w:pPr>
      <w:r>
        <w:rPr>
          <w:rFonts w:ascii="Arial" w:cs="Arial" w:eastAsia="Arial" w:hAnsi="Arial"/>
          <w:sz w:val="16"/>
          <w:szCs w:val="16"/>
          <w:color w:val="auto"/>
        </w:rPr>
        <w:t>The 2022 Convertible Notes are accounted for in accordance with ASC Topic 470-20. During the period ended March 31, 2021, we early adopted ASU 2020-06 and in accordance with this guidance reclassified the remaining unamortized discount on the 2022 Convertible Notes from the carrying value of the instrument to “additional paid-in capital” in the accompanying consolidated balance sheet. As a requirement under ASU 2020-06 we calculate diluted earnings per shares using the if-converted method which assumes full share settlement for the aggregate value of the 2022 Convertible Notes.</w:t>
      </w:r>
    </w:p>
    <w:p>
      <w:pPr>
        <w:spacing w:after="0" w:line="156" w:lineRule="exact"/>
        <w:rPr>
          <w:sz w:val="20"/>
          <w:szCs w:val="20"/>
          <w:color w:val="auto"/>
        </w:rPr>
      </w:pPr>
    </w:p>
    <w:p>
      <w:pPr>
        <w:ind w:right="140" w:firstLine="255"/>
        <w:spacing w:after="0" w:line="246" w:lineRule="auto"/>
        <w:rPr>
          <w:sz w:val="20"/>
          <w:szCs w:val="20"/>
          <w:color w:val="auto"/>
        </w:rPr>
      </w:pPr>
      <w:r>
        <w:rPr>
          <w:rFonts w:ascii="Arial" w:cs="Arial" w:eastAsia="Arial" w:hAnsi="Arial"/>
          <w:sz w:val="18"/>
          <w:szCs w:val="18"/>
          <w:color w:val="auto"/>
        </w:rPr>
        <w:t>The average daily closing price of our common stock for the six months ended June 30, 2022 was greater than the estimated adjusted conversion price for the 2022 Convertible Notes outstanding as of June 30, 2022.</w:t>
      </w:r>
    </w:p>
    <w:p>
      <w:pPr>
        <w:spacing w:after="0" w:line="170" w:lineRule="exact"/>
        <w:rPr>
          <w:sz w:val="20"/>
          <w:szCs w:val="20"/>
          <w:color w:val="auto"/>
        </w:rPr>
      </w:pPr>
    </w:p>
    <w:p>
      <w:pPr>
        <w:ind w:right="120" w:firstLine="255"/>
        <w:spacing w:after="0" w:line="227" w:lineRule="auto"/>
        <w:rPr>
          <w:sz w:val="20"/>
          <w:szCs w:val="20"/>
          <w:color w:val="auto"/>
        </w:rPr>
      </w:pPr>
      <w:r>
        <w:rPr>
          <w:rFonts w:ascii="Arial" w:cs="Arial" w:eastAsia="Arial" w:hAnsi="Arial"/>
          <w:sz w:val="18"/>
          <w:szCs w:val="18"/>
          <w:color w:val="auto"/>
        </w:rPr>
        <w:t>On August 1, 2022, the 2022 Convertible Notes matured in accordance with the governing indenture. Holders of $79.2 million aggregate principal amount of notes provided valid notice of conversion and were subject to the combination settlement method previously elected by us. In accordance with the settlement method, we issued a total of 4,360,125 shares of common stock, or $78.1 million at the adjusted conversion price per share of $17.92. The remaining balance of the notes that were not converted into newly issued shares of common stock were settled with existing cash resources, including through utilization of our Revolving Credit Facility. The interest rate swaps associated with the principal amount of the notes outstanding were terminated on the date of maturity of the 2022 Convertible Notes.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90" w:lineRule="exact"/>
        <w:rPr>
          <w:sz w:val="20"/>
          <w:szCs w:val="20"/>
          <w:color w:val="auto"/>
        </w:rPr>
      </w:pPr>
    </w:p>
    <w:p>
      <w:pPr>
        <w:ind w:right="40" w:firstLine="255"/>
        <w:spacing w:after="0" w:line="228" w:lineRule="auto"/>
        <w:rPr>
          <w:sz w:val="20"/>
          <w:szCs w:val="20"/>
          <w:color w:val="auto"/>
        </w:rPr>
      </w:pPr>
      <w:r>
        <w:rPr>
          <w:rFonts w:ascii="Arial" w:cs="Arial" w:eastAsia="Arial" w:hAnsi="Arial"/>
          <w:sz w:val="18"/>
          <w:szCs w:val="18"/>
          <w:color w:val="auto"/>
        </w:rPr>
        <w:t>In January 2018, we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w:t>
      </w:r>
    </w:p>
    <w:p>
      <w:pPr>
        <w:spacing w:after="0" w:line="178" w:lineRule="exact"/>
        <w:rPr>
          <w:sz w:val="20"/>
          <w:szCs w:val="20"/>
          <w:color w:val="auto"/>
        </w:rPr>
      </w:pPr>
    </w:p>
    <w:p>
      <w:pPr>
        <w:ind w:right="220" w:firstLine="255"/>
        <w:spacing w:after="0" w:line="231" w:lineRule="auto"/>
        <w:rPr>
          <w:sz w:val="20"/>
          <w:szCs w:val="20"/>
          <w:color w:val="auto"/>
        </w:rPr>
      </w:pPr>
      <w:r>
        <w:rPr>
          <w:rFonts w:ascii="Arial" w:cs="Arial" w:eastAsia="Arial" w:hAnsi="Arial"/>
          <w:sz w:val="18"/>
          <w:szCs w:val="18"/>
          <w:color w:val="auto"/>
        </w:rPr>
        <w:t>In connection with the 2023 Notes offering, we entered into an interest rate swap to align the interest rates of our liabilities with our investment portfolio, which consists of predominately floating rate loans. The notional amount of the interest rate swap is $150.0 million, which matures on January 22, 2023, matching the maturity date of the 2023 Notes. As a result of the swap, our effective interest rate on the 2023 Notes is three-month LIBOR plus 1.99%.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Notes</w:t>
      </w:r>
    </w:p>
    <w:p>
      <w:pPr>
        <w:spacing w:after="0" w:line="90" w:lineRule="exact"/>
        <w:rPr>
          <w:sz w:val="20"/>
          <w:szCs w:val="20"/>
          <w:color w:val="auto"/>
        </w:rPr>
      </w:pPr>
    </w:p>
    <w:p>
      <w:pPr>
        <w:ind w:right="40" w:firstLine="255"/>
        <w:spacing w:after="0" w:line="242" w:lineRule="auto"/>
        <w:rPr>
          <w:sz w:val="20"/>
          <w:szCs w:val="20"/>
          <w:color w:val="auto"/>
        </w:rPr>
      </w:pPr>
      <w:r>
        <w:rPr>
          <w:rFonts w:ascii="Arial" w:cs="Arial" w:eastAsia="Arial" w:hAnsi="Arial"/>
          <w:sz w:val="17"/>
          <w:szCs w:val="17"/>
          <w:color w:val="auto"/>
        </w:rPr>
        <w:t>In November 2019, we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spacing w:after="0" w:line="175" w:lineRule="exact"/>
        <w:rPr>
          <w:sz w:val="20"/>
          <w:szCs w:val="20"/>
          <w:color w:val="auto"/>
        </w:rPr>
      </w:pPr>
    </w:p>
    <w:p>
      <w:pPr>
        <w:ind w:right="420" w:firstLine="255"/>
        <w:spacing w:after="0" w:line="246" w:lineRule="auto"/>
        <w:rPr>
          <w:sz w:val="20"/>
          <w:szCs w:val="20"/>
          <w:color w:val="auto"/>
        </w:rPr>
      </w:pPr>
      <w:r>
        <w:rPr>
          <w:rFonts w:ascii="Arial" w:cs="Arial" w:eastAsia="Arial" w:hAnsi="Arial"/>
          <w:sz w:val="18"/>
          <w:szCs w:val="18"/>
          <w:color w:val="auto"/>
        </w:rPr>
        <w:t>On February 5, 2020, we issued an additional $50.0 million aggregate principal amount of unsecured notes that mature on November 1, 2024. The additional 2024 Notes are a further issuance of, fungible with, rank equally in right of payment with and have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65" w:name="page66"/>
    <w:bookmarkEnd w:id="65"/>
    <w:p>
      <w:pPr>
        <w:ind w:right="160"/>
        <w:spacing w:after="0" w:line="235" w:lineRule="auto"/>
        <w:rPr>
          <w:sz w:val="20"/>
          <w:szCs w:val="20"/>
          <w:color w:val="auto"/>
        </w:rPr>
      </w:pPr>
      <w:r>
        <w:rPr>
          <w:rFonts w:ascii="Arial" w:cs="Arial" w:eastAsia="Arial" w:hAnsi="Arial"/>
          <w:sz w:val="18"/>
          <w:szCs w:val="18"/>
          <w:color w:val="auto"/>
        </w:rPr>
        <w:t>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p>
    <w:p>
      <w:pPr>
        <w:spacing w:after="0" w:line="175" w:lineRule="exact"/>
        <w:rPr>
          <w:sz w:val="20"/>
          <w:szCs w:val="20"/>
          <w:color w:val="auto"/>
        </w:rPr>
      </w:pPr>
    </w:p>
    <w:p>
      <w:pPr>
        <w:ind w:right="100" w:firstLine="255"/>
        <w:spacing w:after="0" w:line="246" w:lineRule="auto"/>
        <w:rPr>
          <w:sz w:val="20"/>
          <w:szCs w:val="20"/>
          <w:color w:val="auto"/>
        </w:rPr>
      </w:pPr>
      <w:r>
        <w:rPr>
          <w:rFonts w:ascii="Arial" w:cs="Arial" w:eastAsia="Arial" w:hAnsi="Arial"/>
          <w:sz w:val="17"/>
          <w:szCs w:val="17"/>
          <w:color w:val="auto"/>
        </w:rPr>
        <w:t>In connection with the 2024 Notes offering and reopening of the 2024 Notes, we entered into interest rate swaps to align the interest rates of our liabilities with our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our effective interest rate on the 2024 Notes is three-month LIBOR plus 2.28% (on a weighted average basis).</w:t>
      </w:r>
    </w:p>
    <w:p>
      <w:pPr>
        <w:spacing w:after="0" w:line="184" w:lineRule="exact"/>
        <w:rPr>
          <w:sz w:val="20"/>
          <w:szCs w:val="20"/>
          <w:color w:val="auto"/>
        </w:rPr>
      </w:pPr>
    </w:p>
    <w:p>
      <w:pPr>
        <w:ind w:firstLine="255"/>
        <w:spacing w:after="0" w:line="239" w:lineRule="auto"/>
        <w:rPr>
          <w:sz w:val="20"/>
          <w:szCs w:val="20"/>
          <w:color w:val="auto"/>
        </w:rPr>
      </w:pPr>
      <w:r>
        <w:rPr>
          <w:rFonts w:ascii="Arial" w:cs="Arial" w:eastAsia="Arial" w:hAnsi="Arial"/>
          <w:sz w:val="18"/>
          <w:szCs w:val="18"/>
          <w:color w:val="auto"/>
        </w:rPr>
        <w:t>During the year ended December 31, 2020, we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we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our effective interest rate on the outstanding 2024 Notes is three-month LIBOR plus 2.28% (on a weighted average basis).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Notes</w:t>
      </w:r>
    </w:p>
    <w:p>
      <w:pPr>
        <w:spacing w:after="0" w:line="104" w:lineRule="exact"/>
        <w:rPr>
          <w:sz w:val="20"/>
          <w:szCs w:val="20"/>
          <w:color w:val="auto"/>
        </w:rPr>
      </w:pPr>
    </w:p>
    <w:p>
      <w:pPr>
        <w:ind w:right="40" w:firstLine="255"/>
        <w:spacing w:after="0" w:line="259" w:lineRule="auto"/>
        <w:rPr>
          <w:sz w:val="20"/>
          <w:szCs w:val="20"/>
          <w:color w:val="auto"/>
        </w:rPr>
      </w:pPr>
      <w:r>
        <w:rPr>
          <w:rFonts w:ascii="Arial" w:cs="Arial" w:eastAsia="Arial" w:hAnsi="Arial"/>
          <w:sz w:val="17"/>
          <w:szCs w:val="17"/>
          <w:color w:val="auto"/>
        </w:rPr>
        <w:t>On February 3, 2021, we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our option at any time at par plus a “make whole” premium. Total proceeds from the issuance of the 2026 Notes, net of underwriting discounts, offering costs and original issue discount were $293.7 million. We used the net proceeds of the 2026 Notes to repay outstanding indebtedness under the Revolving Credit Facility.</w:t>
      </w:r>
    </w:p>
    <w:p>
      <w:pPr>
        <w:spacing w:after="0" w:line="174" w:lineRule="exact"/>
        <w:rPr>
          <w:sz w:val="20"/>
          <w:szCs w:val="20"/>
          <w:color w:val="auto"/>
        </w:rPr>
      </w:pPr>
    </w:p>
    <w:p>
      <w:pPr>
        <w:ind w:right="80" w:firstLine="255"/>
        <w:spacing w:after="0" w:line="243" w:lineRule="auto"/>
        <w:rPr>
          <w:sz w:val="20"/>
          <w:szCs w:val="20"/>
          <w:color w:val="auto"/>
        </w:rPr>
      </w:pPr>
      <w:r>
        <w:rPr>
          <w:rFonts w:ascii="Arial" w:cs="Arial" w:eastAsia="Arial" w:hAnsi="Arial"/>
          <w:sz w:val="18"/>
          <w:szCs w:val="18"/>
          <w:color w:val="auto"/>
        </w:rPr>
        <w:t>In connection with the issuance of the 2026 Notes, we entered into an interest rate swap to align the interest rates of our liabilities with our investment portfolio, which consists of predominately floating rate loans. The notional amount of the interest rate swap is $300.0 million, which matures on August 1, 2026, matching the maturity date of the 2026 Notes. As a result of the swap, our effective interest rate on the 2026 Notes is three-month LIBOR plus 1.91%.</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90" w:lineRule="exact"/>
        <w:rPr>
          <w:sz w:val="20"/>
          <w:szCs w:val="20"/>
          <w:color w:val="auto"/>
        </w:rPr>
      </w:pPr>
    </w:p>
    <w:p>
      <w:pPr>
        <w:ind w:firstLine="255"/>
        <w:spacing w:after="0" w:line="227" w:lineRule="auto"/>
        <w:rPr>
          <w:sz w:val="20"/>
          <w:szCs w:val="20"/>
          <w:color w:val="auto"/>
        </w:rPr>
      </w:pPr>
      <w:r>
        <w:rPr>
          <w:rFonts w:ascii="Arial" w:cs="Arial" w:eastAsia="Arial" w:hAnsi="Arial"/>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June 30, 2022 and December 31, 2021, we had the following commitments to fund investments in current portfolio companies: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400" w:type="dxa"/>
            <w:vAlign w:val="bottom"/>
          </w:tcPr>
          <w:p>
            <w:pPr>
              <w:spacing w:after="0"/>
              <w:rPr>
                <w:sz w:val="20"/>
                <w:szCs w:val="20"/>
                <w:color w:val="auto"/>
              </w:rPr>
            </w:pPr>
            <w:r>
              <w:rPr>
                <w:rFonts w:ascii="Arial" w:cs="Arial" w:eastAsia="Arial" w:hAnsi="Arial"/>
                <w:sz w:val="14"/>
                <w:szCs w:val="14"/>
                <w:color w:val="auto"/>
              </w:rPr>
              <w:t>($ in millions)</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June 30, 2022</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December 31, 2021</w:t>
            </w:r>
          </w:p>
        </w:tc>
        <w:tc>
          <w:tcPr>
            <w:tcW w:w="80" w:type="dxa"/>
            <w:vAlign w:val="bottom"/>
          </w:tcPr>
          <w:p>
            <w:pPr>
              <w:spacing w:after="0"/>
              <w:rPr>
                <w:sz w:val="16"/>
                <w:szCs w:val="16"/>
                <w:color w:val="auto"/>
              </w:rPr>
            </w:pPr>
          </w:p>
        </w:tc>
      </w:tr>
      <w:tr>
        <w:trPr>
          <w:trHeight w:val="169"/>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Alpha Midco, Inc. - Delayed Draw</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FF0FC"/>
          </w:tcPr>
          <w:p>
            <w:pPr>
              <w:spacing w:after="0"/>
              <w:rPr>
                <w:sz w:val="14"/>
                <w:szCs w:val="14"/>
                <w:color w:val="auto"/>
              </w:rPr>
            </w:pPr>
          </w:p>
        </w:tc>
      </w:tr>
      <w:tr>
        <w:trPr>
          <w:trHeight w:val="175"/>
        </w:trPr>
        <w:tc>
          <w:tcPr>
            <w:tcW w:w="5400" w:type="dxa"/>
            <w:vAlign w:val="bottom"/>
          </w:tcPr>
          <w:p>
            <w:pPr>
              <w:spacing w:after="0"/>
              <w:rPr>
                <w:sz w:val="20"/>
                <w:szCs w:val="20"/>
                <w:color w:val="auto"/>
              </w:rPr>
            </w:pPr>
            <w:r>
              <w:rPr>
                <w:rFonts w:ascii="Arial" w:cs="Arial" w:eastAsia="Arial" w:hAnsi="Arial"/>
                <w:sz w:val="14"/>
                <w:szCs w:val="14"/>
                <w:color w:val="auto"/>
              </w:rPr>
              <w:t>American Achievement, Corp. - Revolver</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5"/>
                <w:szCs w:val="15"/>
                <w:color w:val="auto"/>
              </w:rPr>
            </w:pPr>
          </w:p>
        </w:tc>
      </w:tr>
      <w:tr>
        <w:trPr>
          <w:trHeight w:val="176"/>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ASG II, LLC - Delayed Draw</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r>
      <w:tr>
        <w:trPr>
          <w:trHeight w:val="176"/>
        </w:trPr>
        <w:tc>
          <w:tcPr>
            <w:tcW w:w="5400" w:type="dxa"/>
            <w:vAlign w:val="bottom"/>
          </w:tcPr>
          <w:p>
            <w:pPr>
              <w:spacing w:after="0"/>
              <w:rPr>
                <w:sz w:val="20"/>
                <w:szCs w:val="20"/>
                <w:color w:val="auto"/>
              </w:rPr>
            </w:pPr>
            <w:r>
              <w:rPr>
                <w:rFonts w:ascii="Arial" w:cs="Arial" w:eastAsia="Arial" w:hAnsi="Arial"/>
                <w:sz w:val="14"/>
                <w:szCs w:val="14"/>
                <w:color w:val="auto"/>
              </w:rPr>
              <w:t>AvidXchange, Inc. - Delayed Draw</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0.8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r>
      <w:tr>
        <w:trPr>
          <w:trHeight w:val="175"/>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Axonify, Inc. - Delayed Draw</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80" w:type="dxa"/>
            <w:vAlign w:val="bottom"/>
            <w:shd w:val="clear" w:color="auto" w:fill="CFF0FC"/>
          </w:tcPr>
          <w:p>
            <w:pPr>
              <w:spacing w:after="0"/>
              <w:rPr>
                <w:sz w:val="15"/>
                <w:szCs w:val="15"/>
                <w:color w:val="auto"/>
              </w:rPr>
            </w:pPr>
          </w:p>
        </w:tc>
      </w:tr>
      <w:tr>
        <w:trPr>
          <w:trHeight w:val="176"/>
        </w:trPr>
        <w:tc>
          <w:tcPr>
            <w:tcW w:w="5400" w:type="dxa"/>
            <w:vAlign w:val="bottom"/>
          </w:tcPr>
          <w:p>
            <w:pPr>
              <w:spacing w:after="0"/>
              <w:rPr>
                <w:sz w:val="20"/>
                <w:szCs w:val="20"/>
                <w:color w:val="auto"/>
              </w:rPr>
            </w:pPr>
            <w:r>
              <w:rPr>
                <w:rFonts w:ascii="Arial" w:cs="Arial" w:eastAsia="Arial" w:hAnsi="Arial"/>
                <w:sz w:val="14"/>
                <w:szCs w:val="14"/>
                <w:color w:val="auto"/>
              </w:rPr>
              <w:t>Bayshore Intermediate #2, L.P. - Revolver</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5"/>
                <w:szCs w:val="15"/>
                <w:color w:val="auto"/>
              </w:rPr>
            </w:pPr>
          </w:p>
        </w:tc>
      </w:tr>
      <w:tr>
        <w:trPr>
          <w:trHeight w:val="175"/>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BCTO Ace Purchaser, Inc. - Delayed Draw</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r>
      <w:tr>
        <w:trPr>
          <w:trHeight w:val="176"/>
        </w:trPr>
        <w:tc>
          <w:tcPr>
            <w:tcW w:w="5400" w:type="dxa"/>
            <w:vAlign w:val="bottom"/>
          </w:tcPr>
          <w:p>
            <w:pPr>
              <w:spacing w:after="0"/>
              <w:rPr>
                <w:sz w:val="20"/>
                <w:szCs w:val="20"/>
                <w:color w:val="auto"/>
              </w:rPr>
            </w:pPr>
            <w:r>
              <w:rPr>
                <w:rFonts w:ascii="Arial" w:cs="Arial" w:eastAsia="Arial" w:hAnsi="Arial"/>
                <w:sz w:val="14"/>
                <w:szCs w:val="14"/>
                <w:color w:val="auto"/>
              </w:rPr>
              <w:t>Bear OpCo, LLC - Delayed Draw</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r>
      <w:tr>
        <w:trPr>
          <w:trHeight w:val="175"/>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Biohaven Pharmaceuticals, Inc. - Delayed Draw</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w:t>
            </w:r>
          </w:p>
        </w:tc>
        <w:tc>
          <w:tcPr>
            <w:tcW w:w="80" w:type="dxa"/>
            <w:vAlign w:val="bottom"/>
            <w:shd w:val="clear" w:color="auto" w:fill="CFF0FC"/>
          </w:tcPr>
          <w:p>
            <w:pPr>
              <w:spacing w:after="0"/>
              <w:rPr>
                <w:sz w:val="15"/>
                <w:szCs w:val="15"/>
                <w:color w:val="auto"/>
              </w:rPr>
            </w:pPr>
          </w:p>
        </w:tc>
      </w:tr>
      <w:tr>
        <w:trPr>
          <w:trHeight w:val="176"/>
        </w:trPr>
        <w:tc>
          <w:tcPr>
            <w:tcW w:w="5400" w:type="dxa"/>
            <w:vAlign w:val="bottom"/>
          </w:tcPr>
          <w:p>
            <w:pPr>
              <w:spacing w:after="0"/>
              <w:rPr>
                <w:sz w:val="20"/>
                <w:szCs w:val="20"/>
                <w:color w:val="auto"/>
              </w:rPr>
            </w:pPr>
            <w:r>
              <w:rPr>
                <w:rFonts w:ascii="Arial" w:cs="Arial" w:eastAsia="Arial" w:hAnsi="Arial"/>
                <w:sz w:val="14"/>
                <w:szCs w:val="14"/>
                <w:color w:val="auto"/>
              </w:rPr>
              <w:t>BlueSnap, Inc. - Delayed Draw &amp; Revolver</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5"/>
                <w:szCs w:val="15"/>
                <w:color w:val="auto"/>
              </w:rPr>
            </w:pPr>
          </w:p>
        </w:tc>
      </w:tr>
      <w:tr>
        <w:trPr>
          <w:trHeight w:val="176"/>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CrunchTime Information Systems, Inc. - Delayed Draw</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r>
      <w:tr>
        <w:trPr>
          <w:trHeight w:val="175"/>
        </w:trPr>
        <w:tc>
          <w:tcPr>
            <w:tcW w:w="5400" w:type="dxa"/>
            <w:vAlign w:val="bottom"/>
          </w:tcPr>
          <w:p>
            <w:pPr>
              <w:spacing w:after="0"/>
              <w:rPr>
                <w:sz w:val="20"/>
                <w:szCs w:val="20"/>
                <w:color w:val="auto"/>
              </w:rPr>
            </w:pPr>
            <w:r>
              <w:rPr>
                <w:rFonts w:ascii="Arial" w:cs="Arial" w:eastAsia="Arial" w:hAnsi="Arial"/>
                <w:sz w:val="14"/>
                <w:szCs w:val="14"/>
                <w:color w:val="auto"/>
              </w:rPr>
              <w:t>Clinicient, Inc. - Revolver</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r>
      <w:tr>
        <w:trPr>
          <w:trHeight w:val="176"/>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DaySmart Holdings, LLC - Delayed Draw</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FF0FC"/>
          </w:tcPr>
          <w:p>
            <w:pPr>
              <w:spacing w:after="0"/>
              <w:rPr>
                <w:sz w:val="15"/>
                <w:szCs w:val="15"/>
                <w:color w:val="auto"/>
              </w:rPr>
            </w:pPr>
          </w:p>
        </w:tc>
      </w:tr>
      <w:tr>
        <w:trPr>
          <w:trHeight w:val="175"/>
        </w:trPr>
        <w:tc>
          <w:tcPr>
            <w:tcW w:w="5400" w:type="dxa"/>
            <w:vAlign w:val="bottom"/>
          </w:tcPr>
          <w:p>
            <w:pPr>
              <w:spacing w:after="0"/>
              <w:rPr>
                <w:sz w:val="20"/>
                <w:szCs w:val="20"/>
                <w:color w:val="auto"/>
              </w:rPr>
            </w:pPr>
            <w:r>
              <w:rPr>
                <w:rFonts w:ascii="Arial" w:cs="Arial" w:eastAsia="Arial" w:hAnsi="Arial"/>
                <w:sz w:val="14"/>
                <w:szCs w:val="14"/>
                <w:color w:val="auto"/>
              </w:rPr>
              <w:t>Destiny Solutions Parent Holding Company - Delayed Draw</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5"/>
                <w:szCs w:val="15"/>
                <w:color w:val="auto"/>
              </w:rPr>
            </w:pPr>
          </w:p>
        </w:tc>
      </w:tr>
      <w:tr>
        <w:trPr>
          <w:trHeight w:val="176"/>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Dye &amp; Durham Corp. - Delayed Draw &amp; Revolver</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80" w:type="dxa"/>
            <w:vAlign w:val="bottom"/>
            <w:shd w:val="clear" w:color="auto" w:fill="CFF0FC"/>
          </w:tcPr>
          <w:p>
            <w:pPr>
              <w:spacing w:after="0"/>
              <w:rPr>
                <w:sz w:val="15"/>
                <w:szCs w:val="15"/>
                <w:color w:val="auto"/>
              </w:rPr>
            </w:pPr>
          </w:p>
        </w:tc>
      </w:tr>
      <w:tr>
        <w:trPr>
          <w:trHeight w:val="176"/>
        </w:trPr>
        <w:tc>
          <w:tcPr>
            <w:tcW w:w="5400" w:type="dxa"/>
            <w:vAlign w:val="bottom"/>
          </w:tcPr>
          <w:p>
            <w:pPr>
              <w:spacing w:after="0"/>
              <w:rPr>
                <w:sz w:val="20"/>
                <w:szCs w:val="20"/>
                <w:color w:val="auto"/>
              </w:rPr>
            </w:pPr>
            <w:r>
              <w:rPr>
                <w:rFonts w:ascii="Arial" w:cs="Arial" w:eastAsia="Arial" w:hAnsi="Arial"/>
                <w:sz w:val="14"/>
                <w:szCs w:val="14"/>
                <w:color w:val="auto"/>
              </w:rPr>
              <w:t>Elysian Finco Ltd. - Delayed Draw &amp; Revolver</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7.9</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r>
      <w:tr>
        <w:trPr>
          <w:trHeight w:val="175"/>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Employment Hero Holdings Pty Ltd. - Delayed Draw &amp; Revolver</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w:t>
            </w:r>
          </w:p>
        </w:tc>
        <w:tc>
          <w:tcPr>
            <w:tcW w:w="80" w:type="dxa"/>
            <w:vAlign w:val="bottom"/>
            <w:shd w:val="clear" w:color="auto" w:fill="CFF0FC"/>
          </w:tcPr>
          <w:p>
            <w:pPr>
              <w:spacing w:after="0"/>
              <w:rPr>
                <w:sz w:val="15"/>
                <w:szCs w:val="15"/>
                <w:color w:val="auto"/>
              </w:rPr>
            </w:pPr>
          </w:p>
        </w:tc>
      </w:tr>
      <w:tr>
        <w:trPr>
          <w:trHeight w:val="176"/>
        </w:trPr>
        <w:tc>
          <w:tcPr>
            <w:tcW w:w="5400" w:type="dxa"/>
            <w:vAlign w:val="bottom"/>
          </w:tcPr>
          <w:p>
            <w:pPr>
              <w:spacing w:after="0"/>
              <w:rPr>
                <w:sz w:val="20"/>
                <w:szCs w:val="20"/>
                <w:color w:val="auto"/>
              </w:rPr>
            </w:pPr>
            <w:r>
              <w:rPr>
                <w:rFonts w:ascii="Arial" w:cs="Arial" w:eastAsia="Arial" w:hAnsi="Arial"/>
                <w:sz w:val="14"/>
                <w:szCs w:val="14"/>
                <w:color w:val="auto"/>
              </w:rPr>
              <w:t>EMS Linq, Inc. - Revolver</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5"/>
                <w:szCs w:val="15"/>
                <w:color w:val="auto"/>
              </w:rPr>
            </w:pPr>
          </w:p>
        </w:tc>
      </w:tr>
      <w:tr>
        <w:trPr>
          <w:trHeight w:val="175"/>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ExtraHop Networks, Inc. - Delayed Draw</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w:t>
            </w:r>
          </w:p>
        </w:tc>
        <w:tc>
          <w:tcPr>
            <w:tcW w:w="80" w:type="dxa"/>
            <w:vAlign w:val="bottom"/>
            <w:shd w:val="clear" w:color="auto" w:fill="CFF0FC"/>
          </w:tcPr>
          <w:p>
            <w:pPr>
              <w:spacing w:after="0"/>
              <w:rPr>
                <w:sz w:val="15"/>
                <w:szCs w:val="15"/>
                <w:color w:val="auto"/>
              </w:rPr>
            </w:pPr>
          </w:p>
        </w:tc>
      </w:tr>
      <w:tr>
        <w:trPr>
          <w:trHeight w:val="176"/>
        </w:trPr>
        <w:tc>
          <w:tcPr>
            <w:tcW w:w="5400" w:type="dxa"/>
            <w:vAlign w:val="bottom"/>
          </w:tcPr>
          <w:p>
            <w:pPr>
              <w:spacing w:after="0"/>
              <w:rPr>
                <w:sz w:val="20"/>
                <w:szCs w:val="20"/>
                <w:color w:val="auto"/>
              </w:rPr>
            </w:pPr>
            <w:r>
              <w:rPr>
                <w:rFonts w:ascii="Arial" w:cs="Arial" w:eastAsia="Arial" w:hAnsi="Arial"/>
                <w:sz w:val="14"/>
                <w:szCs w:val="14"/>
                <w:color w:val="auto"/>
              </w:rPr>
              <w:t>ForeScout Technologies, Inc. - Revolver</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0.2</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5"/>
                <w:szCs w:val="15"/>
                <w:color w:val="auto"/>
              </w:rPr>
            </w:pPr>
          </w:p>
        </w:tc>
      </w:tr>
      <w:tr>
        <w:trPr>
          <w:trHeight w:val="175"/>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G Treasury SS, LLC - Delayed Draw</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80" w:type="dxa"/>
            <w:vAlign w:val="bottom"/>
            <w:shd w:val="clear" w:color="auto" w:fill="CFF0FC"/>
          </w:tcPr>
          <w:p>
            <w:pPr>
              <w:spacing w:after="0"/>
              <w:rPr>
                <w:sz w:val="15"/>
                <w:szCs w:val="15"/>
                <w:color w:val="auto"/>
              </w:rPr>
            </w:pPr>
          </w:p>
        </w:tc>
      </w:tr>
      <w:tr>
        <w:trPr>
          <w:trHeight w:val="176"/>
        </w:trPr>
        <w:tc>
          <w:tcPr>
            <w:tcW w:w="5400" w:type="dxa"/>
            <w:vAlign w:val="bottom"/>
          </w:tcPr>
          <w:p>
            <w:pPr>
              <w:spacing w:after="0"/>
              <w:rPr>
                <w:sz w:val="20"/>
                <w:szCs w:val="20"/>
                <w:color w:val="auto"/>
              </w:rPr>
            </w:pPr>
            <w:r>
              <w:rPr>
                <w:rFonts w:ascii="Arial" w:cs="Arial" w:eastAsia="Arial" w:hAnsi="Arial"/>
                <w:sz w:val="14"/>
                <w:szCs w:val="14"/>
                <w:color w:val="auto"/>
              </w:rPr>
              <w:t>Ibis Intermediate Co. - Delayed Draw</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5"/>
                <w:szCs w:val="15"/>
                <w:color w:val="auto"/>
              </w:rPr>
            </w:pPr>
          </w:p>
        </w:tc>
      </w:tr>
      <w:tr>
        <w:trPr>
          <w:trHeight w:val="175"/>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IntelePeer Holdings, Inc. - Delayed Draw</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FF0FC"/>
          </w:tcPr>
          <w:p>
            <w:pPr>
              <w:spacing w:after="0"/>
              <w:rPr>
                <w:sz w:val="15"/>
                <w:szCs w:val="15"/>
                <w:color w:val="auto"/>
              </w:rPr>
            </w:pPr>
          </w:p>
        </w:tc>
      </w:tr>
      <w:tr>
        <w:trPr>
          <w:trHeight w:val="175"/>
        </w:trPr>
        <w:tc>
          <w:tcPr>
            <w:tcW w:w="5400" w:type="dxa"/>
            <w:vAlign w:val="bottom"/>
          </w:tcPr>
          <w:p>
            <w:pPr>
              <w:spacing w:after="0"/>
              <w:rPr>
                <w:sz w:val="20"/>
                <w:szCs w:val="20"/>
                <w:color w:val="auto"/>
              </w:rPr>
            </w:pPr>
            <w:r>
              <w:rPr>
                <w:rFonts w:ascii="Arial" w:cs="Arial" w:eastAsia="Arial" w:hAnsi="Arial"/>
                <w:sz w:val="14"/>
                <w:szCs w:val="14"/>
                <w:color w:val="auto"/>
              </w:rPr>
              <w:t>IRGSE Holding Corp. - Revolver</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0.2</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5"/>
                <w:szCs w:val="15"/>
                <w:color w:val="auto"/>
              </w:rPr>
            </w:pPr>
          </w:p>
        </w:tc>
      </w:tr>
      <w:tr>
        <w:trPr>
          <w:trHeight w:val="176"/>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Kyriba Corp. - Revolver</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w:t>
            </w:r>
          </w:p>
        </w:tc>
        <w:tc>
          <w:tcPr>
            <w:tcW w:w="80" w:type="dxa"/>
            <w:vAlign w:val="bottom"/>
            <w:shd w:val="clear" w:color="auto" w:fill="CFF0FC"/>
          </w:tcPr>
          <w:p>
            <w:pPr>
              <w:spacing w:after="0"/>
              <w:rPr>
                <w:sz w:val="15"/>
                <w:szCs w:val="15"/>
                <w:color w:val="auto"/>
              </w:rPr>
            </w:pPr>
          </w:p>
        </w:tc>
      </w:tr>
      <w:tr>
        <w:trPr>
          <w:trHeight w:val="175"/>
        </w:trPr>
        <w:tc>
          <w:tcPr>
            <w:tcW w:w="5400" w:type="dxa"/>
            <w:vAlign w:val="bottom"/>
          </w:tcPr>
          <w:p>
            <w:pPr>
              <w:spacing w:after="0"/>
              <w:rPr>
                <w:sz w:val="20"/>
                <w:szCs w:val="20"/>
                <w:color w:val="auto"/>
              </w:rPr>
            </w:pPr>
            <w:r>
              <w:rPr>
                <w:rFonts w:ascii="Arial" w:cs="Arial" w:eastAsia="Arial" w:hAnsi="Arial"/>
                <w:sz w:val="14"/>
                <w:szCs w:val="14"/>
                <w:color w:val="auto"/>
              </w:rPr>
              <w:t>Lithium Technologies, LLC - Revolver</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5"/>
                <w:szCs w:val="15"/>
                <w:color w:val="auto"/>
              </w:rPr>
            </w:pPr>
          </w:p>
        </w:tc>
      </w:tr>
      <w:tr>
        <w:trPr>
          <w:trHeight w:val="175"/>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Lucidworks, Inc. - Delayed Draw &amp; Revolver</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FF0FC"/>
          </w:tcPr>
          <w:p>
            <w:pPr>
              <w:spacing w:after="0"/>
              <w:rPr>
                <w:sz w:val="15"/>
                <w:szCs w:val="15"/>
                <w:color w:val="auto"/>
              </w:rPr>
            </w:pPr>
          </w:p>
        </w:tc>
      </w:tr>
      <w:tr>
        <w:trPr>
          <w:trHeight w:val="175"/>
        </w:trPr>
        <w:tc>
          <w:tcPr>
            <w:tcW w:w="5400" w:type="dxa"/>
            <w:vAlign w:val="bottom"/>
          </w:tcPr>
          <w:p>
            <w:pPr>
              <w:spacing w:after="0"/>
              <w:rPr>
                <w:sz w:val="20"/>
                <w:szCs w:val="20"/>
                <w:color w:val="auto"/>
              </w:rPr>
            </w:pPr>
            <w:r>
              <w:rPr>
                <w:rFonts w:ascii="Arial" w:cs="Arial" w:eastAsia="Arial" w:hAnsi="Arial"/>
                <w:sz w:val="14"/>
                <w:szCs w:val="14"/>
                <w:color w:val="auto"/>
              </w:rPr>
              <w:t>Murchison Oil and Gas, LLC - Delayed Draw</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r>
      <w:tr>
        <w:trPr>
          <w:trHeight w:val="175"/>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Netwrix Corp. - Delayed Draw &amp; Revolver</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FF0FC"/>
          </w:tcPr>
          <w:p>
            <w:pPr>
              <w:spacing w:after="0"/>
              <w:rPr>
                <w:sz w:val="15"/>
                <w:szCs w:val="15"/>
                <w:color w:val="auto"/>
              </w:rPr>
            </w:pPr>
          </w:p>
        </w:tc>
      </w:tr>
      <w:tr>
        <w:trPr>
          <w:trHeight w:val="175"/>
        </w:trPr>
        <w:tc>
          <w:tcPr>
            <w:tcW w:w="5400" w:type="dxa"/>
            <w:vAlign w:val="bottom"/>
          </w:tcPr>
          <w:p>
            <w:pPr>
              <w:spacing w:after="0"/>
              <w:rPr>
                <w:sz w:val="20"/>
                <w:szCs w:val="20"/>
                <w:color w:val="auto"/>
              </w:rPr>
            </w:pPr>
            <w:r>
              <w:rPr>
                <w:rFonts w:ascii="Arial" w:cs="Arial" w:eastAsia="Arial" w:hAnsi="Arial"/>
                <w:sz w:val="14"/>
                <w:szCs w:val="14"/>
                <w:color w:val="auto"/>
              </w:rPr>
              <w:t>Neuintel, LLC - Delayed Draw</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5"/>
                <w:szCs w:val="15"/>
                <w:color w:val="auto"/>
              </w:rPr>
            </w:pPr>
          </w:p>
        </w:tc>
      </w:tr>
      <w:tr>
        <w:trPr>
          <w:trHeight w:val="176"/>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PageUp People, Ltd. - Delayed Draw</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w:t>
            </w:r>
          </w:p>
        </w:tc>
        <w:tc>
          <w:tcPr>
            <w:tcW w:w="80" w:type="dxa"/>
            <w:vAlign w:val="bottom"/>
            <w:shd w:val="clear" w:color="auto" w:fill="CFF0FC"/>
          </w:tcPr>
          <w:p>
            <w:pPr>
              <w:spacing w:after="0"/>
              <w:rPr>
                <w:sz w:val="15"/>
                <w:szCs w:val="15"/>
                <w:color w:val="auto"/>
              </w:rPr>
            </w:pPr>
          </w:p>
        </w:tc>
      </w:tr>
      <w:tr>
        <w:trPr>
          <w:trHeight w:val="175"/>
        </w:trPr>
        <w:tc>
          <w:tcPr>
            <w:tcW w:w="5400" w:type="dxa"/>
            <w:vAlign w:val="bottom"/>
          </w:tcPr>
          <w:p>
            <w:pPr>
              <w:spacing w:after="0"/>
              <w:rPr>
                <w:sz w:val="20"/>
                <w:szCs w:val="20"/>
                <w:color w:val="auto"/>
              </w:rPr>
            </w:pPr>
            <w:r>
              <w:rPr>
                <w:rFonts w:ascii="Arial" w:cs="Arial" w:eastAsia="Arial" w:hAnsi="Arial"/>
                <w:sz w:val="14"/>
                <w:szCs w:val="14"/>
                <w:color w:val="auto"/>
              </w:rPr>
              <w:t>Passport Labs, Inc. - Delayed Draw &amp; Revolver</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5.6</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5"/>
                <w:szCs w:val="15"/>
                <w:color w:val="auto"/>
              </w:rPr>
            </w:pPr>
          </w:p>
        </w:tc>
      </w:tr>
      <w:tr>
        <w:trPr>
          <w:trHeight w:val="175"/>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Piano Software, Inc. - Delayed Draw</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r>
      <w:tr>
        <w:trPr>
          <w:trHeight w:val="175"/>
        </w:trPr>
        <w:tc>
          <w:tcPr>
            <w:tcW w:w="5400" w:type="dxa"/>
            <w:vAlign w:val="bottom"/>
          </w:tcPr>
          <w:p>
            <w:pPr>
              <w:spacing w:after="0"/>
              <w:rPr>
                <w:sz w:val="20"/>
                <w:szCs w:val="20"/>
                <w:color w:val="auto"/>
              </w:rPr>
            </w:pPr>
            <w:r>
              <w:rPr>
                <w:rFonts w:ascii="Arial" w:cs="Arial" w:eastAsia="Arial" w:hAnsi="Arial"/>
                <w:sz w:val="14"/>
                <w:szCs w:val="14"/>
                <w:color w:val="auto"/>
              </w:rPr>
              <w:t>PrimePay Intermediate, LLC - Delayed Draw</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5"/>
                <w:szCs w:val="15"/>
                <w:color w:val="auto"/>
              </w:rPr>
            </w:pPr>
          </w:p>
        </w:tc>
      </w:tr>
      <w:tr>
        <w:trPr>
          <w:trHeight w:val="175"/>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PrimeRevenue, Inc. - Delayed Draw &amp; Revolver</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w:t>
            </w:r>
          </w:p>
        </w:tc>
        <w:tc>
          <w:tcPr>
            <w:tcW w:w="80" w:type="dxa"/>
            <w:vAlign w:val="bottom"/>
            <w:shd w:val="clear" w:color="auto" w:fill="CFF0FC"/>
          </w:tcPr>
          <w:p>
            <w:pPr>
              <w:spacing w:after="0"/>
              <w:rPr>
                <w:sz w:val="15"/>
                <w:szCs w:val="15"/>
                <w:color w:val="auto"/>
              </w:rPr>
            </w:pPr>
          </w:p>
        </w:tc>
      </w:tr>
      <w:tr>
        <w:trPr>
          <w:trHeight w:val="175"/>
        </w:trPr>
        <w:tc>
          <w:tcPr>
            <w:tcW w:w="5400" w:type="dxa"/>
            <w:vAlign w:val="bottom"/>
          </w:tcPr>
          <w:p>
            <w:pPr>
              <w:spacing w:after="0"/>
              <w:rPr>
                <w:sz w:val="20"/>
                <w:szCs w:val="20"/>
                <w:color w:val="auto"/>
              </w:rPr>
            </w:pPr>
            <w:r>
              <w:rPr>
                <w:rFonts w:ascii="Arial" w:cs="Arial" w:eastAsia="Arial" w:hAnsi="Arial"/>
                <w:sz w:val="14"/>
                <w:szCs w:val="14"/>
                <w:color w:val="auto"/>
              </w:rPr>
              <w:t>Project44, Inc. - Delayed Draw</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19.9</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19.9</w:t>
            </w:r>
          </w:p>
        </w:tc>
        <w:tc>
          <w:tcPr>
            <w:tcW w:w="80" w:type="dxa"/>
            <w:vAlign w:val="bottom"/>
          </w:tcPr>
          <w:p>
            <w:pPr>
              <w:spacing w:after="0"/>
              <w:rPr>
                <w:sz w:val="15"/>
                <w:szCs w:val="15"/>
                <w:color w:val="auto"/>
              </w:rPr>
            </w:pPr>
          </w:p>
        </w:tc>
      </w:tr>
      <w:tr>
        <w:trPr>
          <w:trHeight w:val="176"/>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ReliaQuest Holdings, LLC - Delayed Draw &amp; Revolver</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w:t>
            </w:r>
          </w:p>
        </w:tc>
        <w:tc>
          <w:tcPr>
            <w:tcW w:w="80" w:type="dxa"/>
            <w:vAlign w:val="bottom"/>
            <w:shd w:val="clear" w:color="auto" w:fill="CFF0FC"/>
          </w:tcPr>
          <w:p>
            <w:pPr>
              <w:spacing w:after="0"/>
              <w:rPr>
                <w:sz w:val="15"/>
                <w:szCs w:val="15"/>
                <w:color w:val="auto"/>
              </w:rPr>
            </w:pPr>
          </w:p>
        </w:tc>
      </w:tr>
      <w:tr>
        <w:trPr>
          <w:trHeight w:val="175"/>
        </w:trPr>
        <w:tc>
          <w:tcPr>
            <w:tcW w:w="5400" w:type="dxa"/>
            <w:vAlign w:val="bottom"/>
          </w:tcPr>
          <w:p>
            <w:pPr>
              <w:spacing w:after="0"/>
              <w:rPr>
                <w:sz w:val="20"/>
                <w:szCs w:val="20"/>
                <w:color w:val="auto"/>
              </w:rPr>
            </w:pPr>
            <w:r>
              <w:rPr>
                <w:rFonts w:ascii="Arial" w:cs="Arial" w:eastAsia="Arial" w:hAnsi="Arial"/>
                <w:sz w:val="14"/>
                <w:szCs w:val="14"/>
                <w:color w:val="auto"/>
              </w:rPr>
              <w:t>Tango Management Consulting, LLC - Delayed Draw &amp; Revolver</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29.0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38.8</w:t>
            </w:r>
          </w:p>
        </w:tc>
        <w:tc>
          <w:tcPr>
            <w:tcW w:w="80" w:type="dxa"/>
            <w:vAlign w:val="bottom"/>
          </w:tcPr>
          <w:p>
            <w:pPr>
              <w:spacing w:after="0"/>
              <w:rPr>
                <w:sz w:val="15"/>
                <w:szCs w:val="15"/>
                <w:color w:val="auto"/>
              </w:rPr>
            </w:pPr>
          </w:p>
        </w:tc>
      </w:tr>
      <w:tr>
        <w:trPr>
          <w:trHeight w:val="175"/>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TRP Assets, LLC - Delayed Draw</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80" w:type="dxa"/>
            <w:vAlign w:val="bottom"/>
            <w:shd w:val="clear" w:color="auto" w:fill="CFF0FC"/>
          </w:tcPr>
          <w:p>
            <w:pPr>
              <w:spacing w:after="0"/>
              <w:rPr>
                <w:sz w:val="15"/>
                <w:szCs w:val="15"/>
                <w:color w:val="auto"/>
              </w:rPr>
            </w:pPr>
          </w:p>
        </w:tc>
      </w:tr>
      <w:tr>
        <w:trPr>
          <w:trHeight w:val="175"/>
        </w:trPr>
        <w:tc>
          <w:tcPr>
            <w:tcW w:w="5400" w:type="dxa"/>
            <w:vAlign w:val="bottom"/>
          </w:tcPr>
          <w:p>
            <w:pPr>
              <w:spacing w:after="0"/>
              <w:rPr>
                <w:sz w:val="20"/>
                <w:szCs w:val="20"/>
                <w:color w:val="auto"/>
              </w:rPr>
            </w:pPr>
            <w:r>
              <w:rPr>
                <w:rFonts w:ascii="Arial" w:cs="Arial" w:eastAsia="Arial" w:hAnsi="Arial"/>
                <w:sz w:val="14"/>
                <w:szCs w:val="14"/>
                <w:color w:val="auto"/>
              </w:rPr>
              <w:t>Verdad Resources Intermediate Holdings, LLC - Delayed Draw</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5"/>
                <w:szCs w:val="15"/>
                <w:color w:val="auto"/>
              </w:rPr>
            </w:pPr>
          </w:p>
        </w:tc>
      </w:tr>
      <w:tr>
        <w:trPr>
          <w:trHeight w:val="175"/>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WideOrbit, Inc. - Revolver</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FF0FC"/>
          </w:tcPr>
          <w:p>
            <w:pPr>
              <w:spacing w:after="0"/>
              <w:rPr>
                <w:sz w:val="15"/>
                <w:szCs w:val="15"/>
                <w:color w:val="auto"/>
              </w:rPr>
            </w:pPr>
          </w:p>
        </w:tc>
      </w:tr>
      <w:tr>
        <w:trPr>
          <w:trHeight w:val="175"/>
        </w:trPr>
        <w:tc>
          <w:tcPr>
            <w:tcW w:w="5400" w:type="dxa"/>
            <w:vAlign w:val="bottom"/>
          </w:tcPr>
          <w:p>
            <w:pPr>
              <w:spacing w:after="0"/>
              <w:rPr>
                <w:sz w:val="20"/>
                <w:szCs w:val="20"/>
                <w:color w:val="auto"/>
              </w:rPr>
            </w:pPr>
            <w:r>
              <w:rPr>
                <w:rFonts w:ascii="Arial" w:cs="Arial" w:eastAsia="Arial" w:hAnsi="Arial"/>
                <w:sz w:val="14"/>
                <w:szCs w:val="14"/>
                <w:color w:val="auto"/>
              </w:rPr>
              <w:t>Workwell Acquisition Co. - Delayed Draw</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5"/>
                <w:szCs w:val="15"/>
                <w:color w:val="auto"/>
              </w:rPr>
            </w:pPr>
          </w:p>
        </w:tc>
      </w:tr>
      <w:tr>
        <w:trPr>
          <w:trHeight w:val="209"/>
        </w:trPr>
        <w:tc>
          <w:tcPr>
            <w:tcW w:w="5400" w:type="dxa"/>
            <w:vAlign w:val="bottom"/>
            <w:tcBorders>
              <w:bottom w:val="single" w:sz="8" w:color="CFF0FC"/>
            </w:tcBorders>
            <w:shd w:val="clear" w:color="auto" w:fill="CFF0FC"/>
          </w:tcPr>
          <w:p>
            <w:pPr>
              <w:ind w:left="180"/>
              <w:spacing w:after="0" w:line="156" w:lineRule="exact"/>
              <w:rPr>
                <w:sz w:val="20"/>
                <w:szCs w:val="20"/>
                <w:color w:val="auto"/>
              </w:rPr>
            </w:pPr>
            <w:r>
              <w:rPr>
                <w:rFonts w:ascii="Arial" w:cs="Arial" w:eastAsia="Arial" w:hAnsi="Arial"/>
                <w:sz w:val="14"/>
                <w:szCs w:val="14"/>
                <w:b w:val="1"/>
                <w:bCs w:val="1"/>
                <w:color w:val="auto"/>
              </w:rPr>
              <w:t xml:space="preserve">Total Portfolio Company Commitments </w:t>
            </w:r>
            <w:r>
              <w:rPr>
                <w:rFonts w:ascii="Arial" w:cs="Arial" w:eastAsia="Arial" w:hAnsi="Arial"/>
                <w:sz w:val="18"/>
                <w:szCs w:val="18"/>
                <w:b w:val="1"/>
                <w:bCs w:val="1"/>
                <w:color w:val="auto"/>
                <w:vertAlign w:val="superscript"/>
              </w:rPr>
              <w:t>(1)(2)</w:t>
            </w: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320.9</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332.1</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-24765</wp:posOffset>
            </wp:positionV>
            <wp:extent cx="6032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032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jc w:val="both"/>
        <w:ind w:left="520" w:right="260" w:hanging="512"/>
        <w:spacing w:after="0" w:line="235"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ind w:left="520" w:right="660" w:hanging="512"/>
        <w:spacing w:after="0" w:line="245"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estimate of the fair value of the current investments in these portfolio companies includes an analysis of the fair value of any unfunded commitments.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04" w:lineRule="exact"/>
        <w:rPr>
          <w:sz w:val="20"/>
          <w:szCs w:val="20"/>
          <w:color w:val="auto"/>
        </w:rPr>
      </w:pPr>
    </w:p>
    <w:p>
      <w:pPr>
        <w:ind w:right="340" w:firstLine="255"/>
        <w:spacing w:after="0" w:line="261" w:lineRule="auto"/>
        <w:rPr>
          <w:sz w:val="20"/>
          <w:szCs w:val="20"/>
          <w:color w:val="auto"/>
        </w:rPr>
      </w:pPr>
      <w:r>
        <w:rPr>
          <w:rFonts w:ascii="Arial" w:cs="Arial" w:eastAsia="Arial" w:hAnsi="Arial"/>
          <w:sz w:val="18"/>
          <w:szCs w:val="18"/>
          <w:color w:val="auto"/>
        </w:rPr>
        <w:t>As of June 30, 2022 and December 31, 2021, we did not have any unfunded commitments to fund new investments to new borrowers that were not current portfolio companies as of such date.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9" w:right="379" w:bottom="1440" w:gutter="0" w:footer="0" w:header="0"/>
        </w:sectPr>
      </w:pPr>
    </w:p>
    <w:bookmarkStart w:id="67" w:name="page68"/>
    <w:bookmarkEnd w:id="67"/>
    <w:p>
      <w:pPr>
        <w:ind w:right="20" w:firstLine="255"/>
        <w:spacing w:after="0" w:line="261"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1" w:lineRule="exact"/>
        <w:rPr>
          <w:sz w:val="20"/>
          <w:szCs w:val="20"/>
          <w:color w:val="auto"/>
        </w:rPr>
      </w:pPr>
    </w:p>
    <w:p>
      <w:pPr>
        <w:ind w:right="40" w:firstLine="255"/>
        <w:spacing w:after="0" w:line="253"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June 30, 2022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Payments Due by Period</w:t>
            </w: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116"/>
              <w:spacing w:after="0" w:line="160" w:lineRule="exact"/>
              <w:rPr>
                <w:sz w:val="20"/>
                <w:szCs w:val="20"/>
                <w:color w:val="auto"/>
              </w:rPr>
            </w:pPr>
            <w:r>
              <w:rPr>
                <w:rFonts w:ascii="Arial" w:cs="Arial" w:eastAsia="Arial" w:hAnsi="Arial"/>
                <w:sz w:val="14"/>
                <w:szCs w:val="14"/>
                <w:b w:val="1"/>
                <w:bCs w:val="1"/>
                <w:color w:val="auto"/>
                <w:w w:val="91"/>
              </w:rPr>
              <w:t>Less than</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522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1-3 years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3-5 years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After 5 years</w:t>
            </w:r>
          </w:p>
        </w:tc>
        <w:tc>
          <w:tcPr>
            <w:tcW w:w="100" w:type="dxa"/>
            <w:vAlign w:val="bottom"/>
          </w:tcPr>
          <w:p>
            <w:pPr>
              <w:spacing w:after="0"/>
              <w:rPr>
                <w:sz w:val="16"/>
                <w:szCs w:val="16"/>
                <w:color w:val="auto"/>
              </w:rPr>
            </w:pPr>
          </w:p>
        </w:tc>
      </w:tr>
      <w:tr>
        <w:trPr>
          <w:trHeight w:val="196"/>
        </w:trPr>
        <w:tc>
          <w:tcPr>
            <w:tcW w:w="5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Revolving Credit Facility</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421.7</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421.7</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ind w:left="74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r>
      <w:tr>
        <w:trPr>
          <w:trHeight w:val="203"/>
        </w:trPr>
        <w:tc>
          <w:tcPr>
            <w:tcW w:w="5220" w:type="dxa"/>
            <w:vAlign w:val="bottom"/>
          </w:tcPr>
          <w:p>
            <w:pPr>
              <w:ind w:left="20"/>
              <w:spacing w:after="0" w:line="202" w:lineRule="exact"/>
              <w:rPr>
                <w:sz w:val="20"/>
                <w:szCs w:val="20"/>
                <w:color w:val="auto"/>
              </w:rPr>
            </w:pPr>
            <w:r>
              <w:rPr>
                <w:rFonts w:ascii="Arial" w:cs="Arial" w:eastAsia="Arial" w:hAnsi="Arial"/>
                <w:sz w:val="18"/>
                <w:szCs w:val="18"/>
                <w:color w:val="auto"/>
              </w:rPr>
              <w:t>2022 Convertible Notes</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ind w:left="74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r>
      <w:tr>
        <w:trPr>
          <w:trHeight w:val="203"/>
        </w:trPr>
        <w:tc>
          <w:tcPr>
            <w:tcW w:w="5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2023 Notes</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r>
      <w:tr>
        <w:trPr>
          <w:trHeight w:val="203"/>
        </w:trPr>
        <w:tc>
          <w:tcPr>
            <w:tcW w:w="5220" w:type="dxa"/>
            <w:vAlign w:val="bottom"/>
          </w:tcPr>
          <w:p>
            <w:pPr>
              <w:ind w:left="20"/>
              <w:spacing w:after="0" w:line="202" w:lineRule="exact"/>
              <w:rPr>
                <w:sz w:val="20"/>
                <w:szCs w:val="20"/>
                <w:color w:val="auto"/>
              </w:rPr>
            </w:pPr>
            <w:r>
              <w:rPr>
                <w:rFonts w:ascii="Arial" w:cs="Arial" w:eastAsia="Arial" w:hAnsi="Arial"/>
                <w:sz w:val="18"/>
                <w:szCs w:val="18"/>
                <w:color w:val="auto"/>
              </w:rPr>
              <w:t>2024 Notes</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347.5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347.5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ind w:left="74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r>
      <w:tr>
        <w:trPr>
          <w:trHeight w:val="203"/>
        </w:trPr>
        <w:tc>
          <w:tcPr>
            <w:tcW w:w="52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2026 Notes</w:t>
            </w:r>
          </w:p>
        </w:tc>
        <w:tc>
          <w:tcPr>
            <w:tcW w:w="2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300.0</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300.0</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ind w:left="74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22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Total Contractual Obligations</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1,319.2</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250.0</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347.5</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721.7</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ind w:left="74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-159385</wp:posOffset>
            </wp:positionV>
            <wp:extent cx="76835" cy="571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-159385</wp:posOffset>
            </wp:positionV>
            <wp:extent cx="77470" cy="571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-159385</wp:posOffset>
            </wp:positionV>
            <wp:extent cx="68580" cy="571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-159385</wp:posOffset>
            </wp:positionV>
            <wp:extent cx="68580" cy="571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jc w:val="both"/>
        <w:ind w:right="100" w:firstLine="255"/>
        <w:spacing w:after="0" w:line="261"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04" w:lineRule="exact"/>
        <w:rPr>
          <w:sz w:val="20"/>
          <w:szCs w:val="20"/>
          <w:color w:val="auto"/>
        </w:rPr>
      </w:pPr>
    </w:p>
    <w:p>
      <w:pPr>
        <w:ind w:right="80" w:firstLine="255"/>
        <w:spacing w:after="0" w:line="324"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20" w:right="240" w:hanging="257"/>
        <w:spacing w:after="0" w:line="291"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38" w:lineRule="exact"/>
        <w:rPr>
          <w:rFonts w:ascii="Arial" w:cs="Arial" w:eastAsia="Arial" w:hAnsi="Arial"/>
          <w:sz w:val="17"/>
          <w:szCs w:val="17"/>
          <w:color w:val="auto"/>
        </w:rPr>
      </w:pPr>
    </w:p>
    <w:p>
      <w:pPr>
        <w:ind w:left="520" w:right="300" w:hanging="257"/>
        <w:spacing w:after="0" w:line="261"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tax-exempt interest income over certain disallowed deductions) for such taxable year.</w:t>
      </w:r>
    </w:p>
    <w:p>
      <w:pPr>
        <w:spacing w:after="0" w:line="171" w:lineRule="exact"/>
        <w:rPr>
          <w:sz w:val="20"/>
          <w:szCs w:val="20"/>
          <w:color w:val="auto"/>
        </w:rPr>
      </w:pPr>
    </w:p>
    <w:p>
      <w:pPr>
        <w:ind w:right="80" w:firstLine="255"/>
        <w:spacing w:after="0" w:line="261"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1" w:lineRule="exact"/>
        <w:rPr>
          <w:sz w:val="20"/>
          <w:szCs w:val="20"/>
          <w:color w:val="auto"/>
        </w:rPr>
      </w:pPr>
    </w:p>
    <w:p>
      <w:pPr>
        <w:jc w:val="both"/>
        <w:ind w:right="260" w:firstLine="255"/>
        <w:spacing w:after="0" w:line="248"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2" w:lineRule="exact"/>
        <w:rPr>
          <w:sz w:val="20"/>
          <w:szCs w:val="20"/>
          <w:color w:val="auto"/>
        </w:rPr>
      </w:pPr>
    </w:p>
    <w:p>
      <w:pPr>
        <w:ind w:right="160" w:firstLine="255"/>
        <w:spacing w:after="0" w:line="248" w:lineRule="auto"/>
        <w:rPr>
          <w:sz w:val="20"/>
          <w:szCs w:val="20"/>
          <w:color w:val="auto"/>
        </w:rPr>
      </w:pPr>
      <w:r>
        <w:rPr>
          <w:rFonts w:ascii="Arial" w:cs="Arial" w:eastAsia="Arial" w:hAnsi="Arial"/>
          <w:sz w:val="18"/>
          <w:szCs w:val="18"/>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74" w:lineRule="exact"/>
        <w:rPr>
          <w:sz w:val="20"/>
          <w:szCs w:val="20"/>
          <w:color w:val="auto"/>
        </w:rPr>
      </w:pPr>
    </w:p>
    <w:p>
      <w:pPr>
        <w:ind w:left="5540" w:right="3760" w:hanging="5277"/>
        <w:spacing w:after="0" w:line="512" w:lineRule="auto"/>
        <w:tabs>
          <w:tab w:leader="none" w:pos="5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8" w:name="page69"/>
    <w:bookmarkEnd w:id="68"/>
    <w:p>
      <w:pPr>
        <w:ind w:left="520" w:right="160" w:hanging="257"/>
        <w:spacing w:after="0" w:line="261"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20" w:hanging="257"/>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12" w:lineRule="exact"/>
        <w:rPr>
          <w:sz w:val="20"/>
          <w:szCs w:val="20"/>
          <w:color w:val="auto"/>
        </w:rPr>
      </w:pPr>
    </w:p>
    <w:p>
      <w:pPr>
        <w:ind w:right="60" w:firstLine="255"/>
        <w:spacing w:after="0" w:line="248"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2" w:lineRule="exact"/>
        <w:rPr>
          <w:sz w:val="20"/>
          <w:szCs w:val="20"/>
          <w:color w:val="auto"/>
        </w:rPr>
      </w:pPr>
    </w:p>
    <w:p>
      <w:pPr>
        <w:ind w:firstLine="255"/>
        <w:spacing w:after="0" w:line="248"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2" w:lineRule="exact"/>
        <w:rPr>
          <w:sz w:val="20"/>
          <w:szCs w:val="20"/>
          <w:color w:val="auto"/>
        </w:rPr>
      </w:pPr>
    </w:p>
    <w:p>
      <w:pPr>
        <w:ind w:right="60" w:firstLine="255"/>
        <w:spacing w:after="0" w:line="243"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8" w:lineRule="exact"/>
        <w:rPr>
          <w:sz w:val="20"/>
          <w:szCs w:val="20"/>
          <w:color w:val="auto"/>
        </w:rPr>
      </w:pPr>
    </w:p>
    <w:p>
      <w:pPr>
        <w:ind w:right="60" w:firstLine="255"/>
        <w:spacing w:after="0" w:line="262"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04" w:lineRule="exact"/>
        <w:rPr>
          <w:sz w:val="20"/>
          <w:szCs w:val="20"/>
          <w:color w:val="auto"/>
        </w:rPr>
      </w:pPr>
    </w:p>
    <w:p>
      <w:pPr>
        <w:ind w:left="520" w:hanging="257"/>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03" w:lineRule="exact"/>
        <w:rPr>
          <w:rFonts w:ascii="Arial" w:cs="Arial" w:eastAsia="Arial" w:hAnsi="Arial"/>
          <w:sz w:val="18"/>
          <w:szCs w:val="18"/>
          <w:color w:val="auto"/>
        </w:rPr>
      </w:pPr>
    </w:p>
    <w:p>
      <w:pPr>
        <w:ind w:left="520" w:right="240" w:hanging="257"/>
        <w:spacing w:after="0" w:line="261"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ongoing agreement with an affiliate of TPG Global, LLC governing, inter alia, the parties’ respective ownership of and rights to use the “Sixth Street” and “TPG” trademarks and certain variations thereof.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08" w:lineRule="exact"/>
        <w:rPr>
          <w:sz w:val="20"/>
          <w:szCs w:val="20"/>
          <w:color w:val="auto"/>
        </w:rPr>
      </w:pPr>
    </w:p>
    <w:p>
      <w:pPr>
        <w:ind w:right="120" w:firstLine="255"/>
        <w:spacing w:after="0" w:line="241" w:lineRule="auto"/>
        <w:rPr>
          <w:sz w:val="20"/>
          <w:szCs w:val="20"/>
          <w:color w:val="auto"/>
        </w:rPr>
      </w:pPr>
      <w:r>
        <w:rPr>
          <w:rFonts w:ascii="Arial" w:cs="Arial" w:eastAsia="Arial" w:hAnsi="Arial"/>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2021, filed with the SEC on February 17, 2022, and elsewhere in our filings with the SEC.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04" w:lineRule="exact"/>
        <w:rPr>
          <w:sz w:val="20"/>
          <w:szCs w:val="20"/>
          <w:color w:val="auto"/>
        </w:rPr>
      </w:pPr>
    </w:p>
    <w:p>
      <w:pPr>
        <w:ind w:right="80" w:firstLine="255"/>
        <w:spacing w:after="0"/>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right="760" w:firstLine="255"/>
        <w:spacing w:after="0" w:line="261" w:lineRule="auto"/>
        <w:rPr>
          <w:sz w:val="20"/>
          <w:szCs w:val="20"/>
          <w:color w:val="auto"/>
        </w:rPr>
      </w:pPr>
      <w:r>
        <w:rPr>
          <w:rFonts w:ascii="Arial" w:cs="Arial" w:eastAsia="Arial" w:hAnsi="Arial"/>
          <w:sz w:val="18"/>
          <w:szCs w:val="18"/>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9" w:name="page70"/>
    <w:bookmarkEnd w:id="69"/>
    <w:p>
      <w:pPr>
        <w:ind w:right="20"/>
        <w:spacing w:after="0" w:line="261" w:lineRule="auto"/>
        <w:rPr>
          <w:sz w:val="20"/>
          <w:szCs w:val="20"/>
          <w:color w:val="auto"/>
        </w:rPr>
      </w:pPr>
      <w:r>
        <w:rPr>
          <w:rFonts w:ascii="Arial" w:cs="Arial" w:eastAsia="Arial" w:hAnsi="Arial"/>
          <w:sz w:val="18"/>
          <w:szCs w:val="18"/>
          <w:color w:val="auto"/>
        </w:rPr>
        <w:t>invest and the rate at which we borrow. Accordingly, we cannot assure you that a significant change in market interest rates will not have a material adverse effect on our net investment income.</w:t>
      </w:r>
    </w:p>
    <w:p>
      <w:pPr>
        <w:spacing w:after="0" w:line="171" w:lineRule="exact"/>
        <w:rPr>
          <w:sz w:val="20"/>
          <w:szCs w:val="20"/>
          <w:color w:val="auto"/>
        </w:rPr>
      </w:pPr>
    </w:p>
    <w:p>
      <w:pPr>
        <w:ind w:right="540" w:firstLine="255"/>
        <w:spacing w:after="0" w:line="248"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2" w:lineRule="exact"/>
        <w:rPr>
          <w:sz w:val="20"/>
          <w:szCs w:val="20"/>
          <w:color w:val="auto"/>
        </w:rPr>
      </w:pPr>
    </w:p>
    <w:p>
      <w:pPr>
        <w:ind w:right="80" w:firstLine="255"/>
        <w:spacing w:after="0" w:line="243" w:lineRule="auto"/>
        <w:rPr>
          <w:sz w:val="20"/>
          <w:szCs w:val="20"/>
          <w:color w:val="auto"/>
        </w:rPr>
      </w:pPr>
      <w:r>
        <w:rPr>
          <w:rFonts w:ascii="Arial" w:cs="Arial" w:eastAsia="Arial" w:hAnsi="Arial"/>
          <w:sz w:val="18"/>
          <w:szCs w:val="18"/>
          <w:color w:val="auto"/>
        </w:rPr>
        <w:t>As of June 30, 2022, 99.2% of our debt investments based on fair value in our portfolio bore interest at floating rates, with 100.0% of these subject to interest rate floors. Our credit facilities also bear interest at floating rates, and in connection with our 2022 Convertible Notes, 2023 Notes, 2024 Notes and 2026 Notes, which bear interest at fixed rates, we entered into fixed-to-floating interest rate swaps in order to align the interest rates of our liabilities with our investment portfolio.</w:t>
      </w:r>
    </w:p>
    <w:p>
      <w:pPr>
        <w:spacing w:after="0" w:line="188" w:lineRule="exact"/>
        <w:rPr>
          <w:sz w:val="20"/>
          <w:szCs w:val="20"/>
          <w:color w:val="auto"/>
        </w:rPr>
      </w:pPr>
    </w:p>
    <w:p>
      <w:pPr>
        <w:jc w:val="both"/>
        <w:ind w:right="120" w:firstLine="255"/>
        <w:spacing w:after="0" w:line="248" w:lineRule="auto"/>
        <w:rPr>
          <w:sz w:val="20"/>
          <w:szCs w:val="20"/>
          <w:color w:val="auto"/>
        </w:rPr>
      </w:pPr>
      <w:r>
        <w:rPr>
          <w:rFonts w:ascii="Arial" w:cs="Arial" w:eastAsia="Arial" w:hAnsi="Arial"/>
          <w:sz w:val="18"/>
          <w:szCs w:val="18"/>
          <w:color w:val="auto"/>
        </w:rPr>
        <w:t>Assuming that our consolidated balance sheet as of June 30, 2022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3980" w:type="dxa"/>
            <w:vAlign w:val="bottom"/>
          </w:tcPr>
          <w:p>
            <w:pPr>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3980" w:type="dxa"/>
            <w:vAlign w:val="bottom"/>
          </w:tcPr>
          <w:p>
            <w:pPr>
              <w:spacing w:after="0"/>
              <w:rPr>
                <w:sz w:val="20"/>
                <w:szCs w:val="20"/>
                <w:color w:val="auto"/>
              </w:rPr>
            </w:pPr>
            <w:r>
              <w:rPr>
                <w:rFonts w:ascii="Arial" w:cs="Arial" w:eastAsia="Arial" w:hAnsi="Arial"/>
                <w:sz w:val="14"/>
                <w:szCs w:val="14"/>
                <w:b w:val="1"/>
                <w:bCs w:val="1"/>
                <w:color w:val="auto"/>
              </w:rPr>
              <w:t>Basis Point Change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Interest Income</w:t>
            </w:r>
          </w:p>
        </w:tc>
        <w:tc>
          <w:tcPr>
            <w:tcW w:w="10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Interest Expense</w:t>
            </w:r>
          </w:p>
        </w:tc>
        <w:tc>
          <w:tcPr>
            <w:tcW w:w="220" w:type="dxa"/>
            <w:vAlign w:val="bottom"/>
          </w:tcPr>
          <w:p>
            <w:pPr>
              <w:spacing w:after="0"/>
              <w:rPr>
                <w:sz w:val="16"/>
                <w:szCs w:val="16"/>
                <w:color w:val="auto"/>
              </w:rPr>
            </w:pPr>
          </w:p>
        </w:tc>
        <w:tc>
          <w:tcPr>
            <w:tcW w:w="1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Net Interest Income</w:t>
            </w:r>
          </w:p>
        </w:tc>
      </w:tr>
      <w:tr>
        <w:trPr>
          <w:trHeight w:val="196"/>
        </w:trPr>
        <w:tc>
          <w:tcPr>
            <w:tcW w:w="398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Up 300 basis points</w:t>
            </w: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72.0</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39.6</w:t>
            </w:r>
          </w:p>
        </w:tc>
        <w:tc>
          <w:tcPr>
            <w:tcW w:w="1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32.4</w:t>
            </w:r>
          </w:p>
        </w:tc>
        <w:tc>
          <w:tcPr>
            <w:tcW w:w="80" w:type="dxa"/>
            <w:vAlign w:val="bottom"/>
            <w:shd w:val="clear" w:color="auto" w:fill="CFF0FC"/>
          </w:tcPr>
          <w:p>
            <w:pPr>
              <w:spacing w:after="0"/>
              <w:rPr>
                <w:sz w:val="17"/>
                <w:szCs w:val="17"/>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Up 200 basis points</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48.0</w:t>
            </w:r>
          </w:p>
        </w:tc>
        <w:tc>
          <w:tcPr>
            <w:tcW w:w="2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c>
          <w:tcPr>
            <w:tcW w:w="18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21.6</w:t>
            </w:r>
          </w:p>
        </w:tc>
        <w:tc>
          <w:tcPr>
            <w:tcW w:w="80" w:type="dxa"/>
            <w:vAlign w:val="bottom"/>
          </w:tcPr>
          <w:p>
            <w:pPr>
              <w:spacing w:after="0"/>
              <w:rPr>
                <w:sz w:val="17"/>
                <w:szCs w:val="17"/>
                <w:color w:val="auto"/>
              </w:rPr>
            </w:pPr>
          </w:p>
        </w:tc>
      </w:tr>
      <w:tr>
        <w:trPr>
          <w:trHeight w:val="203"/>
        </w:trPr>
        <w:tc>
          <w:tcPr>
            <w:tcW w:w="3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Up 100 basis points</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w:t>
            </w:r>
          </w:p>
        </w:tc>
        <w:tc>
          <w:tcPr>
            <w:tcW w:w="80" w:type="dxa"/>
            <w:vAlign w:val="bottom"/>
            <w:shd w:val="clear" w:color="auto" w:fill="CFF0FC"/>
          </w:tcPr>
          <w:p>
            <w:pPr>
              <w:spacing w:after="0"/>
              <w:rPr>
                <w:sz w:val="17"/>
                <w:szCs w:val="17"/>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Down 25 basis points</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(5.9 )</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(3.3 )</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(2.6 )</w:t>
            </w:r>
          </w:p>
        </w:tc>
      </w:tr>
      <w:tr>
        <w:trPr>
          <w:trHeight w:val="203"/>
        </w:trPr>
        <w:tc>
          <w:tcPr>
            <w:tcW w:w="3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Down 50 basis points</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(11.8 )</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(6.6 )</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(5.2 )</w:t>
            </w:r>
          </w:p>
        </w:tc>
      </w:tr>
    </w:tbl>
    <w:p>
      <w:pPr>
        <w:spacing w:after="0" w:line="229" w:lineRule="exact"/>
        <w:rPr>
          <w:sz w:val="20"/>
          <w:szCs w:val="20"/>
          <w:color w:val="auto"/>
        </w:rPr>
      </w:pPr>
    </w:p>
    <w:p>
      <w:pPr>
        <w:ind w:right="40" w:firstLine="255"/>
        <w:spacing w:after="0" w:line="248"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2" w:lineRule="exact"/>
        <w:rPr>
          <w:sz w:val="20"/>
          <w:szCs w:val="20"/>
          <w:color w:val="auto"/>
        </w:rPr>
      </w:pPr>
    </w:p>
    <w:p>
      <w:pPr>
        <w:ind w:right="260" w:firstLine="255"/>
        <w:spacing w:after="0" w:line="243"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04" w:lineRule="exact"/>
        <w:rPr>
          <w:sz w:val="20"/>
          <w:szCs w:val="20"/>
          <w:color w:val="auto"/>
        </w:rPr>
      </w:pPr>
    </w:p>
    <w:p>
      <w:pPr>
        <w:ind w:firstLine="255"/>
        <w:spacing w:after="0" w:line="254"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ind w:firstLine="255"/>
        <w:spacing w:after="0" w:line="279" w:lineRule="auto"/>
        <w:rPr>
          <w:sz w:val="20"/>
          <w:szCs w:val="20"/>
          <w:color w:val="auto"/>
        </w:rPr>
      </w:pPr>
      <w:r>
        <w:rPr>
          <w:rFonts w:ascii="Arial" w:cs="Arial" w:eastAsia="Arial" w:hAnsi="Arial"/>
          <w:sz w:val="16"/>
          <w:szCs w:val="16"/>
          <w:b w:val="1"/>
          <w:bCs w:val="1"/>
          <w:i w:val="1"/>
          <w:iCs w:val="1"/>
          <w:color w:val="auto"/>
        </w:rPr>
        <w:t xml:space="preserve">Evaluation of Disclosure Controls and Procedures. </w:t>
      </w:r>
      <w:r>
        <w:rPr>
          <w:rFonts w:ascii="Arial" w:cs="Arial" w:eastAsia="Arial" w:hAnsi="Arial"/>
          <w:sz w:val="16"/>
          <w:szCs w:val="16"/>
          <w:color w:val="auto"/>
        </w:rPr>
        <w:t>As of the end of the period covered by this report, we carried out an evaluation,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59" w:lineRule="exact"/>
        <w:rPr>
          <w:sz w:val="20"/>
          <w:szCs w:val="20"/>
          <w:color w:val="auto"/>
        </w:rPr>
      </w:pPr>
    </w:p>
    <w:p>
      <w:pPr>
        <w:jc w:val="both"/>
        <w:ind w:right="200" w:firstLine="255"/>
        <w:spacing w:after="0" w:line="248"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our most recently completed fiscal quarter that have materially affected, or are reasonably likely to materially affect, our internal control over financial reporting.</w:t>
      </w:r>
    </w:p>
    <w:p>
      <w:pPr>
        <w:spacing w:after="0" w:line="18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324" w:right="59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PART II –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00" w:firstLine="255"/>
        <w:spacing w:after="0" w:line="248"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100" w:firstLine="255"/>
        <w:spacing w:after="0" w:line="241"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in Part I, “Item 1A. Risk Factors” in our Annual Report on Form 10-K for the fiscal year ended December 31, 2021 and the risk factors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212" w:lineRule="exact"/>
        <w:rPr>
          <w:sz w:val="20"/>
          <w:szCs w:val="20"/>
          <w:color w:val="auto"/>
        </w:rPr>
      </w:pPr>
    </w:p>
    <w:p>
      <w:pPr>
        <w:ind w:right="20" w:firstLine="255"/>
        <w:spacing w:after="0" w:line="257" w:lineRule="auto"/>
        <w:rPr>
          <w:sz w:val="20"/>
          <w:szCs w:val="20"/>
          <w:color w:val="auto"/>
        </w:rPr>
      </w:pPr>
      <w:r>
        <w:rPr>
          <w:rFonts w:ascii="Arial" w:cs="Arial" w:eastAsia="Arial" w:hAnsi="Arial"/>
          <w:sz w:val="17"/>
          <w:szCs w:val="17"/>
          <w:color w:val="auto"/>
        </w:rPr>
        <w:t>The majority of our debt investments are based on floating rates, such as LIBOR, EURIBOR, SOFR,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 adversely affecting the credit quality of our investments.</w:t>
      </w:r>
    </w:p>
    <w:p>
      <w:pPr>
        <w:spacing w:after="0" w:line="175" w:lineRule="exact"/>
        <w:rPr>
          <w:sz w:val="20"/>
          <w:szCs w:val="20"/>
          <w:color w:val="auto"/>
        </w:rPr>
      </w:pPr>
    </w:p>
    <w:p>
      <w:pPr>
        <w:ind w:right="80" w:firstLine="255"/>
        <w:spacing w:after="0" w:line="276" w:lineRule="auto"/>
        <w:rPr>
          <w:sz w:val="20"/>
          <w:szCs w:val="20"/>
          <w:color w:val="auto"/>
        </w:rPr>
      </w:pPr>
      <w:r>
        <w:rPr>
          <w:rFonts w:ascii="Arial" w:cs="Arial" w:eastAsia="Arial" w:hAnsi="Arial"/>
          <w:sz w:val="16"/>
          <w:szCs w:val="16"/>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w:t>
      </w:r>
    </w:p>
    <w:p>
      <w:pPr>
        <w:spacing w:after="0" w:line="162" w:lineRule="exact"/>
        <w:rPr>
          <w:sz w:val="20"/>
          <w:szCs w:val="20"/>
          <w:color w:val="auto"/>
        </w:rPr>
      </w:pPr>
    </w:p>
    <w:p>
      <w:pPr>
        <w:ind w:right="80" w:firstLine="255"/>
        <w:spacing w:after="0" w:line="261"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71" w:lineRule="exact"/>
        <w:rPr>
          <w:sz w:val="20"/>
          <w:szCs w:val="20"/>
          <w:color w:val="auto"/>
        </w:rPr>
      </w:pPr>
    </w:p>
    <w:p>
      <w:pPr>
        <w:ind w:right="500" w:firstLine="255"/>
        <w:spacing w:after="0" w:line="261" w:lineRule="auto"/>
        <w:rPr>
          <w:sz w:val="20"/>
          <w:szCs w:val="20"/>
          <w:color w:val="auto"/>
        </w:rPr>
      </w:pPr>
      <w:r>
        <w:rPr>
          <w:rFonts w:ascii="Arial" w:cs="Arial" w:eastAsia="Arial" w:hAnsi="Arial"/>
          <w:sz w:val="18"/>
          <w:szCs w:val="18"/>
          <w:color w:val="auto"/>
        </w:rPr>
        <w:t>We may use interest rate risk management techniques in an effort to limit our exposure to interest rate fluctuations. These techniques may include various interest rate hedging activities to the extent permitted by the 1940 Act.</w:t>
      </w:r>
    </w:p>
    <w:p>
      <w:pPr>
        <w:spacing w:after="0" w:line="171" w:lineRule="exact"/>
        <w:rPr>
          <w:sz w:val="20"/>
          <w:szCs w:val="20"/>
          <w:color w:val="auto"/>
        </w:rPr>
      </w:pPr>
    </w:p>
    <w:p>
      <w:pPr>
        <w:ind w:right="340" w:firstLine="255"/>
        <w:spacing w:after="0" w:line="248" w:lineRule="auto"/>
        <w:rPr>
          <w:sz w:val="20"/>
          <w:szCs w:val="20"/>
          <w:color w:val="auto"/>
        </w:rPr>
      </w:pPr>
      <w:r>
        <w:rPr>
          <w:rFonts w:ascii="Arial" w:cs="Arial" w:eastAsia="Arial" w:hAnsi="Arial"/>
          <w:sz w:val="18"/>
          <w:szCs w:val="18"/>
          <w:color w:val="auto"/>
        </w:rPr>
        <w:t>Our Revolving Credit Facility is subject to variable rates that expose us to interest rate risk. We may also incur additional indebtedness subject to variable rates in the future. When interest rates increase, our debt service obligations on the variable rate indebtedness increase even though the amount borrowed remains the same.</w:t>
      </w:r>
    </w:p>
    <w:p>
      <w:pPr>
        <w:spacing w:after="0" w:line="74" w:lineRule="exact"/>
        <w:rPr>
          <w:sz w:val="20"/>
          <w:szCs w:val="20"/>
          <w:color w:val="auto"/>
        </w:rPr>
      </w:pPr>
    </w:p>
    <w:p>
      <w:pPr>
        <w:ind w:firstLine="255"/>
        <w:spacing w:after="0"/>
        <w:rPr>
          <w:sz w:val="20"/>
          <w:szCs w:val="20"/>
          <w:color w:val="auto"/>
        </w:rPr>
      </w:pPr>
      <w:r>
        <w:rPr>
          <w:rFonts w:ascii="Arial" w:cs="Arial" w:eastAsia="Arial" w:hAnsi="Arial"/>
          <w:sz w:val="18"/>
          <w:szCs w:val="18"/>
          <w:color w:val="auto"/>
        </w:rPr>
        <w:t>U.S. dollar borrowings under our Revolving Credit Facility bear interest at a rate derived from SOFR. SOFR is a relatively new reference rate and has a very limited history. The future performance of SOFR cannot be predicted based on its limited historical performance. Since the initial publication of SOFR in April 2018, changes in SOFR have, on occasion, been more volatile than changes in other benchmark or market rates, such as U.S. dollar LIBOR. The use of SOFR is relatively new, and there could be unanticipated difficulties or disruptions with the calculation and publication of SOFR. Additionally, any successor rate to SOFR under our revolving credit facility may not have the same characteristics as SOFR or LIBOR. As a result, the amount of interest we may pay on our revolving credit facility is difficult to predict.</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r>
        <w:rPr>
          <w:rFonts w:ascii="Arial" w:cs="Arial" w:eastAsia="Arial" w:hAnsi="Arial"/>
          <w:sz w:val="18"/>
          <w:szCs w:val="18"/>
          <w:color w:val="auto"/>
        </w:rPr>
        <w:t>.</w:t>
      </w:r>
    </w:p>
    <w:p>
      <w:pPr>
        <w:spacing w:after="0" w:line="104" w:lineRule="exact"/>
        <w:rPr>
          <w:sz w:val="20"/>
          <w:szCs w:val="20"/>
          <w:color w:val="auto"/>
        </w:rPr>
      </w:pPr>
    </w:p>
    <w:p>
      <w:pPr>
        <w:ind w:right="80" w:firstLine="255"/>
        <w:spacing w:after="0" w:line="257" w:lineRule="auto"/>
        <w:rPr>
          <w:sz w:val="20"/>
          <w:szCs w:val="20"/>
          <w:color w:val="auto"/>
        </w:rPr>
      </w:pPr>
      <w:r>
        <w:rPr>
          <w:rFonts w:ascii="Arial" w:cs="Arial" w:eastAsia="Arial" w:hAnsi="Arial"/>
          <w:sz w:val="17"/>
          <w:szCs w:val="17"/>
          <w:color w:val="auto"/>
        </w:rPr>
        <w:t>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2" w:name="page73"/>
    <w:bookmarkEnd w:id="72"/>
    <w:p>
      <w:pPr>
        <w:ind w:firstLine="255"/>
        <w:spacing w:after="0" w:line="272" w:lineRule="auto"/>
        <w:rPr>
          <w:sz w:val="20"/>
          <w:szCs w:val="20"/>
          <w:color w:val="auto"/>
        </w:rPr>
      </w:pPr>
      <w:r>
        <w:rPr>
          <w:rFonts w:ascii="Arial" w:cs="Arial" w:eastAsia="Arial" w:hAnsi="Arial"/>
          <w:sz w:val="16"/>
          <w:szCs w:val="16"/>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Sixth Street has organized a separate investment vehicle, Sixth Street Specialty Lending Europe, aimed specifically at European middle-market loan 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their respective senior professionals. As a result, the Adviser and its affiliates may face conflicts in allocating investment opportunities between us and those other entities. It is possible that we may not be given the opportunity to participate in certain investments made by those other entities that would otherwise be suitable for us.</w:t>
      </w:r>
    </w:p>
    <w:p>
      <w:pPr>
        <w:spacing w:after="0" w:line="60" w:lineRule="exact"/>
        <w:rPr>
          <w:sz w:val="20"/>
          <w:szCs w:val="20"/>
          <w:color w:val="auto"/>
        </w:rPr>
      </w:pPr>
    </w:p>
    <w:p>
      <w:pPr>
        <w:ind w:right="40" w:firstLine="255"/>
        <w:spacing w:after="0" w:line="274" w:lineRule="auto"/>
        <w:rPr>
          <w:sz w:val="20"/>
          <w:szCs w:val="20"/>
          <w:color w:val="auto"/>
        </w:rPr>
      </w:pPr>
      <w:r>
        <w:rPr>
          <w:rFonts w:ascii="Arial" w:cs="Arial" w:eastAsia="Arial" w:hAnsi="Arial"/>
          <w:sz w:val="16"/>
          <w:szCs w:val="16"/>
          <w:color w:val="auto"/>
        </w:rPr>
        <w:t>On December 16, 2014, we were granted an exemptive order from the SEC that, if certain conditions are met, allows us to co-invest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and that the terms and conditions of the investment applicable to those affiliates must be the same as those applicable to us. If the Adviser, Sixth Street and their affiliates were to determine that an investment is appropriate both for us and for one or more other affiliated vehicles, we would only be able to make the investment in conjunction with another vehicle to the extent the exemptive order granted to us by the SEC permits us to do so or the investment is otherwise permitted under relevant SEC guidance.</w:t>
      </w:r>
    </w:p>
    <w:p>
      <w:pPr>
        <w:spacing w:after="0" w:line="55" w:lineRule="exact"/>
        <w:rPr>
          <w:sz w:val="20"/>
          <w:szCs w:val="20"/>
          <w:color w:val="auto"/>
        </w:rPr>
      </w:pPr>
    </w:p>
    <w:p>
      <w:pPr>
        <w:ind w:right="60" w:firstLine="255"/>
        <w:spacing w:after="0" w:line="269" w:lineRule="auto"/>
        <w:rPr>
          <w:sz w:val="20"/>
          <w:szCs w:val="20"/>
          <w:color w:val="auto"/>
        </w:rPr>
      </w:pPr>
      <w:r>
        <w:rPr>
          <w:rFonts w:ascii="Arial" w:cs="Arial" w:eastAsia="Arial" w:hAnsi="Arial"/>
          <w:sz w:val="16"/>
          <w:szCs w:val="16"/>
          <w:color w:val="auto"/>
        </w:rPr>
        <w:t>On January 16, 2020, we filed a further application for co-investment exemptive relief with the SEC, which was most recently amended on June 29, 2022, in order to better align our existing co-investment relief with more recent SEC exemptive orders, including flexibility to allow certain private funds affiliated with us to participate in “follow-on” investments in issuers in which the we are invested, but such private affiliated funds are not invested. On July 8, 2022, the SEC issued a notice of the new application providing that an order granting the exemptive relief described in the new application will be granted unless the SEC orders a hearing on or prior to August 2, 2022. Although a notice for a new order has been issued, there can be no assurance when or if the SEC will grant the new order in response to our application, particularly in the event a public hearing is requested or required at the SEC prior to any formal action on our application. Until such time a new order is granted, we will continue to operate under the terms of our current exemptive order. In the event the new order is ultimately granted, among other changes relative to our prior order, we will have greater flexibility to participate in co-investment transactions with certain proprietary accounts that are majority-owned by our Adviser or its affiliates, to participate in “follow-on” investments in so-called “pre-boarding” investments in which we or an affiliated fund acquired a prior position not in reliance on the SEC exemptive order, and to participate in certain “follow-on” investments and pro rata distributions of existing co-investment positions without seeking approval by a majority of our Independent Directors. If the new order is ultimately granted, our Board will establish certain criteria to describe the characteristics of potential co-investment transactions in which we are permitted to participate and regarding which the Adviser should be notified.</w:t>
      </w:r>
    </w:p>
    <w:p>
      <w:pPr>
        <w:spacing w:after="0" w:line="6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cannot assure you when or whether we will apply for any other exemptive relief in the future and whether such orders will be obtained.</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104" w:lineRule="exact"/>
        <w:rPr>
          <w:sz w:val="20"/>
          <w:szCs w:val="20"/>
          <w:color w:val="auto"/>
        </w:rPr>
      </w:pPr>
    </w:p>
    <w:p>
      <w:pPr>
        <w:ind w:right="140" w:firstLine="255"/>
        <w:spacing w:after="0" w:line="272" w:lineRule="auto"/>
        <w:rPr>
          <w:sz w:val="20"/>
          <w:szCs w:val="20"/>
          <w:color w:val="auto"/>
        </w:rPr>
      </w:pPr>
      <w:r>
        <w:rPr>
          <w:rFonts w:ascii="Arial" w:cs="Arial" w:eastAsia="Arial" w:hAnsi="Arial"/>
          <w:sz w:val="16"/>
          <w:szCs w:val="16"/>
          <w:color w:val="auto"/>
        </w:rPr>
        <w:t>We are prohibited under the 1940 Act from participating in certain transactions with certain of our affiliates without the prior approval of our Independent Directors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60" w:lineRule="exact"/>
        <w:rPr>
          <w:sz w:val="20"/>
          <w:szCs w:val="20"/>
          <w:color w:val="auto"/>
        </w:rPr>
      </w:pPr>
    </w:p>
    <w:p>
      <w:pPr>
        <w:ind w:right="80" w:firstLine="255"/>
        <w:spacing w:after="0" w:line="241" w:lineRule="auto"/>
        <w:rPr>
          <w:sz w:val="20"/>
          <w:szCs w:val="20"/>
          <w:color w:val="auto"/>
        </w:rPr>
      </w:pPr>
      <w:r>
        <w:rPr>
          <w:rFonts w:ascii="Arial" w:cs="Arial" w:eastAsia="Arial" w:hAnsi="Arial"/>
          <w:sz w:val="18"/>
          <w:szCs w:val="18"/>
          <w:color w:val="auto"/>
        </w:rPr>
        <w:t>The decision by Sixth Street, our Adviser or their affiliates to allocate an opportunity to another entity could cause us to forgo an investment opportunity that we otherwise would have made. We also generally will be unable to invest in any issuer in which Sixth Street and its other affiliates or a fund managed by Sixth Street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81" w:lineRule="exact"/>
        <w:rPr>
          <w:sz w:val="20"/>
          <w:szCs w:val="20"/>
          <w:color w:val="auto"/>
        </w:rPr>
      </w:pPr>
    </w:p>
    <w:p>
      <w:pPr>
        <w:ind w:right="40" w:firstLine="255"/>
        <w:spacing w:after="0" w:line="241"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We and our affiliates, including investment funds managed by our affiliates, are only permitted to co-invest in accordance with the terms of the exemptive order or in the limited circumstances otherwise currently permitted by regulatory guidance.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3" w:name="page74"/>
    <w:bookmarkEnd w:id="73"/>
    <w:p>
      <w:pPr>
        <w:ind w:right="20" w:firstLine="255"/>
        <w:spacing w:after="0" w:line="251" w:lineRule="auto"/>
        <w:rPr>
          <w:sz w:val="20"/>
          <w:szCs w:val="20"/>
          <w:color w:val="auto"/>
        </w:rPr>
      </w:pPr>
      <w:r>
        <w:rPr>
          <w:rFonts w:ascii="Arial" w:cs="Arial" w:eastAsia="Arial" w:hAnsi="Arial"/>
          <w:sz w:val="17"/>
          <w:szCs w:val="17"/>
          <w:color w:val="auto"/>
        </w:rPr>
        <w:t>On January 16, 2020, we filed a further application for co-investment exemptive relief with the SEC, which was most recently amended on June 29, 2022, in order to better align our existing co-investment relief with more recent SEC exemptive orders, including flexibility to allow certain private funds affiliated with us to participate in “follow-on” investments in issuers in which the we are invested, but such private affiliated funds are not invested. On July 8, 2022, the SEC issued a notice of the new application providing that an order granting the exemptive relief described in the new application will be granted unless the SEC orders a hearing on or prior to August 2, 2022. Although a notice for a new order has been issued, there can be no assurance when or if the SEC will grant the new order in response to our application, particularly in the event a public hearing is requested or required at the SEC prior to any formal action on our application. Until such time a new order is granted, we will continue to operate under the terms of our current exemptive order. In the event the new order is ultimately granted, among other changes relative to our prior order, we will have greater flexibility to participate in co-investment transactions with certain proprietary accounts that are majority-owned by our Adviser or its affiliates, to participate in “follow-on” investments in so-called “pre-boarding” investments in which we or an affiliated fund acquired a prior position not in reliance on the SEC exemptive order, and to participate in certain “follow-on” investments and pro rata distributions of existing co-investment positions without seeking approval by a majority of our Independent Directors. If the new order is ultimately granted, our Board will establish certain criteria to describe the characteristics of potential co-investment transactions in which we are permitted to participate and regarding which the Adviser should be notified. Until such time a new order is granted, we will continue to operate under the terms of our current exemptive order.</w:t>
      </w:r>
    </w:p>
    <w:p>
      <w:pPr>
        <w:spacing w:after="0" w:line="189" w:lineRule="exact"/>
        <w:rPr>
          <w:sz w:val="20"/>
          <w:szCs w:val="20"/>
          <w:color w:val="auto"/>
        </w:rPr>
      </w:pPr>
    </w:p>
    <w:p>
      <w:pPr>
        <w:ind w:right="160" w:firstLine="255"/>
        <w:spacing w:after="0" w:line="270" w:lineRule="auto"/>
        <w:rPr>
          <w:sz w:val="20"/>
          <w:szCs w:val="20"/>
          <w:color w:val="auto"/>
        </w:rPr>
      </w:pPr>
      <w:r>
        <w:rPr>
          <w:rFonts w:ascii="Arial" w:cs="Arial" w:eastAsia="Arial" w:hAnsi="Arial"/>
          <w:sz w:val="17"/>
          <w:szCs w:val="17"/>
          <w:i w:val="1"/>
          <w:iCs w:val="1"/>
          <w:color w:val="auto"/>
        </w:rPr>
        <w:t>Pursuant to Section 61(a)(2)(C)(ii) of the 1940 Act, the principal risk factors associated with our senior securities are set forth below. However, since we already use leverage in optimizing our investment portfolio, the principal risk factors associated with our senior securities do not represent material changes to the risk factors previously disclosed in our Annual Report on Form 10-K for the fiscal year ended December 31, 2021.</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allows us to incur additional leverage.</w:t>
      </w:r>
    </w:p>
    <w:p>
      <w:pPr>
        <w:spacing w:after="0" w:line="104" w:lineRule="exact"/>
        <w:rPr>
          <w:sz w:val="20"/>
          <w:szCs w:val="20"/>
          <w:color w:val="auto"/>
        </w:rPr>
      </w:pPr>
    </w:p>
    <w:p>
      <w:pPr>
        <w:ind w:right="40" w:firstLine="255"/>
        <w:spacing w:after="0" w:line="284" w:lineRule="auto"/>
        <w:rPr>
          <w:sz w:val="20"/>
          <w:szCs w:val="20"/>
          <w:color w:val="auto"/>
        </w:rPr>
      </w:pPr>
      <w:r>
        <w:rPr>
          <w:rFonts w:ascii="Arial" w:cs="Arial" w:eastAsia="Arial" w:hAnsi="Arial"/>
          <w:sz w:val="16"/>
          <w:szCs w:val="16"/>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55" w:lineRule="exact"/>
        <w:rPr>
          <w:sz w:val="20"/>
          <w:szCs w:val="20"/>
          <w:color w:val="auto"/>
        </w:rPr>
      </w:pPr>
    </w:p>
    <w:p>
      <w:pPr>
        <w:jc w:val="both"/>
        <w:ind w:right="120" w:firstLine="255"/>
        <w:spacing w:after="0" w:line="262" w:lineRule="auto"/>
        <w:rPr>
          <w:sz w:val="20"/>
          <w:szCs w:val="20"/>
          <w:color w:val="auto"/>
        </w:rPr>
      </w:pPr>
      <w:r>
        <w:rPr>
          <w:rFonts w:ascii="Arial" w:cs="Arial" w:eastAsia="Arial" w:hAnsi="Arial"/>
          <w:sz w:val="17"/>
          <w:szCs w:val="17"/>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72" w:lineRule="exact"/>
        <w:rPr>
          <w:sz w:val="20"/>
          <w:szCs w:val="20"/>
          <w:color w:val="auto"/>
        </w:rPr>
      </w:pPr>
    </w:p>
    <w:p>
      <w:pPr>
        <w:ind w:right="420" w:firstLine="255"/>
        <w:spacing w:after="0" w:line="261" w:lineRule="auto"/>
        <w:rPr>
          <w:sz w:val="20"/>
          <w:szCs w:val="20"/>
          <w:color w:val="auto"/>
        </w:rPr>
      </w:pPr>
      <w:r>
        <w:rPr>
          <w:rFonts w:ascii="Arial" w:cs="Arial" w:eastAsia="Arial" w:hAnsi="Arial"/>
          <w:sz w:val="18"/>
          <w:szCs w:val="18"/>
          <w:color w:val="auto"/>
        </w:rPr>
        <w:t>As a result, you may face increased investment risk. We may not be able to implement our strategy to utilize additional leverage successfully. Any impact on returns or equity or our business associated with additional leverage may not outweigh the additional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04" w:lineRule="exact"/>
        <w:rPr>
          <w:sz w:val="20"/>
          <w:szCs w:val="20"/>
          <w:color w:val="auto"/>
        </w:rPr>
      </w:pPr>
    </w:p>
    <w:p>
      <w:pPr>
        <w:ind w:right="160" w:firstLine="255"/>
        <w:spacing w:after="0" w:line="243" w:lineRule="auto"/>
        <w:rPr>
          <w:sz w:val="20"/>
          <w:szCs w:val="20"/>
          <w:color w:val="auto"/>
        </w:rPr>
      </w:pPr>
      <w:r>
        <w:rPr>
          <w:rFonts w:ascii="Arial" w:cs="Arial" w:eastAsia="Arial" w:hAnsi="Arial"/>
          <w:sz w:val="18"/>
          <w:szCs w:val="18"/>
          <w:color w:val="auto"/>
        </w:rPr>
        <w:t>The 1940 Act imposes numerous constraints on the operations of BDCs.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8" w:lineRule="exact"/>
        <w:rPr>
          <w:sz w:val="20"/>
          <w:szCs w:val="20"/>
          <w:color w:val="auto"/>
        </w:rPr>
      </w:pPr>
    </w:p>
    <w:p>
      <w:pPr>
        <w:ind w:right="60" w:firstLine="255"/>
        <w:spacing w:after="0" w:line="248" w:lineRule="auto"/>
        <w:rPr>
          <w:sz w:val="20"/>
          <w:szCs w:val="20"/>
          <w:color w:val="auto"/>
        </w:rPr>
      </w:pPr>
      <w:r>
        <w:rPr>
          <w:rFonts w:ascii="Arial" w:cs="Arial" w:eastAsia="Arial" w:hAnsi="Arial"/>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82" w:lineRule="exact"/>
        <w:rPr>
          <w:sz w:val="20"/>
          <w:szCs w:val="20"/>
          <w:color w:val="auto"/>
        </w:rPr>
      </w:pPr>
    </w:p>
    <w:p>
      <w:pPr>
        <w:ind w:firstLine="255"/>
        <w:spacing w:after="0" w:line="284" w:lineRule="auto"/>
        <w:rPr>
          <w:sz w:val="20"/>
          <w:szCs w:val="20"/>
          <w:color w:val="auto"/>
        </w:rPr>
      </w:pPr>
      <w:r>
        <w:rPr>
          <w:rFonts w:ascii="Arial" w:cs="Arial" w:eastAsia="Arial" w:hAnsi="Arial"/>
          <w:sz w:val="16"/>
          <w:szCs w:val="16"/>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55" w:lineRule="exact"/>
        <w:rPr>
          <w:sz w:val="20"/>
          <w:szCs w:val="20"/>
          <w:color w:val="auto"/>
        </w:rPr>
      </w:pPr>
    </w:p>
    <w:p>
      <w:pPr>
        <w:ind w:right="100" w:firstLine="255"/>
        <w:spacing w:after="0" w:line="248" w:lineRule="auto"/>
        <w:rPr>
          <w:sz w:val="20"/>
          <w:szCs w:val="20"/>
          <w:color w:val="auto"/>
        </w:rPr>
      </w:pPr>
      <w:r>
        <w:rPr>
          <w:rFonts w:ascii="Arial" w:cs="Arial" w:eastAsia="Arial" w:hAnsi="Arial"/>
          <w:sz w:val="18"/>
          <w:szCs w:val="18"/>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74" w:name="page75"/>
    <w:bookmarkEnd w:id="74"/>
    <w:p>
      <w:pPr>
        <w:ind w:right="40"/>
        <w:spacing w:after="0"/>
        <w:rPr>
          <w:sz w:val="20"/>
          <w:szCs w:val="20"/>
          <w:color w:val="auto"/>
        </w:rPr>
      </w:pPr>
      <w:r>
        <w:rPr>
          <w:rFonts w:ascii="Arial" w:cs="Arial" w:eastAsia="Arial" w:hAnsi="Arial"/>
          <w:sz w:val="18"/>
          <w:szCs w:val="18"/>
          <w:color w:val="auto"/>
        </w:rPr>
        <w:t>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89" w:lineRule="exact"/>
        <w:rPr>
          <w:sz w:val="20"/>
          <w:szCs w:val="20"/>
          <w:color w:val="auto"/>
        </w:rPr>
      </w:pPr>
    </w:p>
    <w:p>
      <w:pPr>
        <w:ind w:right="100" w:firstLine="255"/>
        <w:spacing w:after="0" w:line="239"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91" w:lineRule="exact"/>
        <w:rPr>
          <w:sz w:val="20"/>
          <w:szCs w:val="20"/>
          <w:color w:val="auto"/>
        </w:rPr>
      </w:pPr>
    </w:p>
    <w:p>
      <w:pPr>
        <w:ind w:firstLine="255"/>
        <w:spacing w:after="0" w:line="269"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26, 2022, we are currently permitted to sell or otherwise issue shares of our common stock at a price below our then-current net asset value per share, subject to the approval of our Board and certain other conditions. Such stockholder approval expires on May 26, 2023.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68" w:lineRule="exact"/>
        <w:rPr>
          <w:sz w:val="20"/>
          <w:szCs w:val="20"/>
          <w:color w:val="auto"/>
        </w:rPr>
      </w:pPr>
    </w:p>
    <w:p>
      <w:pPr>
        <w:ind w:right="20" w:firstLine="255"/>
        <w:spacing w:after="0" w:line="271"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04" w:lineRule="exact"/>
        <w:rPr>
          <w:sz w:val="20"/>
          <w:szCs w:val="20"/>
          <w:color w:val="auto"/>
        </w:rPr>
      </w:pPr>
    </w:p>
    <w:p>
      <w:pPr>
        <w:ind w:right="20" w:firstLine="255"/>
        <w:spacing w:after="0" w:line="271" w:lineRule="auto"/>
        <w:rPr>
          <w:sz w:val="20"/>
          <w:szCs w:val="20"/>
          <w:color w:val="auto"/>
        </w:rPr>
      </w:pPr>
      <w:r>
        <w:rPr>
          <w:rFonts w:ascii="Arial" w:cs="Arial" w:eastAsia="Arial" w:hAnsi="Arial"/>
          <w:sz w:val="16"/>
          <w:szCs w:val="16"/>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5" w:name="page76"/>
    <w:bookmarkEnd w:id="75"/>
    <w:p>
      <w:pPr>
        <w:ind w:right="60" w:firstLine="255"/>
        <w:spacing w:after="0" w:line="238" w:lineRule="auto"/>
        <w:rPr>
          <w:sz w:val="20"/>
          <w:szCs w:val="20"/>
          <w:color w:val="auto"/>
        </w:rPr>
      </w:pPr>
      <w:r>
        <w:rPr>
          <w:rFonts w:ascii="Arial" w:cs="Arial" w:eastAsia="Arial" w:hAnsi="Arial"/>
          <w:sz w:val="18"/>
          <w:szCs w:val="18"/>
          <w:color w:val="auto"/>
        </w:rPr>
        <w:t>Our credit facilities and indentures governing our indebtedness also impose financial and operating covenants that restrict our business activities, remedies on default and similar matters. As of June 30, 2022,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94" w:lineRule="exact"/>
        <w:rPr>
          <w:sz w:val="20"/>
          <w:szCs w:val="20"/>
          <w:color w:val="auto"/>
        </w:rPr>
      </w:pPr>
    </w:p>
    <w:p>
      <w:pPr>
        <w:ind w:right="100" w:firstLine="255"/>
        <w:spacing w:after="0" w:line="257" w:lineRule="auto"/>
        <w:rPr>
          <w:sz w:val="20"/>
          <w:szCs w:val="20"/>
          <w:color w:val="auto"/>
        </w:rPr>
      </w:pPr>
      <w:r>
        <w:rPr>
          <w:rFonts w:ascii="Arial" w:cs="Arial" w:eastAsia="Arial" w:hAnsi="Arial"/>
          <w:sz w:val="17"/>
          <w:szCs w:val="17"/>
          <w:color w:val="auto"/>
        </w:rPr>
        <w:t>As of June 30, 2022, we had $1,319.2 million of outstanding indebtedness, which had an annualized interest cost of 3.14% under the terms of our debt, excluding fees (such as fees on undrawn amounts and amortization of upfront fees) and giving effect to the swap-adjusted interest rates on our 2022 Convertible Notes, 2023 Notes, 2024 Notes and 2026 Notes. As of June 30, 2022, as adjusted to give effect to the interest rate swaps, the interest rate on the 2022 Convertible Notes was three-month LIBOR plus 2.11% (on a weighted-average basis) and the interest rate on the 2023 Notes was three-month LIBOR plus 1.99%, and the interest rate on the 2024 Notes was three-month LIBOR plus 2.28% (on a weighted-average basis), and the interest rate on the 2026 Notes was three-month LIBOR plus 1.91%.</w:t>
      </w:r>
    </w:p>
    <w:p>
      <w:pPr>
        <w:spacing w:after="0" w:line="175" w:lineRule="exact"/>
        <w:rPr>
          <w:sz w:val="20"/>
          <w:szCs w:val="20"/>
          <w:color w:val="auto"/>
        </w:rPr>
      </w:pPr>
    </w:p>
    <w:p>
      <w:pPr>
        <w:ind w:right="140" w:firstLine="255"/>
        <w:spacing w:after="0" w:line="248" w:lineRule="auto"/>
        <w:rPr>
          <w:sz w:val="20"/>
          <w:szCs w:val="20"/>
          <w:color w:val="auto"/>
        </w:rPr>
      </w:pPr>
      <w:r>
        <w:rPr>
          <w:rFonts w:ascii="Arial" w:cs="Arial" w:eastAsia="Arial" w:hAnsi="Arial"/>
          <w:sz w:val="18"/>
          <w:szCs w:val="18"/>
          <w:color w:val="auto"/>
        </w:rPr>
        <w:t>For us to cover these annualized interest payments on indebtedness, we must achieve annual returns on our investments of at least 1.6%.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2" w:lineRule="exact"/>
        <w:rPr>
          <w:sz w:val="20"/>
          <w:szCs w:val="20"/>
          <w:color w:val="auto"/>
        </w:rPr>
      </w:pPr>
    </w:p>
    <w:p>
      <w:pPr>
        <w:ind w:right="40" w:firstLine="255"/>
        <w:spacing w:after="0" w:line="262"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Effects of Leverage Based on Actual Amount of Borrowings Incurred by us as of June 30, 2022</w:t>
      </w:r>
    </w:p>
    <w:p>
      <w:pPr>
        <w:spacing w:after="0" w:line="190" w:lineRule="exact"/>
        <w:rPr>
          <w:sz w:val="20"/>
          <w:szCs w:val="20"/>
          <w:color w:val="auto"/>
        </w:rPr>
      </w:pPr>
    </w:p>
    <w:p>
      <w:pPr>
        <w:jc w:val="center"/>
        <w:ind w:left="4480"/>
        <w:spacing w:after="0"/>
        <w:rPr>
          <w:sz w:val="20"/>
          <w:szCs w:val="20"/>
          <w:color w:val="auto"/>
        </w:rPr>
      </w:pPr>
      <w:r>
        <w:rPr>
          <w:rFonts w:ascii="Arial" w:cs="Arial" w:eastAsia="Arial" w:hAnsi="Arial"/>
          <w:sz w:val="14"/>
          <w:szCs w:val="14"/>
          <w:b w:val="1"/>
          <w:bCs w:val="1"/>
          <w:color w:val="auto"/>
        </w:rPr>
        <w:t>Assumed Return on Our Portfolio</w:t>
      </w:r>
    </w:p>
    <w:p>
      <w:pPr>
        <w:jc w:val="center"/>
        <w:ind w:left="4480"/>
        <w:spacing w:after="0"/>
        <w:rPr>
          <w:sz w:val="20"/>
          <w:szCs w:val="20"/>
          <w:color w:val="auto"/>
        </w:rPr>
      </w:pPr>
      <w:r>
        <w:rPr>
          <w:rFonts w:ascii="Arial" w:cs="Arial" w:eastAsia="Arial" w:hAnsi="Arial"/>
          <w:sz w:val="14"/>
          <w:szCs w:val="14"/>
          <w:b w:val="1"/>
          <w:bCs w:val="1"/>
          <w:color w:val="auto"/>
        </w:rPr>
        <w:t xml:space="preserve">(net of expenses) </w:t>
      </w:r>
      <w:r>
        <w:rPr>
          <w:rFonts w:ascii="Arial" w:cs="Arial" w:eastAsia="Arial" w:hAnsi="Arial"/>
          <w:sz w:val="19"/>
          <w:szCs w:val="1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-17780</wp:posOffset>
            </wp:positionV>
            <wp:extent cx="398653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986530" cy="825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-10%</w:t>
            </w:r>
          </w:p>
        </w:tc>
        <w:tc>
          <w:tcPr>
            <w:tcW w:w="440" w:type="dxa"/>
            <w:vAlign w:val="bottom"/>
          </w:tcPr>
          <w:p>
            <w:pPr>
              <w:spacing w:after="0"/>
              <w:rPr>
                <w:sz w:val="16"/>
                <w:szCs w:val="16"/>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-5%</w:t>
            </w:r>
          </w:p>
        </w:tc>
        <w:tc>
          <w:tcPr>
            <w:tcW w:w="440" w:type="dxa"/>
            <w:vAlign w:val="bottom"/>
          </w:tcPr>
          <w:p>
            <w:pPr>
              <w:spacing w:after="0"/>
              <w:rPr>
                <w:sz w:val="16"/>
                <w:szCs w:val="16"/>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0%</w:t>
            </w:r>
          </w:p>
        </w:tc>
        <w:tc>
          <w:tcPr>
            <w:tcW w:w="420" w:type="dxa"/>
            <w:vAlign w:val="bottom"/>
          </w:tcPr>
          <w:p>
            <w:pPr>
              <w:spacing w:after="0"/>
              <w:rPr>
                <w:sz w:val="16"/>
                <w:szCs w:val="16"/>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5%</w:t>
            </w:r>
          </w:p>
        </w:tc>
        <w:tc>
          <w:tcPr>
            <w:tcW w:w="400" w:type="dxa"/>
            <w:vAlign w:val="bottom"/>
          </w:tcPr>
          <w:p>
            <w:pPr>
              <w:spacing w:after="0"/>
              <w:rPr>
                <w:sz w:val="16"/>
                <w:szCs w:val="16"/>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10%</w:t>
            </w:r>
          </w:p>
        </w:tc>
        <w:tc>
          <w:tcPr>
            <w:tcW w:w="220" w:type="dxa"/>
            <w:vAlign w:val="bottom"/>
          </w:tcPr>
          <w:p>
            <w:pPr>
              <w:spacing w:after="0"/>
              <w:rPr>
                <w:sz w:val="16"/>
                <w:szCs w:val="16"/>
                <w:color w:val="auto"/>
              </w:rPr>
            </w:pPr>
          </w:p>
        </w:tc>
      </w:tr>
      <w:tr>
        <w:trPr>
          <w:trHeight w:val="372"/>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Corresponding return to stockholder </w:t>
            </w:r>
            <w:r>
              <w:rPr>
                <w:rFonts w:ascii="Arial" w:cs="Arial" w:eastAsia="Arial" w:hAnsi="Arial"/>
                <w:sz w:val="8"/>
                <w:szCs w:val="8"/>
                <w:color w:val="auto"/>
              </w:rPr>
              <w:t>(2)</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-24.1 %</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-13.7 %</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-3.3 %</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7.1 %</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17.4 %</w:t>
            </w:r>
          </w:p>
        </w:tc>
      </w:tr>
    </w:tbl>
    <w:p>
      <w:pPr>
        <w:spacing w:after="0" w:line="188" w:lineRule="exact"/>
        <w:rPr>
          <w:sz w:val="20"/>
          <w:szCs w:val="20"/>
          <w:color w:val="auto"/>
        </w:rPr>
      </w:pPr>
    </w:p>
    <w:p>
      <w:pPr>
        <w:ind w:left="520" w:right="40" w:hanging="512"/>
        <w:spacing w:after="0" w:line="255" w:lineRule="auto"/>
        <w:tabs>
          <w:tab w:leader="none" w:pos="5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June 30, 2022. As a result, it has not been updated to take into account any changes in assets or leverage since June 30, 2022.</w:t>
      </w:r>
    </w:p>
    <w:p>
      <w:pPr>
        <w:ind w:left="520" w:right="80" w:hanging="512"/>
        <w:spacing w:after="0" w:line="237"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order to compute the “Corresponding return to stockholder,” the “Assumed Return on Our Portfolio” is multiplied by the total value of our assets at June 30, 2022 to obtain an assumed return to us. From this amount, the interest expense (calculated by multiplying the weighted average stated interest rate of 3.1% by the approximately $1,319.2 million of principal debt outstanding) is subtracted to determine the return available to stockholders. The return available to stockholders is then divided by the total value of our net assets at June 30, 2022 to determine the “Corresponding return to stockholder.”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04" w:lineRule="exact"/>
        <w:rPr>
          <w:sz w:val="20"/>
          <w:szCs w:val="20"/>
          <w:color w:val="auto"/>
        </w:rPr>
      </w:pPr>
    </w:p>
    <w:p>
      <w:pPr>
        <w:ind w:right="60" w:firstLine="255"/>
        <w:spacing w:after="0" w:line="276"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6" w:name="page77"/>
    <w:bookmarkEnd w:id="76"/>
    <w:p>
      <w:pPr>
        <w:ind w:right="220"/>
        <w:spacing w:after="0" w:line="261"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3" w:lineRule="exact"/>
        <w:rPr>
          <w:sz w:val="20"/>
          <w:szCs w:val="20"/>
          <w:color w:val="auto"/>
        </w:rPr>
      </w:pPr>
    </w:p>
    <w:p>
      <w:pPr>
        <w:ind w:firstLine="255"/>
        <w:spacing w:after="0"/>
        <w:rPr>
          <w:sz w:val="20"/>
          <w:szCs w:val="20"/>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189" w:lineRule="exact"/>
        <w:rPr>
          <w:sz w:val="20"/>
          <w:szCs w:val="20"/>
          <w:color w:val="auto"/>
        </w:rPr>
      </w:pPr>
    </w:p>
    <w:p>
      <w:pPr>
        <w:ind w:right="40" w:firstLine="255"/>
        <w:spacing w:after="0" w:line="274"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3" w:lineRule="exact"/>
        <w:rPr>
          <w:sz w:val="20"/>
          <w:szCs w:val="20"/>
          <w:color w:val="auto"/>
        </w:rPr>
      </w:pPr>
    </w:p>
    <w:p>
      <w:pPr>
        <w:ind w:right="120" w:firstLine="255"/>
        <w:spacing w:after="0" w:line="262" w:lineRule="auto"/>
        <w:rPr>
          <w:sz w:val="20"/>
          <w:szCs w:val="20"/>
          <w:color w:val="auto"/>
        </w:rPr>
      </w:pPr>
      <w:r>
        <w:rPr>
          <w:rFonts w:ascii="Arial" w:cs="Arial" w:eastAsia="Arial" w:hAnsi="Arial"/>
          <w:sz w:val="17"/>
          <w:szCs w:val="17"/>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72" w:lineRule="exact"/>
        <w:rPr>
          <w:sz w:val="20"/>
          <w:szCs w:val="20"/>
          <w:color w:val="auto"/>
        </w:rPr>
      </w:pPr>
    </w:p>
    <w:p>
      <w:pPr>
        <w:ind w:firstLine="255"/>
        <w:spacing w:after="0" w:line="276"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right="20" w:firstLine="255"/>
        <w:spacing w:after="0" w:line="257" w:lineRule="auto"/>
        <w:rPr>
          <w:sz w:val="20"/>
          <w:szCs w:val="20"/>
          <w:color w:val="auto"/>
        </w:rPr>
      </w:pPr>
      <w:r>
        <w:rPr>
          <w:rFonts w:ascii="Arial" w:cs="Arial" w:eastAsia="Arial" w:hAnsi="Arial"/>
          <w:sz w:val="17"/>
          <w:szCs w:val="17"/>
          <w:color w:val="auto"/>
        </w:rPr>
        <w:t>On August 1, 2022, the 2022 Convertible Notes matured in accordance with the governing indenture. Holders of $79.2 million aggregate principal amount of notes provided valid notice of conversion and were subject to the combination settlement method previously elected by the Company. In accordance with the settlement method, the Company issued a total of 4,360,125 shares of common stock, or $78.1 million at the adjusted conversion price per share of $17.92. The remaining balance of the notes that were not converted into newly issued shares of common stock were settled with existing cash resources, including through utilization of the Company’s Revolving Credit Facility. The interest rate swaps associated with the principal amount of the notes outstanding were terminated on the date of maturity of the 2022 Convertible Notes.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4" w:lineRule="exact"/>
        <w:rPr>
          <w:sz w:val="20"/>
          <w:szCs w:val="20"/>
          <w:color w:val="auto"/>
        </w:rPr>
      </w:pPr>
    </w:p>
    <w:p>
      <w:pPr>
        <w:ind w:left="780" w:hanging="517"/>
        <w:spacing w:after="0"/>
        <w:tabs>
          <w:tab w:leader="none" w:pos="7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2" w:lineRule="exact"/>
        <w:rPr>
          <w:sz w:val="20"/>
          <w:szCs w:val="20"/>
          <w:color w:val="auto"/>
        </w:rPr>
      </w:pPr>
    </w:p>
    <w:p>
      <w:pPr>
        <w:ind w:left="680" w:right="300" w:hanging="661"/>
        <w:spacing w:after="0" w:line="259" w:lineRule="auto"/>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713">
        <w:r>
          <w:rPr>
            <w:rFonts w:ascii="Arial" w:cs="Arial" w:eastAsia="Arial" w:hAnsi="Arial"/>
            <w:sz w:val="16"/>
            <w:szCs w:val="16"/>
            <w:u w:val="single" w:color="auto"/>
            <w:color w:val="0000FF"/>
          </w:rPr>
          <w:t>Twelfth Amendment to Second Amended and Restated Senior Secured Revolving Credit Agreement, dated as of April 25, 2022, among Sixth</w:t>
        </w:r>
      </w:hyperlink>
      <w:r>
        <w:rPr>
          <w:rFonts w:ascii="Arial" w:cs="Arial" w:eastAsia="Arial" w:hAnsi="Arial"/>
          <w:sz w:val="16"/>
          <w:szCs w:val="16"/>
          <w:u w:val="single" w:color="auto"/>
          <w:color w:val="0000FF"/>
        </w:rPr>
        <w:t xml:space="preserve"> </w:t>
      </w:r>
      <w:hyperlink r:id="rId713">
        <w:r>
          <w:rPr>
            <w:rFonts w:ascii="Arial" w:cs="Arial" w:eastAsia="Arial" w:hAnsi="Arial"/>
            <w:sz w:val="16"/>
            <w:szCs w:val="16"/>
            <w:u w:val="single" w:color="auto"/>
            <w:color w:val="0000FF"/>
          </w:rPr>
          <w:t>Street Specialty Lending, Inc. as Borrower, the Lenders party therto and Truist Bank (as successor by merger to SunTrust Bank), as</w:t>
        </w:r>
      </w:hyperlink>
      <w:r>
        <w:rPr>
          <w:rFonts w:ascii="Arial" w:cs="Arial" w:eastAsia="Arial" w:hAnsi="Arial"/>
          <w:sz w:val="16"/>
          <w:szCs w:val="16"/>
          <w:u w:val="single" w:color="auto"/>
          <w:color w:val="0000FF"/>
        </w:rPr>
        <w:t xml:space="preserve"> </w:t>
      </w:r>
      <w:hyperlink r:id="rId713">
        <w:r>
          <w:rPr>
            <w:rFonts w:ascii="Arial" w:cs="Arial" w:eastAsia="Arial" w:hAnsi="Arial"/>
            <w:sz w:val="16"/>
            <w:szCs w:val="16"/>
            <w:u w:val="single" w:color="auto"/>
            <w:color w:val="0000FF"/>
          </w:rPr>
          <w:t>Administrative Agent (incorporated by reference to Exhibit 10.1 to the Company's Quarterly Report on Form 10-Q filed on May 3, 2022)</w:t>
        </w:r>
      </w:hyperlink>
    </w:p>
    <w:p>
      <w:pPr>
        <w:spacing w:after="0" w:line="133" w:lineRule="exact"/>
        <w:rPr>
          <w:rFonts w:ascii="Arial" w:cs="Arial" w:eastAsia="Arial" w:hAnsi="Arial"/>
          <w:sz w:val="16"/>
          <w:szCs w:val="16"/>
          <w:u w:val="single" w:color="auto"/>
          <w:color w:val="0000FF"/>
        </w:rPr>
      </w:pPr>
    </w:p>
    <w:p>
      <w:pPr>
        <w:ind w:left="680" w:right="160" w:hanging="661"/>
        <w:spacing w:after="0" w:line="224" w:lineRule="auto"/>
        <w:tabs>
          <w:tab w:leader="none" w:pos="66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w:anchor="page80">
        <w:r>
          <w:rPr>
            <w:rFonts w:ascii="Arial" w:cs="Arial" w:eastAsia="Arial" w:hAnsi="Arial"/>
            <w:sz w:val="18"/>
            <w:szCs w:val="18"/>
            <w:u w:val="single" w:color="auto"/>
            <w:color w:val="0000FF"/>
          </w:rPr>
          <w:t>Thirteenth Amendment to Second Amended and Restated Senior Secured Revolving Credit Agreement, dated as of May 19, 2022, among Sixth</w:t>
        </w:r>
      </w:hyperlink>
      <w:r>
        <w:rPr>
          <w:rFonts w:ascii="Arial" w:cs="Arial" w:eastAsia="Arial" w:hAnsi="Arial"/>
          <w:sz w:val="18"/>
          <w:szCs w:val="18"/>
          <w:u w:val="single" w:color="auto"/>
          <w:color w:val="0000FF"/>
        </w:rPr>
        <w:t xml:space="preserve"> </w:t>
      </w:r>
      <w:hyperlink w:anchor="page80">
        <w:r>
          <w:rPr>
            <w:rFonts w:ascii="Arial" w:cs="Arial" w:eastAsia="Arial" w:hAnsi="Arial"/>
            <w:sz w:val="18"/>
            <w:szCs w:val="18"/>
            <w:u w:val="single" w:color="auto"/>
            <w:color w:val="0000FF"/>
          </w:rPr>
          <w:t>Street Specialty Lending, Inc. as Borrower, the Lenders party therto and Truist Bank (as successor by merger to SunTrust Bank), as</w:t>
        </w:r>
      </w:hyperlink>
      <w:r>
        <w:rPr>
          <w:rFonts w:ascii="Arial" w:cs="Arial" w:eastAsia="Arial" w:hAnsi="Arial"/>
          <w:sz w:val="18"/>
          <w:szCs w:val="18"/>
          <w:u w:val="single" w:color="auto"/>
          <w:color w:val="0000FF"/>
        </w:rPr>
        <w:t xml:space="preserve"> </w:t>
      </w:r>
      <w:hyperlink w:anchor="page80">
        <w:r>
          <w:rPr>
            <w:rFonts w:ascii="Arial" w:cs="Arial" w:eastAsia="Arial" w:hAnsi="Arial"/>
            <w:sz w:val="18"/>
            <w:szCs w:val="18"/>
            <w:u w:val="single" w:color="auto"/>
            <w:color w:val="0000FF"/>
          </w:rPr>
          <w:t>Administrative Agent</w:t>
        </w:r>
      </w:hyperlink>
    </w:p>
    <w:p>
      <w:pPr>
        <w:spacing w:after="0" w:line="134" w:lineRule="exact"/>
        <w:rPr>
          <w:rFonts w:ascii="Arial" w:cs="Arial" w:eastAsia="Arial" w:hAnsi="Arial"/>
          <w:sz w:val="18"/>
          <w:szCs w:val="18"/>
          <w:u w:val="single" w:color="auto"/>
          <w:color w:val="0000FF"/>
        </w:rPr>
      </w:pPr>
    </w:p>
    <w:p>
      <w:pPr>
        <w:ind w:left="2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101">
        <w:r>
          <w:rPr>
            <w:rFonts w:ascii="Arial" w:cs="Arial" w:eastAsia="Arial" w:hAnsi="Arial"/>
            <w:sz w:val="16"/>
            <w:szCs w:val="16"/>
            <w:u w:val="single" w:color="auto"/>
            <w:color w:val="0000FF"/>
          </w:rPr>
          <w:t>Certification of Chief Executive Officer Pursuant to 18 U.S.C. Section 1350, as Adopted Pursuant to Section 302 of the Sarbanes-Oxley Act of</w:t>
        </w:r>
      </w:hyperlink>
    </w:p>
    <w:p>
      <w:pPr>
        <w:ind w:left="680"/>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2002</w:t>
        </w:r>
      </w:hyperlink>
    </w:p>
    <w:p>
      <w:pPr>
        <w:spacing w:after="0" w:line="140" w:lineRule="exact"/>
        <w:rPr>
          <w:rFonts w:ascii="Arial" w:cs="Arial" w:eastAsia="Arial" w:hAnsi="Arial"/>
          <w:sz w:val="18"/>
          <w:szCs w:val="18"/>
          <w:u w:val="single" w:color="auto"/>
          <w:color w:val="0000FF"/>
        </w:rPr>
      </w:pPr>
    </w:p>
    <w:p>
      <w:pPr>
        <w:ind w:left="2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02">
        <w:r>
          <w:rPr>
            <w:rFonts w:ascii="Arial" w:cs="Arial" w:eastAsia="Arial" w:hAnsi="Arial"/>
            <w:sz w:val="16"/>
            <w:szCs w:val="16"/>
            <w:u w:val="single" w:color="auto"/>
            <w:color w:val="0000FF"/>
          </w:rPr>
          <w:t>Certification of Chief Financial Officer Pursuant to 18 U.S.C. Section 1350, as Adopted Pursuant to Section 302 of the Sarbanes-Oxley Act of</w:t>
        </w:r>
      </w:hyperlink>
    </w:p>
    <w:p>
      <w:pPr>
        <w:ind w:left="680"/>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2002</w:t>
        </w:r>
      </w:hyperlink>
    </w:p>
    <w:p>
      <w:pPr>
        <w:spacing w:after="0" w:line="155" w:lineRule="exact"/>
        <w:rPr>
          <w:rFonts w:ascii="Arial" w:cs="Arial" w:eastAsia="Arial" w:hAnsi="Arial"/>
          <w:sz w:val="18"/>
          <w:szCs w:val="18"/>
          <w:u w:val="single" w:color="auto"/>
          <w:color w:val="0000FF"/>
        </w:rPr>
      </w:pPr>
    </w:p>
    <w:p>
      <w:pPr>
        <w:ind w:left="680" w:hanging="659"/>
        <w:spacing w:after="0"/>
        <w:tabs>
          <w:tab w:leader="none" w:pos="680" w:val="left"/>
        </w:tabs>
        <w:numPr>
          <w:ilvl w:val="0"/>
          <w:numId w:val="57"/>
        </w:numPr>
        <w:rPr>
          <w:rFonts w:ascii="Arial" w:cs="Arial" w:eastAsia="Arial" w:hAnsi="Arial"/>
          <w:sz w:val="17"/>
          <w:szCs w:val="17"/>
          <w:u w:val="single" w:color="auto"/>
          <w:color w:val="0000FF"/>
        </w:rPr>
      </w:pPr>
      <w:hyperlink w:anchor="page103">
        <w:r>
          <w:rPr>
            <w:rFonts w:ascii="Arial" w:cs="Arial" w:eastAsia="Arial" w:hAnsi="Arial"/>
            <w:sz w:val="17"/>
            <w:szCs w:val="17"/>
            <w:u w:val="single" w:color="auto"/>
            <w:color w:val="0000FF"/>
          </w:rPr>
          <w:t>Certification of CEO and CFO Pursuant to 18 U.S.C. Section 1350, as Adopted Pursuant to Section 906 of the Sarbanes-Oxley Act of 2002</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86"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rFonts w:ascii="Arial" w:cs="Arial" w:eastAsia="Arial" w:hAnsi="Arial"/>
          <w:sz w:val="18"/>
          <w:szCs w:val="18"/>
          <w:u w:val="single" w:color="auto"/>
          <w:color w:val="0000FF"/>
        </w:rPr>
      </w:pPr>
    </w:p>
    <w:p>
      <w:pPr>
        <w:ind w:firstLine="255"/>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1"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78" w:name="page79"/>
    <w:bookmarkEnd w:id="78"/>
    <w:p>
      <w:pPr>
        <w:ind w:left="6640"/>
        <w:spacing w:after="0"/>
        <w:rPr>
          <w:sz w:val="20"/>
          <w:szCs w:val="20"/>
          <w:color w:val="auto"/>
        </w:rPr>
      </w:pPr>
      <w:r>
        <w:rPr>
          <w:rFonts w:ascii="Arial" w:cs="Arial" w:eastAsia="Arial" w:hAnsi="Arial"/>
          <w:sz w:val="17"/>
          <w:szCs w:val="17"/>
          <w:color w:val="auto"/>
        </w:rPr>
        <w:t>SIXTH STREET SPECIALTY LENDING, INC.</w:t>
      </w:r>
    </w:p>
    <w:p>
      <w:pPr>
        <w:spacing w:after="0" w:line="250" w:lineRule="exact"/>
        <w:rPr>
          <w:sz w:val="20"/>
          <w:szCs w:val="20"/>
          <w:color w:val="auto"/>
        </w:rPr>
      </w:pPr>
    </w:p>
    <w:p>
      <w:pPr>
        <w:spacing w:after="0"/>
        <w:tabs>
          <w:tab w:leader="none" w:pos="6620" w:val="left"/>
          <w:tab w:leader="none" w:pos="7100" w:val="left"/>
        </w:tabs>
        <w:rPr>
          <w:sz w:val="20"/>
          <w:szCs w:val="20"/>
          <w:color w:val="auto"/>
        </w:rPr>
      </w:pPr>
      <w:r>
        <w:rPr>
          <w:rFonts w:ascii="Arial" w:cs="Arial" w:eastAsia="Arial" w:hAnsi="Arial"/>
          <w:sz w:val="18"/>
          <w:szCs w:val="18"/>
          <w:color w:val="auto"/>
        </w:rPr>
        <w:t>Date: August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4518660</wp:posOffset>
            </wp:positionH>
            <wp:positionV relativeFrom="paragraph">
              <wp:posOffset>6350</wp:posOffset>
            </wp:positionV>
            <wp:extent cx="260604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Joshua Easterly</w:t>
      </w:r>
    </w:p>
    <w:p>
      <w:pPr>
        <w:ind w:left="7120"/>
        <w:spacing w:after="0"/>
        <w:rPr>
          <w:sz w:val="20"/>
          <w:szCs w:val="20"/>
          <w:color w:val="auto"/>
        </w:rPr>
      </w:pPr>
      <w:r>
        <w:rPr>
          <w:rFonts w:ascii="Arial" w:cs="Arial" w:eastAsia="Arial" w:hAnsi="Arial"/>
          <w:sz w:val="18"/>
          <w:szCs w:val="18"/>
          <w:color w:val="auto"/>
        </w:rPr>
        <w:t>Chief Executive Officer</w:t>
      </w:r>
    </w:p>
    <w:p>
      <w:pPr>
        <w:spacing w:after="0" w:line="223" w:lineRule="exact"/>
        <w:rPr>
          <w:sz w:val="20"/>
          <w:szCs w:val="20"/>
          <w:color w:val="auto"/>
        </w:rPr>
      </w:pPr>
    </w:p>
    <w:p>
      <w:pPr>
        <w:spacing w:after="0"/>
        <w:tabs>
          <w:tab w:leader="none" w:pos="6620" w:val="left"/>
          <w:tab w:leader="none" w:pos="7100" w:val="left"/>
        </w:tabs>
        <w:rPr>
          <w:sz w:val="20"/>
          <w:szCs w:val="20"/>
          <w:color w:val="auto"/>
        </w:rPr>
      </w:pPr>
      <w:r>
        <w:rPr>
          <w:rFonts w:ascii="Arial" w:cs="Arial" w:eastAsia="Arial" w:hAnsi="Arial"/>
          <w:sz w:val="18"/>
          <w:szCs w:val="18"/>
          <w:color w:val="auto"/>
        </w:rPr>
        <w:t>Date: August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4518660</wp:posOffset>
            </wp:positionH>
            <wp:positionV relativeFrom="paragraph">
              <wp:posOffset>6350</wp:posOffset>
            </wp:positionV>
            <wp:extent cx="260604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Ian Simmonds</w:t>
      </w:r>
    </w:p>
    <w:p>
      <w:pPr>
        <w:ind w:left="7120"/>
        <w:spacing w:after="0"/>
        <w:rPr>
          <w:sz w:val="20"/>
          <w:szCs w:val="20"/>
          <w:color w:val="auto"/>
        </w:rPr>
      </w:pPr>
      <w:r>
        <w:rPr>
          <w:rFonts w:ascii="Arial" w:cs="Arial" w:eastAsia="Arial" w:hAnsi="Arial"/>
          <w:sz w:val="18"/>
          <w:szCs w:val="18"/>
          <w:color w:val="auto"/>
        </w:rPr>
        <w:t>Chief Financial Officer</w:t>
      </w:r>
    </w:p>
    <w:p>
      <w:pPr>
        <w:spacing w:after="0" w:line="3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340" w:top="530" w:right="139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t>EXHIBIT 10.2</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THIRTEENTH AMENDMENT</w:t>
      </w:r>
    </w:p>
    <w:p>
      <w:pPr>
        <w:jc w:val="center"/>
        <w:spacing w:after="0"/>
        <w:rPr>
          <w:sz w:val="20"/>
          <w:szCs w:val="20"/>
          <w:color w:val="auto"/>
        </w:rPr>
      </w:pPr>
      <w:r>
        <w:rPr>
          <w:rFonts w:ascii="Arial" w:cs="Arial" w:eastAsia="Arial" w:hAnsi="Arial"/>
          <w:sz w:val="22"/>
          <w:szCs w:val="22"/>
          <w:color w:val="auto"/>
        </w:rPr>
        <w:t>TO SECOND AMENDED AND RESTATED SENIOR SECURED REVOLVING CREDIT AGREEMENT</w:t>
      </w:r>
    </w:p>
    <w:p>
      <w:pPr>
        <w:spacing w:after="0" w:line="188"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THIS THIRTEENTH AMENDMENT TO SECOND AMENDED AND RESTATED SENIOR SECURED REVOLVING CREDIT AGREEMENT, dated as of May 19, 2022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to the Existing Credit Agreement (capitalized terms used herein and not otherwise defined shall have the meanings given to such terms in </w:t>
      </w:r>
      <w:r>
        <w:rPr>
          <w:rFonts w:ascii="Arial" w:cs="Arial" w:eastAsia="Arial" w:hAnsi="Arial"/>
          <w:sz w:val="22"/>
          <w:szCs w:val="22"/>
          <w:u w:val="single" w:color="auto"/>
          <w:color w:val="auto"/>
        </w:rPr>
        <w:t>Article I</w:t>
      </w:r>
      <w:r>
        <w:rPr>
          <w:rFonts w:ascii="Arial" w:cs="Arial" w:eastAsia="Arial" w:hAnsi="Arial"/>
          <w:sz w:val="22"/>
          <w:szCs w:val="22"/>
          <w:color w:val="auto"/>
        </w:rPr>
        <w:t>) is among SIXTH STREET SPECIALTY LENDING, INC. (F/K/A TPG Specialty Lending,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the LENDERS party hereto and TRUIST BANK, as Administrative Agent.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auto"/>
        </w:rPr>
        <w:t>WHEREAS, the Borrower, the Lenders party hereto and the Administrative Agent are parties to the Second Amended and Restated Senior Secured Revolving Credit Agreement, dated as of February 27, 2014 (as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the Sixth Amendment to Second Amended and Restated Senior Secured Revolving Credit Agreement, dated as of February 20, 2018, the Seventh Amendment to Second Amended and Restated Senior Secured Revolving Credit Agreement, dated as of November 5, 2018, the Eighth Amendment to Second Amended and Restated Senior Secured Revolving Credit Agreement, dated as of February 14, 2019, the Ninth Amendment to Second Amended and Restated Senior Secured Revolving Credit Agreement, dated as of January 31, 2020, the Tenth Amendment to Second Amended and Restated Senior Secured Revolving Credit Agreement, dated as of February 5, 2021, the Eleventh Amendment to Second Amended and Restated Senior Secured Revolving Credit Agreement, dated as of December 14, 2021, and the Twelfth Amendment to Second Amended and Restated Senior Secured Revolving Credit Agreement, dated as of April 25, 2022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and by this Amendment and as the same may be further amended, supplemented, amended and restated or otherwise modified from time to time, the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and</w:t>
      </w:r>
    </w:p>
    <w:p>
      <w:pPr>
        <w:spacing w:after="0" w:line="200" w:lineRule="exact"/>
        <w:rPr>
          <w:sz w:val="20"/>
          <w:szCs w:val="20"/>
          <w:color w:val="auto"/>
        </w:rPr>
      </w:pPr>
    </w:p>
    <w:p>
      <w:pPr>
        <w:spacing w:after="0" w:line="214"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WHEREAS, the Borrower has requested that the Lenders agree to amend the Existing Credit Agreement, and the Lenders party hereto are willing, on the terms and subject to the conditions hereinafter set forth, to agree to the amendment set forth below and the other terms hereof;</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NOW, THEREFORE, the parties hereto hereby covenant and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22"/>
          <w:szCs w:val="22"/>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06"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 xml:space="preserve">SECTION I.1. </w:t>
      </w:r>
      <w:r>
        <w:rPr>
          <w:rFonts w:ascii="Arial" w:cs="Arial" w:eastAsia="Arial" w:hAnsi="Arial"/>
          <w:sz w:val="22"/>
          <w:szCs w:val="22"/>
          <w:u w:val="single" w:color="auto"/>
          <w:color w:val="auto"/>
        </w:rPr>
        <w:t>Certain Definitions</w:t>
      </w:r>
      <w:r>
        <w:rPr>
          <w:rFonts w:ascii="Arial" w:cs="Arial" w:eastAsia="Arial" w:hAnsi="Arial"/>
          <w:sz w:val="22"/>
          <w:szCs w:val="22"/>
          <w:color w:val="auto"/>
        </w:rPr>
        <w:t>. The following terms when used in this Amendment shall have the following meanings (such meanings to be equally applicable to the singular and plural forms thereof):</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Agreement</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first recital</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first recital</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Thirteenth Amendment Effective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206" w:lineRule="exact"/>
        <w:rPr>
          <w:sz w:val="20"/>
          <w:szCs w:val="20"/>
          <w:color w:val="auto"/>
        </w:rPr>
      </w:pPr>
    </w:p>
    <w:p>
      <w:pPr>
        <w:ind w:right="20" w:firstLine="749"/>
        <w:spacing w:after="0" w:line="328" w:lineRule="auto"/>
        <w:rPr>
          <w:sz w:val="20"/>
          <w:szCs w:val="20"/>
          <w:color w:val="auto"/>
        </w:rPr>
      </w:pPr>
      <w:r>
        <w:rPr>
          <w:rFonts w:ascii="Arial" w:cs="Arial" w:eastAsia="Arial" w:hAnsi="Arial"/>
          <w:sz w:val="19"/>
          <w:szCs w:val="19"/>
          <w:color w:val="auto"/>
        </w:rPr>
        <w:t xml:space="preserve">SECTION I.1. </w:t>
      </w:r>
      <w:r>
        <w:rPr>
          <w:rFonts w:ascii="Arial" w:cs="Arial" w:eastAsia="Arial" w:hAnsi="Arial"/>
          <w:sz w:val="19"/>
          <w:szCs w:val="19"/>
          <w:u w:val="single" w:color="auto"/>
          <w:color w:val="auto"/>
        </w:rPr>
        <w:t>Other Definitions</w:t>
      </w:r>
      <w:r>
        <w:rPr>
          <w:rFonts w:ascii="Arial" w:cs="Arial" w:eastAsia="Arial" w:hAnsi="Arial"/>
          <w:sz w:val="19"/>
          <w:szCs w:val="19"/>
          <w:color w:val="auto"/>
        </w:rPr>
        <w:t>. Capitalized terms for which meanings are provided in the Existing Credit Agreement are, unless otherwise defined herein or the context otherwise requires, used in this Amendment with such meanings.</w:t>
      </w:r>
    </w:p>
    <w:p>
      <w:pPr>
        <w:spacing w:after="0" w:line="10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TO EXISTING CREDIT AGREEMENT</w:t>
      </w:r>
    </w:p>
    <w:p>
      <w:pPr>
        <w:spacing w:after="0" w:line="206"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 xml:space="preserve">Subject to the occurrence of the Thirteenth Amendment Effective Date, the Existing Credit Agreement is amended in accordance with this </w:t>
      </w:r>
      <w:r>
        <w:rPr>
          <w:rFonts w:ascii="Arial" w:cs="Arial" w:eastAsia="Arial" w:hAnsi="Arial"/>
          <w:sz w:val="22"/>
          <w:szCs w:val="22"/>
          <w:u w:val="single" w:color="auto"/>
          <w:color w:val="auto"/>
        </w:rPr>
        <w:t>Article II</w:t>
      </w:r>
      <w:r>
        <w:rPr>
          <w:rFonts w:ascii="Arial" w:cs="Arial" w:eastAsia="Arial" w:hAnsi="Arial"/>
          <w:sz w:val="22"/>
          <w:szCs w:val="22"/>
          <w:color w:val="auto"/>
        </w:rPr>
        <w: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II.1. Section 2.10(e) is hereby amended and restated in its entirety as follows:</w:t>
      </w:r>
    </w:p>
    <w:p>
      <w:pPr>
        <w:spacing w:after="0" w:line="206" w:lineRule="exact"/>
        <w:rPr>
          <w:sz w:val="20"/>
          <w:szCs w:val="20"/>
          <w:color w:val="auto"/>
        </w:rPr>
      </w:pPr>
    </w:p>
    <w:p>
      <w:pPr>
        <w:jc w:val="both"/>
        <w:ind w:left="760" w:firstLine="749"/>
        <w:spacing w:after="0" w:line="272" w:lineRule="auto"/>
        <w:rPr>
          <w:sz w:val="20"/>
          <w:szCs w:val="20"/>
          <w:color w:val="auto"/>
        </w:rPr>
      </w:pPr>
      <w:r>
        <w:rPr>
          <w:rFonts w:ascii="Arial" w:cs="Arial" w:eastAsia="Arial" w:hAnsi="Arial"/>
          <w:sz w:val="19"/>
          <w:szCs w:val="19"/>
          <w:color w:val="auto"/>
        </w:rPr>
        <w:t xml:space="preserve">“(e) </w:t>
      </w:r>
      <w:r>
        <w:rPr>
          <w:rFonts w:ascii="Arial" w:cs="Arial" w:eastAsia="Arial" w:hAnsi="Arial"/>
          <w:sz w:val="19"/>
          <w:szCs w:val="19"/>
          <w:u w:val="single" w:color="auto"/>
          <w:color w:val="auto"/>
        </w:rPr>
        <w:t>Notices, Etc</w:t>
      </w:r>
      <w:r>
        <w:rPr>
          <w:rFonts w:ascii="Arial" w:cs="Arial" w:eastAsia="Arial" w:hAnsi="Arial"/>
          <w:sz w:val="19"/>
          <w:szCs w:val="19"/>
          <w:color w:val="auto"/>
        </w:rPr>
        <w:t>. The Borrower shall notify the Administrative Agent (and, in the case of prepayment of a Swingline Loan made by a Swingline Lender, such Swingline Lender) by telephone (confirmed by telecopy) of any prepayment hereunder (i) in the case of prepayment of a Term SOFR Borrowing (other than in the case of a prepayment pursuant to Section 2.10(d)), not later than 11:00 a.m., New York City time, three Business Days before the date of prepayment (or such shorter period as may be agreed to by the Administrative Agent), (ii) in the case of prepayment of a Eurocurrency Borrowing denominated in a Foreign Currency (other than in the case of a prepayment pursuant to Section 2.10(d)), not later than 11:00 a.m., London time, four Business Days before the date of prepayment, (iii) in the case of prepayment of a RFR Borrowing denominated in Sterling or Swiss Francs (other than in the case of a prepayment pursuant to Section 2.10(d)), not later than 11:00 a.m., London time, four Business Days before the date of prepayment, (iv) in the case of prepayment of a Syndicated ABR Borrowing (other than in the case of a prepayment pursuant to Section 2.10(d)), not later than 11:00 a.m., New York City time on the date of prepayment, (v) in the case of prepayment of a Swingline Loan, not later than 11:00 a.m., New York City time, on the date of prepayment, and (vi) in the case of any prepayment pursuant to Section 2.10(d), not later than 1:00 p.m., New York</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#DNDocID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81" w:name="page82"/>
    <w:bookmarkEnd w:id="81"/>
    <w:p>
      <w:pPr>
        <w:jc w:val="both"/>
        <w:ind w:left="760"/>
        <w:spacing w:after="0" w:line="270" w:lineRule="auto"/>
        <w:rPr>
          <w:sz w:val="20"/>
          <w:szCs w:val="20"/>
          <w:color w:val="auto"/>
        </w:rPr>
      </w:pPr>
      <w:r>
        <w:rPr>
          <w:rFonts w:ascii="Arial" w:cs="Arial" w:eastAsia="Arial" w:hAnsi="Arial"/>
          <w:sz w:val="19"/>
          <w:szCs w:val="19"/>
          <w:color w:val="auto"/>
        </w:rPr>
        <w:t>City time, on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provided that, if (i) a notice of prepayment is given in connection with a conditional notice of termination of the Commitments of a Class as contemplated by Section 2.08, then such notice of prepayment may be revoked if such notice of termination is revoked in accordance with Section 2.08 and (ii) any notice given in connection with Section 2.10(d)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Section 2.02 or in the case of a Swingline Loan, as provided in Section 2.04, except as necessary to apply fully the required amount of a mandatory prepayment. Each prepayment of a Syndicated Borrowing of a Class of Commitments or Final Maturity Date shall be applied ratably to the Loans held by the Lenders of such Class included in the prepaid Borrowing. Prepayments shall be accompanied by accrued interest to the extent required by Section 2.12 and shall be made in the manner specified in Section 2.09(b) unless such prepayment is made in connection with the reduction of Commitments in accordance with Section 2.08(b) or (f) in which case such prepayment shall be applied in accordance with Section 2.08(d) or (f), as applicable.”.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TO EFFECTIVENESS</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III.1. </w:t>
      </w:r>
      <w:r>
        <w:rPr>
          <w:rFonts w:ascii="Arial" w:cs="Arial" w:eastAsia="Arial" w:hAnsi="Arial"/>
          <w:sz w:val="22"/>
          <w:szCs w:val="22"/>
          <w:u w:val="single" w:color="auto"/>
          <w:color w:val="auto"/>
        </w:rPr>
        <w:t>Effective Date</w:t>
      </w:r>
      <w:r>
        <w:rPr>
          <w:rFonts w:ascii="Arial" w:cs="Arial" w:eastAsia="Arial" w:hAnsi="Arial"/>
          <w:sz w:val="22"/>
          <w:szCs w:val="22"/>
          <w:color w:val="auto"/>
        </w:rPr>
        <w:t>. This Amendment shall become effective on the date (the “</w:t>
      </w:r>
      <w:r>
        <w:rPr>
          <w:rFonts w:ascii="Arial" w:cs="Arial" w:eastAsia="Arial" w:hAnsi="Arial"/>
          <w:sz w:val="22"/>
          <w:szCs w:val="22"/>
          <w:u w:val="single" w:color="auto"/>
          <w:color w:val="auto"/>
        </w:rPr>
        <w:t>Thirteenth Amendment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Effective Date</w:t>
      </w:r>
      <w:r>
        <w:rPr>
          <w:rFonts w:ascii="Arial" w:cs="Arial" w:eastAsia="Arial" w:hAnsi="Arial"/>
          <w:sz w:val="22"/>
          <w:szCs w:val="22"/>
          <w:color w:val="auto"/>
        </w:rPr>
        <w:t>”) when the Administrative Agent shall have received counterparts of this Amendment duly executed and delivered on behalf of the Borrower and each of the Lenders party hereto.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06"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 xml:space="preserve">SECTION IV.1. </w:t>
      </w:r>
      <w:r>
        <w:rPr>
          <w:rFonts w:ascii="Arial" w:cs="Arial" w:eastAsia="Arial" w:hAnsi="Arial"/>
          <w:sz w:val="22"/>
          <w:szCs w:val="22"/>
          <w:u w:val="single" w:color="auto"/>
          <w:color w:val="auto"/>
        </w:rPr>
        <w:t>Representations</w:t>
      </w:r>
      <w:r>
        <w:rPr>
          <w:rFonts w:ascii="Arial" w:cs="Arial" w:eastAsia="Arial" w:hAnsi="Arial"/>
          <w:sz w:val="22"/>
          <w:szCs w:val="22"/>
          <w:color w:val="auto"/>
        </w:rPr>
        <w:t>. The Borrower hereby represents and warrants that (i) this Amendment constitutes a legal, valid and binding obligation of it, enforceable against it in accordance with its terms, (ii) upon the effectiveness of this Amendment, no Default or Event of 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 shall be complete and correct in all material respects (or, with respect to such representations or warranties qualified by materiality or by reference to a material adverse effect, complete and correct in all respects) on and as of such previous day).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#DNDocID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82" w:name="page83"/>
    <w:bookmarkEnd w:id="82"/>
    <w:p>
      <w:pPr>
        <w:jc w:val="both"/>
        <w:ind w:firstLine="749"/>
        <w:spacing w:after="0" w:line="250" w:lineRule="auto"/>
        <w:rPr>
          <w:sz w:val="20"/>
          <w:szCs w:val="20"/>
          <w:color w:val="auto"/>
        </w:rPr>
      </w:pPr>
      <w:r>
        <w:rPr>
          <w:rFonts w:ascii="Arial" w:cs="Arial" w:eastAsia="Arial" w:hAnsi="Arial"/>
          <w:sz w:val="22"/>
          <w:szCs w:val="22"/>
          <w:color w:val="auto"/>
        </w:rPr>
        <w:t xml:space="preserve">SECTION IV.2. </w:t>
      </w:r>
      <w:r>
        <w:rPr>
          <w:rFonts w:ascii="Arial" w:cs="Arial" w:eastAsia="Arial" w:hAnsi="Arial"/>
          <w:sz w:val="22"/>
          <w:szCs w:val="22"/>
          <w:u w:val="single" w:color="auto"/>
          <w:color w:val="auto"/>
        </w:rPr>
        <w:t>Cross-References</w:t>
      </w:r>
      <w:r>
        <w:rPr>
          <w:rFonts w:ascii="Arial" w:cs="Arial" w:eastAsia="Arial" w:hAnsi="Arial"/>
          <w:sz w:val="22"/>
          <w:szCs w:val="22"/>
          <w:color w:val="auto"/>
        </w:rPr>
        <w:t>. References in this Amendment to any Article or Section are, unless otherwise specified, to such Article or Section of this Amendment.</w:t>
      </w:r>
    </w:p>
    <w:p>
      <w:pPr>
        <w:spacing w:after="0" w:line="17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IV.3. </w:t>
      </w:r>
      <w:r>
        <w:rPr>
          <w:rFonts w:ascii="Arial" w:cs="Arial" w:eastAsia="Arial" w:hAnsi="Arial"/>
          <w:sz w:val="22"/>
          <w:szCs w:val="22"/>
          <w:u w:val="single" w:color="auto"/>
          <w:color w:val="auto"/>
        </w:rPr>
        <w:t>Loan Document Pursuant to Existing Credit Agreement</w:t>
      </w:r>
      <w:r>
        <w:rPr>
          <w:rFonts w:ascii="Arial" w:cs="Arial" w:eastAsia="Arial" w:hAnsi="Arial"/>
          <w:sz w:val="22"/>
          <w:szCs w:val="22"/>
          <w:color w:val="auto"/>
        </w:rPr>
        <w:t>. This Amendment is a Loan Document executed pursuant to the Existing Credit Agreement and shall (unless otherwise expressly indicated therein) be construed, administered and applied in accordance with all of the terms and provisions of the Existing Credit Agreement, as amended hereby, including Article IX thereof.</w:t>
      </w:r>
    </w:p>
    <w:p>
      <w:pPr>
        <w:spacing w:after="0" w:line="185"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 xml:space="preserve">SECTION IV.4.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provisions of this Amendment shall be binding upon and inure to the benefit of the parties hereto and their respective successors and assigns.</w:t>
      </w:r>
    </w:p>
    <w:p>
      <w:pPr>
        <w:spacing w:after="0" w:line="17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 xml:space="preserve">SECTION IV.5. </w:t>
      </w:r>
      <w:r>
        <w:rPr>
          <w:rFonts w:ascii="Arial" w:cs="Arial" w:eastAsia="Arial" w:hAnsi="Arial"/>
          <w:sz w:val="21"/>
          <w:szCs w:val="21"/>
          <w:u w:val="single" w:color="auto"/>
          <w:color w:val="auto"/>
        </w:rPr>
        <w:t>Counterparts</w:t>
      </w:r>
      <w:r>
        <w:rPr>
          <w:rFonts w:ascii="Arial" w:cs="Arial" w:eastAsia="Arial" w:hAnsi="Arial"/>
          <w:sz w:val="21"/>
          <w:szCs w:val="21"/>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or electronically (e.g. pdf) shall be effective as delivery of a manually executed counterpart of this Amendment.</w:t>
      </w:r>
    </w:p>
    <w:p>
      <w:pPr>
        <w:spacing w:after="0" w:line="17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IV.6.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construed in accordance with the laws of the State of New York.</w:t>
      </w:r>
    </w:p>
    <w:p>
      <w:pPr>
        <w:spacing w:after="0" w:line="17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 xml:space="preserve">SECTION IV.7. </w:t>
      </w:r>
      <w:r>
        <w:rPr>
          <w:rFonts w:ascii="Arial" w:cs="Arial" w:eastAsia="Arial" w:hAnsi="Arial"/>
          <w:sz w:val="21"/>
          <w:szCs w:val="21"/>
          <w:u w:val="single" w:color="auto"/>
          <w:color w:val="auto"/>
        </w:rPr>
        <w:t>Full Force and Effect; Limited Amendment</w:t>
      </w:r>
      <w:r>
        <w:rPr>
          <w:rFonts w:ascii="Arial" w:cs="Arial" w:eastAsia="Arial" w:hAnsi="Arial"/>
          <w:sz w:val="21"/>
          <w:szCs w:val="21"/>
          <w:color w:val="auto"/>
        </w:rPr>
        <w:t>. Except as expressly amended hereby, all of the representations, warranties, terms, covenants, conditions and other provisions of the Existing Credit Agreement and the other Loan Documents shall remain unchanged and shall continue to be, and shall remain, in full force and effect in accordance with their respective terms. This Amendment does not constitute a novation or termination of the Credit Agreement Obligations (as defined in the Guarantee and Security Agreement) under the Credit Agreement as in effect immediately prior to the effectiveness of this Amendment and which remain outstanding. The amendment set forth herein shall be limited precisely as provided for herein to the provisions expressly amended herein and shall not be deemed to be an amendment to, waiver of, consent to or modification of any other terms or provisions of the Existing Credit Agreement or any other Loan Document or of any transaction or further or future action on the part of the Borrower. Upon and after the execution of this Amendment by each of the parties hereto,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modified hereby.</w:t>
      </w:r>
    </w:p>
    <w:p>
      <w:pPr>
        <w:spacing w:after="0" w:line="183"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IV.8. </w:t>
      </w:r>
      <w:r>
        <w:rPr>
          <w:rFonts w:ascii="Arial" w:cs="Arial" w:eastAsia="Arial" w:hAnsi="Arial"/>
          <w:sz w:val="22"/>
          <w:szCs w:val="22"/>
          <w:u w:val="single" w:color="auto"/>
          <w:color w:val="auto"/>
        </w:rPr>
        <w:t>Reaffirmation</w:t>
      </w:r>
      <w:r>
        <w:rPr>
          <w:rFonts w:ascii="Arial" w:cs="Arial" w:eastAsia="Arial" w:hAnsi="Arial"/>
          <w:sz w:val="22"/>
          <w:szCs w:val="22"/>
          <w:color w:val="auto"/>
        </w:rPr>
        <w:t>. Each of Sixth Street SL Holding, LLC, TC Lending, LLC and Sixth Street SL SPV, LLC hereby consents to the terms of this Amendment, confirms that its Guarantee under the Guarantee and Security Agreement remains unaltered and in full force and effect and hereby reaffirms, ratifies and confirms the terms and conditions of the Guarantee and Security Agreement.</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[REMAINDER OF PAGE INTENTIONALLY LEFT BLANK]</w:t>
      </w:r>
    </w:p>
    <w:p>
      <w:pPr>
        <w:jc w:val="center"/>
        <w:spacing w:after="0" w:line="235" w:lineRule="auto"/>
        <w:rPr>
          <w:sz w:val="20"/>
          <w:szCs w:val="20"/>
          <w:color w:val="auto"/>
        </w:rPr>
      </w:pPr>
      <w:r>
        <w:rPr>
          <w:rFonts w:ascii="Arial" w:cs="Arial" w:eastAsia="Arial" w:hAnsi="Arial"/>
          <w:sz w:val="22"/>
          <w:szCs w:val="22"/>
          <w:color w:val="auto"/>
        </w:rPr>
        <w:t>4</w:t>
      </w:r>
    </w:p>
    <w:p>
      <w:pPr>
        <w:ind w:left="40"/>
        <w:spacing w:after="0"/>
        <w:rPr>
          <w:sz w:val="20"/>
          <w:szCs w:val="20"/>
          <w:color w:val="auto"/>
        </w:rPr>
      </w:pPr>
      <w:r>
        <w:rPr>
          <w:rFonts w:ascii="Arial" w:cs="Arial" w:eastAsia="Arial" w:hAnsi="Arial"/>
          <w:sz w:val="14"/>
          <w:szCs w:val="14"/>
          <w:color w:val="auto"/>
        </w:rPr>
        <w:t>DOCVARIABLE #DNDocID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color w:val="auto"/>
        </w:rPr>
        <w:t>IN WITNESS WHEREOF, the parties hereto have executed and delivered this Amendment as of the date first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
        <w:spacing w:after="0"/>
        <w:tabs>
          <w:tab w:leader="none" w:pos="1820" w:val="left"/>
        </w:tabs>
        <w:rPr>
          <w:sz w:val="20"/>
          <w:szCs w:val="20"/>
          <w:color w:val="auto"/>
        </w:rPr>
      </w:pPr>
      <w:r>
        <w:rPr>
          <w:rFonts w:ascii="Arial" w:cs="Arial" w:eastAsia="Arial" w:hAnsi="Arial"/>
          <w:sz w:val="22"/>
          <w:szCs w:val="22"/>
          <w:u w:val="single" w:color="auto"/>
          <w:color w:val="auto"/>
        </w:rPr>
        <w:t>BORROWER</w:t>
      </w:r>
      <w:r>
        <w:rPr>
          <w:rFonts w:ascii="Arial" w:cs="Arial" w:eastAsia="Arial" w:hAnsi="Arial"/>
          <w:sz w:val="22"/>
          <w:szCs w:val="22"/>
          <w:color w:val="auto"/>
        </w:rPr>
        <w:t>:</w:t>
      </w:r>
      <w:r>
        <w:rPr>
          <w:sz w:val="20"/>
          <w:szCs w:val="20"/>
          <w:color w:val="auto"/>
        </w:rPr>
        <w:tab/>
      </w:r>
      <w:r>
        <w:rPr>
          <w:rFonts w:ascii="Arial" w:cs="Arial" w:eastAsia="Arial" w:hAnsi="Arial"/>
          <w:sz w:val="21"/>
          <w:szCs w:val="21"/>
          <w:b w:val="1"/>
          <w:bCs w:val="1"/>
          <w:color w:val="auto"/>
        </w:rPr>
        <w:t>SIXTH STREET SPECIALTY LENDING,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-17780</wp:posOffset>
            </wp:positionV>
            <wp:extent cx="11391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2">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4620"/>
        <w:spacing w:after="0" w:line="238" w:lineRule="auto"/>
        <w:rPr>
          <w:sz w:val="20"/>
          <w:szCs w:val="20"/>
          <w:color w:val="auto"/>
        </w:rPr>
      </w:pPr>
      <w:r>
        <w:rPr>
          <w:rFonts w:ascii="Arial" w:cs="Arial" w:eastAsia="Arial" w:hAnsi="Arial"/>
          <w:sz w:val="22"/>
          <w:szCs w:val="22"/>
          <w:color w:val="auto"/>
        </w:rPr>
        <w:t>Name: Ian Simmonds</w:t>
      </w:r>
    </w:p>
    <w:p>
      <w:pPr>
        <w:ind w:left="462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SIGNATURE PAGE TO THIRTEENTH AMENDMENT</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#DNDocID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4" w:name="page85"/>
    <w:bookmarkEnd w:id="84"/>
    <w:p>
      <w:pPr>
        <w:spacing w:after="0"/>
        <w:tabs>
          <w:tab w:leader="none" w:pos="1280" w:val="left"/>
        </w:tabs>
        <w:rPr>
          <w:sz w:val="20"/>
          <w:szCs w:val="20"/>
          <w:color w:val="auto"/>
        </w:rPr>
      </w:pPr>
      <w:r>
        <w:rPr>
          <w:rFonts w:ascii="Arial" w:cs="Arial" w:eastAsia="Arial" w:hAnsi="Arial"/>
          <w:sz w:val="22"/>
          <w:szCs w:val="22"/>
          <w:u w:val="single" w:color="auto"/>
          <w:color w:val="auto"/>
        </w:rPr>
        <w:t>LENDERS</w:t>
      </w:r>
      <w:r>
        <w:rPr>
          <w:rFonts w:ascii="Arial" w:cs="Arial" w:eastAsia="Arial" w:hAnsi="Arial"/>
          <w:sz w:val="22"/>
          <w:szCs w:val="22"/>
          <w:color w:val="auto"/>
        </w:rPr>
        <w:t>:</w:t>
      </w:r>
      <w:r>
        <w:rPr>
          <w:sz w:val="20"/>
          <w:szCs w:val="20"/>
          <w:color w:val="auto"/>
        </w:rPr>
        <w:tab/>
      </w:r>
      <w:r>
        <w:rPr>
          <w:rFonts w:ascii="Arial" w:cs="Arial" w:eastAsia="Arial" w:hAnsi="Arial"/>
          <w:sz w:val="21"/>
          <w:szCs w:val="21"/>
          <w:b w:val="1"/>
          <w:bCs w:val="1"/>
          <w:color w:val="auto"/>
        </w:rPr>
        <w:t>TRUIST BANK</w:t>
      </w:r>
      <w:r>
        <w:rPr>
          <w:rFonts w:ascii="Arial" w:cs="Arial" w:eastAsia="Arial" w:hAnsi="Arial"/>
          <w:sz w:val="21"/>
          <w:szCs w:val="21"/>
          <w:color w:val="auto"/>
        </w:rPr>
        <w:t>,</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as Administrative Agent, Swingline Lender, Issuing Bank and as a Lender</w:t>
      </w:r>
    </w:p>
    <w:p>
      <w:pPr>
        <w:spacing w:after="0" w:line="200" w:lineRule="exact"/>
        <w:rPr>
          <w:sz w:val="20"/>
          <w:szCs w:val="20"/>
          <w:color w:val="auto"/>
        </w:rPr>
      </w:pPr>
    </w:p>
    <w:p>
      <w:pPr>
        <w:spacing w:after="0" w:line="23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Hays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-17780</wp:posOffset>
            </wp:positionV>
            <wp:extent cx="86487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4">
                      <a:extLst>
                        <a:ext uri="{28A0092B-C50C-407E-A947-70E740481C1C}"/>
                      </a:extLst>
                    </a:blip>
                    <a:srcRect/>
                    <a:stretch>
                      <a:fillRect/>
                    </a:stretch>
                  </pic:blipFill>
                  <pic:spPr bwMode="auto">
                    <a:xfrm>
                      <a:off x="0" y="0"/>
                      <a:ext cx="864870" cy="8255"/>
                    </a:xfrm>
                    <a:prstGeom prst="rect">
                      <a:avLst/>
                    </a:prstGeom>
                    <a:noFill/>
                  </pic:spPr>
                </pic:pic>
              </a:graphicData>
            </a:graphic>
          </wp:anchor>
        </w:drawing>
      </w:r>
    </w:p>
    <w:p>
      <w:pPr>
        <w:ind w:left="4500"/>
        <w:spacing w:after="0" w:line="238" w:lineRule="auto"/>
        <w:rPr>
          <w:sz w:val="20"/>
          <w:szCs w:val="20"/>
          <w:color w:val="auto"/>
        </w:rPr>
      </w:pPr>
      <w:r>
        <w:rPr>
          <w:rFonts w:ascii="Arial" w:cs="Arial" w:eastAsia="Arial" w:hAnsi="Arial"/>
          <w:sz w:val="22"/>
          <w:szCs w:val="22"/>
          <w:color w:val="auto"/>
        </w:rPr>
        <w:t>Name: Hays Wood</w:t>
      </w:r>
    </w:p>
    <w:p>
      <w:pPr>
        <w:ind w:left="45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SIGNATURE PAGE TO THIRTEENTH AMENDMENT</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#DNDocID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733" w:right="659" w:bottom="1440" w:gutter="0" w:footer="0" w:header="0"/>
        </w:sectPr>
      </w:pPr>
    </w:p>
    <w:bookmarkStart w:id="85" w:name="page86"/>
    <w:bookmarkEnd w:id="85"/>
    <w:p>
      <w:pPr>
        <w:jc w:val="right"/>
        <w:ind w:right="1959"/>
        <w:spacing w:after="0"/>
        <w:rPr>
          <w:sz w:val="20"/>
          <w:szCs w:val="20"/>
          <w:color w:val="auto"/>
        </w:rPr>
      </w:pPr>
      <w:r>
        <w:rPr>
          <w:rFonts w:ascii="Arial" w:cs="Arial" w:eastAsia="Arial" w:hAnsi="Arial"/>
          <w:sz w:val="22"/>
          <w:szCs w:val="22"/>
          <w:color w:val="010101"/>
        </w:rPr>
        <w:t>MUFG UNION BANK, N.A., as a Lender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By: /s/ Jacob Ulevich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-17780</wp:posOffset>
            </wp:positionV>
            <wp:extent cx="11391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6">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4460"/>
        <w:spacing w:after="0" w:line="238" w:lineRule="auto"/>
        <w:rPr>
          <w:sz w:val="20"/>
          <w:szCs w:val="20"/>
          <w:color w:val="auto"/>
        </w:rPr>
      </w:pPr>
      <w:r>
        <w:rPr>
          <w:rFonts w:ascii="Arial" w:cs="Arial" w:eastAsia="Arial" w:hAnsi="Arial"/>
          <w:sz w:val="22"/>
          <w:szCs w:val="22"/>
          <w:color w:val="auto"/>
        </w:rPr>
        <w:t>Name: Jacob Ulevich</w:t>
      </w:r>
    </w:p>
    <w:p>
      <w:pPr>
        <w:ind w:left="446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43" w:lineRule="exact"/>
        <w:rPr>
          <w:sz w:val="20"/>
          <w:szCs w:val="20"/>
          <w:color w:val="auto"/>
        </w:rPr>
      </w:pPr>
    </w:p>
    <w:p>
      <w:pPr>
        <w:ind w:left="840"/>
        <w:spacing w:after="0"/>
        <w:rPr>
          <w:sz w:val="20"/>
          <w:szCs w:val="20"/>
          <w:color w:val="auto"/>
        </w:rPr>
      </w:pPr>
      <w:r>
        <w:rPr>
          <w:rFonts w:ascii="Arial" w:cs="Arial" w:eastAsia="Arial" w:hAnsi="Arial"/>
          <w:sz w:val="16"/>
          <w:szCs w:val="16"/>
          <w:i w:val="1"/>
          <w:iCs w:val="1"/>
          <w:color w:val="auto"/>
        </w:rPr>
        <w:t>SIGNATURE PAGE TO THIRTEENTH AMENDMENT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DOCVARIABLE #DNDocID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60960</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321" w:right="1440" w:bottom="1440" w:gutter="0" w:footer="0" w:header="0"/>
        </w:sectPr>
      </w:pPr>
    </w:p>
    <w:bookmarkStart w:id="86" w:name="page87"/>
    <w:bookmarkEnd w:id="86"/>
    <w:p>
      <w:pPr>
        <w:jc w:val="right"/>
        <w:ind w:right="39"/>
        <w:spacing w:after="0"/>
        <w:rPr>
          <w:sz w:val="20"/>
          <w:szCs w:val="20"/>
          <w:color w:val="auto"/>
        </w:rPr>
      </w:pPr>
      <w:r>
        <w:rPr>
          <w:rFonts w:ascii="Arial" w:cs="Arial" w:eastAsia="Arial" w:hAnsi="Arial"/>
          <w:sz w:val="22"/>
          <w:szCs w:val="22"/>
          <w:color w:val="010101"/>
        </w:rPr>
        <w:t>STATE STREET BANK AND TRUST COMPANY, as a Lender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By: /s/ Timothy Cronin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-17780</wp:posOffset>
            </wp:positionV>
            <wp:extent cx="11391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8">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4460"/>
        <w:spacing w:after="0" w:line="238" w:lineRule="auto"/>
        <w:rPr>
          <w:sz w:val="20"/>
          <w:szCs w:val="20"/>
          <w:color w:val="auto"/>
        </w:rPr>
      </w:pPr>
      <w:r>
        <w:rPr>
          <w:rFonts w:ascii="Arial" w:cs="Arial" w:eastAsia="Arial" w:hAnsi="Arial"/>
          <w:sz w:val="22"/>
          <w:szCs w:val="22"/>
          <w:color w:val="auto"/>
        </w:rPr>
        <w:t>Name: Timothy Cronin</w:t>
      </w:r>
    </w:p>
    <w:p>
      <w:pPr>
        <w:ind w:left="446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43" w:lineRule="exact"/>
        <w:rPr>
          <w:sz w:val="20"/>
          <w:szCs w:val="20"/>
          <w:color w:val="auto"/>
        </w:rPr>
      </w:pPr>
    </w:p>
    <w:p>
      <w:pPr>
        <w:ind w:left="840"/>
        <w:spacing w:after="0"/>
        <w:rPr>
          <w:sz w:val="20"/>
          <w:szCs w:val="20"/>
          <w:color w:val="auto"/>
        </w:rPr>
      </w:pPr>
      <w:r>
        <w:rPr>
          <w:rFonts w:ascii="Arial" w:cs="Arial" w:eastAsia="Arial" w:hAnsi="Arial"/>
          <w:sz w:val="16"/>
          <w:szCs w:val="16"/>
          <w:i w:val="1"/>
          <w:iCs w:val="1"/>
          <w:color w:val="auto"/>
        </w:rPr>
        <w:t>SIGNATURE PAGE TO THIRTEENTH AMENDMENT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DOCVARIABLE #DNDocID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60960</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321" w:right="1440" w:bottom="1440" w:gutter="0" w:footer="0" w:header="0"/>
        </w:sectPr>
      </w:pPr>
    </w:p>
    <w:bookmarkStart w:id="87" w:name="page88"/>
    <w:bookmarkEnd w:id="87"/>
    <w:p>
      <w:pPr>
        <w:jc w:val="right"/>
        <w:ind w:right="2059"/>
        <w:spacing w:after="0"/>
        <w:rPr>
          <w:sz w:val="20"/>
          <w:szCs w:val="20"/>
          <w:color w:val="auto"/>
        </w:rPr>
      </w:pPr>
      <w:r>
        <w:rPr>
          <w:rFonts w:ascii="Arial" w:cs="Arial" w:eastAsia="Arial" w:hAnsi="Arial"/>
          <w:sz w:val="22"/>
          <w:szCs w:val="22"/>
          <w:color w:val="auto"/>
        </w:rPr>
        <w:t>SANTANDER BANK, N.A.</w:t>
      </w:r>
      <w:r>
        <w:rPr>
          <w:rFonts w:ascii="Arial" w:cs="Arial" w:eastAsia="Arial" w:hAnsi="Arial"/>
          <w:sz w:val="22"/>
          <w:szCs w:val="22"/>
          <w:color w:val="010101"/>
        </w:rPr>
        <w:t>, as a Lender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Jennifer Baydian</w:t>
      </w:r>
    </w:p>
    <w:p>
      <w:pPr>
        <w:ind w:left="4460"/>
        <w:spacing w:after="0" w:line="238" w:lineRule="auto"/>
        <w:rPr>
          <w:sz w:val="20"/>
          <w:szCs w:val="20"/>
          <w:color w:val="auto"/>
        </w:rPr>
      </w:pPr>
      <w:r>
        <w:rPr>
          <w:rFonts w:ascii="Arial" w:cs="Arial" w:eastAsia="Arial" w:hAnsi="Arial"/>
          <w:sz w:val="22"/>
          <w:szCs w:val="22"/>
          <w:color w:val="auto"/>
        </w:rPr>
        <w:t>Name: Jennifer Baydian</w:t>
      </w:r>
    </w:p>
    <w:p>
      <w:pPr>
        <w:ind w:left="446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43" w:lineRule="exact"/>
        <w:rPr>
          <w:sz w:val="20"/>
          <w:szCs w:val="20"/>
          <w:color w:val="auto"/>
        </w:rPr>
      </w:pPr>
    </w:p>
    <w:p>
      <w:pPr>
        <w:ind w:left="840"/>
        <w:spacing w:after="0"/>
        <w:rPr>
          <w:sz w:val="20"/>
          <w:szCs w:val="20"/>
          <w:color w:val="auto"/>
        </w:rPr>
      </w:pPr>
      <w:r>
        <w:rPr>
          <w:rFonts w:ascii="Arial" w:cs="Arial" w:eastAsia="Arial" w:hAnsi="Arial"/>
          <w:sz w:val="16"/>
          <w:szCs w:val="16"/>
          <w:i w:val="1"/>
          <w:iCs w:val="1"/>
          <w:color w:val="auto"/>
        </w:rPr>
        <w:t>SIGNATURE PAGE TO THIRTEENTH AMENDMENT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DOCVARIABLE #DNDocID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60960</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321" w:right="1440" w:bottom="1440" w:gutter="0" w:footer="0" w:header="0"/>
        </w:sectPr>
      </w:pPr>
    </w:p>
    <w:bookmarkStart w:id="88" w:name="page89"/>
    <w:bookmarkEnd w:id="88"/>
    <w:p>
      <w:pPr>
        <w:jc w:val="right"/>
        <w:ind w:right="2979"/>
        <w:spacing w:after="0"/>
        <w:rPr>
          <w:sz w:val="20"/>
          <w:szCs w:val="20"/>
          <w:color w:val="auto"/>
        </w:rPr>
      </w:pPr>
      <w:r>
        <w:rPr>
          <w:rFonts w:ascii="Arial" w:cs="Arial" w:eastAsia="Arial" w:hAnsi="Arial"/>
          <w:sz w:val="22"/>
          <w:szCs w:val="22"/>
          <w:color w:val="auto"/>
        </w:rPr>
        <w:t xml:space="preserve">CITIBANK, N.A., </w:t>
      </w:r>
      <w:r>
        <w:rPr>
          <w:rFonts w:ascii="Arial" w:cs="Arial" w:eastAsia="Arial" w:hAnsi="Arial"/>
          <w:sz w:val="22"/>
          <w:szCs w:val="22"/>
          <w:color w:val="010101"/>
        </w:rPr>
        <w:t>as a Lender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By: /s/ Erik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-17780</wp:posOffset>
            </wp:positionV>
            <wp:extent cx="11391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1">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4460"/>
        <w:spacing w:after="0" w:line="238" w:lineRule="auto"/>
        <w:rPr>
          <w:sz w:val="20"/>
          <w:szCs w:val="20"/>
          <w:color w:val="auto"/>
        </w:rPr>
      </w:pPr>
      <w:r>
        <w:rPr>
          <w:rFonts w:ascii="Arial" w:cs="Arial" w:eastAsia="Arial" w:hAnsi="Arial"/>
          <w:sz w:val="22"/>
          <w:szCs w:val="22"/>
          <w:color w:val="auto"/>
        </w:rPr>
        <w:t>Name: Erik Andersen</w:t>
      </w:r>
    </w:p>
    <w:p>
      <w:pPr>
        <w:ind w:left="446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43" w:lineRule="exact"/>
        <w:rPr>
          <w:sz w:val="20"/>
          <w:szCs w:val="20"/>
          <w:color w:val="auto"/>
        </w:rPr>
      </w:pPr>
    </w:p>
    <w:p>
      <w:pPr>
        <w:ind w:left="840"/>
        <w:spacing w:after="0"/>
        <w:rPr>
          <w:sz w:val="20"/>
          <w:szCs w:val="20"/>
          <w:color w:val="auto"/>
        </w:rPr>
      </w:pPr>
      <w:r>
        <w:rPr>
          <w:rFonts w:ascii="Arial" w:cs="Arial" w:eastAsia="Arial" w:hAnsi="Arial"/>
          <w:sz w:val="16"/>
          <w:szCs w:val="16"/>
          <w:i w:val="1"/>
          <w:iCs w:val="1"/>
          <w:color w:val="auto"/>
        </w:rPr>
        <w:t>SIGNATURE PAGE TO THIRTEENTH AMENDMENT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DOCVARIABLE #DNDocID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60960</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321" w:right="1440"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color w:val="auto"/>
        </w:rPr>
        <w:t xml:space="preserve">SUMITOMO MITSUI BANKING CORPORATION, </w:t>
      </w:r>
      <w:r>
        <w:rPr>
          <w:rFonts w:ascii="Arial" w:cs="Arial" w:eastAsia="Arial" w:hAnsi="Arial"/>
          <w:sz w:val="22"/>
          <w:szCs w:val="22"/>
          <w:color w:val="010101"/>
        </w:rPr>
        <w:t>as a Lender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Shane Klein</w:t>
      </w:r>
    </w:p>
    <w:p>
      <w:pPr>
        <w:ind w:left="4460"/>
        <w:spacing w:after="0" w:line="238" w:lineRule="auto"/>
        <w:rPr>
          <w:sz w:val="20"/>
          <w:szCs w:val="20"/>
          <w:color w:val="auto"/>
        </w:rPr>
      </w:pPr>
      <w:r>
        <w:rPr>
          <w:rFonts w:ascii="Arial" w:cs="Arial" w:eastAsia="Arial" w:hAnsi="Arial"/>
          <w:sz w:val="22"/>
          <w:szCs w:val="22"/>
          <w:color w:val="auto"/>
        </w:rPr>
        <w:t>Name: Shane Klein</w:t>
      </w:r>
    </w:p>
    <w:p>
      <w:pPr>
        <w:ind w:left="446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43" w:lineRule="exact"/>
        <w:rPr>
          <w:sz w:val="20"/>
          <w:szCs w:val="20"/>
          <w:color w:val="auto"/>
        </w:rPr>
      </w:pPr>
    </w:p>
    <w:p>
      <w:pPr>
        <w:ind w:left="840"/>
        <w:spacing w:after="0"/>
        <w:rPr>
          <w:sz w:val="20"/>
          <w:szCs w:val="20"/>
          <w:color w:val="auto"/>
        </w:rPr>
      </w:pPr>
      <w:r>
        <w:rPr>
          <w:rFonts w:ascii="Arial" w:cs="Arial" w:eastAsia="Arial" w:hAnsi="Arial"/>
          <w:sz w:val="16"/>
          <w:szCs w:val="16"/>
          <w:i w:val="1"/>
          <w:iCs w:val="1"/>
          <w:color w:val="auto"/>
        </w:rPr>
        <w:t>SIGNATURE PAGE TO THIRTEENTH AMENDMENT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DOCVARIABLE #DNDocID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60960</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360" w:top="321" w:right="1379" w:bottom="1440" w:gutter="0" w:footer="0" w:header="0"/>
        </w:sectPr>
      </w:pPr>
    </w:p>
    <w:bookmarkStart w:id="90" w:name="page91"/>
    <w:bookmarkEnd w:id="90"/>
    <w:p>
      <w:pPr>
        <w:jc w:val="right"/>
        <w:ind w:right="2019"/>
        <w:spacing w:after="0"/>
        <w:rPr>
          <w:sz w:val="20"/>
          <w:szCs w:val="20"/>
          <w:color w:val="auto"/>
        </w:rPr>
      </w:pPr>
      <w:r>
        <w:rPr>
          <w:rFonts w:ascii="Arial" w:cs="Arial" w:eastAsia="Arial" w:hAnsi="Arial"/>
          <w:sz w:val="22"/>
          <w:szCs w:val="22"/>
          <w:color w:val="auto"/>
        </w:rPr>
        <w:t xml:space="preserve">BANK OF AMERICA, N.A., </w:t>
      </w:r>
      <w:r>
        <w:rPr>
          <w:rFonts w:ascii="Arial" w:cs="Arial" w:eastAsia="Arial" w:hAnsi="Arial"/>
          <w:sz w:val="22"/>
          <w:szCs w:val="22"/>
          <w:color w:val="010101"/>
        </w:rPr>
        <w:t>as a Lender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By: /s/ Sidhima Daruka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-17780</wp:posOffset>
            </wp:positionV>
            <wp:extent cx="11391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4">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4460"/>
        <w:spacing w:after="0" w:line="238" w:lineRule="auto"/>
        <w:rPr>
          <w:sz w:val="20"/>
          <w:szCs w:val="20"/>
          <w:color w:val="auto"/>
        </w:rPr>
      </w:pPr>
      <w:r>
        <w:rPr>
          <w:rFonts w:ascii="Arial" w:cs="Arial" w:eastAsia="Arial" w:hAnsi="Arial"/>
          <w:sz w:val="22"/>
          <w:szCs w:val="22"/>
          <w:color w:val="auto"/>
        </w:rPr>
        <w:t>Name: Sidhima Daruka</w:t>
      </w:r>
    </w:p>
    <w:p>
      <w:pPr>
        <w:ind w:left="446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43" w:lineRule="exact"/>
        <w:rPr>
          <w:sz w:val="20"/>
          <w:szCs w:val="20"/>
          <w:color w:val="auto"/>
        </w:rPr>
      </w:pPr>
    </w:p>
    <w:p>
      <w:pPr>
        <w:ind w:left="840"/>
        <w:spacing w:after="0"/>
        <w:rPr>
          <w:sz w:val="20"/>
          <w:szCs w:val="20"/>
          <w:color w:val="auto"/>
        </w:rPr>
      </w:pPr>
      <w:r>
        <w:rPr>
          <w:rFonts w:ascii="Arial" w:cs="Arial" w:eastAsia="Arial" w:hAnsi="Arial"/>
          <w:sz w:val="16"/>
          <w:szCs w:val="16"/>
          <w:i w:val="1"/>
          <w:iCs w:val="1"/>
          <w:color w:val="auto"/>
        </w:rPr>
        <w:t>SIGNATURE PAGE TO THIRTEENTH AMENDMENT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DOCVARIABLE #DNDocID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60960</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321" w:right="1440" w:bottom="1440" w:gutter="0" w:footer="0" w:header="0"/>
        </w:sectPr>
      </w:pPr>
    </w:p>
    <w:bookmarkStart w:id="91" w:name="page92"/>
    <w:bookmarkEnd w:id="91"/>
    <w:p>
      <w:pPr>
        <w:ind w:left="4460"/>
        <w:spacing w:after="0" w:line="250" w:lineRule="auto"/>
        <w:rPr>
          <w:sz w:val="20"/>
          <w:szCs w:val="20"/>
          <w:color w:val="auto"/>
        </w:rPr>
      </w:pPr>
      <w:r>
        <w:rPr>
          <w:rFonts w:ascii="Arial" w:cs="Arial" w:eastAsia="Arial" w:hAnsi="Arial"/>
          <w:sz w:val="22"/>
          <w:szCs w:val="22"/>
          <w:color w:val="auto"/>
        </w:rPr>
        <w:t xml:space="preserve">INDUSTRIAL AND COMMERCIAL BANK OF CHINA LIMITED, NEW YORK BRANCH, </w:t>
      </w:r>
      <w:r>
        <w:rPr>
          <w:rFonts w:ascii="Arial" w:cs="Arial" w:eastAsia="Arial" w:hAnsi="Arial"/>
          <w:sz w:val="22"/>
          <w:szCs w:val="22"/>
          <w:color w:val="010101"/>
        </w:rPr>
        <w:t>as a Lender</w:t>
      </w:r>
    </w:p>
    <w:p>
      <w:pPr>
        <w:spacing w:after="0" w:line="200" w:lineRule="exact"/>
        <w:rPr>
          <w:sz w:val="20"/>
          <w:szCs w:val="20"/>
          <w:color w:val="auto"/>
        </w:rPr>
      </w:pPr>
    </w:p>
    <w:p>
      <w:pPr>
        <w:spacing w:after="0" w:line="39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By: /s/ Weiming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-17780</wp:posOffset>
            </wp:positionV>
            <wp:extent cx="113919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6">
                      <a:extLst>
                        <a:ext uri="{28A0092B-C50C-407E-A947-70E740481C1C}"/>
                      </a:extLst>
                    </a:blip>
                    <a:srcRect/>
                    <a:stretch>
                      <a:fillRect/>
                    </a:stretch>
                  </pic:blipFill>
                  <pic:spPr bwMode="auto">
                    <a:xfrm>
                      <a:off x="0" y="0"/>
                      <a:ext cx="1139190" cy="8890"/>
                    </a:xfrm>
                    <a:prstGeom prst="rect">
                      <a:avLst/>
                    </a:prstGeom>
                    <a:noFill/>
                  </pic:spPr>
                </pic:pic>
              </a:graphicData>
            </a:graphic>
          </wp:anchor>
        </w:drawing>
      </w:r>
    </w:p>
    <w:p>
      <w:pPr>
        <w:ind w:left="4460"/>
        <w:spacing w:after="0" w:line="238" w:lineRule="auto"/>
        <w:rPr>
          <w:sz w:val="20"/>
          <w:szCs w:val="20"/>
          <w:color w:val="auto"/>
        </w:rPr>
      </w:pPr>
      <w:r>
        <w:rPr>
          <w:rFonts w:ascii="Arial" w:cs="Arial" w:eastAsia="Arial" w:hAnsi="Arial"/>
          <w:sz w:val="22"/>
          <w:szCs w:val="22"/>
          <w:color w:val="auto"/>
        </w:rPr>
        <w:t>Name: Weiming Zhou</w:t>
      </w:r>
    </w:p>
    <w:p>
      <w:pPr>
        <w:ind w:left="446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By: /s/ Charles Inkeles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-17780</wp:posOffset>
            </wp:positionV>
            <wp:extent cx="113919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7">
                      <a:extLst>
                        <a:ext uri="{28A0092B-C50C-407E-A947-70E740481C1C}"/>
                      </a:extLst>
                    </a:blip>
                    <a:srcRect/>
                    <a:stretch>
                      <a:fillRect/>
                    </a:stretch>
                  </pic:blipFill>
                  <pic:spPr bwMode="auto">
                    <a:xfrm>
                      <a:off x="0" y="0"/>
                      <a:ext cx="1139190" cy="8890"/>
                    </a:xfrm>
                    <a:prstGeom prst="rect">
                      <a:avLst/>
                    </a:prstGeom>
                    <a:noFill/>
                  </pic:spPr>
                </pic:pic>
              </a:graphicData>
            </a:graphic>
          </wp:anchor>
        </w:drawing>
      </w:r>
    </w:p>
    <w:p>
      <w:pPr>
        <w:ind w:left="4460"/>
        <w:spacing w:after="0" w:line="238" w:lineRule="auto"/>
        <w:rPr>
          <w:sz w:val="20"/>
          <w:szCs w:val="20"/>
          <w:color w:val="auto"/>
        </w:rPr>
      </w:pPr>
      <w:r>
        <w:rPr>
          <w:rFonts w:ascii="Arial" w:cs="Arial" w:eastAsia="Arial" w:hAnsi="Arial"/>
          <w:sz w:val="22"/>
          <w:szCs w:val="22"/>
          <w:color w:val="auto"/>
        </w:rPr>
        <w:t>Name: Charles Inkeles</w:t>
      </w:r>
    </w:p>
    <w:p>
      <w:pPr>
        <w:ind w:left="4460"/>
        <w:spacing w:after="0"/>
        <w:rPr>
          <w:sz w:val="20"/>
          <w:szCs w:val="20"/>
          <w:color w:val="auto"/>
        </w:rPr>
      </w:pPr>
      <w:r>
        <w:rPr>
          <w:rFonts w:ascii="Arial" w:cs="Arial" w:eastAsia="Arial" w:hAnsi="Arial"/>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40"/>
        <w:spacing w:after="0"/>
        <w:rPr>
          <w:sz w:val="20"/>
          <w:szCs w:val="20"/>
          <w:color w:val="auto"/>
        </w:rPr>
      </w:pPr>
      <w:r>
        <w:rPr>
          <w:rFonts w:ascii="Arial" w:cs="Arial" w:eastAsia="Arial" w:hAnsi="Arial"/>
          <w:sz w:val="16"/>
          <w:szCs w:val="16"/>
          <w:i w:val="1"/>
          <w:iCs w:val="1"/>
          <w:color w:val="auto"/>
        </w:rPr>
        <w:t>SIGNATURE PAGE TO THIRTEENTH AMENDMENT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DOCVARIABLE #DNDocID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60960</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60" w:top="321" w:right="459" w:bottom="1440" w:gutter="0" w:footer="0" w:header="0"/>
        </w:sectPr>
      </w:pPr>
    </w:p>
    <w:bookmarkStart w:id="92" w:name="page93"/>
    <w:bookmarkEnd w:id="92"/>
    <w:p>
      <w:pPr>
        <w:jc w:val="right"/>
        <w:ind w:right="2439"/>
        <w:spacing w:after="0"/>
        <w:rPr>
          <w:sz w:val="20"/>
          <w:szCs w:val="20"/>
          <w:color w:val="auto"/>
        </w:rPr>
      </w:pPr>
      <w:r>
        <w:rPr>
          <w:rFonts w:ascii="Arial" w:cs="Arial" w:eastAsia="Arial" w:hAnsi="Arial"/>
          <w:sz w:val="22"/>
          <w:szCs w:val="22"/>
          <w:color w:val="auto"/>
        </w:rPr>
        <w:t xml:space="preserve">MIZUHO BANK, LTD., </w:t>
      </w:r>
      <w:r>
        <w:rPr>
          <w:rFonts w:ascii="Arial" w:cs="Arial" w:eastAsia="Arial" w:hAnsi="Arial"/>
          <w:sz w:val="22"/>
          <w:szCs w:val="22"/>
          <w:color w:val="010101"/>
        </w:rPr>
        <w:t>as a Lender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By: /s/ Raymond Ventura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-17780</wp:posOffset>
            </wp:positionV>
            <wp:extent cx="141351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9">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ind w:left="4460"/>
        <w:spacing w:after="0" w:line="238" w:lineRule="auto"/>
        <w:rPr>
          <w:sz w:val="20"/>
          <w:szCs w:val="20"/>
          <w:color w:val="auto"/>
        </w:rPr>
      </w:pPr>
      <w:r>
        <w:rPr>
          <w:rFonts w:ascii="Arial" w:cs="Arial" w:eastAsia="Arial" w:hAnsi="Arial"/>
          <w:sz w:val="22"/>
          <w:szCs w:val="22"/>
          <w:color w:val="auto"/>
        </w:rPr>
        <w:t>Name: Raymond Ventura</w:t>
      </w:r>
    </w:p>
    <w:p>
      <w:pPr>
        <w:ind w:left="446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43" w:lineRule="exact"/>
        <w:rPr>
          <w:sz w:val="20"/>
          <w:szCs w:val="20"/>
          <w:color w:val="auto"/>
        </w:rPr>
      </w:pPr>
    </w:p>
    <w:p>
      <w:pPr>
        <w:ind w:left="840"/>
        <w:spacing w:after="0"/>
        <w:rPr>
          <w:sz w:val="20"/>
          <w:szCs w:val="20"/>
          <w:color w:val="auto"/>
        </w:rPr>
      </w:pPr>
      <w:r>
        <w:rPr>
          <w:rFonts w:ascii="Arial" w:cs="Arial" w:eastAsia="Arial" w:hAnsi="Arial"/>
          <w:sz w:val="16"/>
          <w:szCs w:val="16"/>
          <w:i w:val="1"/>
          <w:iCs w:val="1"/>
          <w:color w:val="auto"/>
        </w:rPr>
        <w:t>SIGNATURE PAGE TO THIRTEENTH AMENDMENT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DOCVARIABLE #DNDocID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60960</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321" w:right="1440" w:bottom="1440" w:gutter="0" w:footer="0" w:header="0"/>
        </w:sectPr>
      </w:pPr>
    </w:p>
    <w:bookmarkStart w:id="93" w:name="page94"/>
    <w:bookmarkEnd w:id="93"/>
    <w:p>
      <w:pPr>
        <w:ind w:left="4460"/>
        <w:spacing w:after="0"/>
        <w:rPr>
          <w:sz w:val="20"/>
          <w:szCs w:val="20"/>
          <w:color w:val="auto"/>
        </w:rPr>
      </w:pPr>
      <w:r>
        <w:rPr>
          <w:rFonts w:ascii="Arial" w:cs="Arial" w:eastAsia="Arial" w:hAnsi="Arial"/>
          <w:sz w:val="22"/>
          <w:szCs w:val="22"/>
          <w:color w:val="010101"/>
        </w:rPr>
        <w:t>HSBC BANK USA, N.A., as a Lender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By: /s/ Teresa Pereyra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-17780</wp:posOffset>
            </wp:positionV>
            <wp:extent cx="11391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1">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4460"/>
        <w:spacing w:after="0" w:line="238" w:lineRule="auto"/>
        <w:rPr>
          <w:sz w:val="20"/>
          <w:szCs w:val="20"/>
          <w:color w:val="auto"/>
        </w:rPr>
      </w:pPr>
      <w:r>
        <w:rPr>
          <w:rFonts w:ascii="Arial" w:cs="Arial" w:eastAsia="Arial" w:hAnsi="Arial"/>
          <w:sz w:val="22"/>
          <w:szCs w:val="22"/>
          <w:color w:val="auto"/>
        </w:rPr>
        <w:t>Name: Teresa Pereyra</w:t>
      </w:r>
    </w:p>
    <w:p>
      <w:pPr>
        <w:jc w:val="right"/>
        <w:ind w:right="1219"/>
        <w:spacing w:after="0"/>
        <w:rPr>
          <w:sz w:val="20"/>
          <w:szCs w:val="20"/>
          <w:color w:val="auto"/>
        </w:rPr>
      </w:pPr>
      <w:r>
        <w:rPr>
          <w:rFonts w:ascii="Arial" w:cs="Arial" w:eastAsia="Arial" w:hAnsi="Arial"/>
          <w:sz w:val="22"/>
          <w:szCs w:val="22"/>
          <w:color w:val="auto"/>
        </w:rPr>
        <w:t>Title:  Vice President, Financial Institutions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40"/>
        <w:spacing w:after="0"/>
        <w:rPr>
          <w:sz w:val="20"/>
          <w:szCs w:val="20"/>
          <w:color w:val="auto"/>
        </w:rPr>
      </w:pPr>
      <w:r>
        <w:rPr>
          <w:rFonts w:ascii="Arial" w:cs="Arial" w:eastAsia="Arial" w:hAnsi="Arial"/>
          <w:sz w:val="16"/>
          <w:szCs w:val="16"/>
          <w:i w:val="1"/>
          <w:iCs w:val="1"/>
          <w:color w:val="auto"/>
        </w:rPr>
        <w:t>SIGNATURE PAGE TO THIRTEENTH AMENDMENT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DOCVARIABLE #DNDocID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60960</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321" w:right="1440" w:bottom="1440" w:gutter="0" w:footer="0" w:header="0"/>
        </w:sectPr>
      </w:pPr>
    </w:p>
    <w:bookmarkStart w:id="94" w:name="page95"/>
    <w:bookmarkEnd w:id="94"/>
    <w:p>
      <w:pPr>
        <w:jc w:val="right"/>
        <w:ind w:right="1519"/>
        <w:spacing w:after="0"/>
        <w:rPr>
          <w:sz w:val="20"/>
          <w:szCs w:val="20"/>
          <w:color w:val="auto"/>
        </w:rPr>
      </w:pPr>
      <w:r>
        <w:rPr>
          <w:rFonts w:ascii="Arial" w:cs="Arial" w:eastAsia="Arial" w:hAnsi="Arial"/>
          <w:sz w:val="22"/>
          <w:szCs w:val="22"/>
          <w:color w:val="auto"/>
        </w:rPr>
        <w:t xml:space="preserve">GOLDMAN SACHS BANK USA, </w:t>
      </w:r>
      <w:r>
        <w:rPr>
          <w:rFonts w:ascii="Arial" w:cs="Arial" w:eastAsia="Arial" w:hAnsi="Arial"/>
          <w:sz w:val="22"/>
          <w:szCs w:val="22"/>
          <w:color w:val="010101"/>
        </w:rPr>
        <w:t>as a Lender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By: /s/ Dan Martis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-17780</wp:posOffset>
            </wp:positionV>
            <wp:extent cx="86487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3">
                      <a:extLst>
                        <a:ext uri="{28A0092B-C50C-407E-A947-70E740481C1C}"/>
                      </a:extLst>
                    </a:blip>
                    <a:srcRect/>
                    <a:stretch>
                      <a:fillRect/>
                    </a:stretch>
                  </pic:blipFill>
                  <pic:spPr bwMode="auto">
                    <a:xfrm>
                      <a:off x="0" y="0"/>
                      <a:ext cx="864870" cy="8255"/>
                    </a:xfrm>
                    <a:prstGeom prst="rect">
                      <a:avLst/>
                    </a:prstGeom>
                    <a:noFill/>
                  </pic:spPr>
                </pic:pic>
              </a:graphicData>
            </a:graphic>
          </wp:anchor>
        </w:drawing>
      </w:r>
    </w:p>
    <w:p>
      <w:pPr>
        <w:ind w:left="4460"/>
        <w:spacing w:after="0" w:line="238" w:lineRule="auto"/>
        <w:rPr>
          <w:sz w:val="20"/>
          <w:szCs w:val="20"/>
          <w:color w:val="auto"/>
        </w:rPr>
      </w:pPr>
      <w:r>
        <w:rPr>
          <w:rFonts w:ascii="Arial" w:cs="Arial" w:eastAsia="Arial" w:hAnsi="Arial"/>
          <w:sz w:val="22"/>
          <w:szCs w:val="22"/>
          <w:color w:val="auto"/>
        </w:rPr>
        <w:t>Name: Dan Martis</w:t>
      </w:r>
    </w:p>
    <w:p>
      <w:pPr>
        <w:ind w:left="446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840"/>
        <w:spacing w:after="0"/>
        <w:rPr>
          <w:sz w:val="20"/>
          <w:szCs w:val="20"/>
          <w:color w:val="auto"/>
        </w:rPr>
      </w:pPr>
      <w:r>
        <w:rPr>
          <w:rFonts w:ascii="Arial" w:cs="Arial" w:eastAsia="Arial" w:hAnsi="Arial"/>
          <w:sz w:val="16"/>
          <w:szCs w:val="16"/>
          <w:i w:val="1"/>
          <w:iCs w:val="1"/>
          <w:color w:val="auto"/>
        </w:rPr>
        <w:t>SIGNATURE PAGE TO THIRTEENTH AMENDMENT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DOCVARIABLE #DNDocID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60960</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321" w:right="1440" w:bottom="1440" w:gutter="0" w:footer="0" w:header="0"/>
        </w:sectPr>
      </w:pPr>
    </w:p>
    <w:bookmarkStart w:id="95" w:name="page96"/>
    <w:bookmarkEnd w:id="95"/>
    <w:p>
      <w:pPr>
        <w:jc w:val="right"/>
        <w:ind w:right="1839"/>
        <w:spacing w:after="0"/>
        <w:rPr>
          <w:sz w:val="20"/>
          <w:szCs w:val="20"/>
          <w:color w:val="auto"/>
        </w:rPr>
      </w:pPr>
      <w:r>
        <w:rPr>
          <w:rFonts w:ascii="Arial" w:cs="Arial" w:eastAsia="Arial" w:hAnsi="Arial"/>
          <w:sz w:val="22"/>
          <w:szCs w:val="22"/>
          <w:color w:val="auto"/>
        </w:rPr>
        <w:t xml:space="preserve">ROYAL BANK OF CANADA, </w:t>
      </w:r>
      <w:r>
        <w:rPr>
          <w:rFonts w:ascii="Arial" w:cs="Arial" w:eastAsia="Arial" w:hAnsi="Arial"/>
          <w:sz w:val="22"/>
          <w:szCs w:val="22"/>
          <w:color w:val="010101"/>
        </w:rPr>
        <w:t>as a Lender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By: /s/ Alex Figueroa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-17780</wp:posOffset>
            </wp:positionV>
            <wp:extent cx="11391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5">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4460"/>
        <w:spacing w:after="0" w:line="238" w:lineRule="auto"/>
        <w:rPr>
          <w:sz w:val="20"/>
          <w:szCs w:val="20"/>
          <w:color w:val="auto"/>
        </w:rPr>
      </w:pPr>
      <w:r>
        <w:rPr>
          <w:rFonts w:ascii="Arial" w:cs="Arial" w:eastAsia="Arial" w:hAnsi="Arial"/>
          <w:sz w:val="22"/>
          <w:szCs w:val="22"/>
          <w:color w:val="auto"/>
        </w:rPr>
        <w:t>Name: Alex Figueroa</w:t>
      </w:r>
    </w:p>
    <w:p>
      <w:pPr>
        <w:ind w:left="446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840"/>
        <w:spacing w:after="0"/>
        <w:rPr>
          <w:sz w:val="20"/>
          <w:szCs w:val="20"/>
          <w:color w:val="auto"/>
        </w:rPr>
      </w:pPr>
      <w:r>
        <w:rPr>
          <w:rFonts w:ascii="Arial" w:cs="Arial" w:eastAsia="Arial" w:hAnsi="Arial"/>
          <w:sz w:val="16"/>
          <w:szCs w:val="16"/>
          <w:i w:val="1"/>
          <w:iCs w:val="1"/>
          <w:color w:val="auto"/>
        </w:rPr>
        <w:t>SIGNATURE PAGE TO THIRTEENTH AMENDMENT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DOCVARIABLE #DNDocID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60960</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321" w:right="1440" w:bottom="1440" w:gutter="0" w:footer="0" w:header="0"/>
        </w:sectPr>
      </w:pPr>
    </w:p>
    <w:bookmarkStart w:id="96" w:name="page97"/>
    <w:bookmarkEnd w:id="96"/>
    <w:p>
      <w:pPr>
        <w:jc w:val="right"/>
        <w:ind w:right="2719"/>
        <w:spacing w:after="0"/>
        <w:rPr>
          <w:sz w:val="20"/>
          <w:szCs w:val="20"/>
          <w:color w:val="auto"/>
        </w:rPr>
      </w:pPr>
      <w:r>
        <w:rPr>
          <w:rFonts w:ascii="Arial" w:cs="Arial" w:eastAsia="Arial" w:hAnsi="Arial"/>
          <w:sz w:val="22"/>
          <w:szCs w:val="22"/>
          <w:color w:val="auto"/>
        </w:rPr>
        <w:t xml:space="preserve">COMERICA BANK, </w:t>
      </w:r>
      <w:r>
        <w:rPr>
          <w:rFonts w:ascii="Arial" w:cs="Arial" w:eastAsia="Arial" w:hAnsi="Arial"/>
          <w:sz w:val="22"/>
          <w:szCs w:val="22"/>
          <w:color w:val="010101"/>
        </w:rPr>
        <w:t>as a Lender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By: /s/ Robert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-17780</wp:posOffset>
            </wp:positionV>
            <wp:extent cx="11391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7">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4460"/>
        <w:spacing w:after="0" w:line="238" w:lineRule="auto"/>
        <w:rPr>
          <w:sz w:val="20"/>
          <w:szCs w:val="20"/>
          <w:color w:val="auto"/>
        </w:rPr>
      </w:pPr>
      <w:r>
        <w:rPr>
          <w:rFonts w:ascii="Arial" w:cs="Arial" w:eastAsia="Arial" w:hAnsi="Arial"/>
          <w:sz w:val="22"/>
          <w:szCs w:val="22"/>
          <w:color w:val="auto"/>
        </w:rPr>
        <w:t>Name: Robert Wilson</w:t>
      </w:r>
    </w:p>
    <w:p>
      <w:pPr>
        <w:ind w:left="446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43" w:lineRule="exact"/>
        <w:rPr>
          <w:sz w:val="20"/>
          <w:szCs w:val="20"/>
          <w:color w:val="auto"/>
        </w:rPr>
      </w:pPr>
    </w:p>
    <w:p>
      <w:pPr>
        <w:ind w:left="840"/>
        <w:spacing w:after="0"/>
        <w:rPr>
          <w:sz w:val="20"/>
          <w:szCs w:val="20"/>
          <w:color w:val="auto"/>
        </w:rPr>
      </w:pPr>
      <w:r>
        <w:rPr>
          <w:rFonts w:ascii="Arial" w:cs="Arial" w:eastAsia="Arial" w:hAnsi="Arial"/>
          <w:sz w:val="16"/>
          <w:szCs w:val="16"/>
          <w:i w:val="1"/>
          <w:iCs w:val="1"/>
          <w:color w:val="auto"/>
        </w:rPr>
        <w:t>SIGNATURE PAGE TO THIRTEENTH AMENDMENT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DOCVARIABLE #DNDocID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60960</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321" w:right="1440" w:bottom="1440" w:gutter="0" w:footer="0" w:header="0"/>
        </w:sectPr>
      </w:pPr>
    </w:p>
    <w:bookmarkStart w:id="97" w:name="page98"/>
    <w:bookmarkEnd w:id="97"/>
    <w:p>
      <w:pPr>
        <w:jc w:val="right"/>
        <w:ind w:right="2219"/>
        <w:spacing w:after="0"/>
        <w:rPr>
          <w:sz w:val="20"/>
          <w:szCs w:val="20"/>
          <w:color w:val="auto"/>
        </w:rPr>
      </w:pPr>
      <w:r>
        <w:rPr>
          <w:rFonts w:ascii="Arial" w:cs="Arial" w:eastAsia="Arial" w:hAnsi="Arial"/>
          <w:sz w:val="22"/>
          <w:szCs w:val="22"/>
          <w:color w:val="auto"/>
        </w:rPr>
        <w:t xml:space="preserve">STIFEL BANK &amp; TRUST, </w:t>
      </w:r>
      <w:r>
        <w:rPr>
          <w:rFonts w:ascii="Arial" w:cs="Arial" w:eastAsia="Arial" w:hAnsi="Arial"/>
          <w:sz w:val="22"/>
          <w:szCs w:val="22"/>
          <w:color w:val="010101"/>
        </w:rPr>
        <w:t>as a Lender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By: /s/ Joseph L. Sooter,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-17780</wp:posOffset>
            </wp:positionV>
            <wp:extent cx="141351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9">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ind w:left="4460"/>
        <w:spacing w:after="0" w:line="238" w:lineRule="auto"/>
        <w:rPr>
          <w:sz w:val="20"/>
          <w:szCs w:val="20"/>
          <w:color w:val="auto"/>
        </w:rPr>
      </w:pPr>
      <w:r>
        <w:rPr>
          <w:rFonts w:ascii="Arial" w:cs="Arial" w:eastAsia="Arial" w:hAnsi="Arial"/>
          <w:sz w:val="22"/>
          <w:szCs w:val="22"/>
          <w:color w:val="auto"/>
        </w:rPr>
        <w:t>Name: Joseph L. Sooter, Jr.</w:t>
      </w:r>
    </w:p>
    <w:p>
      <w:pPr>
        <w:ind w:left="446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43" w:lineRule="exact"/>
        <w:rPr>
          <w:sz w:val="20"/>
          <w:szCs w:val="20"/>
          <w:color w:val="auto"/>
        </w:rPr>
      </w:pPr>
    </w:p>
    <w:p>
      <w:pPr>
        <w:ind w:left="840"/>
        <w:spacing w:after="0"/>
        <w:rPr>
          <w:sz w:val="20"/>
          <w:szCs w:val="20"/>
          <w:color w:val="auto"/>
        </w:rPr>
      </w:pPr>
      <w:r>
        <w:rPr>
          <w:rFonts w:ascii="Arial" w:cs="Arial" w:eastAsia="Arial" w:hAnsi="Arial"/>
          <w:sz w:val="16"/>
          <w:szCs w:val="16"/>
          <w:i w:val="1"/>
          <w:iCs w:val="1"/>
          <w:color w:val="auto"/>
        </w:rPr>
        <w:t>SIGNATURE PAGE TO THIRTEENTH AMENDMENT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DOCVARIABLE #DNDocID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60960</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321" w:right="1440" w:bottom="1440" w:gutter="0" w:footer="0" w:header="0"/>
        </w:sectPr>
      </w:pPr>
    </w:p>
    <w:bookmarkStart w:id="98" w:name="page99"/>
    <w:bookmarkEnd w:id="98"/>
    <w:p>
      <w:pPr>
        <w:jc w:val="right"/>
        <w:ind w:right="2219"/>
        <w:spacing w:after="0"/>
        <w:rPr>
          <w:sz w:val="20"/>
          <w:szCs w:val="20"/>
          <w:color w:val="auto"/>
        </w:rPr>
      </w:pPr>
      <w:r>
        <w:rPr>
          <w:rFonts w:ascii="Arial" w:cs="Arial" w:eastAsia="Arial" w:hAnsi="Arial"/>
          <w:sz w:val="22"/>
          <w:szCs w:val="22"/>
          <w:color w:val="auto"/>
        </w:rPr>
        <w:t xml:space="preserve">CITY NATIONAL BANK, </w:t>
      </w:r>
      <w:r>
        <w:rPr>
          <w:rFonts w:ascii="Arial" w:cs="Arial" w:eastAsia="Arial" w:hAnsi="Arial"/>
          <w:sz w:val="22"/>
          <w:szCs w:val="22"/>
          <w:color w:val="010101"/>
        </w:rPr>
        <w:t>as a Lender</w:t>
      </w:r>
    </w:p>
    <w:p>
      <w:pPr>
        <w:spacing w:after="0" w:line="20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By: /s/ Matt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-17780</wp:posOffset>
            </wp:positionV>
            <wp:extent cx="11391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1">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4460"/>
        <w:spacing w:after="0" w:line="238" w:lineRule="auto"/>
        <w:rPr>
          <w:sz w:val="20"/>
          <w:szCs w:val="20"/>
          <w:color w:val="auto"/>
        </w:rPr>
      </w:pPr>
      <w:r>
        <w:rPr>
          <w:rFonts w:ascii="Arial" w:cs="Arial" w:eastAsia="Arial" w:hAnsi="Arial"/>
          <w:sz w:val="22"/>
          <w:szCs w:val="22"/>
          <w:color w:val="auto"/>
        </w:rPr>
        <w:t>Name: Matt Patterson</w:t>
      </w:r>
    </w:p>
    <w:p>
      <w:pPr>
        <w:ind w:left="446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43" w:lineRule="exact"/>
        <w:rPr>
          <w:sz w:val="20"/>
          <w:szCs w:val="20"/>
          <w:color w:val="auto"/>
        </w:rPr>
      </w:pPr>
    </w:p>
    <w:p>
      <w:pPr>
        <w:ind w:left="840"/>
        <w:spacing w:after="0"/>
        <w:rPr>
          <w:sz w:val="20"/>
          <w:szCs w:val="20"/>
          <w:color w:val="auto"/>
        </w:rPr>
      </w:pPr>
      <w:r>
        <w:rPr>
          <w:rFonts w:ascii="Arial" w:cs="Arial" w:eastAsia="Arial" w:hAnsi="Arial"/>
          <w:sz w:val="16"/>
          <w:szCs w:val="16"/>
          <w:i w:val="1"/>
          <w:iCs w:val="1"/>
          <w:color w:val="auto"/>
        </w:rPr>
        <w:t>SIGNATURE PAGE TO THIRTEENTH AMENDMENT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DOCVARIABLE #DNDocID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60960</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321" w:right="1440" w:bottom="1440" w:gutter="0" w:footer="0" w:header="0"/>
        </w:sectPr>
      </w:pPr>
    </w:p>
    <w:bookmarkStart w:id="99" w:name="page100"/>
    <w:bookmarkEnd w:id="99"/>
    <w:p>
      <w:pPr>
        <w:ind w:left="4460"/>
        <w:spacing w:after="0"/>
        <w:rPr>
          <w:sz w:val="20"/>
          <w:szCs w:val="20"/>
          <w:color w:val="auto"/>
        </w:rPr>
      </w:pPr>
      <w:r>
        <w:rPr>
          <w:rFonts w:ascii="Arial" w:cs="Arial" w:eastAsia="Arial" w:hAnsi="Arial"/>
          <w:sz w:val="19"/>
          <w:szCs w:val="19"/>
          <w:color w:val="auto"/>
        </w:rPr>
        <w:t xml:space="preserve">Agreed and acknowledged solely with respect to </w:t>
      </w:r>
      <w:r>
        <w:rPr>
          <w:rFonts w:ascii="Arial" w:cs="Arial" w:eastAsia="Arial" w:hAnsi="Arial"/>
          <w:sz w:val="19"/>
          <w:szCs w:val="19"/>
          <w:u w:val="single" w:color="auto"/>
          <w:color w:val="auto"/>
        </w:rPr>
        <w:t>Section 4.8</w:t>
      </w:r>
      <w:r>
        <w:rPr>
          <w:rFonts w:ascii="Arial" w:cs="Arial" w:eastAsia="Arial" w:hAnsi="Arial"/>
          <w:sz w:val="19"/>
          <w:szCs w:val="19"/>
          <w:color w:val="auto"/>
        </w:rPr>
        <w:t>.</w:t>
      </w:r>
    </w:p>
    <w:p>
      <w:pPr>
        <w:spacing w:after="0" w:line="235"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TC LENDING, LLC</w:t>
      </w:r>
    </w:p>
    <w:p>
      <w:pPr>
        <w:spacing w:after="0" w:line="200" w:lineRule="exact"/>
        <w:rPr>
          <w:sz w:val="20"/>
          <w:szCs w:val="20"/>
          <w:color w:val="auto"/>
        </w:rPr>
      </w:pPr>
    </w:p>
    <w:p>
      <w:pPr>
        <w:spacing w:after="0" w:line="25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-17780</wp:posOffset>
            </wp:positionV>
            <wp:extent cx="117348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3">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4460"/>
        <w:spacing w:after="0" w:line="238" w:lineRule="auto"/>
        <w:rPr>
          <w:sz w:val="20"/>
          <w:szCs w:val="20"/>
          <w:color w:val="auto"/>
        </w:rPr>
      </w:pPr>
      <w:r>
        <w:rPr>
          <w:rFonts w:ascii="Arial" w:cs="Arial" w:eastAsia="Arial" w:hAnsi="Arial"/>
          <w:sz w:val="22"/>
          <w:szCs w:val="22"/>
          <w:color w:val="auto"/>
        </w:rPr>
        <w:t>Name: Ian Simmonds</w:t>
      </w:r>
    </w:p>
    <w:p>
      <w:pPr>
        <w:ind w:left="4460"/>
        <w:spacing w:after="0"/>
        <w:rPr>
          <w:sz w:val="20"/>
          <w:szCs w:val="20"/>
          <w:color w:val="auto"/>
        </w:rPr>
      </w:pPr>
      <w:r>
        <w:rPr>
          <w:rFonts w:ascii="Arial" w:cs="Arial" w:eastAsia="Arial" w:hAnsi="Arial"/>
          <w:sz w:val="22"/>
          <w:szCs w:val="22"/>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278765</wp:posOffset>
            </wp:positionV>
            <wp:extent cx="342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SIXTH STREET SL HOLDING, LLC</w:t>
      </w:r>
    </w:p>
    <w:p>
      <w:pPr>
        <w:spacing w:after="0" w:line="200" w:lineRule="exact"/>
        <w:rPr>
          <w:sz w:val="20"/>
          <w:szCs w:val="20"/>
          <w:color w:val="auto"/>
        </w:rPr>
      </w:pPr>
    </w:p>
    <w:p>
      <w:pPr>
        <w:spacing w:after="0" w:line="25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-17780</wp:posOffset>
            </wp:positionV>
            <wp:extent cx="117348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5">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ind w:left="4460"/>
        <w:spacing w:after="0" w:line="238" w:lineRule="auto"/>
        <w:rPr>
          <w:sz w:val="20"/>
          <w:szCs w:val="20"/>
          <w:color w:val="auto"/>
        </w:rPr>
      </w:pPr>
      <w:r>
        <w:rPr>
          <w:rFonts w:ascii="Arial" w:cs="Arial" w:eastAsia="Arial" w:hAnsi="Arial"/>
          <w:sz w:val="22"/>
          <w:szCs w:val="22"/>
          <w:color w:val="auto"/>
        </w:rPr>
        <w:t>Name: Ian Simmonds</w:t>
      </w:r>
    </w:p>
    <w:p>
      <w:pPr>
        <w:ind w:left="446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SIXTH STREET SL SPV, LLC</w:t>
      </w:r>
    </w:p>
    <w:p>
      <w:pPr>
        <w:spacing w:after="0" w:line="200" w:lineRule="exact"/>
        <w:rPr>
          <w:sz w:val="20"/>
          <w:szCs w:val="20"/>
          <w:color w:val="auto"/>
        </w:rPr>
      </w:pPr>
    </w:p>
    <w:p>
      <w:pPr>
        <w:spacing w:after="0" w:line="25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-17780</wp:posOffset>
            </wp:positionV>
            <wp:extent cx="117348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6">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4460"/>
        <w:spacing w:after="0" w:line="238" w:lineRule="auto"/>
        <w:rPr>
          <w:sz w:val="20"/>
          <w:szCs w:val="20"/>
          <w:color w:val="auto"/>
        </w:rPr>
      </w:pPr>
      <w:r>
        <w:rPr>
          <w:rFonts w:ascii="Arial" w:cs="Arial" w:eastAsia="Arial" w:hAnsi="Arial"/>
          <w:sz w:val="22"/>
          <w:szCs w:val="22"/>
          <w:color w:val="auto"/>
        </w:rPr>
        <w:t>Name: Ian Simmonds</w:t>
      </w:r>
    </w:p>
    <w:p>
      <w:pPr>
        <w:ind w:left="4460"/>
        <w:spacing w:after="0"/>
        <w:rPr>
          <w:sz w:val="20"/>
          <w:szCs w:val="20"/>
          <w:color w:val="auto"/>
        </w:rPr>
      </w:pPr>
      <w:r>
        <w:rPr>
          <w:rFonts w:ascii="Arial" w:cs="Arial" w:eastAsia="Arial" w:hAnsi="Arial"/>
          <w:sz w:val="22"/>
          <w:szCs w:val="22"/>
          <w:color w:val="auto"/>
        </w:rPr>
        <w:t>Title:  Chief Financial Officer</w:t>
      </w:r>
    </w:p>
    <w:p>
      <w:pPr>
        <w:spacing w:after="0" w:line="240" w:lineRule="exact"/>
        <w:rPr>
          <w:sz w:val="20"/>
          <w:szCs w:val="20"/>
          <w:color w:val="auto"/>
        </w:rPr>
      </w:pPr>
    </w:p>
    <w:p>
      <w:pPr>
        <w:ind w:left="840"/>
        <w:spacing w:after="0"/>
        <w:rPr>
          <w:sz w:val="20"/>
          <w:szCs w:val="20"/>
          <w:color w:val="auto"/>
        </w:rPr>
      </w:pPr>
      <w:r>
        <w:rPr>
          <w:rFonts w:ascii="Arial" w:cs="Arial" w:eastAsia="Arial" w:hAnsi="Arial"/>
          <w:sz w:val="16"/>
          <w:szCs w:val="16"/>
          <w:i w:val="1"/>
          <w:iCs w:val="1"/>
          <w:color w:val="auto"/>
        </w:rPr>
        <w:t>SIGNATURE PAGE TO THIRTEENTH AMENDMENT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DOCVARIABLE #DNDocID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60960</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523" w:right="1440" w:bottom="1440" w:gutter="0" w:footer="0" w:header="0"/>
        </w:sectPr>
      </w:pPr>
    </w:p>
    <w:bookmarkStart w:id="100" w:name="page101"/>
    <w:bookmarkEnd w:id="100"/>
    <w:p>
      <w:pPr>
        <w:ind w:left="10260"/>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04" w:lineRule="exact"/>
        <w:rPr>
          <w:sz w:val="20"/>
          <w:szCs w:val="20"/>
          <w:color w:val="auto"/>
        </w:rPr>
      </w:pPr>
    </w:p>
    <w:p>
      <w:pPr>
        <w:ind w:left="620" w:hanging="357"/>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Sixth Street Specialty Lending, Inc.;</w:t>
      </w:r>
    </w:p>
    <w:p>
      <w:pPr>
        <w:spacing w:after="0" w:line="103" w:lineRule="exact"/>
        <w:rPr>
          <w:rFonts w:ascii="Arial" w:cs="Arial" w:eastAsia="Arial" w:hAnsi="Arial"/>
          <w:sz w:val="18"/>
          <w:szCs w:val="18"/>
          <w:color w:val="auto"/>
        </w:rPr>
      </w:pPr>
    </w:p>
    <w:p>
      <w:pPr>
        <w:ind w:left="780" w:hanging="517"/>
        <w:spacing w:after="0" w:line="248" w:lineRule="auto"/>
        <w:tabs>
          <w:tab w:leader="none" w:pos="631"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00" w:hanging="517"/>
        <w:spacing w:after="0" w:line="291" w:lineRule="auto"/>
        <w:tabs>
          <w:tab w:leader="none" w:pos="631"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right"/>
        <w:ind w:left="780" w:right="320" w:hanging="517"/>
        <w:spacing w:after="0" w:line="274" w:lineRule="auto"/>
        <w:tabs>
          <w:tab w:leader="none" w:pos="631"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7" w:lineRule="exact"/>
        <w:rPr>
          <w:rFonts w:ascii="Arial" w:cs="Arial" w:eastAsia="Arial" w:hAnsi="Arial"/>
          <w:sz w:val="16"/>
          <w:szCs w:val="16"/>
          <w:color w:val="auto"/>
        </w:rPr>
      </w:pPr>
    </w:p>
    <w:p>
      <w:pPr>
        <w:ind w:left="1280" w:right="60" w:hanging="509"/>
        <w:spacing w:after="0" w:line="248" w:lineRule="auto"/>
        <w:tabs>
          <w:tab w:leader="none" w:pos="1131"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80" w:right="40" w:hanging="509"/>
        <w:spacing w:after="0" w:line="248" w:lineRule="auto"/>
        <w:tabs>
          <w:tab w:leader="none" w:pos="1131"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ind w:left="1280" w:right="220" w:hanging="509"/>
        <w:spacing w:after="0" w:line="324" w:lineRule="auto"/>
        <w:tabs>
          <w:tab w:leader="none" w:pos="1131"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280" w:right="80" w:hanging="509"/>
        <w:spacing w:after="0" w:line="248" w:lineRule="auto"/>
        <w:tabs>
          <w:tab w:leader="none" w:pos="1131"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0" w:hanging="517"/>
        <w:spacing w:after="0" w:line="291" w:lineRule="auto"/>
        <w:tabs>
          <w:tab w:leader="none" w:pos="631"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280" w:right="600" w:hanging="509"/>
        <w:spacing w:after="0" w:line="324" w:lineRule="auto"/>
        <w:tabs>
          <w:tab w:leader="none" w:pos="1131"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280" w:right="300" w:hanging="509"/>
        <w:spacing w:after="0" w:line="261" w:lineRule="auto"/>
        <w:tabs>
          <w:tab w:leader="none" w:pos="1131"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760" w:val="left"/>
          <w:tab w:leader="none" w:pos="7200" w:val="left"/>
        </w:tabs>
        <w:rPr>
          <w:sz w:val="20"/>
          <w:szCs w:val="20"/>
          <w:color w:val="auto"/>
        </w:rPr>
      </w:pPr>
      <w:r>
        <w:rPr>
          <w:rFonts w:ascii="Arial" w:cs="Arial" w:eastAsia="Arial" w:hAnsi="Arial"/>
          <w:sz w:val="18"/>
          <w:szCs w:val="18"/>
          <w:color w:val="auto"/>
        </w:rPr>
        <w:t>Date: August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6350</wp:posOffset>
            </wp:positionV>
            <wp:extent cx="256286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Joshua Easterly</w:t>
      </w:r>
    </w:p>
    <w:p>
      <w:pPr>
        <w:spacing w:after="0" w:line="12"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01" w:name="page102"/>
    <w:bookmarkEnd w:id="101"/>
    <w:p>
      <w:pPr>
        <w:ind w:left="10260"/>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04" w:lineRule="exact"/>
        <w:rPr>
          <w:sz w:val="20"/>
          <w:szCs w:val="20"/>
          <w:color w:val="auto"/>
        </w:rPr>
      </w:pPr>
    </w:p>
    <w:p>
      <w:pPr>
        <w:ind w:left="620" w:hanging="357"/>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Sixth Street Specialty Lending, Inc.;</w:t>
      </w:r>
    </w:p>
    <w:p>
      <w:pPr>
        <w:spacing w:after="0" w:line="103" w:lineRule="exact"/>
        <w:rPr>
          <w:rFonts w:ascii="Arial" w:cs="Arial" w:eastAsia="Arial" w:hAnsi="Arial"/>
          <w:sz w:val="18"/>
          <w:szCs w:val="18"/>
          <w:color w:val="auto"/>
        </w:rPr>
      </w:pPr>
    </w:p>
    <w:p>
      <w:pPr>
        <w:ind w:left="780" w:hanging="517"/>
        <w:spacing w:after="0" w:line="248" w:lineRule="auto"/>
        <w:tabs>
          <w:tab w:leader="none" w:pos="631"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00" w:hanging="517"/>
        <w:spacing w:after="0" w:line="291" w:lineRule="auto"/>
        <w:tabs>
          <w:tab w:leader="none" w:pos="631"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right"/>
        <w:ind w:left="780" w:right="320" w:hanging="517"/>
        <w:spacing w:after="0" w:line="274" w:lineRule="auto"/>
        <w:tabs>
          <w:tab w:leader="none" w:pos="631"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7" w:lineRule="exact"/>
        <w:rPr>
          <w:rFonts w:ascii="Arial" w:cs="Arial" w:eastAsia="Arial" w:hAnsi="Arial"/>
          <w:sz w:val="16"/>
          <w:szCs w:val="16"/>
          <w:color w:val="auto"/>
        </w:rPr>
      </w:pPr>
    </w:p>
    <w:p>
      <w:pPr>
        <w:ind w:left="1280" w:right="60" w:hanging="509"/>
        <w:spacing w:after="0" w:line="248" w:lineRule="auto"/>
        <w:tabs>
          <w:tab w:leader="none" w:pos="1131"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80" w:right="40" w:hanging="509"/>
        <w:spacing w:after="0" w:line="248" w:lineRule="auto"/>
        <w:tabs>
          <w:tab w:leader="none" w:pos="1131"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ind w:left="1280" w:right="220" w:hanging="509"/>
        <w:spacing w:after="0" w:line="324" w:lineRule="auto"/>
        <w:tabs>
          <w:tab w:leader="none" w:pos="1131"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280" w:right="80" w:hanging="509"/>
        <w:spacing w:after="0" w:line="248" w:lineRule="auto"/>
        <w:tabs>
          <w:tab w:leader="none" w:pos="1131"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0" w:hanging="517"/>
        <w:spacing w:after="0" w:line="291" w:lineRule="auto"/>
        <w:tabs>
          <w:tab w:leader="none" w:pos="631"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280" w:right="600" w:hanging="509"/>
        <w:spacing w:after="0" w:line="324" w:lineRule="auto"/>
        <w:tabs>
          <w:tab w:leader="none" w:pos="1131"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280" w:right="300" w:hanging="509"/>
        <w:spacing w:after="0" w:line="261" w:lineRule="auto"/>
        <w:tabs>
          <w:tab w:leader="none" w:pos="1131"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760" w:val="left"/>
          <w:tab w:leader="none" w:pos="7200" w:val="left"/>
        </w:tabs>
        <w:rPr>
          <w:sz w:val="20"/>
          <w:szCs w:val="20"/>
          <w:color w:val="auto"/>
        </w:rPr>
      </w:pPr>
      <w:r>
        <w:rPr>
          <w:rFonts w:ascii="Arial" w:cs="Arial" w:eastAsia="Arial" w:hAnsi="Arial"/>
          <w:sz w:val="18"/>
          <w:szCs w:val="18"/>
          <w:color w:val="auto"/>
        </w:rPr>
        <w:t>Date: August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6350</wp:posOffset>
            </wp:positionV>
            <wp:extent cx="256286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Ian Simmonds</w:t>
      </w:r>
    </w:p>
    <w:p>
      <w:pPr>
        <w:spacing w:after="0" w:line="12"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02" w:name="page103"/>
    <w:bookmarkEnd w:id="102"/>
    <w:p>
      <w:pPr>
        <w:ind w:left="10400"/>
        <w:spacing w:after="0"/>
        <w:rPr>
          <w:sz w:val="20"/>
          <w:szCs w:val="20"/>
          <w:color w:val="auto"/>
        </w:rPr>
      </w:pPr>
      <w:r>
        <w:rPr>
          <w:rFonts w:ascii="Arial" w:cs="Arial" w:eastAsia="Arial" w:hAnsi="Arial"/>
          <w:sz w:val="17"/>
          <w:szCs w:val="17"/>
          <w:b w:val="1"/>
          <w:bCs w:val="1"/>
          <w:color w:val="auto"/>
        </w:rPr>
        <w:t>Exhibit 32</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ind w:left="4720"/>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connection with the quarterly report on Form 10-Q of Sixth Street Specialty Lending, Inc. (the “Company”) for the quarterly period ended June 30, 2022,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80" w:lineRule="exact"/>
        <w:rPr>
          <w:sz w:val="20"/>
          <w:szCs w:val="20"/>
          <w:color w:val="auto"/>
        </w:rPr>
      </w:pPr>
    </w:p>
    <w:p>
      <w:pPr>
        <w:ind w:left="780" w:hanging="263"/>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780" w:hanging="263"/>
        <w:spacing w:after="0"/>
        <w:tabs>
          <w:tab w:leader="none" w:pos="7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Joshua Easterly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Name:</w:t>
            </w:r>
          </w:p>
        </w:tc>
        <w:tc>
          <w:tcPr>
            <w:tcW w:w="388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Joshua Easterly</w:t>
            </w:r>
          </w:p>
        </w:tc>
      </w:tr>
      <w:tr>
        <w:trPr>
          <w:trHeight w:val="203"/>
        </w:trPr>
        <w:tc>
          <w:tcPr>
            <w:tcW w:w="600" w:type="dxa"/>
            <w:vAlign w:val="bottom"/>
          </w:tcPr>
          <w:p>
            <w:pPr>
              <w:ind w:left="20"/>
              <w:spacing w:after="0" w:line="202" w:lineRule="exact"/>
              <w:rPr>
                <w:sz w:val="20"/>
                <w:szCs w:val="20"/>
                <w:color w:val="auto"/>
              </w:rPr>
            </w:pPr>
            <w:r>
              <w:rPr>
                <w:rFonts w:ascii="Arial" w:cs="Arial" w:eastAsia="Arial" w:hAnsi="Arial"/>
                <w:sz w:val="18"/>
                <w:szCs w:val="18"/>
                <w:color w:val="auto"/>
              </w:rPr>
              <w:t>Title:</w:t>
            </w:r>
          </w:p>
        </w:tc>
        <w:tc>
          <w:tcPr>
            <w:tcW w:w="3880" w:type="dxa"/>
            <w:vAlign w:val="bottom"/>
          </w:tcPr>
          <w:p>
            <w:pPr>
              <w:ind w:left="100"/>
              <w:spacing w:after="0" w:line="202" w:lineRule="exact"/>
              <w:rPr>
                <w:sz w:val="20"/>
                <w:szCs w:val="20"/>
                <w:color w:val="auto"/>
              </w:rPr>
            </w:pPr>
            <w:r>
              <w:rPr>
                <w:rFonts w:ascii="Arial" w:cs="Arial" w:eastAsia="Arial" w:hAnsi="Arial"/>
                <w:sz w:val="18"/>
                <w:szCs w:val="18"/>
                <w:color w:val="auto"/>
              </w:rPr>
              <w:t>Chief Executive Officer</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rPr>
              <w:t>Date:</w:t>
            </w:r>
          </w:p>
        </w:tc>
        <w:tc>
          <w:tcPr>
            <w:tcW w:w="3880" w:type="dxa"/>
            <w:vAlign w:val="bottom"/>
          </w:tcPr>
          <w:p>
            <w:pPr>
              <w:ind w:left="100"/>
              <w:spacing w:after="0"/>
              <w:rPr>
                <w:sz w:val="20"/>
                <w:szCs w:val="20"/>
                <w:color w:val="auto"/>
              </w:rPr>
            </w:pPr>
            <w:r>
              <w:rPr>
                <w:rFonts w:ascii="Arial" w:cs="Arial" w:eastAsia="Arial" w:hAnsi="Arial"/>
                <w:sz w:val="18"/>
                <w:szCs w:val="18"/>
                <w:color w:val="auto"/>
              </w:rPr>
              <w:t>August 2, 2022</w:t>
            </w:r>
          </w:p>
        </w:tc>
      </w:tr>
      <w:tr>
        <w:trPr>
          <w:trHeight w:val="432"/>
        </w:trPr>
        <w:tc>
          <w:tcPr>
            <w:tcW w:w="4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Ian Simmonds</w:t>
            </w:r>
          </w:p>
        </w:tc>
      </w:tr>
      <w:tr>
        <w:trPr>
          <w:trHeight w:val="182"/>
        </w:trPr>
        <w:tc>
          <w:tcPr>
            <w:tcW w:w="600" w:type="dxa"/>
            <w:vAlign w:val="bottom"/>
          </w:tcPr>
          <w:p>
            <w:pPr>
              <w:ind w:left="20"/>
              <w:spacing w:after="0" w:line="182" w:lineRule="exact"/>
              <w:rPr>
                <w:sz w:val="20"/>
                <w:szCs w:val="20"/>
                <w:color w:val="auto"/>
              </w:rPr>
            </w:pPr>
            <w:r>
              <w:rPr>
                <w:rFonts w:ascii="Arial" w:cs="Arial" w:eastAsia="Arial" w:hAnsi="Arial"/>
                <w:sz w:val="18"/>
                <w:szCs w:val="18"/>
                <w:color w:val="auto"/>
              </w:rPr>
              <w:t>Name:</w:t>
            </w:r>
          </w:p>
        </w:tc>
        <w:tc>
          <w:tcPr>
            <w:tcW w:w="3880" w:type="dxa"/>
            <w:vAlign w:val="bottom"/>
          </w:tcPr>
          <w:p>
            <w:pPr>
              <w:ind w:left="100"/>
              <w:spacing w:after="0" w:line="182" w:lineRule="exact"/>
              <w:rPr>
                <w:sz w:val="20"/>
                <w:szCs w:val="20"/>
                <w:color w:val="auto"/>
              </w:rPr>
            </w:pPr>
            <w:r>
              <w:rPr>
                <w:rFonts w:ascii="Arial" w:cs="Arial" w:eastAsia="Arial" w:hAnsi="Arial"/>
                <w:sz w:val="18"/>
                <w:szCs w:val="18"/>
                <w:color w:val="auto"/>
              </w:rPr>
              <w:t>Ian Simmonds</w:t>
            </w:r>
          </w:p>
        </w:tc>
      </w:tr>
      <w:tr>
        <w:trPr>
          <w:trHeight w:val="203"/>
        </w:trPr>
        <w:tc>
          <w:tcPr>
            <w:tcW w:w="600" w:type="dxa"/>
            <w:vAlign w:val="bottom"/>
          </w:tcPr>
          <w:p>
            <w:pPr>
              <w:ind w:left="20"/>
              <w:spacing w:after="0" w:line="202" w:lineRule="exact"/>
              <w:rPr>
                <w:sz w:val="20"/>
                <w:szCs w:val="20"/>
                <w:color w:val="auto"/>
              </w:rPr>
            </w:pPr>
            <w:r>
              <w:rPr>
                <w:rFonts w:ascii="Arial" w:cs="Arial" w:eastAsia="Arial" w:hAnsi="Arial"/>
                <w:sz w:val="18"/>
                <w:szCs w:val="18"/>
                <w:color w:val="auto"/>
              </w:rPr>
              <w:t>Title:</w:t>
            </w:r>
          </w:p>
        </w:tc>
        <w:tc>
          <w:tcPr>
            <w:tcW w:w="3880" w:type="dxa"/>
            <w:vAlign w:val="bottom"/>
          </w:tcPr>
          <w:p>
            <w:pPr>
              <w:ind w:left="100"/>
              <w:spacing w:after="0" w:line="202" w:lineRule="exact"/>
              <w:rPr>
                <w:sz w:val="20"/>
                <w:szCs w:val="20"/>
                <w:color w:val="auto"/>
              </w:rPr>
            </w:pPr>
            <w:r>
              <w:rPr>
                <w:rFonts w:ascii="Arial" w:cs="Arial" w:eastAsia="Arial" w:hAnsi="Arial"/>
                <w:sz w:val="18"/>
                <w:szCs w:val="18"/>
                <w:color w:val="auto"/>
              </w:rPr>
              <w:t>Chief Financial Officer</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rPr>
              <w:t>Date:</w:t>
            </w:r>
          </w:p>
        </w:tc>
        <w:tc>
          <w:tcPr>
            <w:tcW w:w="3880" w:type="dxa"/>
            <w:vAlign w:val="bottom"/>
          </w:tcPr>
          <w:p>
            <w:pPr>
              <w:ind w:left="100"/>
              <w:spacing w:after="0"/>
              <w:rPr>
                <w:sz w:val="20"/>
                <w:szCs w:val="20"/>
                <w:color w:val="auto"/>
              </w:rPr>
            </w:pPr>
            <w:r>
              <w:rPr>
                <w:rFonts w:ascii="Arial" w:cs="Arial" w:eastAsia="Arial" w:hAnsi="Arial"/>
                <w:sz w:val="18"/>
                <w:szCs w:val="18"/>
                <w:color w:val="auto"/>
              </w:rPr>
              <w:t>August 2, 2022</w:t>
            </w:r>
          </w:p>
        </w:tc>
      </w:tr>
    </w:tbl>
    <w:p>
      <w:pPr>
        <w:spacing w:after="0" w:line="188" w:lineRule="exact"/>
        <w:rPr>
          <w:sz w:val="20"/>
          <w:szCs w:val="20"/>
          <w:color w:val="auto"/>
        </w:rPr>
      </w:pPr>
    </w:p>
    <w:p>
      <w:pPr>
        <w:ind w:right="620" w:firstLine="509"/>
        <w:spacing w:after="0" w:line="261"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20"/>
      </w:cols>
      <w:pgMar w:left="32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lvl w:ilvl="1">
      <w:lvlJc w:val="left"/>
      <w:lvlText w:val="(%2)"/>
      <w:numFmt w:val="lowerLetter"/>
      <w:start w:val="1"/>
    </w:lvl>
  </w:abstractNum>
  <w:abstractNum w:abstractNumId="4">
    <w:nsid w:val="22221A70"/>
    <w:multiLevelType w:val="hybridMultilevel"/>
    <w:lvl w:ilvl="0">
      <w:lvlJc w:val="left"/>
      <w:lvlText w:val="(%1)"/>
      <w:numFmt w:val="decimal"/>
      <w:start w:val="1"/>
    </w:lvl>
    <w:lvl w:ilvl="1">
      <w:lvlJc w:val="left"/>
      <w:lvlText w:val="%2"/>
      <w:numFmt w:val="lowerLetter"/>
      <w:start w:val="1"/>
    </w:lvl>
  </w:abstractNum>
  <w:abstractNum w:abstractNumId="5">
    <w:nsid w:val="4516DDE9"/>
    <w:multiLevelType w:val="hybridMultilevel"/>
    <w:lvl w:ilvl="0">
      <w:lvlJc w:val="left"/>
      <w:lvlText w:val="%1"/>
      <w:numFmt w:val="decimal"/>
      <w:start w:val="1"/>
    </w:lvl>
    <w:lvl w:ilvl="1">
      <w:lvlJc w:val="left"/>
      <w:lvlText w:val="(%2)"/>
      <w:numFmt w:val="lowerLetter"/>
      <w:start w:val="1"/>
    </w:lvl>
  </w:abstractNum>
  <w:abstractNum w:abstractNumId="6">
    <w:nsid w:val="3006C83E"/>
    <w:multiLevelType w:val="hybridMultilevel"/>
    <w:lvl w:ilvl="0">
      <w:lvlJc w:val="left"/>
      <w:lvlText w:val="(%1)"/>
      <w:numFmt w:val="decimal"/>
      <w:start w:val="7"/>
    </w:lvl>
    <w:lvl w:ilvl="1">
      <w:lvlJc w:val="left"/>
      <w:lvlText w:val="%2"/>
      <w:numFmt w:val="lowerLetter"/>
      <w:start w:val="1"/>
    </w:lvl>
  </w:abstractNum>
  <w:abstractNum w:abstractNumId="7">
    <w:nsid w:val="614FD4A1"/>
    <w:multiLevelType w:val="hybridMultilevel"/>
    <w:lvl w:ilvl="0">
      <w:lvlJc w:val="left"/>
      <w:lvlText w:val="%1"/>
      <w:numFmt w:val="decimal"/>
      <w:start w:val="1"/>
    </w:lvl>
    <w:lvl w:ilvl="1">
      <w:lvlJc w:val="left"/>
      <w:lvlText w:val="(%2)"/>
      <w:numFmt w:val="lowerLetter"/>
      <w:start w:val="1"/>
    </w:lvl>
  </w:abstractNum>
  <w:abstractNum w:abstractNumId="8">
    <w:nsid w:val="419AC241"/>
    <w:multiLevelType w:val="hybridMultilevel"/>
    <w:lvl w:ilvl="0">
      <w:lvlJc w:val="left"/>
      <w:lvlText w:val="(%1)"/>
      <w:numFmt w:val="decimal"/>
      <w:start w:val="8"/>
    </w:lvl>
    <w:lvl w:ilvl="1">
      <w:lvlJc w:val="left"/>
      <w:lvlText w:val="%2"/>
      <w:numFmt w:val="lowerLetter"/>
      <w:start w:val="1"/>
    </w:lvl>
  </w:abstractNum>
  <w:abstractNum w:abstractNumId="9">
    <w:nsid w:val="5577F8E1"/>
    <w:multiLevelType w:val="hybridMultilevel"/>
    <w:lvl w:ilvl="0">
      <w:lvlJc w:val="left"/>
      <w:lvlText w:val="%1"/>
      <w:numFmt w:val="decimal"/>
      <w:start w:val="1"/>
    </w:lvl>
    <w:lvl w:ilvl="1">
      <w:lvlJc w:val="left"/>
      <w:lvlText w:val="(%2)"/>
      <w:numFmt w:val="lowerLetter"/>
      <w:start w:val="1"/>
    </w:lvl>
  </w:abstractNum>
  <w:abstractNum w:abstractNumId="10">
    <w:nsid w:val="440BADFC"/>
    <w:multiLevelType w:val="hybridMultilevel"/>
    <w:lvl w:ilvl="0">
      <w:lvlJc w:val="left"/>
      <w:lvlText w:val="(%1)"/>
      <w:numFmt w:val="decimal"/>
      <w:start w:val="1"/>
    </w:lvl>
    <w:lvl w:ilvl="1">
      <w:lvlJc w:val="left"/>
      <w:lvlText w:val="%2"/>
      <w:numFmt w:val="lowerLetter"/>
      <w:start w:val="1"/>
    </w:lvl>
  </w:abstractNum>
  <w:abstractNum w:abstractNumId="11">
    <w:nsid w:val="5072367"/>
    <w:multiLevelType w:val="hybridMultilevel"/>
    <w:lvl w:ilvl="0">
      <w:lvlJc w:val="left"/>
      <w:lvlText w:val="%1"/>
      <w:numFmt w:val="decimal"/>
      <w:start w:val="1"/>
    </w:lvl>
    <w:lvl w:ilvl="1">
      <w:lvlJc w:val="left"/>
      <w:lvlText w:val="(%2)"/>
      <w:numFmt w:val="lowerLetter"/>
      <w:start w:val="1"/>
    </w:lvl>
  </w:abstractNum>
  <w:abstractNum w:abstractNumId="12">
    <w:nsid w:val="3804823E"/>
    <w:multiLevelType w:val="hybridMultilevel"/>
    <w:lvl w:ilvl="0">
      <w:lvlJc w:val="left"/>
      <w:lvlText w:val="(%1)"/>
      <w:numFmt w:val="decimal"/>
      <w:start w:val="7"/>
    </w:lvl>
    <w:lvl w:ilvl="1">
      <w:lvlJc w:val="left"/>
      <w:lvlText w:val="%2"/>
      <w:numFmt w:val="lowerLetter"/>
      <w:start w:val="1"/>
    </w:lvl>
  </w:abstractNum>
  <w:abstractNum w:abstractNumId="13">
    <w:nsid w:val="77465F01"/>
    <w:multiLevelType w:val="hybridMultilevel"/>
    <w:lvl w:ilvl="0">
      <w:lvlJc w:val="left"/>
      <w:lvlText w:val="%1"/>
      <w:numFmt w:val="decimal"/>
      <w:start w:val="1"/>
    </w:lvl>
    <w:lvl w:ilvl="1">
      <w:lvlJc w:val="left"/>
      <w:lvlText w:val="(%2)"/>
      <w:numFmt w:val="lowerLetter"/>
      <w:start w:val="1"/>
    </w:lvl>
  </w:abstractNum>
  <w:abstractNum w:abstractNumId="14">
    <w:nsid w:val="7724C67E"/>
    <w:multiLevelType w:val="hybridMultilevel"/>
    <w:lvl w:ilvl="0">
      <w:lvlJc w:val="left"/>
      <w:lvlText w:val="(%1)"/>
      <w:numFmt w:val="decimal"/>
      <w:start w:val="8"/>
    </w:lvl>
    <w:lvl w:ilvl="1">
      <w:lvlJc w:val="left"/>
      <w:lvlText w:val="%2"/>
      <w:numFmt w:val="lowerLetter"/>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decimal"/>
      <w:start w:val="2"/>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1."/>
      <w:numFmt w:val="decimal"/>
      <w:start w:val="3"/>
    </w:lvl>
  </w:abstractNum>
  <w:abstractNum w:abstractNumId="22">
    <w:nsid w:val="3855585C"/>
    <w:multiLevelType w:val="hybridMultilevel"/>
    <w:lvl w:ilvl="0">
      <w:lvlJc w:val="left"/>
      <w:lvlText w:val="(%1)"/>
      <w:numFmt w:val="lowerRoman"/>
      <w:start w:val="1"/>
    </w:lvl>
  </w:abstractNum>
  <w:abstractNum w:abstractNumId="23">
    <w:nsid w:val="70A64E2A"/>
    <w:multiLevelType w:val="hybridMultilevel"/>
    <w:lvl w:ilvl="0">
      <w:lvlJc w:val="left"/>
      <w:lvlText w:val="(%1)"/>
      <w:numFmt w:val="lowerRoman"/>
      <w:start w:val="2"/>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1."/>
      <w:numFmt w:val="decimal"/>
      <w:start w:val="6"/>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1."/>
      <w:numFmt w:val="decimal"/>
      <w:start w:val="8"/>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decimal"/>
      <w:start w:val="32"/>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4" Type="http://schemas.openxmlformats.org/officeDocument/2006/relationships/image" Target="media/image706.png"/><Relationship Id="rId715" Type="http://schemas.openxmlformats.org/officeDocument/2006/relationships/image" Target="media/image707.png"/><Relationship Id="rId716" Type="http://schemas.openxmlformats.org/officeDocument/2006/relationships/image" Target="media/image708.png"/><Relationship Id="rId717" Type="http://schemas.openxmlformats.org/officeDocument/2006/relationships/image" Target="media/image709.png"/><Relationship Id="rId718" Type="http://schemas.openxmlformats.org/officeDocument/2006/relationships/image" Target="media/image710.png"/><Relationship Id="rId719" Type="http://schemas.openxmlformats.org/officeDocument/2006/relationships/image" Target="media/image711.png"/><Relationship Id="rId720" Type="http://schemas.openxmlformats.org/officeDocument/2006/relationships/image" Target="media/image712.png"/><Relationship Id="rId721" Type="http://schemas.openxmlformats.org/officeDocument/2006/relationships/image" Target="media/image713.png"/><Relationship Id="rId722" Type="http://schemas.openxmlformats.org/officeDocument/2006/relationships/image" Target="media/image714.png"/><Relationship Id="rId723" Type="http://schemas.openxmlformats.org/officeDocument/2006/relationships/image" Target="media/image715.png"/><Relationship Id="rId724" Type="http://schemas.openxmlformats.org/officeDocument/2006/relationships/image" Target="media/image716.png"/><Relationship Id="rId725" Type="http://schemas.openxmlformats.org/officeDocument/2006/relationships/image" Target="media/image717.png"/><Relationship Id="rId726" Type="http://schemas.openxmlformats.org/officeDocument/2006/relationships/image" Target="media/image718.png"/><Relationship Id="rId727" Type="http://schemas.openxmlformats.org/officeDocument/2006/relationships/image" Target="media/image719.png"/><Relationship Id="rId728" Type="http://schemas.openxmlformats.org/officeDocument/2006/relationships/image" Target="media/image720.png"/><Relationship Id="rId729" Type="http://schemas.openxmlformats.org/officeDocument/2006/relationships/image" Target="media/image721.png"/><Relationship Id="rId730" Type="http://schemas.openxmlformats.org/officeDocument/2006/relationships/image" Target="media/image722.png"/><Relationship Id="rId731" Type="http://schemas.openxmlformats.org/officeDocument/2006/relationships/image" Target="media/image723.png"/><Relationship Id="rId732" Type="http://schemas.openxmlformats.org/officeDocument/2006/relationships/image" Target="media/image724.png"/><Relationship Id="rId733" Type="http://schemas.openxmlformats.org/officeDocument/2006/relationships/image" Target="media/image725.png"/><Relationship Id="rId734" Type="http://schemas.openxmlformats.org/officeDocument/2006/relationships/image" Target="media/image726.png"/><Relationship Id="rId735" Type="http://schemas.openxmlformats.org/officeDocument/2006/relationships/image" Target="media/image727.png"/><Relationship Id="rId736" Type="http://schemas.openxmlformats.org/officeDocument/2006/relationships/image" Target="media/image728.png"/><Relationship Id="rId737" Type="http://schemas.openxmlformats.org/officeDocument/2006/relationships/image" Target="media/image729.png"/><Relationship Id="rId738" Type="http://schemas.openxmlformats.org/officeDocument/2006/relationships/image" Target="media/image730.png"/><Relationship Id="rId739" Type="http://schemas.openxmlformats.org/officeDocument/2006/relationships/image" Target="media/image731.png"/><Relationship Id="rId740" Type="http://schemas.openxmlformats.org/officeDocument/2006/relationships/image" Target="media/image732.png"/><Relationship Id="rId741" Type="http://schemas.openxmlformats.org/officeDocument/2006/relationships/image" Target="media/image733.png"/><Relationship Id="rId742" Type="http://schemas.openxmlformats.org/officeDocument/2006/relationships/image" Target="media/image734.png"/><Relationship Id="rId743" Type="http://schemas.openxmlformats.org/officeDocument/2006/relationships/image" Target="media/image735.png"/><Relationship Id="rId744" Type="http://schemas.openxmlformats.org/officeDocument/2006/relationships/image" Target="media/image736.png"/><Relationship Id="rId745" Type="http://schemas.openxmlformats.org/officeDocument/2006/relationships/image" Target="media/image737.png"/><Relationship Id="rId746" Type="http://schemas.openxmlformats.org/officeDocument/2006/relationships/image" Target="media/image738.png"/><Relationship Id="rId747" Type="http://schemas.openxmlformats.org/officeDocument/2006/relationships/image" Target="media/image739.png"/><Relationship Id="rId748" Type="http://schemas.openxmlformats.org/officeDocument/2006/relationships/image" Target="media/image740.png"/><Relationship Id="rId749" Type="http://schemas.openxmlformats.org/officeDocument/2006/relationships/image" Target="media/image741.png"/><Relationship Id="rId750" Type="http://schemas.openxmlformats.org/officeDocument/2006/relationships/image" Target="media/image742.png"/><Relationship Id="rId751" Type="http://schemas.openxmlformats.org/officeDocument/2006/relationships/image" Target="media/image743.png"/><Relationship Id="rId752" Type="http://schemas.openxmlformats.org/officeDocument/2006/relationships/image" Target="media/image744.png"/><Relationship Id="rId753" Type="http://schemas.openxmlformats.org/officeDocument/2006/relationships/image" Target="media/image745.png"/><Relationship Id="rId754" Type="http://schemas.openxmlformats.org/officeDocument/2006/relationships/image" Target="media/image746.png"/><Relationship Id="rId755" Type="http://schemas.openxmlformats.org/officeDocument/2006/relationships/image" Target="media/image747.png"/><Relationship Id="rId756" Type="http://schemas.openxmlformats.org/officeDocument/2006/relationships/image" Target="media/image748.png"/><Relationship Id="rId757" Type="http://schemas.openxmlformats.org/officeDocument/2006/relationships/image" Target="media/image749.png"/><Relationship Id="rId758" Type="http://schemas.openxmlformats.org/officeDocument/2006/relationships/image" Target="media/image750.png"/><Relationship Id="rId759" Type="http://schemas.openxmlformats.org/officeDocument/2006/relationships/image" Target="media/image751.png"/><Relationship Id="rId760" Type="http://schemas.openxmlformats.org/officeDocument/2006/relationships/image" Target="media/image752.png"/><Relationship Id="rId761" Type="http://schemas.openxmlformats.org/officeDocument/2006/relationships/image" Target="media/image753.png"/><Relationship Id="rId762" Type="http://schemas.openxmlformats.org/officeDocument/2006/relationships/image" Target="media/image754.png"/><Relationship Id="rId713" Type="http://schemas.openxmlformats.org/officeDocument/2006/relationships/hyperlink" Target="https://www.sec.gov/Archives/edgar/data/0001508655/000156459022017420/tslx-ex101_1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2022-08-02T15:19:03Z</dcterms:created>
  <dcterms:modified xsi:type="dcterms:W3CDTF">2022-08-02T15:19:03Z</dcterms:modified>
</cp:coreProperties>
</file>