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Stiepleman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12/16/2011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4"/>
          </w:tcPr>
          <w:p>
            <w:pPr>
              <w:jc w:val="center"/>
              <w:ind w:left="2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700"/>
              <w:spacing w:after="0"/>
              <w:rPr>
                <w:sz w:val="20"/>
                <w:szCs w:val="20"/>
                <w:color w:val="auto"/>
              </w:rPr>
            </w:pPr>
            <w:r>
              <w:rPr>
                <w:rFonts w:ascii="Arial" w:cs="Arial" w:eastAsia="Arial" w:hAnsi="Arial"/>
                <w:sz w:val="18"/>
                <w:szCs w:val="18"/>
                <w:color w:val="0000FF"/>
              </w:rPr>
              <w:t>12/16/2011</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280"/>
              <w:spacing w:after="0"/>
              <w:rPr>
                <w:sz w:val="20"/>
                <w:szCs w:val="20"/>
                <w:color w:val="auto"/>
              </w:rPr>
            </w:pPr>
            <w:r>
              <w:rPr>
                <w:rFonts w:ascii="Arial" w:cs="Arial" w:eastAsia="Arial" w:hAnsi="Arial"/>
                <w:sz w:val="18"/>
                <w:szCs w:val="18"/>
                <w:color w:val="0000FF"/>
              </w:rPr>
              <w:t>1.1</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982.6</w:t>
            </w:r>
          </w:p>
        </w:tc>
        <w:tc>
          <w:tcPr>
            <w:tcW w:w="13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14.6</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7,975 shares of Common Stock of the Issuer, including 14.6 shares of Common Stock of the Issuer indirectly beneficially owned by Mr. Stiepleman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Stiepleman pursuant to the authorization and designation letter dated March 10, 2011, which was previously filed with the Securities and Exchange Commission as an exhibit to a Form 3 filed by Mr. Stiepleman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12/20/2011</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David Stiepleman (2)</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4"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2019-12-17T05:13:30Z</dcterms:created>
  <dcterms:modified xsi:type="dcterms:W3CDTF">2019-12-17T05:13:30Z</dcterms:modified>
</cp:coreProperties>
</file>