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w:t>
      </w:r>
    </w:p>
    <w:p>
      <w:pPr>
        <w:jc w:val="center"/>
        <w:ind w:right="-13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May 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001-36364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27-3380000</w:t>
      </w:r>
    </w:p>
    <w:p>
      <w:pPr>
        <w:spacing w:after="0" w:line="31" w:lineRule="exact"/>
        <w:rPr>
          <w:sz w:val="24"/>
          <w:szCs w:val="24"/>
          <w:color w:val="auto"/>
        </w:rPr>
      </w:pPr>
    </w:p>
    <w:p>
      <w:pPr>
        <w:sectPr>
          <w:pgSz w:w="11900" w:h="16838" w:orient="portrait"/>
          <w:cols w:equalWidth="0" w:num="3">
            <w:col w:w="4740" w:space="720"/>
            <w:col w:w="2980" w:space="720"/>
            <w:col w:w="2140"/>
          </w:cols>
          <w:pgMar w:left="240" w:top="341" w:right="359" w:bottom="1440" w:gutter="0" w:footer="0" w:header="0"/>
          <w:type w:val="continuous"/>
        </w:sectPr>
      </w:pPr>
    </w:p>
    <w:p>
      <w:pPr>
        <w:spacing w:after="0" w:line="12" w:lineRule="exact"/>
        <w:rPr>
          <w:sz w:val="24"/>
          <w:szCs w:val="24"/>
          <w:color w:val="auto"/>
        </w:rPr>
      </w:pPr>
    </w:p>
    <w:p>
      <w:pPr>
        <w:jc w:val="center"/>
        <w:ind w:right="800"/>
        <w:spacing w:after="0"/>
        <w:rPr>
          <w:sz w:val="20"/>
          <w:szCs w:val="20"/>
          <w:color w:val="auto"/>
        </w:rPr>
      </w:pPr>
      <w:r>
        <w:rPr>
          <w:rFonts w:ascii="Arial" w:cs="Arial" w:eastAsia="Arial" w:hAnsi="Arial"/>
          <w:sz w:val="13"/>
          <w:szCs w:val="13"/>
          <w:b w:val="1"/>
          <w:bCs w:val="1"/>
          <w:color w:val="auto"/>
        </w:rPr>
        <w:t>(State or Other Jurisdiction</w:t>
      </w:r>
    </w:p>
    <w:p>
      <w:pPr>
        <w:jc w:val="center"/>
        <w:ind w:right="8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260"/>
          </w:cols>
          <w:pgMar w:left="240" w:top="341" w:right="359" w:bottom="1440" w:gutter="0" w:footer="0" w:header="0"/>
          <w:type w:val="continuous"/>
        </w:sectPr>
      </w:pPr>
    </w:p>
    <w:p>
      <w:pPr>
        <w:spacing w:after="0" w:line="33" w:lineRule="exact"/>
        <w:rPr>
          <w:sz w:val="24"/>
          <w:szCs w:val="24"/>
          <w:color w:val="auto"/>
        </w:rPr>
      </w:pPr>
    </w:p>
    <w:p>
      <w:pPr>
        <w:jc w:val="center"/>
        <w:ind w:right="1940"/>
        <w:spacing w:after="0"/>
        <w:rPr>
          <w:sz w:val="20"/>
          <w:szCs w:val="20"/>
          <w:color w:val="auto"/>
        </w:rPr>
      </w:pPr>
      <w:r>
        <w:rPr>
          <w:rFonts w:ascii="Arial" w:cs="Arial" w:eastAsia="Arial" w:hAnsi="Arial"/>
          <w:sz w:val="16"/>
          <w:szCs w:val="16"/>
          <w:b w:val="1"/>
          <w:bCs w:val="1"/>
          <w:color w:val="auto"/>
        </w:rPr>
        <w:t>301 Commerce Street, Suite 3300</w:t>
      </w:r>
    </w:p>
    <w:p>
      <w:pPr>
        <w:spacing w:after="0" w:line="50" w:lineRule="exact"/>
        <w:rPr>
          <w:sz w:val="24"/>
          <w:szCs w:val="24"/>
          <w:color w:val="auto"/>
        </w:rPr>
      </w:pPr>
    </w:p>
    <w:p>
      <w:pPr>
        <w:jc w:val="center"/>
        <w:ind w:right="1940"/>
        <w:spacing w:after="0"/>
        <w:rPr>
          <w:sz w:val="20"/>
          <w:szCs w:val="20"/>
          <w:color w:val="auto"/>
        </w:rPr>
      </w:pPr>
      <w:r>
        <w:rPr>
          <w:rFonts w:ascii="Arial" w:cs="Arial" w:eastAsia="Arial" w:hAnsi="Arial"/>
          <w:sz w:val="18"/>
          <w:szCs w:val="18"/>
          <w:b w:val="1"/>
          <w:bCs w:val="1"/>
          <w:color w:val="auto"/>
        </w:rPr>
        <w:t>Fort Worth, TX</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76102</w:t>
      </w:r>
    </w:p>
    <w:p>
      <w:pPr>
        <w:spacing w:after="0" w:line="62" w:lineRule="exact"/>
        <w:rPr>
          <w:sz w:val="24"/>
          <w:szCs w:val="24"/>
          <w:color w:val="auto"/>
        </w:rPr>
      </w:pPr>
    </w:p>
    <w:p>
      <w:pPr>
        <w:sectPr>
          <w:pgSz w:w="11900" w:h="16838" w:orient="portrait"/>
          <w:cols w:equalWidth="0" w:num="2">
            <w:col w:w="7680" w:space="720"/>
            <w:col w:w="2900"/>
          </w:cols>
          <w:pgMar w:left="240" w:top="341" w:right="359" w:bottom="1440" w:gutter="0" w:footer="0" w:header="0"/>
          <w:type w:val="continuous"/>
        </w:sectPr>
      </w:pPr>
    </w:p>
    <w:p>
      <w:pPr>
        <w:ind w:left="16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580" w:space="720"/>
            <w:col w:w="3000"/>
          </w:cols>
          <w:pgMar w:left="240" w:top="341" w:right="359" w:bottom="1440" w:gutter="0" w:footer="0" w:header="0"/>
          <w:type w:val="continuous"/>
        </w:sect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41"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 Results of Operations and Financial Condition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May 4, 2016, the registrant issued a press release announcing its financial results for the quarter ended March 31, 2016. The text of the press release is included as Exhibit 99.1 to this Form 8-K.</w:t>
      </w:r>
    </w:p>
    <w:p>
      <w:pPr>
        <w:spacing w:after="0" w:line="170"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On May 4, 2016, the registrant issued a press release, included herewith as Exhibit 99.1, announcing the declaration of a second fiscal quarter 2016 dividend of $0.39 per share, payable on or about July 29, 2016 to stockholders of record as of June 30, 2016.</w:t>
      </w:r>
    </w:p>
    <w:p>
      <w:pPr>
        <w:spacing w:after="0" w:line="170"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spacing w:after="0" w:line="190" w:lineRule="auto"/>
        <w:tabs>
          <w:tab w:leader="none" w:pos="1020" w:val="left"/>
        </w:tabs>
        <w:rPr>
          <w:sz w:val="20"/>
          <w:szCs w:val="20"/>
          <w:color w:val="auto"/>
        </w:rPr>
      </w:pPr>
      <w:r>
        <w:rPr>
          <w:rFonts w:ascii="Arial" w:cs="Arial" w:eastAsia="Arial" w:hAnsi="Arial"/>
          <w:sz w:val="20"/>
          <w:szCs w:val="20"/>
          <w:u w:val="single" w:color="auto"/>
          <w:color w:val="auto"/>
          <w:vertAlign w:val="superscript"/>
        </w:rPr>
        <w:t>Number</w:t>
      </w:r>
      <w:r>
        <w:rPr>
          <w:sz w:val="20"/>
          <w:szCs w:val="20"/>
          <w:color w:val="auto"/>
        </w:rPr>
        <w:tab/>
      </w:r>
      <w:r>
        <w:rPr>
          <w:rFonts w:ascii="Arial" w:cs="Arial" w:eastAsia="Arial" w:hAnsi="Arial"/>
          <w:sz w:val="12"/>
          <w:szCs w:val="12"/>
          <w:u w:val="single" w:color="auto"/>
          <w:color w:val="auto"/>
        </w:rPr>
        <w:t>Description</w:t>
      </w:r>
    </w:p>
    <w:p>
      <w:pPr>
        <w:spacing w:after="0" w:line="12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4, 2016</w:t>
      </w:r>
    </w:p>
    <w:p>
      <w:pPr>
        <w:sectPr>
          <w:pgSz w:w="11900" w:h="16838" w:orient="portrait"/>
          <w:cols w:equalWidth="0" w:num="1">
            <w:col w:w="11380"/>
          </w:cols>
          <w:pgMar w:left="240" w:top="270" w:right="27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jc w:val="center"/>
        <w:ind w:left="2640"/>
        <w:spacing w:after="0"/>
        <w:rPr>
          <w:sz w:val="20"/>
          <w:szCs w:val="20"/>
          <w:color w:val="auto"/>
        </w:rPr>
      </w:pPr>
      <w:r>
        <w:rPr>
          <w:rFonts w:ascii="Arial" w:cs="Arial" w:eastAsia="Arial" w:hAnsi="Arial"/>
          <w:sz w:val="18"/>
          <w:szCs w:val="18"/>
          <w:color w:val="auto"/>
        </w:rPr>
        <w:t>TPG SPECIALTY LENDING, INC.</w:t>
      </w:r>
    </w:p>
    <w:p>
      <w:pPr>
        <w:spacing w:after="0" w:line="23" w:lineRule="exact"/>
        <w:rPr>
          <w:sz w:val="20"/>
          <w:szCs w:val="20"/>
          <w:color w:val="auto"/>
        </w:rPr>
      </w:pPr>
    </w:p>
    <w:p>
      <w:pPr>
        <w:jc w:val="center"/>
        <w:ind w:left="2660"/>
        <w:spacing w:after="0"/>
        <w:rPr>
          <w:sz w:val="20"/>
          <w:szCs w:val="20"/>
          <w:color w:val="auto"/>
        </w:rPr>
      </w:pPr>
      <w:r>
        <w:rPr>
          <w:rFonts w:ascii="Arial" w:cs="Arial" w:eastAsia="Arial" w:hAnsi="Arial"/>
          <w:sz w:val="18"/>
          <w:szCs w:val="18"/>
          <w:color w:val="auto"/>
        </w:rPr>
        <w:t>(Registrant)</w:t>
      </w:r>
    </w:p>
    <w:p>
      <w:pPr>
        <w:spacing w:after="0" w:line="224"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May 4, 2016</w:t>
      </w:r>
      <w:r>
        <w:rPr>
          <w:sz w:val="20"/>
          <w:szCs w:val="20"/>
          <w:color w:val="auto"/>
        </w:rPr>
        <w:tab/>
      </w:r>
      <w:r>
        <w:rPr>
          <w:rFonts w:ascii="Arial" w:cs="Arial" w:eastAsia="Arial" w:hAnsi="Arial"/>
          <w:sz w:val="17"/>
          <w:szCs w:val="17"/>
          <w:color w:val="auto"/>
        </w:rPr>
        <w:t>By: /s/ Ian Simmonds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14605</wp:posOffset>
            </wp:positionV>
            <wp:extent cx="3387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Ian Simmonds</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20"/>
          </w:cols>
          <w:pgMar w:left="240" w:top="274" w:right="439" w:bottom="1440" w:gutter="0" w:footer="0" w:header="0"/>
        </w:sectPr>
      </w:pPr>
    </w:p>
    <w:bookmarkStart w:id="3" w:name="page4"/>
    <w:bookmarkEnd w:id="3"/>
    <w:p>
      <w:pPr>
        <w:ind w:left="10480"/>
        <w:spacing w:after="0"/>
        <w:rPr>
          <w:sz w:val="20"/>
          <w:szCs w:val="20"/>
          <w:color w:val="auto"/>
        </w:rPr>
      </w:pPr>
      <w:r>
        <w:rPr>
          <w:rFonts w:ascii="Arial" w:cs="Arial" w:eastAsia="Arial" w:hAnsi="Arial"/>
          <w:sz w:val="16"/>
          <w:szCs w:val="16"/>
          <w:b w:val="1"/>
          <w:bCs w:val="1"/>
          <w:color w:val="auto"/>
        </w:rPr>
        <w:t>Exhibit 99.1</w:t>
      </w:r>
    </w:p>
    <w:p>
      <w:pPr>
        <w:spacing w:after="0" w:line="24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TPG Specialty Lending, Inc. Announces Quarter Ended March 31, 2016 Financial Results; Board Declares Quarterly Dividend of $0.39 Per Share for the Second Fiscal Quarter of 2016</w:t>
      </w:r>
    </w:p>
    <w:p>
      <w:pPr>
        <w:spacing w:after="0" w:line="5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NEW YORK – (BUSINESS WIRE) – May 4, 2016 – TPG Specialty Lending, Inc. (NYSE: TSLX, or the “Company”) today reported net investment income of $23.2 million, or $0.42 per share, for the quarter ended March 31, 2016. Net asset value per share was $15.11 at March 31, 2016 as compared to $15.15 at December 31, 2015. The Company’s Board of Directors declared a first quarter dividend of $0.39 per share, payable to stockholders of record as of March 31, 2016 that was paid on April 29, 2016.</w:t>
      </w:r>
    </w:p>
    <w:p>
      <w:pPr>
        <w:spacing w:after="0" w:line="18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Company also announced that its Board of Directors has declared a quarterly dividend of $0.39 per share for stockholders of record as of June 30, 2016, payable on or about July 29,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color w:val="auto"/>
        </w:rPr>
        <w:t>(amounts in thousands, except per share amounts)</w:t>
      </w: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5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940" w:type="dxa"/>
            <w:vAlign w:val="bottom"/>
            <w:gridSpan w:val="3"/>
          </w:tcPr>
          <w:p>
            <w:pPr>
              <w:jc w:val="center"/>
              <w:ind w:right="640"/>
              <w:spacing w:after="0" w:line="155" w:lineRule="exact"/>
              <w:rPr>
                <w:sz w:val="20"/>
                <w:szCs w:val="20"/>
                <w:color w:val="auto"/>
              </w:rPr>
            </w:pPr>
            <w:r>
              <w:rPr>
                <w:rFonts w:ascii="Arial" w:cs="Arial" w:eastAsia="Arial" w:hAnsi="Arial"/>
                <w:sz w:val="14"/>
                <w:szCs w:val="14"/>
                <w:b w:val="1"/>
                <w:bCs w:val="1"/>
                <w:color w:val="auto"/>
                <w:w w:val="93"/>
              </w:rPr>
              <w:t>Three Months Ended</w:t>
            </w:r>
          </w:p>
        </w:tc>
        <w:tc>
          <w:tcPr>
            <w:tcW w:w="5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660" w:type="dxa"/>
            <w:vAlign w:val="bottom"/>
          </w:tcPr>
          <w:p>
            <w:pPr>
              <w:spacing w:after="0"/>
              <w:rPr>
                <w:sz w:val="10"/>
                <w:szCs w:val="10"/>
                <w:color w:val="auto"/>
              </w:rPr>
            </w:pPr>
          </w:p>
        </w:tc>
        <w:tc>
          <w:tcPr>
            <w:tcW w:w="2300" w:type="dxa"/>
            <w:vAlign w:val="bottom"/>
            <w:gridSpan w:val="2"/>
            <w:vMerge w:val="restart"/>
          </w:tcPr>
          <w:p>
            <w:pPr>
              <w:jc w:val="right"/>
              <w:ind w:right="870"/>
              <w:spacing w:after="0"/>
              <w:rPr>
                <w:sz w:val="20"/>
                <w:szCs w:val="20"/>
                <w:color w:val="auto"/>
              </w:rPr>
            </w:pPr>
            <w:r>
              <w:rPr>
                <w:rFonts w:ascii="Arial" w:cs="Arial" w:eastAsia="Arial" w:hAnsi="Arial"/>
                <w:sz w:val="14"/>
                <w:szCs w:val="14"/>
                <w:b w:val="1"/>
                <w:bCs w:val="1"/>
                <w:color w:val="auto"/>
              </w:rPr>
              <w:t>March 31, 2016</w:t>
            </w:r>
          </w:p>
        </w:tc>
        <w:tc>
          <w:tcPr>
            <w:tcW w:w="22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132"/>
              <w:spacing w:after="0" w:line="119" w:lineRule="exact"/>
              <w:rPr>
                <w:sz w:val="20"/>
                <w:szCs w:val="20"/>
                <w:color w:val="auto"/>
              </w:rPr>
            </w:pPr>
            <w:r>
              <w:rPr>
                <w:rFonts w:ascii="Arial" w:cs="Arial" w:eastAsia="Arial" w:hAnsi="Arial"/>
                <w:sz w:val="13"/>
                <w:szCs w:val="13"/>
                <w:color w:val="auto"/>
              </w:rPr>
              <w:t>(unaudited)</w:t>
            </w:r>
          </w:p>
        </w:tc>
        <w:tc>
          <w:tcPr>
            <w:tcW w:w="640" w:type="dxa"/>
            <w:vAlign w:val="bottom"/>
          </w:tcPr>
          <w:p>
            <w:pPr>
              <w:spacing w:after="0"/>
              <w:rPr>
                <w:sz w:val="10"/>
                <w:szCs w:val="10"/>
                <w:color w:val="auto"/>
              </w:rPr>
            </w:pPr>
          </w:p>
        </w:tc>
        <w:tc>
          <w:tcPr>
            <w:tcW w:w="1500" w:type="dxa"/>
            <w:vAlign w:val="bottom"/>
            <w:gridSpan w:val="2"/>
            <w:vMerge w:val="restart"/>
          </w:tcPr>
          <w:p>
            <w:pPr>
              <w:jc w:val="right"/>
              <w:ind w:right="150"/>
              <w:spacing w:after="0"/>
              <w:rPr>
                <w:sz w:val="20"/>
                <w:szCs w:val="20"/>
                <w:color w:val="auto"/>
              </w:rPr>
            </w:pPr>
            <w:r>
              <w:rPr>
                <w:rFonts w:ascii="Arial" w:cs="Arial" w:eastAsia="Arial" w:hAnsi="Arial"/>
                <w:sz w:val="14"/>
                <w:szCs w:val="14"/>
                <w:b w:val="1"/>
                <w:bCs w:val="1"/>
                <w:color w:val="auto"/>
              </w:rPr>
              <w:t>March 31, 2015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60" w:type="dxa"/>
            <w:vAlign w:val="bottom"/>
          </w:tcPr>
          <w:p>
            <w:pPr>
              <w:spacing w:after="0"/>
              <w:rPr>
                <w:sz w:val="14"/>
                <w:szCs w:val="14"/>
                <w:color w:val="auto"/>
              </w:rPr>
            </w:pPr>
          </w:p>
        </w:tc>
        <w:tc>
          <w:tcPr>
            <w:tcW w:w="2300" w:type="dxa"/>
            <w:vAlign w:val="bottom"/>
            <w:gridSpan w:val="2"/>
            <w:vMerge w:val="continue"/>
          </w:tcPr>
          <w:p>
            <w:pPr>
              <w:spacing w:after="0"/>
              <w:rPr>
                <w:sz w:val="14"/>
                <w:szCs w:val="14"/>
                <w:color w:val="auto"/>
              </w:rPr>
            </w:pPr>
          </w:p>
        </w:tc>
        <w:tc>
          <w:tcPr>
            <w:tcW w:w="19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1"/>
              </w:rPr>
              <w:t>December 31, 2015</w:t>
            </w: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94"/>
              </w:rPr>
              <w:t>1,563,664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1,485,709</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4"/>
              </w:rPr>
              <w:t>1,330,993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Total Assets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850"/>
              <w:spacing w:after="0"/>
              <w:rPr>
                <w:sz w:val="20"/>
                <w:szCs w:val="20"/>
                <w:color w:val="auto"/>
              </w:rPr>
            </w:pPr>
            <w:r>
              <w:rPr>
                <w:rFonts w:ascii="Arial" w:cs="Arial" w:eastAsia="Arial" w:hAnsi="Arial"/>
                <w:sz w:val="18"/>
                <w:szCs w:val="18"/>
                <w:color w:val="auto"/>
                <w:w w:val="94"/>
              </w:rPr>
              <w:t>1,584,252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460"/>
              <w:spacing w:after="0"/>
              <w:rPr>
                <w:sz w:val="20"/>
                <w:szCs w:val="20"/>
                <w:color w:val="auto"/>
              </w:rPr>
            </w:pPr>
            <w:r>
              <w:rPr>
                <w:rFonts w:ascii="Arial" w:cs="Arial" w:eastAsia="Arial" w:hAnsi="Arial"/>
                <w:sz w:val="18"/>
                <w:szCs w:val="18"/>
                <w:color w:val="auto"/>
              </w:rPr>
              <w:t>1,506,568</w:t>
            </w:r>
            <w:r>
              <w:rPr>
                <w:rFonts w:ascii="Arial" w:cs="Arial" w:eastAsia="Arial" w:hAnsi="Arial"/>
                <w:sz w:val="15"/>
                <w:szCs w:val="15"/>
                <w:color w:val="auto"/>
              </w:rPr>
              <w:t>(1)</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w w:val="93"/>
              </w:rPr>
              <w:t>1,359,605</w:t>
            </w:r>
            <w:r>
              <w:rPr>
                <w:rFonts w:ascii="Arial" w:cs="Arial" w:eastAsia="Arial" w:hAnsi="Arial"/>
                <w:sz w:val="15"/>
                <w:szCs w:val="15"/>
                <w:color w:val="auto"/>
                <w:w w:val="93"/>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15.11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15.15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15.60</w:t>
            </w:r>
          </w:p>
        </w:tc>
        <w:tc>
          <w:tcPr>
            <w:tcW w:w="0" w:type="dxa"/>
            <w:vAlign w:val="bottom"/>
          </w:tcPr>
          <w:p>
            <w:pPr>
              <w:spacing w:after="0"/>
              <w:rPr>
                <w:sz w:val="1"/>
                <w:szCs w:val="1"/>
                <w:color w:val="auto"/>
              </w:rPr>
            </w:pPr>
          </w:p>
        </w:tc>
      </w:tr>
      <w:tr>
        <w:trPr>
          <w:trHeight w:val="324"/>
        </w:trPr>
        <w:tc>
          <w:tcPr>
            <w:tcW w:w="5680" w:type="dxa"/>
            <w:vAlign w:val="bottom"/>
            <w:gridSpan w:val="2"/>
          </w:tcPr>
          <w:p>
            <w:pPr>
              <w:spacing w:after="0"/>
              <w:rPr>
                <w:sz w:val="20"/>
                <w:szCs w:val="20"/>
                <w:color w:val="auto"/>
              </w:rPr>
            </w:pPr>
            <w:r>
              <w:rPr>
                <w:rFonts w:ascii="Arial" w:cs="Arial" w:eastAsia="Arial" w:hAnsi="Arial"/>
                <w:sz w:val="18"/>
                <w:szCs w:val="18"/>
                <w:color w:val="auto"/>
              </w:rPr>
              <w:t>Investment Income</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850"/>
              <w:spacing w:after="0"/>
              <w:rPr>
                <w:sz w:val="20"/>
                <w:szCs w:val="20"/>
                <w:color w:val="auto"/>
              </w:rPr>
            </w:pPr>
            <w:r>
              <w:rPr>
                <w:rFonts w:ascii="Arial" w:cs="Arial" w:eastAsia="Arial" w:hAnsi="Arial"/>
                <w:sz w:val="18"/>
                <w:szCs w:val="18"/>
                <w:color w:val="auto"/>
              </w:rPr>
              <w:t>42,751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640"/>
              <w:spacing w:after="0"/>
              <w:rPr>
                <w:sz w:val="20"/>
                <w:szCs w:val="20"/>
                <w:color w:val="auto"/>
              </w:rPr>
            </w:pPr>
            <w:r>
              <w:rPr>
                <w:rFonts w:ascii="Arial" w:cs="Arial" w:eastAsia="Arial" w:hAnsi="Arial"/>
                <w:sz w:val="18"/>
                <w:szCs w:val="18"/>
                <w:color w:val="auto"/>
              </w:rPr>
              <w:t>43,559</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37,730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23,192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23,643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20,787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Income (Loss)</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850"/>
              <w:spacing w:after="0"/>
              <w:rPr>
                <w:sz w:val="20"/>
                <w:szCs w:val="20"/>
                <w:color w:val="auto"/>
              </w:rPr>
            </w:pPr>
            <w:r>
              <w:rPr>
                <w:rFonts w:ascii="Arial" w:cs="Arial" w:eastAsia="Arial" w:hAnsi="Arial"/>
                <w:sz w:val="18"/>
                <w:szCs w:val="18"/>
                <w:color w:val="auto"/>
              </w:rPr>
              <w:t>17,771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580"/>
              <w:spacing w:after="0"/>
              <w:rPr>
                <w:sz w:val="20"/>
                <w:szCs w:val="20"/>
                <w:color w:val="auto"/>
              </w:rPr>
            </w:pPr>
            <w:r>
              <w:rPr>
                <w:rFonts w:ascii="Arial" w:cs="Arial" w:eastAsia="Arial" w:hAnsi="Arial"/>
                <w:sz w:val="18"/>
                <w:szCs w:val="18"/>
                <w:color w:val="auto"/>
              </w:rPr>
              <w:t>(4,342)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24,468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5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 Per Share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0.42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0.44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Arial" w:cs="Arial" w:eastAsia="Arial" w:hAnsi="Arial"/>
                <w:sz w:val="18"/>
                <w:szCs w:val="18"/>
                <w:color w:val="auto"/>
              </w:rPr>
              <w:t>Net Realized and Unrealized Gains (and Losses) Per Share</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90"/>
              <w:spacing w:after="0"/>
              <w:rPr>
                <w:sz w:val="20"/>
                <w:szCs w:val="20"/>
                <w:color w:val="auto"/>
              </w:rPr>
            </w:pPr>
            <w:r>
              <w:rPr>
                <w:rFonts w:ascii="Arial" w:cs="Arial" w:eastAsia="Arial" w:hAnsi="Arial"/>
                <w:sz w:val="18"/>
                <w:szCs w:val="18"/>
                <w:color w:val="auto"/>
              </w:rPr>
              <w:t>(0.10)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580"/>
              <w:spacing w:after="0"/>
              <w:rPr>
                <w:sz w:val="20"/>
                <w:szCs w:val="20"/>
                <w:color w:val="auto"/>
              </w:rPr>
            </w:pPr>
            <w:r>
              <w:rPr>
                <w:rFonts w:ascii="Arial" w:cs="Arial" w:eastAsia="Arial" w:hAnsi="Arial"/>
                <w:sz w:val="18"/>
                <w:szCs w:val="18"/>
                <w:color w:val="auto"/>
              </w:rPr>
              <w:t>(0.52)</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rPr>
              <w:t>0.32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(0.08)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310"/>
        </w:trPr>
        <w:tc>
          <w:tcPr>
            <w:tcW w:w="5680" w:type="dxa"/>
            <w:vAlign w:val="bottom"/>
            <w:gridSpan w:val="2"/>
          </w:tcPr>
          <w:p>
            <w:pPr>
              <w:spacing w:after="0"/>
              <w:rPr>
                <w:sz w:val="20"/>
                <w:szCs w:val="20"/>
                <w:color w:val="auto"/>
              </w:rPr>
            </w:pPr>
            <w:r>
              <w:rPr>
                <w:rFonts w:ascii="Arial" w:cs="Arial" w:eastAsia="Arial" w:hAnsi="Arial"/>
                <w:sz w:val="18"/>
                <w:szCs w:val="18"/>
                <w:color w:val="auto"/>
                <w:w w:val="97"/>
              </w:rPr>
              <w:t>Weighted Average Yield of Debt and Income Producing Securities at Fair</w:t>
            </w:r>
          </w:p>
        </w:tc>
        <w:tc>
          <w:tcPr>
            <w:tcW w:w="5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tcPr>
          <w:p>
            <w:pPr>
              <w:ind w:left="160"/>
              <w:spacing w:after="0"/>
              <w:rPr>
                <w:sz w:val="20"/>
                <w:szCs w:val="20"/>
                <w:color w:val="auto"/>
              </w:rPr>
            </w:pPr>
            <w:r>
              <w:rPr>
                <w:rFonts w:ascii="Arial" w:cs="Arial" w:eastAsia="Arial" w:hAnsi="Arial"/>
                <w:sz w:val="18"/>
                <w:szCs w:val="18"/>
                <w:color w:val="auto"/>
              </w:rPr>
              <w:t>Value</w:t>
            </w:r>
          </w:p>
        </w:tc>
        <w:tc>
          <w:tcPr>
            <w:tcW w:w="580" w:type="dxa"/>
            <w:vAlign w:val="bottom"/>
          </w:tcPr>
          <w:p>
            <w:pPr>
              <w:spacing w:after="0"/>
              <w:rPr>
                <w:sz w:val="20"/>
                <w:szCs w:val="20"/>
                <w:color w:val="auto"/>
              </w:rPr>
            </w:pPr>
          </w:p>
        </w:tc>
        <w:tc>
          <w:tcPr>
            <w:tcW w:w="1720" w:type="dxa"/>
            <w:vAlign w:val="bottom"/>
          </w:tcPr>
          <w:p>
            <w:pPr>
              <w:jc w:val="right"/>
              <w:ind w:right="710"/>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20"/>
                <w:szCs w:val="20"/>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8"/>
                <w:szCs w:val="18"/>
                <w:color w:val="auto"/>
              </w:rPr>
              <w:t>10.3%</w:t>
            </w:r>
          </w:p>
        </w:tc>
        <w:tc>
          <w:tcPr>
            <w:tcW w:w="5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Yield of Debt and Income Producing Securities at</w:t>
            </w:r>
          </w:p>
        </w:tc>
        <w:tc>
          <w:tcPr>
            <w:tcW w:w="5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Amortized Cost</w:t>
            </w:r>
          </w:p>
        </w:tc>
        <w:tc>
          <w:tcPr>
            <w:tcW w:w="580" w:type="dxa"/>
            <w:vAlign w:val="bottom"/>
            <w:shd w:val="clear" w:color="auto" w:fill="CCEEFF"/>
          </w:tcPr>
          <w:p>
            <w:pPr>
              <w:spacing w:after="0"/>
              <w:rPr>
                <w:sz w:val="20"/>
                <w:szCs w:val="20"/>
                <w:color w:val="auto"/>
              </w:rPr>
            </w:pPr>
          </w:p>
        </w:tc>
        <w:tc>
          <w:tcPr>
            <w:tcW w:w="172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10.3%</w:t>
            </w:r>
          </w:p>
        </w:tc>
        <w:tc>
          <w:tcPr>
            <w:tcW w:w="22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10.1%</w:t>
            </w:r>
          </w:p>
        </w:tc>
        <w:tc>
          <w:tcPr>
            <w:tcW w:w="5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324"/>
        </w:trPr>
        <w:tc>
          <w:tcPr>
            <w:tcW w:w="5680" w:type="dxa"/>
            <w:vAlign w:val="bottom"/>
            <w:gridSpan w:val="2"/>
          </w:tcPr>
          <w:p>
            <w:pPr>
              <w:spacing w:after="0"/>
              <w:rPr>
                <w:sz w:val="20"/>
                <w:szCs w:val="20"/>
                <w:color w:val="auto"/>
              </w:rPr>
            </w:pPr>
            <w:r>
              <w:rPr>
                <w:rFonts w:ascii="Arial" w:cs="Arial" w:eastAsia="Arial" w:hAnsi="Arial"/>
                <w:sz w:val="18"/>
                <w:szCs w:val="18"/>
                <w:color w:val="auto"/>
              </w:rPr>
              <w:t>Percentage of Debt Investment Commitments at Floating Rates</w:t>
            </w:r>
          </w:p>
        </w:tc>
        <w:tc>
          <w:tcPr>
            <w:tcW w:w="580" w:type="dxa"/>
            <w:vAlign w:val="bottom"/>
          </w:tcPr>
          <w:p>
            <w:pPr>
              <w:spacing w:after="0"/>
              <w:rPr>
                <w:sz w:val="24"/>
                <w:szCs w:val="24"/>
                <w:color w:val="auto"/>
              </w:rPr>
            </w:pPr>
          </w:p>
        </w:tc>
        <w:tc>
          <w:tcPr>
            <w:tcW w:w="1720" w:type="dxa"/>
            <w:vAlign w:val="bottom"/>
          </w:tcPr>
          <w:p>
            <w:pPr>
              <w:jc w:val="right"/>
              <w:ind w:right="530"/>
              <w:spacing w:after="0"/>
              <w:rPr>
                <w:sz w:val="20"/>
                <w:szCs w:val="20"/>
                <w:color w:val="auto"/>
              </w:rPr>
            </w:pPr>
            <w:r>
              <w:rPr>
                <w:rFonts w:ascii="Arial" w:cs="Arial" w:eastAsia="Arial" w:hAnsi="Arial"/>
                <w:sz w:val="18"/>
                <w:szCs w:val="18"/>
                <w:color w:val="auto"/>
              </w:rPr>
              <w:t>96%</w:t>
            </w:r>
            <w:r>
              <w:rPr>
                <w:rFonts w:ascii="Arial" w:cs="Arial" w:eastAsia="Arial" w:hAnsi="Arial"/>
                <w:sz w:val="15"/>
                <w:szCs w:val="15"/>
                <w:color w:val="auto"/>
              </w:rPr>
              <w:t>(2)</w:t>
            </w:r>
          </w:p>
        </w:tc>
        <w:tc>
          <w:tcPr>
            <w:tcW w:w="220" w:type="dxa"/>
            <w:vAlign w:val="bottom"/>
          </w:tcPr>
          <w:p>
            <w:pPr>
              <w:spacing w:after="0"/>
              <w:rPr>
                <w:sz w:val="24"/>
                <w:szCs w:val="24"/>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8"/>
                <w:szCs w:val="18"/>
                <w:color w:val="auto"/>
              </w:rPr>
              <w:t>95%</w:t>
            </w:r>
            <w:r>
              <w:rPr>
                <w:rFonts w:ascii="Arial" w:cs="Arial" w:eastAsia="Arial" w:hAnsi="Arial"/>
                <w:sz w:val="15"/>
                <w:szCs w:val="15"/>
                <w:color w:val="auto"/>
              </w:rPr>
              <w:t>(2)</w:t>
            </w:r>
          </w:p>
        </w:tc>
        <w:tc>
          <w:tcPr>
            <w:tcW w:w="5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right="460" w:hanging="452"/>
        <w:spacing w:after="0" w:line="25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 adopted ASU 2015-03 during the quarter ended March 31, 2016 and adjusted prior period balance sheets to reflect the change. The adoption of this guidance did not have an impact on the Company’s results of operations or cash flows.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one fixed rate investment for which we entered into an interest rate swap agreement to swap to a floating rate.</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Conference Call Information:</w:t>
      </w:r>
    </w:p>
    <w:p>
      <w:pPr>
        <w:spacing w:after="0" w:line="11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 xml:space="preserve">The conference call will be broadcast live at 8:30 a.m. Eastern Time on May 5, 2016. </w:t>
      </w:r>
      <w:r>
        <w:rPr>
          <w:rFonts w:ascii="Arial" w:cs="Arial" w:eastAsia="Arial" w:hAnsi="Arial"/>
          <w:sz w:val="18"/>
          <w:szCs w:val="18"/>
          <w:b w:val="1"/>
          <w:bCs w:val="1"/>
          <w:i w:val="1"/>
          <w:iCs w:val="1"/>
          <w:color w:val="auto"/>
        </w:rPr>
        <w:t>Please visit TSLX’s webcast link located on the Events &amp; Presentation</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 xml:space="preserve">page of the Investor Resources section of TSLX’s website </w:t>
      </w:r>
      <w:r>
        <w:rPr>
          <w:rFonts w:ascii="Arial" w:cs="Arial" w:eastAsia="Arial" w:hAnsi="Arial"/>
          <w:sz w:val="18"/>
          <w:szCs w:val="18"/>
          <w:color w:val="auto"/>
        </w:rPr>
        <w:t>http://www.tpgspecialtylending.com</w:t>
      </w:r>
      <w:r>
        <w:rPr>
          <w:rFonts w:ascii="Arial" w:cs="Arial" w:eastAsia="Arial" w:hAnsi="Arial"/>
          <w:sz w:val="18"/>
          <w:szCs w:val="18"/>
          <w:b w:val="1"/>
          <w:bCs w:val="1"/>
          <w:i w:val="1"/>
          <w:iCs w:val="1"/>
          <w:color w:val="auto"/>
        </w:rPr>
        <w:t xml:space="preserve"> for a slide presentation that complements the Earnings Conference Call</w:t>
      </w:r>
      <w:r>
        <w:rPr>
          <w:rFonts w:ascii="Arial" w:cs="Arial" w:eastAsia="Arial" w:hAnsi="Arial"/>
          <w:sz w:val="18"/>
          <w:szCs w:val="18"/>
          <w:color w:val="auto"/>
        </w:rPr>
        <w:t>. Please visit the website to test your connection before the webcast.</w:t>
      </w:r>
    </w:p>
    <w:p>
      <w:pPr>
        <w:sectPr>
          <w:pgSz w:w="11900" w:h="16838" w:orient="portrait"/>
          <w:cols w:equalWidth="0" w:num="1">
            <w:col w:w="11420"/>
          </w:cols>
          <w:pgMar w:left="240" w:top="12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Participants are also invited to access the conference call by dialing one of the following numbers: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78797512</w:t>
      </w:r>
    </w:p>
    <w:p>
      <w:pPr>
        <w:spacing w:after="0" w:line="21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Replay Information:</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An archived replay will be available from approximately 12:00 p.m. Eastern Time on May 5 through May 19 via a webcast link located on the Investor Resources section of the Company’s website, and via the dial-in numbers listed below:</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78797512</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months ended March 31, 2016, gross originations totaled $164.6 million. This compares to $399.3 million for the three months ended December 31, 2015 and $267.8 million for the three months ended March 31, 2015.</w:t>
      </w:r>
    </w:p>
    <w:p>
      <w:pPr>
        <w:spacing w:after="0" w:line="17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For the three months ended March 31, 2016, the Company made new investment commitments of $129.6 million, $78.5 million in four new portfolio companies and $51.1 million in four existing portfolio companies. For this period, the Company had $45.8 million aggregate principal amount in exits and repayments, resulting in a net portfolio increase of $83.8 million aggregate principal amount.</w:t>
      </w:r>
    </w:p>
    <w:p>
      <w:pPr>
        <w:spacing w:after="0" w:line="181"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For the three months ended March 31, 2015, the Company made new investment commitments of $137.8 million, $101.0 million in three new portfolio companies and $36.8 million in three existing portfolio companies. For this period, the Company had $60.8 million aggregate principal amount in exits and repayments, resulting in a net portfolio increase of $71.0 million aggregate principal amount.</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As of March 31, 2016 and December 31, 2015, the Company had investments in 48 and 46 portfolio companies, respectively, with an aggregate fair value of $1,563.7 million and $1,485.7 million, respectively.</w:t>
      </w:r>
    </w:p>
    <w:p>
      <w:pPr>
        <w:spacing w:after="0" w:line="17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color w:val="auto"/>
        </w:rPr>
        <w:t>As of March 31, 2016, the portfolio consisted of 89.0% first-lien debt investments, 7.7% second-lien debt investments, 1.9% mezzanine and unsecured debt investments, and 1.4% equity and other investments. As of December 31, 2015, the portfolio based on fair value consisted of 88.2% first-lien debt investments, 8.1% second-lien debt investments, 1.9% mezzanine and unsecured debt investments, and 1.8% equity and other investments.</w:t>
      </w:r>
    </w:p>
    <w:p>
      <w:pPr>
        <w:sectPr>
          <w:pgSz w:w="11900" w:h="16838" w:orient="portrait"/>
          <w:cols w:equalWidth="0" w:num="1">
            <w:col w:w="11380"/>
          </w:cols>
          <w:pgMar w:left="240" w:top="274" w:right="279" w:bottom="1440" w:gutter="0" w:footer="0" w:header="0"/>
        </w:sectPr>
      </w:pPr>
    </w:p>
    <w:bookmarkStart w:id="5" w:name="page6"/>
    <w:bookmarkEnd w:id="5"/>
    <w:p>
      <w:pPr>
        <w:ind w:right="26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March 31, 2016, 96.2% of debt investments based on fair value in the Company’s portfolio bore interest at floating rates (when including investment specific hedges), with 94.2% of these subject to interest rate floors. The Company’s credit facility also bears interest at floating rates.</w:t>
      </w:r>
    </w:p>
    <w:p>
      <w:pPr>
        <w:spacing w:after="0" w:line="14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As of March 31, 2016 and December 31, 2015, the weighted average total yield of debt and income producing securities at fair value (which includes interest income and amortization of fees and discounts) was 10.5% and 10.3%, respectively, and the weighted average total yield of debt and income producing securities at amortized cost (which includes interest income and amortization of fees and discounts) was 10.3% and 10.1%, respectively.</w:t>
      </w:r>
    </w:p>
    <w:p>
      <w:pPr>
        <w:spacing w:after="0" w:line="16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As of March 31, 2016, 99.6% of debt investments based on fair value were meeting all payment requirements and 97.8% of debt investments based on fair value were meeting all covenant requirements. One investment was on non-accrual status at March 31, 2016.</w:t>
      </w:r>
    </w:p>
    <w:p>
      <w:pPr>
        <w:spacing w:after="0" w:line="275" w:lineRule="exact"/>
        <w:rPr>
          <w:sz w:val="20"/>
          <w:szCs w:val="20"/>
          <w:color w:val="auto"/>
        </w:rPr>
      </w:pPr>
    </w:p>
    <w:p>
      <w:pPr>
        <w:ind w:right="2060"/>
        <w:spacing w:after="0" w:line="378" w:lineRule="auto"/>
        <w:rPr>
          <w:sz w:val="20"/>
          <w:szCs w:val="20"/>
          <w:color w:val="auto"/>
        </w:rPr>
      </w:pPr>
      <w:r>
        <w:rPr>
          <w:rFonts w:ascii="Arial" w:cs="Arial" w:eastAsia="Arial" w:hAnsi="Arial"/>
          <w:sz w:val="18"/>
          <w:szCs w:val="18"/>
          <w:b w:val="1"/>
          <w:bCs w:val="1"/>
          <w:color w:val="auto"/>
        </w:rPr>
        <w:t xml:space="preserve">Results of Operations for the Three Months Ended March 31, 2016 compared to the Three Months Ended March 31, 2015 </w:t>
      </w:r>
      <w:r>
        <w:rPr>
          <w:rFonts w:ascii="Arial" w:cs="Arial" w:eastAsia="Arial" w:hAnsi="Arial"/>
          <w:sz w:val="18"/>
          <w:szCs w:val="18"/>
          <w:b w:val="1"/>
          <w:bCs w:val="1"/>
          <w:i w:val="1"/>
          <w:iCs w:val="1"/>
          <w:color w:val="auto"/>
        </w:rPr>
        <w:t>Investment Income</w:t>
      </w:r>
    </w:p>
    <w:p>
      <w:pPr>
        <w:ind w:right="120"/>
        <w:spacing w:after="0" w:line="259" w:lineRule="auto"/>
        <w:rPr>
          <w:sz w:val="20"/>
          <w:szCs w:val="20"/>
          <w:color w:val="auto"/>
        </w:rPr>
      </w:pPr>
      <w:r>
        <w:rPr>
          <w:rFonts w:ascii="Arial" w:cs="Arial" w:eastAsia="Arial" w:hAnsi="Arial"/>
          <w:sz w:val="18"/>
          <w:szCs w:val="18"/>
          <w:color w:val="auto"/>
        </w:rPr>
        <w:t>For the three months ended March 31, 2016 and 2015, investment income totaled $42.7 million and $37.7 million, respectively. The increase in investment income for the quarter was primarily driven by an increase in the average size of the investment portfolio, accelerated amortization of upfront fees from unscheduled paydowns and dividend income, slightly offset by lower prepayment, syndication, amendment and agency fees, as compared to the same period in 2015.</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expenses totaled $19.1 million and $16.6 million for the three months ended March 31, 2016 and 2015, respectively. The increase in net expenses was primarily due to higher interest expense related to an increase in the weighted average debt outstanding.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March 31, 2016, the Company had $4.0 million in cash and cash equivalents, total debt outstanding of $638.2 million, and $298.0 million of undrawn commitments on its revolving credit facility, subject to borrowing base and other limitations. The weighted average interest rate on debt outstanding was 2.6% for the three months ended March 31, 2016 and March 31, 2015.</w:t>
      </w:r>
    </w:p>
    <w:p>
      <w:pPr>
        <w:spacing w:after="0" w:line="181" w:lineRule="exact"/>
        <w:rPr>
          <w:sz w:val="20"/>
          <w:szCs w:val="20"/>
          <w:color w:val="auto"/>
        </w:rPr>
      </w:pPr>
    </w:p>
    <w:p>
      <w:pPr>
        <w:jc w:val="both"/>
        <w:ind w:right="260"/>
        <w:spacing w:after="0" w:line="286" w:lineRule="auto"/>
        <w:rPr>
          <w:sz w:val="20"/>
          <w:szCs w:val="20"/>
          <w:color w:val="auto"/>
        </w:rPr>
      </w:pPr>
      <w:r>
        <w:rPr>
          <w:rFonts w:ascii="Arial" w:cs="Arial" w:eastAsia="Arial" w:hAnsi="Arial"/>
          <w:sz w:val="17"/>
          <w:szCs w:val="17"/>
          <w:color w:val="auto"/>
        </w:rPr>
        <w:t>On March 3, 2016, the Company issued 5,000,000 shares of common stock at $16.42 per share. Net of underwriting fees and offering costs, the Company received total cash proceeds of $78.3 million. During the three months ended March 31, 2016, 86,081 shares were repurchased under the Company 10b5-1 Plan at a weighted average price per share of $15.44, inclusive of commissions, for a total investment of $1.3 million.</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is rated BBB- by Fitch Ratings and Standard and Poor’s. Both Fitch Ratings and Standard and Poor’s affirmed the Company’s BBB- rating and stable outlook during the first quarter of 2016.</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Financial Statements and Tables</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TPG Specialty Lending, Inc.</w:t>
      </w:r>
    </w:p>
    <w:p>
      <w:pPr>
        <w:spacing w:after="0" w:line="11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4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w:t>
            </w: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6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3"/>
          </w:tcPr>
          <w:p>
            <w:pPr>
              <w:jc w:val="right"/>
              <w:ind w:right="1100"/>
              <w:spacing w:after="0"/>
              <w:rPr>
                <w:sz w:val="20"/>
                <w:szCs w:val="20"/>
                <w:color w:val="auto"/>
              </w:rPr>
            </w:pPr>
            <w:r>
              <w:rPr>
                <w:rFonts w:ascii="Arial" w:cs="Arial" w:eastAsia="Arial" w:hAnsi="Arial"/>
                <w:sz w:val="14"/>
                <w:szCs w:val="14"/>
                <w:b w:val="1"/>
                <w:bCs w:val="1"/>
                <w:color w:val="auto"/>
                <w:w w:val="98"/>
              </w:rPr>
              <w:t>March 31, 2016</w:t>
            </w:r>
          </w:p>
        </w:tc>
        <w:tc>
          <w:tcPr>
            <w:tcW w:w="14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8"/>
              </w:rPr>
              <w:t>March 31, 2015</w:t>
            </w:r>
          </w:p>
        </w:tc>
      </w:tr>
      <w:tr>
        <w:trPr>
          <w:trHeight w:val="196"/>
        </w:trPr>
        <w:tc>
          <w:tcPr>
            <w:tcW w:w="6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Income</w:t>
            </w: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Investment income from non-controlled, non-affiliated investments: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from investments</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39,170</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32,879</w:t>
            </w: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Dividend income</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474</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3,377</w:t>
            </w:r>
          </w:p>
        </w:tc>
      </w:tr>
      <w:tr>
        <w:trPr>
          <w:trHeight w:val="223"/>
        </w:trPr>
        <w:tc>
          <w:tcPr>
            <w:tcW w:w="6860" w:type="dxa"/>
            <w:vAlign w:val="bottom"/>
          </w:tcPr>
          <w:p>
            <w:pPr>
              <w:ind w:left="720"/>
              <w:spacing w:after="0"/>
              <w:rPr>
                <w:sz w:val="20"/>
                <w:szCs w:val="20"/>
                <w:color w:val="auto"/>
              </w:rPr>
            </w:pPr>
            <w:r>
              <w:rPr>
                <w:rFonts w:ascii="Arial" w:cs="Arial" w:eastAsia="Arial" w:hAnsi="Arial"/>
                <w:sz w:val="18"/>
                <w:szCs w:val="18"/>
                <w:color w:val="auto"/>
              </w:rPr>
              <w:t>Total investment income from non-controlled, non-affiliated investments</w:t>
            </w: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40,367</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36,256</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 from controlled, affiliated investments: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Interest from investments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2,333</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1,417</w:t>
            </w: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w:t>
            </w:r>
          </w:p>
        </w:tc>
      </w:tr>
      <w:tr>
        <w:trPr>
          <w:trHeight w:val="230"/>
        </w:trPr>
        <w:tc>
          <w:tcPr>
            <w:tcW w:w="6860" w:type="dxa"/>
            <w:vAlign w:val="bottom"/>
          </w:tcPr>
          <w:p>
            <w:pPr>
              <w:ind w:left="720"/>
              <w:spacing w:after="0"/>
              <w:rPr>
                <w:sz w:val="20"/>
                <w:szCs w:val="20"/>
                <w:color w:val="auto"/>
              </w:rPr>
            </w:pPr>
            <w:r>
              <w:rPr>
                <w:rFonts w:ascii="Arial" w:cs="Arial" w:eastAsia="Arial" w:hAnsi="Arial"/>
                <w:sz w:val="18"/>
                <w:szCs w:val="18"/>
                <w:color w:val="auto"/>
              </w:rPr>
              <w:t>Total investment income from controlled, affiliated investments</w:t>
            </w:r>
          </w:p>
        </w:tc>
        <w:tc>
          <w:tcPr>
            <w:tcW w:w="9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2,384</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100" w:type="dxa"/>
            <w:vAlign w:val="bottom"/>
          </w:tcPr>
          <w:p>
            <w:pPr>
              <w:spacing w:after="0"/>
              <w:rPr>
                <w:sz w:val="20"/>
                <w:szCs w:val="20"/>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Investment Income</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42,751</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37,730</w:t>
            </w: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Interest</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5,298</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Management fees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5,748</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4,950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4,902</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5,007</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Professional fees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1,923</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1,209</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Other general and administrative</w:t>
            </w:r>
          </w:p>
        </w:tc>
        <w:tc>
          <w:tcPr>
            <w:tcW w:w="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1,254</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1,156</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19,222</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16,638</w:t>
            </w: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Management and incentive fees waived</w:t>
            </w:r>
          </w:p>
        </w:tc>
        <w:tc>
          <w:tcPr>
            <w:tcW w:w="9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Net Expenses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19,124</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16,638</w:t>
            </w: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Net Investment Income Before Income Taxes</w:t>
            </w: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23,627</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21,092</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taxes, including excise taxes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435</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w:t>
            </w:r>
          </w:p>
        </w:tc>
      </w:tr>
      <w:tr>
        <w:trPr>
          <w:trHeight w:val="223"/>
        </w:trPr>
        <w:tc>
          <w:tcPr>
            <w:tcW w:w="686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23,192</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20,787</w:t>
            </w: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Unrealized and Realized Gains (Losses)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Net change in unrealized gains (losses):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Non-controlled, non-affiliated investments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(5,907)</w:t>
            </w: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Controlled, affiliated investments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3"/>
          </w:tcPr>
          <w:p>
            <w:pPr>
              <w:jc w:val="right"/>
              <w:ind w:right="860"/>
              <w:spacing w:after="0"/>
              <w:rPr>
                <w:sz w:val="20"/>
                <w:szCs w:val="20"/>
                <w:color w:val="auto"/>
              </w:rPr>
            </w:pPr>
            <w:r>
              <w:rPr>
                <w:rFonts w:ascii="Arial" w:cs="Arial" w:eastAsia="Arial" w:hAnsi="Arial"/>
                <w:sz w:val="18"/>
                <w:szCs w:val="18"/>
                <w:color w:val="auto"/>
              </w:rPr>
              <w:t>(4,359)</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605</w:t>
            </w: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Translation of assets and liabilities in foreign currencies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(2,703)</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7,215</w:t>
            </w: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1,240</w:t>
            </w:r>
          </w:p>
        </w:tc>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(353)</w:t>
            </w:r>
          </w:p>
        </w:tc>
      </w:tr>
      <w:tr>
        <w:trPr>
          <w:trHeight w:val="27"/>
        </w:trPr>
        <w:tc>
          <w:tcPr>
            <w:tcW w:w="6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86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Total net change in unrealized gains (losses)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(5,625)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Realized gains:</w:t>
            </w: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Non-controlled, non-affiliated investments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r>
      <w:tr>
        <w:trPr>
          <w:trHeight w:val="216"/>
        </w:trPr>
        <w:tc>
          <w:tcPr>
            <w:tcW w:w="6860" w:type="dxa"/>
            <w:vAlign w:val="bottom"/>
          </w:tcPr>
          <w:p>
            <w:pPr>
              <w:ind w:left="360"/>
              <w:spacing w:after="0"/>
              <w:rPr>
                <w:sz w:val="20"/>
                <w:szCs w:val="20"/>
                <w:color w:val="auto"/>
              </w:rPr>
            </w:pPr>
            <w:r>
              <w:rPr>
                <w:rFonts w:ascii="Arial" w:cs="Arial" w:eastAsia="Arial" w:hAnsi="Arial"/>
                <w:sz w:val="18"/>
                <w:szCs w:val="18"/>
                <w:color w:val="auto"/>
              </w:rPr>
              <w:t>Interest rate swaps</w:t>
            </w: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gridSpan w:val="3"/>
          </w:tcPr>
          <w:p>
            <w:pPr>
              <w:jc w:val="right"/>
              <w:ind w:right="10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1,852</w:t>
            </w:r>
          </w:p>
        </w:tc>
      </w:tr>
      <w:tr>
        <w:trPr>
          <w:trHeight w:val="216"/>
        </w:trPr>
        <w:tc>
          <w:tcPr>
            <w:tcW w:w="6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r>
      <w:tr>
        <w:trPr>
          <w:trHeight w:val="230"/>
        </w:trPr>
        <w:tc>
          <w:tcPr>
            <w:tcW w:w="6860" w:type="dxa"/>
            <w:vAlign w:val="bottom"/>
          </w:tcPr>
          <w:p>
            <w:pPr>
              <w:ind w:left="1080"/>
              <w:spacing w:after="0"/>
              <w:rPr>
                <w:sz w:val="20"/>
                <w:szCs w:val="20"/>
                <w:color w:val="auto"/>
              </w:rPr>
            </w:pPr>
            <w:r>
              <w:rPr>
                <w:rFonts w:ascii="Arial" w:cs="Arial" w:eastAsia="Arial" w:hAnsi="Arial"/>
                <w:sz w:val="18"/>
                <w:szCs w:val="18"/>
                <w:color w:val="auto"/>
              </w:rPr>
              <w:t>Total realized gains</w:t>
            </w:r>
          </w:p>
        </w:tc>
        <w:tc>
          <w:tcPr>
            <w:tcW w:w="9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w:t>
            </w: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20"/>
                <w:szCs w:val="20"/>
                <w:color w:val="auto"/>
              </w:rPr>
            </w:pPr>
          </w:p>
        </w:tc>
      </w:tr>
      <w:tr>
        <w:trPr>
          <w:trHeight w:val="216"/>
        </w:trPr>
        <w:tc>
          <w:tcPr>
            <w:tcW w:w="6860" w:type="dxa"/>
            <w:vAlign w:val="bottom"/>
            <w:shd w:val="clear" w:color="auto" w:fill="CCEEFF"/>
          </w:tcPr>
          <w:p>
            <w:pPr>
              <w:ind w:left="1260"/>
              <w:spacing w:after="0"/>
              <w:rPr>
                <w:sz w:val="20"/>
                <w:szCs w:val="20"/>
                <w:color w:val="auto"/>
              </w:rPr>
            </w:pPr>
            <w:r>
              <w:rPr>
                <w:rFonts w:ascii="Arial" w:cs="Arial" w:eastAsia="Arial" w:hAnsi="Arial"/>
                <w:sz w:val="18"/>
                <w:szCs w:val="18"/>
                <w:b w:val="1"/>
                <w:bCs w:val="1"/>
                <w:color w:val="auto"/>
              </w:rPr>
              <w:t>Total Unrealized and Realized Gains (Losses)</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00" w:type="dxa"/>
            <w:vAlign w:val="bottom"/>
            <w:gridSpan w:val="3"/>
            <w:shd w:val="clear" w:color="auto" w:fill="CCEEFF"/>
          </w:tcPr>
          <w:p>
            <w:pPr>
              <w:jc w:val="right"/>
              <w:ind w:right="860"/>
              <w:spacing w:after="0"/>
              <w:rPr>
                <w:sz w:val="20"/>
                <w:szCs w:val="20"/>
                <w:color w:val="auto"/>
              </w:rPr>
            </w:pPr>
            <w:r>
              <w:rPr>
                <w:rFonts w:ascii="Arial" w:cs="Arial" w:eastAsia="Arial" w:hAnsi="Arial"/>
                <w:sz w:val="18"/>
                <w:szCs w:val="18"/>
                <w:color w:val="auto"/>
              </w:rPr>
              <w:t>(5,421)</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3,681</w:t>
            </w:r>
          </w:p>
        </w:tc>
      </w:tr>
      <w:tr>
        <w:trPr>
          <w:trHeight w:val="223"/>
        </w:trPr>
        <w:tc>
          <w:tcPr>
            <w:tcW w:w="6860" w:type="dxa"/>
            <w:vAlign w:val="bottom"/>
          </w:tcPr>
          <w:p>
            <w:pPr>
              <w:ind w:left="1260"/>
              <w:spacing w:after="0"/>
              <w:rPr>
                <w:sz w:val="20"/>
                <w:szCs w:val="20"/>
                <w:color w:val="auto"/>
              </w:rPr>
            </w:pPr>
            <w:r>
              <w:rPr>
                <w:rFonts w:ascii="Arial" w:cs="Arial" w:eastAsia="Arial" w:hAnsi="Arial"/>
                <w:sz w:val="18"/>
                <w:szCs w:val="18"/>
                <w:b w:val="1"/>
                <w:bCs w:val="1"/>
                <w:color w:val="auto"/>
              </w:rPr>
              <w:t>Increase in Net Assets Resulting from Operations</w:t>
            </w:r>
          </w:p>
        </w:tc>
        <w:tc>
          <w:tcPr>
            <w:tcW w:w="9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17,771</w:t>
            </w: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24,468</w:t>
            </w:r>
          </w:p>
        </w:tc>
        <w:tc>
          <w:tcPr>
            <w:tcW w:w="100" w:type="dxa"/>
            <w:vAlign w:val="bottom"/>
          </w:tcPr>
          <w:p>
            <w:pPr>
              <w:spacing w:after="0"/>
              <w:rPr>
                <w:sz w:val="19"/>
                <w:szCs w:val="19"/>
                <w:color w:val="auto"/>
              </w:rPr>
            </w:pPr>
          </w:p>
        </w:tc>
      </w:tr>
      <w:tr>
        <w:trPr>
          <w:trHeight w:val="20"/>
        </w:trPr>
        <w:tc>
          <w:tcPr>
            <w:tcW w:w="6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Earnings per common share—basic and diluted</w:t>
            </w:r>
          </w:p>
        </w:tc>
        <w:tc>
          <w:tcPr>
            <w:tcW w:w="10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0.32</w:t>
            </w: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r>
      <w:tr>
        <w:trPr>
          <w:trHeight w:val="223"/>
        </w:trPr>
        <w:tc>
          <w:tcPr>
            <w:tcW w:w="6860" w:type="dxa"/>
            <w:vAlign w:val="bottom"/>
          </w:tcPr>
          <w:p>
            <w:pPr>
              <w:spacing w:after="0"/>
              <w:rPr>
                <w:sz w:val="20"/>
                <w:szCs w:val="20"/>
                <w:color w:val="auto"/>
              </w:rPr>
            </w:pPr>
            <w:r>
              <w:rPr>
                <w:rFonts w:ascii="Arial" w:cs="Arial" w:eastAsia="Arial" w:hAnsi="Arial"/>
                <w:sz w:val="18"/>
                <w:szCs w:val="18"/>
                <w:color w:val="auto"/>
              </w:rPr>
              <w:t>Weighted average shares of common stock outstanding—basic and diluted</w:t>
            </w:r>
          </w:p>
        </w:tc>
        <w:tc>
          <w:tcPr>
            <w:tcW w:w="9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55,802,270</w:t>
            </w:r>
          </w:p>
        </w:tc>
        <w:tc>
          <w:tcPr>
            <w:tcW w:w="20" w:type="dxa"/>
            <w:vAlign w:val="bottom"/>
            <w:tcBorders>
              <w:bottom w:val="single" w:sz="8" w:color="auto"/>
            </w:tcBorders>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53,902,074</w:t>
            </w:r>
          </w:p>
        </w:tc>
        <w:tc>
          <w:tcPr>
            <w:tcW w:w="100" w:type="dxa"/>
            <w:vAlign w:val="bottom"/>
          </w:tcPr>
          <w:p>
            <w:pPr>
              <w:spacing w:after="0"/>
              <w:rPr>
                <w:sz w:val="19"/>
                <w:szCs w:val="19"/>
                <w:color w:val="auto"/>
              </w:rPr>
            </w:pPr>
          </w:p>
        </w:tc>
      </w:tr>
    </w:tbl>
    <w:p>
      <w:pPr>
        <w:sectPr>
          <w:pgSz w:w="11900" w:h="16838" w:orient="portrait"/>
          <w:cols w:equalWidth="0" w:num="1">
            <w:col w:w="11420"/>
          </w:cols>
          <w:pgMar w:left="240" w:top="270" w:right="239" w:bottom="1440" w:gutter="0" w:footer="0" w:header="0"/>
        </w:sectPr>
      </w:pPr>
    </w:p>
    <w:bookmarkStart w:id="7" w:name="page8"/>
    <w:bookmarkEnd w:id="7"/>
    <w:p>
      <w:pPr>
        <w:ind w:left="46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TPG Specialty Lending, Inc.</w:t>
      </w:r>
    </w:p>
    <w:p>
      <w:pPr>
        <w:spacing w:after="0" w:line="117"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March 31, 2016</w:t>
            </w:r>
          </w:p>
        </w:tc>
        <w:tc>
          <w:tcPr>
            <w:tcW w:w="30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90"/>
              </w:rPr>
              <w:t>December 31, 2015</w:t>
            </w:r>
          </w:p>
        </w:tc>
      </w:tr>
      <w:tr>
        <w:trPr>
          <w:trHeight w:val="196"/>
        </w:trPr>
        <w:tc>
          <w:tcPr>
            <w:tcW w:w="20" w:type="dxa"/>
            <w:vAlign w:val="bottom"/>
          </w:tcPr>
          <w:p>
            <w:pPr>
              <w:spacing w:after="0"/>
              <w:rPr>
                <w:sz w:val="17"/>
                <w:szCs w:val="17"/>
                <w:color w:val="auto"/>
              </w:rPr>
            </w:pPr>
          </w:p>
        </w:tc>
        <w:tc>
          <w:tcPr>
            <w:tcW w:w="81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Non-controlled, non-affiliated investments (amortized cost of $1,521,669 and $1,443,017, respectively)</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1,501,060</w:t>
            </w:r>
          </w:p>
        </w:tc>
        <w:tc>
          <w:tcPr>
            <w:tcW w:w="56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1,422,211</w:t>
            </w:r>
          </w:p>
        </w:tc>
      </w:tr>
      <w:tr>
        <w:trPr>
          <w:trHeight w:val="223"/>
        </w:trPr>
        <w:tc>
          <w:tcPr>
            <w:tcW w:w="20" w:type="dxa"/>
            <w:vAlign w:val="bottom"/>
          </w:tcPr>
          <w:p>
            <w:pPr>
              <w:spacing w:after="0"/>
              <w:rPr>
                <w:sz w:val="19"/>
                <w:szCs w:val="19"/>
                <w:color w:val="auto"/>
              </w:rPr>
            </w:pPr>
          </w:p>
        </w:tc>
        <w:tc>
          <w:tcPr>
            <w:tcW w:w="8180" w:type="dxa"/>
            <w:vAlign w:val="bottom"/>
          </w:tcPr>
          <w:p>
            <w:pPr>
              <w:ind w:left="340"/>
              <w:spacing w:after="0"/>
              <w:rPr>
                <w:sz w:val="20"/>
                <w:szCs w:val="20"/>
                <w:color w:val="auto"/>
              </w:rPr>
            </w:pPr>
            <w:r>
              <w:rPr>
                <w:rFonts w:ascii="Arial" w:cs="Arial" w:eastAsia="Arial" w:hAnsi="Arial"/>
                <w:sz w:val="18"/>
                <w:szCs w:val="18"/>
                <w:color w:val="auto"/>
              </w:rPr>
              <w:t>Controlled, affiliated investments (amortized cost of $90,124 and $86,659, respectively)</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62,604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investments at fair value (amortized cost of $1,611,793 and $1,529,676, respectively)</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7"/>
              </w:rPr>
              <w:t>1,563,664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1,485,709</w:t>
            </w: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4,029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2,431</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11,829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10,146</w:t>
            </w: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Receivable for interest rate swaps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1,642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402</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3,088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7,880</w:t>
            </w:r>
          </w:p>
        </w:tc>
      </w:tr>
      <w:tr>
        <w:trPr>
          <w:trHeight w:val="223"/>
        </w:trPr>
        <w:tc>
          <w:tcPr>
            <w:tcW w:w="20" w:type="dxa"/>
            <w:vAlign w:val="bottom"/>
          </w:tcPr>
          <w:p>
            <w:pPr>
              <w:spacing w:after="0"/>
              <w:rPr>
                <w:sz w:val="19"/>
                <w:szCs w:val="19"/>
                <w:color w:val="auto"/>
              </w:rPr>
            </w:pPr>
          </w:p>
        </w:tc>
        <w:tc>
          <w:tcPr>
            <w:tcW w:w="8180" w:type="dxa"/>
            <w:vAlign w:val="bottom"/>
          </w:tcPr>
          <w:p>
            <w:pPr>
              <w:ind w:left="700"/>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1,584,252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1,506,568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Debt (net of deferred financing costs of $9,790 and $10,365, respectively)</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626,063</w:t>
            </w:r>
          </w:p>
        </w:tc>
        <w:tc>
          <w:tcPr>
            <w:tcW w:w="560" w:type="dxa"/>
            <w:vAlign w:val="bottom"/>
            <w:gridSpan w:val="2"/>
          </w:tcPr>
          <w:p>
            <w:pPr>
              <w:jc w:val="right"/>
              <w:ind w:right="106"/>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642,423</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Management fees payable to affiliate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5,734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5,530</w:t>
            </w: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4,819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4,915</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Dividends payable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23,098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21,124</w:t>
            </w: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Payable for investments purchased</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22,045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4,435</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Payables to affiliate</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1,758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w:t>
            </w: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Liabilities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689,581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685,827</w:t>
            </w:r>
          </w:p>
        </w:tc>
      </w:tr>
      <w:tr>
        <w:trPr>
          <w:trHeight w:val="223"/>
        </w:trPr>
        <w:tc>
          <w:tcPr>
            <w:tcW w:w="820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Preferred stock, $0.01 par value; 100,000,000 shares authorized; no shares issued and outstanding</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20" w:type="dxa"/>
            <w:vAlign w:val="bottom"/>
          </w:tcPr>
          <w:p>
            <w:pPr>
              <w:spacing w:after="0"/>
              <w:rPr>
                <w:sz w:val="17"/>
                <w:szCs w:val="17"/>
                <w:color w:val="auto"/>
              </w:rPr>
            </w:pPr>
          </w:p>
        </w:tc>
        <w:tc>
          <w:tcPr>
            <w:tcW w:w="8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Common stock, $0.01 par value; 400,000,000 shares authorized, 59,314,768 and 54,166,959 shares issued,</w:t>
            </w: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 and 59,225,688 and 54,163,960 shares outstanding, respectively</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593</w:t>
            </w:r>
          </w:p>
        </w:tc>
        <w:tc>
          <w:tcPr>
            <w:tcW w:w="3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w:t>
            </w: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892,675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812,586</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Treasury stock at cost; 89,080 and 2,999 shares held, respectively</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20" w:type="dxa"/>
            <w:vAlign w:val="bottom"/>
          </w:tcPr>
          <w:p>
            <w:pPr>
              <w:spacing w:after="0"/>
              <w:rPr>
                <w:sz w:val="18"/>
                <w:szCs w:val="18"/>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Undistributed net investment income</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26,712</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27,521</w:t>
            </w: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losses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(34,005)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(28,380)</w:t>
            </w:r>
          </w:p>
        </w:tc>
      </w:tr>
      <w:tr>
        <w:trPr>
          <w:trHeight w:val="223"/>
        </w:trPr>
        <w:tc>
          <w:tcPr>
            <w:tcW w:w="20" w:type="dxa"/>
            <w:vAlign w:val="bottom"/>
          </w:tcPr>
          <w:p>
            <w:pPr>
              <w:spacing w:after="0"/>
              <w:rPr>
                <w:sz w:val="19"/>
                <w:szCs w:val="19"/>
                <w:color w:val="auto"/>
              </w:rPr>
            </w:pPr>
          </w:p>
        </w:tc>
        <w:tc>
          <w:tcPr>
            <w:tcW w:w="8180" w:type="dxa"/>
            <w:vAlign w:val="bottom"/>
          </w:tcPr>
          <w:p>
            <w:pPr>
              <w:spacing w:after="0"/>
              <w:rPr>
                <w:sz w:val="20"/>
                <w:szCs w:val="20"/>
                <w:color w:val="auto"/>
              </w:rPr>
            </w:pPr>
            <w:r>
              <w:rPr>
                <w:rFonts w:ascii="Arial" w:cs="Arial" w:eastAsia="Arial" w:hAnsi="Arial"/>
                <w:sz w:val="18"/>
                <w:szCs w:val="18"/>
                <w:color w:val="auto"/>
              </w:rPr>
              <w:t>Undistributed net realized gains</w:t>
            </w: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10,055</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Total Net Assets</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894,671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820,741</w:t>
            </w:r>
          </w:p>
        </w:tc>
      </w:tr>
      <w:tr>
        <w:trPr>
          <w:trHeight w:val="223"/>
        </w:trPr>
        <w:tc>
          <w:tcPr>
            <w:tcW w:w="20" w:type="dxa"/>
            <w:vAlign w:val="bottom"/>
          </w:tcPr>
          <w:p>
            <w:pPr>
              <w:spacing w:after="0"/>
              <w:rPr>
                <w:sz w:val="19"/>
                <w:szCs w:val="19"/>
                <w:color w:val="auto"/>
              </w:rPr>
            </w:pPr>
          </w:p>
        </w:tc>
        <w:tc>
          <w:tcPr>
            <w:tcW w:w="8180" w:type="dxa"/>
            <w:vAlign w:val="bottom"/>
          </w:tcPr>
          <w:p>
            <w:pPr>
              <w:ind w:left="700"/>
              <w:spacing w:after="0"/>
              <w:rPr>
                <w:sz w:val="20"/>
                <w:szCs w:val="20"/>
                <w:color w:val="auto"/>
              </w:rPr>
            </w:pPr>
            <w:r>
              <w:rPr>
                <w:rFonts w:ascii="Arial" w:cs="Arial" w:eastAsia="Arial" w:hAnsi="Arial"/>
                <w:sz w:val="18"/>
                <w:szCs w:val="18"/>
                <w:b w:val="1"/>
                <w:bCs w:val="1"/>
                <w:color w:val="auto"/>
              </w:rPr>
              <w:t>Total Liabilities and Net Assets</w:t>
            </w:r>
          </w:p>
        </w:tc>
        <w:tc>
          <w:tcPr>
            <w:tcW w:w="3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1,584,252</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1,506,568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180" w:type="dxa"/>
            <w:vAlign w:val="bottom"/>
            <w:shd w:val="clear" w:color="auto" w:fill="CCEEFF"/>
          </w:tcPr>
          <w:p>
            <w:pPr>
              <w:ind w:left="700"/>
              <w:spacing w:after="0"/>
              <w:rPr>
                <w:sz w:val="20"/>
                <w:szCs w:val="20"/>
                <w:color w:val="auto"/>
              </w:rPr>
            </w:pPr>
            <w:r>
              <w:rPr>
                <w:rFonts w:ascii="Arial" w:cs="Arial" w:eastAsia="Arial" w:hAnsi="Arial"/>
                <w:sz w:val="18"/>
                <w:szCs w:val="18"/>
                <w:b w:val="1"/>
                <w:bCs w:val="1"/>
                <w:color w:val="auto"/>
              </w:rPr>
              <w:t>Net Asset Value Per Share</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15.11</w:t>
            </w:r>
          </w:p>
        </w:tc>
        <w:tc>
          <w:tcPr>
            <w:tcW w:w="560" w:type="dxa"/>
            <w:vAlign w:val="bottom"/>
            <w:gridSpan w:val="2"/>
            <w:shd w:val="clear" w:color="auto" w:fill="CCEEFF"/>
          </w:tcPr>
          <w:p>
            <w:pPr>
              <w:jc w:val="right"/>
              <w:ind w:right="106"/>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w:t>
            </w:r>
          </w:p>
        </w:tc>
      </w:tr>
      <w:tr>
        <w:trPr>
          <w:trHeight w:val="20"/>
        </w:trPr>
        <w:tc>
          <w:tcPr>
            <w:tcW w:w="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70" w:right="239" w:bottom="1440" w:gutter="0" w:footer="0" w:header="0"/>
        </w:sectPr>
      </w:pPr>
    </w:p>
    <w:bookmarkStart w:id="8" w:name="page9"/>
    <w:bookmarkEnd w:id="8"/>
    <w:p>
      <w:pPr>
        <w:ind w:right="3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investment activity for the three months ended March 31, 2016 and 2015 is presented below (information presented herein is at par value unless otherwise indicated).</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606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4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6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9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March 31, 2016</w:t>
            </w:r>
          </w:p>
        </w:tc>
        <w:tc>
          <w:tcPr>
            <w:tcW w:w="9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March 31, 2015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New investment commitments:</w:t>
            </w:r>
          </w:p>
        </w:tc>
        <w:tc>
          <w:tcPr>
            <w:tcW w:w="4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Gross originations</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0"/>
              <w:spacing w:after="0"/>
              <w:rPr>
                <w:sz w:val="20"/>
                <w:szCs w:val="20"/>
                <w:color w:val="auto"/>
              </w:rPr>
            </w:pPr>
            <w:r>
              <w:rPr>
                <w:rFonts w:ascii="Arial" w:cs="Arial" w:eastAsia="Arial" w:hAnsi="Arial"/>
                <w:sz w:val="18"/>
                <w:szCs w:val="18"/>
                <w:color w:val="auto"/>
              </w:rPr>
              <w:t>164.6</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267.8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Syndications/sell downs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35.0</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060" w:type="dxa"/>
            <w:vAlign w:val="bottom"/>
          </w:tcPr>
          <w:p>
            <w:pPr>
              <w:ind w:left="720"/>
              <w:spacing w:after="0"/>
              <w:rPr>
                <w:sz w:val="20"/>
                <w:szCs w:val="20"/>
                <w:color w:val="auto"/>
              </w:rPr>
            </w:pPr>
            <w:r>
              <w:rPr>
                <w:rFonts w:ascii="Arial" w:cs="Arial" w:eastAsia="Arial" w:hAnsi="Arial"/>
                <w:sz w:val="18"/>
                <w:szCs w:val="18"/>
                <w:color w:val="auto"/>
              </w:rPr>
              <w:t>Total new investment commitments</w:t>
            </w:r>
          </w:p>
        </w:tc>
        <w:tc>
          <w:tcPr>
            <w:tcW w:w="400" w:type="dxa"/>
            <w:vAlign w:val="bottom"/>
          </w:tcPr>
          <w:p>
            <w:pPr>
              <w:spacing w:after="0"/>
              <w:rPr>
                <w:sz w:val="19"/>
                <w:szCs w:val="19"/>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00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137.8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0"/>
              <w:spacing w:after="0"/>
              <w:rPr>
                <w:sz w:val="20"/>
                <w:szCs w:val="20"/>
                <w:color w:val="auto"/>
              </w:rPr>
            </w:pPr>
            <w:r>
              <w:rPr>
                <w:rFonts w:ascii="Arial" w:cs="Arial" w:eastAsia="Arial" w:hAnsi="Arial"/>
                <w:sz w:val="18"/>
                <w:szCs w:val="18"/>
                <w:color w:val="auto"/>
              </w:rPr>
              <w:t>127.5</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122.0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Mezzanine and unsecured</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right"/>
              <w:ind w:right="1000"/>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and other</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60" w:type="dxa"/>
            <w:vAlign w:val="bottom"/>
          </w:tcPr>
          <w:p>
            <w:pPr>
              <w:ind w:left="720"/>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19"/>
                <w:szCs w:val="19"/>
                <w:color w:val="auto"/>
              </w:rPr>
            </w:pP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129.6</w:t>
            </w:r>
          </w:p>
        </w:tc>
        <w:tc>
          <w:tcPr>
            <w:tcW w:w="1000" w:type="dxa"/>
            <w:vAlign w:val="bottom"/>
          </w:tcPr>
          <w:p>
            <w:pPr>
              <w:spacing w:after="0"/>
              <w:rPr>
                <w:sz w:val="19"/>
                <w:szCs w:val="19"/>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First-lien</w:t>
            </w:r>
          </w:p>
        </w:tc>
        <w:tc>
          <w:tcPr>
            <w:tcW w:w="7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0"/>
              <w:spacing w:after="0"/>
              <w:rPr>
                <w:sz w:val="20"/>
                <w:szCs w:val="20"/>
                <w:color w:val="auto"/>
              </w:rPr>
            </w:pPr>
            <w:r>
              <w:rPr>
                <w:rFonts w:ascii="Arial" w:cs="Arial" w:eastAsia="Arial" w:hAnsi="Arial"/>
                <w:sz w:val="18"/>
                <w:szCs w:val="18"/>
                <w:color w:val="auto"/>
              </w:rPr>
              <w:t>43.6</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Second-lien</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6060" w:type="dxa"/>
            <w:vAlign w:val="bottom"/>
          </w:tcPr>
          <w:p>
            <w:pPr>
              <w:ind w:left="360"/>
              <w:spacing w:after="0"/>
              <w:rPr>
                <w:sz w:val="20"/>
                <w:szCs w:val="20"/>
                <w:color w:val="auto"/>
              </w:rPr>
            </w:pPr>
            <w:r>
              <w:rPr>
                <w:rFonts w:ascii="Arial" w:cs="Arial" w:eastAsia="Arial" w:hAnsi="Arial"/>
                <w:sz w:val="18"/>
                <w:szCs w:val="18"/>
                <w:color w:val="auto"/>
              </w:rPr>
              <w:t>Mezzanine and unsecured</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right"/>
              <w:ind w:right="1000"/>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45.8</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23"/>
        </w:trPr>
        <w:tc>
          <w:tcPr>
            <w:tcW w:w="6060" w:type="dxa"/>
            <w:vAlign w:val="bottom"/>
          </w:tcPr>
          <w:p>
            <w:pPr>
              <w:spacing w:after="0"/>
              <w:rPr>
                <w:sz w:val="20"/>
                <w:szCs w:val="20"/>
                <w:color w:val="auto"/>
              </w:rPr>
            </w:pPr>
            <w:r>
              <w:rPr>
                <w:rFonts w:ascii="Arial" w:cs="Arial" w:eastAsia="Arial" w:hAnsi="Arial"/>
                <w:sz w:val="18"/>
                <w:szCs w:val="18"/>
                <w:b w:val="1"/>
                <w:bCs w:val="1"/>
                <w:color w:val="auto"/>
              </w:rPr>
              <w:t>Number of new investment commitments in new portfolio companies</w:t>
            </w:r>
          </w:p>
        </w:tc>
        <w:tc>
          <w:tcPr>
            <w:tcW w:w="4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Average new investment commitment amount in new portfolio companies</w:t>
            </w:r>
          </w:p>
        </w:tc>
        <w:tc>
          <w:tcPr>
            <w:tcW w:w="7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0"/>
              <w:spacing w:after="0"/>
              <w:rPr>
                <w:sz w:val="20"/>
                <w:szCs w:val="20"/>
                <w:color w:val="auto"/>
              </w:rPr>
            </w:pPr>
            <w:r>
              <w:rPr>
                <w:rFonts w:ascii="Arial" w:cs="Arial" w:eastAsia="Arial" w:hAnsi="Arial"/>
                <w:sz w:val="18"/>
                <w:szCs w:val="18"/>
                <w:color w:val="auto"/>
              </w:rPr>
              <w:t>19.6</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198"/>
        </w:trPr>
        <w:tc>
          <w:tcPr>
            <w:tcW w:w="606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term for new investment commitments in new</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180"/>
              <w:spacing w:after="0"/>
              <w:rPr>
                <w:sz w:val="20"/>
                <w:szCs w:val="20"/>
                <w:color w:val="auto"/>
              </w:rPr>
            </w:pPr>
            <w:r>
              <w:rPr>
                <w:rFonts w:ascii="Arial" w:cs="Arial" w:eastAsia="Arial" w:hAnsi="Arial"/>
                <w:sz w:val="18"/>
                <w:szCs w:val="18"/>
                <w:b w:val="1"/>
                <w:bCs w:val="1"/>
                <w:color w:val="auto"/>
              </w:rPr>
              <w:t>portfolio companies (in years)</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2"/>
          </w:tcPr>
          <w:p>
            <w:pPr>
              <w:jc w:val="right"/>
              <w:ind w:right="1000"/>
              <w:spacing w:after="0"/>
              <w:rPr>
                <w:sz w:val="20"/>
                <w:szCs w:val="20"/>
                <w:color w:val="auto"/>
              </w:rPr>
            </w:pPr>
            <w:r>
              <w:rPr>
                <w:rFonts w:ascii="Arial" w:cs="Arial" w:eastAsia="Arial" w:hAnsi="Arial"/>
                <w:sz w:val="18"/>
                <w:szCs w:val="18"/>
                <w:color w:val="auto"/>
              </w:rPr>
              <w:t>5.0</w:t>
            </w:r>
          </w:p>
        </w:tc>
        <w:tc>
          <w:tcPr>
            <w:tcW w:w="3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Percentage of new debt investment commitments at floating rates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98.3%</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92.9%</w:t>
            </w:r>
          </w:p>
        </w:tc>
        <w:tc>
          <w:tcPr>
            <w:tcW w:w="0" w:type="dxa"/>
            <w:vAlign w:val="bottom"/>
          </w:tcPr>
          <w:p>
            <w:pPr>
              <w:spacing w:after="0"/>
              <w:rPr>
                <w:sz w:val="1"/>
                <w:szCs w:val="1"/>
                <w:color w:val="auto"/>
              </w:rPr>
            </w:pPr>
          </w:p>
        </w:tc>
      </w:tr>
      <w:tr>
        <w:trPr>
          <w:trHeight w:val="216"/>
        </w:trPr>
        <w:tc>
          <w:tcPr>
            <w:tcW w:w="606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 at fixed rates</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interest rate of new investment commitments</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9.0%</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198"/>
        </w:trPr>
        <w:tc>
          <w:tcPr>
            <w:tcW w:w="6060" w:type="dxa"/>
            <w:vAlign w:val="bottom"/>
          </w:tcPr>
          <w:p>
            <w:pPr>
              <w:spacing w:after="0" w:line="198" w:lineRule="exact"/>
              <w:rPr>
                <w:sz w:val="20"/>
                <w:szCs w:val="20"/>
                <w:color w:val="auto"/>
              </w:rPr>
            </w:pPr>
            <w:r>
              <w:rPr>
                <w:rFonts w:ascii="Arial" w:cs="Arial" w:eastAsia="Arial" w:hAnsi="Arial"/>
                <w:sz w:val="18"/>
                <w:szCs w:val="18"/>
                <w:b w:val="1"/>
                <w:bCs w:val="1"/>
                <w:color w:val="auto"/>
              </w:rPr>
              <w:t>Weighted average spread over LIBOR of new floating rate investment</w:t>
            </w: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60" w:type="dxa"/>
            <w:vAlign w:val="bottom"/>
          </w:tcPr>
          <w:p>
            <w:pPr>
              <w:ind w:left="180"/>
              <w:spacing w:after="0"/>
              <w:rPr>
                <w:sz w:val="20"/>
                <w:szCs w:val="20"/>
                <w:color w:val="auto"/>
              </w:rPr>
            </w:pPr>
            <w:r>
              <w:rPr>
                <w:rFonts w:ascii="Arial" w:cs="Arial" w:eastAsia="Arial" w:hAnsi="Arial"/>
                <w:sz w:val="18"/>
                <w:szCs w:val="18"/>
                <w:b w:val="1"/>
                <w:bCs w:val="1"/>
                <w:color w:val="auto"/>
              </w:rPr>
              <w:t>commitments</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8"/>
                <w:szCs w:val="18"/>
                <w:color w:val="auto"/>
              </w:rPr>
              <w:t>8.0%</w:t>
            </w:r>
          </w:p>
        </w:tc>
        <w:tc>
          <w:tcPr>
            <w:tcW w:w="36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interest rate on investments sold or paid down</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8.8%</w:t>
            </w: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TPG Specialty Lending, Inc.</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and unsecured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Special Situations Partners, the dedicated special situations and credit platform of TPG, with over $16 billion of assets under management as of March 31, 2016, and the broader TPG platform, a global private investment firm with over $74 billion of assets under management as of December 31, 2015. For more information, visit the Company’s website at www.tpgspecialtylending.com.</w:t>
      </w:r>
    </w:p>
    <w:p>
      <w:pPr>
        <w:sectPr>
          <w:pgSz w:w="11900" w:h="16838" w:orient="portrait"/>
          <w:cols w:equalWidth="0" w:num="1">
            <w:col w:w="11380"/>
          </w:cols>
          <w:pgMar w:left="240" w:top="274" w:right="2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 TSLX undertakes no duty to update any forward-looking statements made herein.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Source: TPG Specialty Lending,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Lucy Lu</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212-601-4753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Luke Barrett, 212-601-4752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lbarrett@tpg.com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Owen Blicksilver PR,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Jennifer Hurson, 845-507-0571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jennifer@blicksilverpr.com</w:t>
      </w:r>
    </w:p>
    <w:sectPr>
      <w:pgSz w:w="11900" w:h="16838" w:orient="portrait"/>
      <w:cols w:equalWidth="0" w:num="1">
        <w:col w:w="11080"/>
      </w:cols>
      <w:pgMar w:left="240" w:top="270"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2019-12-08T20:39:54Z</dcterms:created>
  <dcterms:modified xsi:type="dcterms:W3CDTF">2019-12-08T20:39:54Z</dcterms:modified>
</cp:coreProperties>
</file>