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499745</wp:posOffset>
            </wp:positionH>
            <wp:positionV relativeFrom="page">
              <wp:posOffset>157480</wp:posOffset>
            </wp:positionV>
            <wp:extent cx="6549390" cy="1817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549390" cy="1817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9024"/>
        <w:spacing w:after="0"/>
        <w:rPr>
          <w:sz w:val="20"/>
          <w:szCs w:val="20"/>
          <w:color w:val="auto"/>
        </w:rPr>
      </w:pPr>
      <w:r>
        <w:rPr>
          <w:rFonts w:ascii="Times New Roman" w:cs="Times New Roman" w:eastAsia="Times New Roman" w:hAnsi="Times New Roman"/>
          <w:sz w:val="18"/>
          <w:szCs w:val="18"/>
          <w:color w:val="auto"/>
        </w:rPr>
        <w:t>September 29, 2021</w:t>
      </w:r>
    </w:p>
    <w:p>
      <w:pPr>
        <w:spacing w:after="0" w:line="3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VIA EDGAR CORRESPONDENCE</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Jason Fox</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Investment Management</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20549-7553</w:t>
      </w:r>
    </w:p>
    <w:p>
      <w:pPr>
        <w:spacing w:after="0" w:line="230" w:lineRule="exact"/>
        <w:rPr>
          <w:sz w:val="24"/>
          <w:szCs w:val="24"/>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t>Re:</w:t>
        <w:tab/>
        <w:t>Sixth Street Specialty Lending, Inc.</w:t>
      </w:r>
    </w:p>
    <w:p>
      <w:pPr>
        <w:spacing w:after="0" w:line="31"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Form 10-K for the Fiscal Year Ended December 31, 2020</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Filed February 17, 2021</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File No. 001-36364</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Fox:</w:t>
      </w:r>
    </w:p>
    <w:p>
      <w:pPr>
        <w:spacing w:after="0" w:line="117" w:lineRule="exact"/>
        <w:rPr>
          <w:sz w:val="24"/>
          <w:szCs w:val="24"/>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On behalf of Sixth Street Specialty Lending,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set forth below is our response to the comment of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that we received in a telephone conversation with the Staff on September 20, 2021 with respect to the above-referenced annual report on Form 10-K filed on February 17, 2021 (the “</w:t>
      </w:r>
      <w:r>
        <w:rPr>
          <w:rFonts w:ascii="Times New Roman" w:cs="Times New Roman" w:eastAsia="Times New Roman" w:hAnsi="Times New Roman"/>
          <w:sz w:val="18"/>
          <w:szCs w:val="18"/>
          <w:u w:val="single" w:color="auto"/>
          <w:color w:val="auto"/>
        </w:rPr>
        <w:t>Annual Report</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For your convenience, the text of the Staff’s comment is set forth in bold below, followed by the Company’s response.</w:t>
      </w:r>
    </w:p>
    <w:p>
      <w:pPr>
        <w:spacing w:after="0" w:line="248" w:lineRule="exact"/>
        <w:rPr>
          <w:sz w:val="24"/>
          <w:szCs w:val="24"/>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confirm that other income which exceeds 5% of the total income has been stated separately.</w:t>
      </w:r>
    </w:p>
    <w:p>
      <w:pPr>
        <w:spacing w:after="0" w:line="22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p>
    <w:p>
      <w:pPr>
        <w:spacing w:after="0" w:line="117" w:lineRule="exact"/>
        <w:rPr>
          <w:rFonts w:ascii="Times New Roman" w:cs="Times New Roman" w:eastAsia="Times New Roman" w:hAnsi="Times New Roman"/>
          <w:sz w:val="18"/>
          <w:szCs w:val="18"/>
          <w:b w:val="1"/>
          <w:bCs w:val="1"/>
          <w:color w:val="auto"/>
        </w:rPr>
      </w:pPr>
    </w:p>
    <w:p>
      <w:pPr>
        <w:ind w:left="444"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confirms that other income which exceeds 5% of Total Income in the Annual Report has been stated separately. Additionally, the Company confirms that no individual item within the category of Other Income as disclosed in the Annual Report exceeds 5% of Total Income.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1474470</wp:posOffset>
            </wp:positionH>
            <wp:positionV relativeFrom="paragraph">
              <wp:posOffset>140335</wp:posOffset>
            </wp:positionV>
            <wp:extent cx="4046220" cy="162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46220" cy="162560"/>
                    </a:xfrm>
                    <a:prstGeom prst="rect">
                      <a:avLst/>
                    </a:prstGeom>
                    <a:noFill/>
                  </pic:spPr>
                </pic:pic>
              </a:graphicData>
            </a:graphic>
          </wp:anchor>
        </w:drawing>
      </w:r>
    </w:p>
    <w:p>
      <w:pPr>
        <w:sectPr>
          <w:pgSz w:w="11900" w:h="16838" w:orient="portrait"/>
          <w:cols w:equalWidth="0" w:num="1">
            <w:col w:w="10924"/>
          </w:cols>
          <w:pgMar w:left="436" w:top="1440" w:right="5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Jason Fox</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544"/>
        <w:spacing w:after="0"/>
        <w:tabs>
          <w:tab w:leader="none" w:pos="4964" w:val="left"/>
          <w:tab w:leader="none" w:pos="5464" w:val="left"/>
          <w:tab w:leader="none" w:pos="5924" w:val="left"/>
          <w:tab w:leader="none" w:pos="6364"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We hope that this response adequately addresses the Staff’s comment. If the Staff has any questions concerning this letter or requires further information, please do not hesitate to contact Helena Grannis at (212) 225-2376.</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18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Helena K. Grannis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Helena K. Grannis</w:t>
      </w:r>
    </w:p>
    <w:p>
      <w:pPr>
        <w:spacing w:after="0" w:line="252" w:lineRule="exact"/>
        <w:rPr>
          <w:sz w:val="20"/>
          <w:szCs w:val="20"/>
          <w:color w:val="auto"/>
        </w:rPr>
      </w:pPr>
    </w:p>
    <w:p>
      <w:pPr>
        <w:ind w:left="444" w:right="9040" w:hanging="444"/>
        <w:spacing w:after="0" w:line="257" w:lineRule="auto"/>
        <w:tabs>
          <w:tab w:leader="none" w:pos="4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Ian Simmonds Michael Graf Lucy Lu</w:t>
      </w:r>
    </w:p>
    <w:p>
      <w:pPr>
        <w:spacing w:after="0" w:line="1" w:lineRule="exact"/>
        <w:rPr>
          <w:rFonts w:ascii="Times New Roman" w:cs="Times New Roman" w:eastAsia="Times New Roman" w:hAnsi="Times New Roman"/>
          <w:sz w:val="18"/>
          <w:szCs w:val="18"/>
          <w:color w:val="auto"/>
        </w:rPr>
      </w:pPr>
    </w:p>
    <w:p>
      <w:pPr>
        <w:ind w:left="7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Inc.</w:t>
      </w:r>
    </w:p>
    <w:p>
      <w:pPr>
        <w:spacing w:after="0" w:line="9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E. Fleisher</w:t>
      </w:r>
    </w:p>
    <w:p>
      <w:pPr>
        <w:spacing w:after="0" w:line="27" w:lineRule="exact"/>
        <w:rPr>
          <w:rFonts w:ascii="Times New Roman" w:cs="Times New Roman" w:eastAsia="Times New Roman" w:hAnsi="Times New Roman"/>
          <w:sz w:val="18"/>
          <w:szCs w:val="18"/>
          <w:color w:val="auto"/>
        </w:rPr>
      </w:pPr>
    </w:p>
    <w:p>
      <w:pPr>
        <w:ind w:left="7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Cleary Gottlieb Steen &amp; Hamilton LLP</w:t>
      </w:r>
    </w:p>
    <w:sectPr>
      <w:pgSz w:w="11900" w:h="16838" w:orient="portrait"/>
      <w:cols w:equalWidth="0" w:num="1">
        <w:col w:w="10524"/>
      </w:cols>
      <w:pgMar w:left="436" w:top="270"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2022-04-25T23:10:37Z</dcterms:created>
  <dcterms:modified xsi:type="dcterms:W3CDTF">2022-04-25T23:10:37Z</dcterms:modified>
</cp:coreProperties>
</file>