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Simmonds 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SIXTH STREET SPECIALTY LENDING,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Sixth Street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TSLX</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05/09/2022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17" w:lineRule="exact"/>
        <w:rPr>
          <w:sz w:val="24"/>
          <w:szCs w:val="24"/>
          <w:color w:val="auto"/>
        </w:rPr>
      </w:pPr>
    </w:p>
    <w:p>
      <w:pPr>
        <w:sectPr>
          <w:pgSz w:w="11900" w:h="16838" w:orient="portrait"/>
          <w:cols w:equalWidth="0" w:num="3">
            <w:col w:w="3460" w:space="460"/>
            <w:col w:w="3640" w:space="17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2100 MCKINNEY AVENUE, SUITE 1500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05/09/2022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20.992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4,306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$20.986 to $20.993, inclusive. The reporting person undertakes to provide to Sixth Street Specialty Lending, Inc.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1,835.1 shares of Common Stock acquired under the Sixth Street Specialty Lending, Inc. dividend reinvestment plan since March 5, 2018.</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Ian Simmonds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05/11/2022</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841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2022-05-11T16:32:21Z</dcterms:created>
  <dcterms:modified xsi:type="dcterms:W3CDTF">2022-05-11T16:32:21Z</dcterms:modified>
</cp:coreProperties>
</file>