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234315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6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560"/>
              <w:spacing w:after="0"/>
              <w:rPr>
                <w:sz w:val="20"/>
                <w:szCs w:val="20"/>
                <w:color w:val="auto"/>
              </w:rPr>
            </w:pPr>
            <w:r>
              <w:rPr>
                <w:rFonts w:ascii="Arial" w:cs="Arial" w:eastAsia="Arial" w:hAnsi="Arial"/>
                <w:sz w:val="18"/>
                <w:szCs w:val="18"/>
                <w:b w:val="1"/>
                <w:bCs w:val="1"/>
                <w:color w:val="auto"/>
              </w:rPr>
              <w:t>001-36364</w:t>
            </w:r>
          </w:p>
        </w:tc>
        <w:tc>
          <w:tcPr>
            <w:tcW w:w="2780" w:type="dxa"/>
            <w:vAlign w:val="bottom"/>
          </w:tcPr>
          <w:p>
            <w:pPr>
              <w:jc w:val="center"/>
              <w:ind w:left="1561"/>
              <w:spacing w:after="0"/>
              <w:rPr>
                <w:sz w:val="20"/>
                <w:szCs w:val="20"/>
                <w:color w:val="auto"/>
              </w:rPr>
            </w:pPr>
            <w:r>
              <w:rPr>
                <w:rFonts w:ascii="Arial" w:cs="Arial" w:eastAsia="Arial" w:hAnsi="Arial"/>
                <w:sz w:val="18"/>
                <w:szCs w:val="18"/>
                <w:b w:val="1"/>
                <w:bCs w:val="1"/>
                <w:color w:val="auto"/>
                <w:w w:val="89"/>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4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4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5"/>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5"/>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29"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21, 2021, Sixth Street Specialty Lending, Inc. (the “Company”) entered into an eleventh amendment to the Company’s second amended and restated senior secured revolving credit facility, dated February 27, 2014 (as amended, the “Revolving Credit Facility”), which, among other changes, updates and modifies terms and provisions of the Revolving Credit Facility to reflect alternative reference rates based on the Sterling Overnight Index Average for Sterling loans, the Swiss Average Rate Overnight for Swiss Franc loans, the Tokyo Interbank Offered Rate for Japanese Yen loans and the Euro Interbank Offered Rate for Euro loans.</w:t>
      </w:r>
    </w:p>
    <w:p>
      <w:pPr>
        <w:spacing w:after="0" w:line="18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foregoing description is only a summary of certain of the provisions of the Revolving Credit Facility and is qualified in its entirety by the underlying agreement, which will be filed as an exhibit to the Company’s next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ectPr>
          <w:pgSz w:w="11900" w:h="16838" w:orient="portrait"/>
          <w:cols w:equalWidth="0" w:num="1">
            <w:col w:w="11000"/>
          </w:cols>
          <w:pgMar w:left="440" w:top="270" w:right="45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60"/>
      </w:cols>
      <w:pgMar w:left="440" w:top="274"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2021-12-23T15:19:51Z</dcterms:created>
  <dcterms:modified xsi:type="dcterms:W3CDTF">2021-12-23T15:19:51Z</dcterms:modified>
</cp:coreProperties>
</file>