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600" w:type="dxa"/>
        <w:tblCellMar>
          <w:top w:w="0" w:type="dxa"/>
          <w:left w:w="0" w:type="dxa"/>
          <w:bottom w:w="0" w:type="dxa"/>
          <w:right w:w="0" w:type="dxa"/>
        </w:tblCellMar>
      </w:tblPr>
      <w:tr>
        <w:trPr>
          <w:trHeight w:val="212"/>
        </w:trPr>
        <w:tc>
          <w:tcPr>
            <w:tcW w:w="45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3"/>
              </w:rPr>
              <w:t>Delaware</w:t>
            </w:r>
          </w:p>
        </w:tc>
        <w:tc>
          <w:tcPr>
            <w:tcW w:w="308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40" w:type="dxa"/>
            <w:vAlign w:val="bottom"/>
          </w:tcPr>
          <w:p>
            <w:pPr>
              <w:jc w:val="center"/>
              <w:ind w:right="18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80" w:type="dxa"/>
            <w:vAlign w:val="bottom"/>
          </w:tcPr>
          <w:p>
            <w:pPr>
              <w:jc w:val="center"/>
              <w:ind w:left="18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40" w:type="dxa"/>
            <w:vAlign w:val="bottom"/>
          </w:tcPr>
          <w:p>
            <w:pPr>
              <w:jc w:val="center"/>
              <w:ind w:right="1879"/>
              <w:spacing w:after="0"/>
              <w:rPr>
                <w:sz w:val="20"/>
                <w:szCs w:val="20"/>
                <w:color w:val="auto"/>
              </w:rPr>
            </w:pPr>
            <w:r>
              <w:rPr>
                <w:rFonts w:ascii="Arial" w:cs="Arial" w:eastAsia="Arial" w:hAnsi="Arial"/>
                <w:sz w:val="14"/>
                <w:szCs w:val="14"/>
                <w:b w:val="1"/>
                <w:bCs w:val="1"/>
                <w:color w:val="auto"/>
                <w:w w:val="95"/>
              </w:rPr>
              <w:t>Incorporation or Organization)</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6"/>
              </w:rPr>
              <w:t>Identification No.)</w:t>
            </w:r>
          </w:p>
        </w:tc>
      </w:tr>
      <w:tr>
        <w:trPr>
          <w:trHeight w:val="318"/>
        </w:trPr>
        <w:tc>
          <w:tcPr>
            <w:tcW w:w="4540" w:type="dxa"/>
            <w:vAlign w:val="bottom"/>
          </w:tcPr>
          <w:p>
            <w:pPr>
              <w:jc w:val="center"/>
              <w:ind w:right="1879"/>
              <w:spacing w:after="0"/>
              <w:rPr>
                <w:sz w:val="20"/>
                <w:szCs w:val="20"/>
                <w:color w:val="auto"/>
              </w:rPr>
            </w:pPr>
            <w:r>
              <w:rPr>
                <w:rFonts w:ascii="Arial" w:cs="Arial" w:eastAsia="Arial" w:hAnsi="Arial"/>
                <w:sz w:val="18"/>
                <w:szCs w:val="18"/>
                <w:b w:val="1"/>
                <w:bCs w:val="1"/>
                <w:color w:val="auto"/>
                <w:w w:val="89"/>
              </w:rPr>
              <w:t>301 Commerce Street, Suite 3300,</w:t>
            </w:r>
          </w:p>
        </w:tc>
        <w:tc>
          <w:tcPr>
            <w:tcW w:w="3080" w:type="dxa"/>
            <w:vAlign w:val="bottom"/>
          </w:tcPr>
          <w:p>
            <w:pPr>
              <w:spacing w:after="0"/>
              <w:rPr>
                <w:sz w:val="24"/>
                <w:szCs w:val="24"/>
                <w:color w:val="auto"/>
              </w:rPr>
            </w:pPr>
          </w:p>
        </w:tc>
      </w:tr>
      <w:tr>
        <w:trPr>
          <w:trHeight w:val="225"/>
        </w:trPr>
        <w:tc>
          <w:tcPr>
            <w:tcW w:w="45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7"/>
              </w:rPr>
              <w:t>Fort Worth, TX</w:t>
            </w:r>
          </w:p>
        </w:tc>
        <w:tc>
          <w:tcPr>
            <w:tcW w:w="308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540" w:type="dxa"/>
            <w:vAlign w:val="bottom"/>
          </w:tcPr>
          <w:p>
            <w:pPr>
              <w:jc w:val="center"/>
              <w:ind w:right="18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580" w:space="340"/>
            <w:col w:w="160" w:space="100"/>
            <w:col w:w="5960" w:space="720"/>
            <w:col w:w="1980" w:space="420"/>
            <w:col w:w="160"/>
          </w:cols>
          <w:pgMar w:left="240" w:top="230" w:right="239" w:bottom="1440" w:gutter="0" w:footer="0" w:header="0"/>
          <w:type w:val="continuous"/>
        </w:sectPr>
      </w:pPr>
    </w:p>
    <w:p>
      <w:pPr>
        <w:spacing w:after="0" w:line="196" w:lineRule="exact"/>
        <w:tabs>
          <w:tab w:leader="none" w:pos="97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Securities Exchange Act of 1934).</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sectPr>
          <w:pgSz w:w="11900" w:h="16838" w:orient="portrait"/>
          <w:cols w:equalWidth="0" w:num="2">
            <w:col w:w="10280" w:space="180"/>
            <w:col w:w="960"/>
          </w:cols>
          <w:pgMar w:left="240" w:top="23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the Registrant’s common stock, $.01 par value per share, outstanding at August 3, 2016 was 59,580,513.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gridSpan w:val="7"/>
            <w:vMerge w:val="restart"/>
          </w:tcPr>
          <w:p>
            <w:pPr>
              <w:ind w:left="300"/>
              <w:spacing w:after="0"/>
              <w:rPr>
                <w:sz w:val="20"/>
                <w:szCs w:val="20"/>
                <w:color w:val="auto"/>
              </w:rPr>
            </w:pPr>
            <w:r>
              <w:rPr>
                <w:rFonts w:ascii="Arial" w:cs="Arial" w:eastAsia="Arial" w:hAnsi="Arial"/>
                <w:sz w:val="14"/>
                <w:szCs w:val="14"/>
                <w:b w:val="1"/>
                <w:bCs w:val="1"/>
                <w:color w:val="auto"/>
              </w:rPr>
              <w:t>INDEX</w:t>
            </w:r>
          </w:p>
        </w:tc>
        <w:tc>
          <w:tcPr>
            <w:tcW w:w="220" w:type="dxa"/>
            <w:vAlign w:val="bottom"/>
            <w:vMerge w:val="restart"/>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gridSpan w:val="7"/>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PART I.</w:t>
            </w:r>
          </w:p>
        </w:tc>
        <w:tc>
          <w:tcPr>
            <w:tcW w:w="1006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740" w:type="dxa"/>
            <w:vAlign w:val="bottom"/>
            <w:tcBorders>
              <w:top w:val="single" w:sz="8" w:color="0000EE"/>
            </w:tcBorders>
            <w:gridSpan w:val="4"/>
          </w:tcPr>
          <w:p>
            <w:pPr>
              <w:spacing w:after="0"/>
              <w:rPr>
                <w:sz w:val="24"/>
                <w:szCs w:val="24"/>
                <w:color w:val="auto"/>
              </w:rPr>
            </w:pPr>
          </w:p>
        </w:tc>
        <w:tc>
          <w:tcPr>
            <w:tcW w:w="780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2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as of June 30, 2016 and December 31, 2015 (Unaudited)</w:t>
              </w:r>
            </w:hyperlink>
          </w:p>
        </w:tc>
        <w:tc>
          <w:tcPr>
            <w:tcW w:w="380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and six months ended June 30, 2016 and 2015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8020" w:type="dxa"/>
            <w:vAlign w:val="bottom"/>
            <w:tcBorders>
              <w:top w:val="single" w:sz="8" w:color="0000EE"/>
            </w:tcBorders>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Schedules of Investments as of June 30, 2016 and December 31, 2015 (Unaudited)</w:t>
              </w:r>
            </w:hyperlink>
          </w:p>
        </w:tc>
        <w:tc>
          <w:tcPr>
            <w:tcW w:w="204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816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Consolidated Statements of Changes in Net Assets for the six months ended June 30, 2016 and 2015 (Unaudited)</w:t>
              </w:r>
            </w:hyperlink>
          </w:p>
        </w:tc>
        <w:tc>
          <w:tcPr>
            <w:tcW w:w="190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73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Consolidated Statements of Cash Flows for the six months ended June 30, 2016 and 2015 (Unaudited)</w:t>
              </w:r>
            </w:hyperlink>
          </w:p>
        </w:tc>
        <w:tc>
          <w:tcPr>
            <w:tcW w:w="268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40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Notes to Consolidated Financial Statements (Unaudited)</w:t>
              </w:r>
            </w:hyperlink>
          </w:p>
        </w:tc>
        <w:tc>
          <w:tcPr>
            <w:tcW w:w="598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06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60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Controls and Procedures</w:t>
              </w:r>
            </w:hyperlink>
          </w:p>
        </w:tc>
        <w:tc>
          <w:tcPr>
            <w:tcW w:w="826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PART II.</w:t>
            </w:r>
          </w:p>
        </w:tc>
        <w:tc>
          <w:tcPr>
            <w:tcW w:w="190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64">
              <w:r>
                <w:rPr>
                  <w:rFonts w:ascii="Arial" w:cs="Arial" w:eastAsia="Arial" w:hAnsi="Arial"/>
                  <w:sz w:val="18"/>
                  <w:szCs w:val="18"/>
                  <w:color w:val="0000EE"/>
                  <w:w w:val="96"/>
                </w:rPr>
                <w:t>OTHER INFORMATION</w:t>
              </w:r>
            </w:hyperlink>
          </w:p>
        </w:tc>
        <w:tc>
          <w:tcPr>
            <w:tcW w:w="816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0060" w:type="dxa"/>
            <w:vAlign w:val="bottom"/>
            <w:gridSpan w:val="2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72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Unregistered Sales of Equity Securities and Use of Proceeds</w:t>
              </w:r>
            </w:hyperlink>
          </w:p>
        </w:tc>
        <w:tc>
          <w:tcPr>
            <w:tcW w:w="570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68">
              <w:r>
                <w:rPr>
                  <w:rFonts w:ascii="Arial" w:cs="Arial" w:eastAsia="Arial" w:hAnsi="Arial"/>
                  <w:sz w:val="18"/>
                  <w:szCs w:val="18"/>
                  <w:color w:val="0000EE"/>
                  <w:w w:val="90"/>
                </w:rPr>
                <w:t>Defaults Upon Senior Securities</w:t>
              </w:r>
            </w:hyperlink>
          </w:p>
        </w:tc>
        <w:tc>
          <w:tcPr>
            <w:tcW w:w="772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Mine Safety Disclosures</w:t>
              </w:r>
            </w:hyperlink>
          </w:p>
        </w:tc>
        <w:tc>
          <w:tcPr>
            <w:tcW w:w="828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0060" w:type="dxa"/>
            <w:vAlign w:val="bottom"/>
            <w:gridSpan w:val="2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Exhibits</w:t>
              </w:r>
            </w:hyperlink>
          </w:p>
        </w:tc>
        <w:tc>
          <w:tcPr>
            <w:tcW w:w="874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460" w:type="dxa"/>
            <w:vAlign w:val="bottom"/>
            <w:gridSpan w:val="2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940" w:type="dxa"/>
            <w:vAlign w:val="bottom"/>
            <w:gridSpan w:val="2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85"/>
        </w:trPr>
        <w:tc>
          <w:tcPr>
            <w:tcW w:w="8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40" w:type="dxa"/>
            <w:vAlign w:val="bottom"/>
            <w:gridSpan w:val="14"/>
          </w:tcPr>
          <w:p>
            <w:pPr>
              <w:jc w:val="right"/>
              <w:ind w:right="1308"/>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This report contains forward-looking statements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87" w:lineRule="exact"/>
        <w:rPr>
          <w:sz w:val="20"/>
          <w:szCs w:val="20"/>
          <w:color w:val="auto"/>
        </w:rPr>
      </w:pPr>
    </w:p>
    <w:p>
      <w:pPr>
        <w:ind w:left="900" w:right="24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ind w:left="900" w:right="40" w:hanging="446"/>
        <w:spacing w:after="0" w:line="34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report and in our Annual Report on Form 10-K for the year ended December 31, 2015, filed with the SEC on February 24, 2016, in our Quarterly Report for the quarter ended March 31, 2016 as filed with the SEC on May 4, 2016, and elsewhere in our filings with the SEC.</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 because we are an investment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91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$1,548,473 and $1,443,017, respectively)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1,542,664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1,422,211</w:t>
            </w:r>
          </w:p>
        </w:tc>
      </w:tr>
      <w:tr>
        <w:trPr>
          <w:trHeight w:val="223"/>
        </w:trPr>
        <w:tc>
          <w:tcPr>
            <w:tcW w:w="20" w:type="dxa"/>
            <w:vAlign w:val="bottom"/>
          </w:tcPr>
          <w:p>
            <w:pPr>
              <w:spacing w:after="0"/>
              <w:rPr>
                <w:sz w:val="19"/>
                <w:szCs w:val="19"/>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$91,686 and $86,659, respectively)</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68,375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$1,640,159 and $1,529,676, respectively)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1,611,039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1,485,709</w:t>
            </w: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3,941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2,431</w:t>
            </w: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8,304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10,146</w:t>
            </w: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7,880</w:t>
            </w:r>
          </w:p>
        </w:tc>
      </w:tr>
      <w:tr>
        <w:trPr>
          <w:trHeight w:val="223"/>
        </w:trPr>
        <w:tc>
          <w:tcPr>
            <w:tcW w:w="20" w:type="dxa"/>
            <w:vAlign w:val="bottom"/>
          </w:tcPr>
          <w:p>
            <w:pPr>
              <w:spacing w:after="0"/>
              <w:rPr>
                <w:sz w:val="19"/>
                <w:szCs w:val="19"/>
                <w:color w:val="auto"/>
              </w:rPr>
            </w:pPr>
          </w:p>
        </w:tc>
        <w:tc>
          <w:tcPr>
            <w:tcW w:w="912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1,628,812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1,506,568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Debt (net of deferred financing costs of $9,215 and $10,365, respectively)</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663,925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642,423</w:t>
            </w: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5,530</w:t>
            </w: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5,309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4,915</w:t>
            </w: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23,171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21,124</w:t>
            </w: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4,435</w:t>
            </w: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w:t>
            </w: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704,793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685,827</w:t>
            </w: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9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$0.01 par value; 400,000,000 shares authorized, 59,500,972 and 54,166,959 shares issued, respectively; and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59,411,892 and 54,163,960 shares outstanding, respectively</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895,554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812,586</w:t>
            </w: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89,080 and 2,999 shares held, respectively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29,044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27,521</w:t>
            </w: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(10,165)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(28,380)</w:t>
            </w: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Undistributed net realized gains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924,019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820,741</w:t>
            </w:r>
          </w:p>
        </w:tc>
      </w:tr>
      <w:tr>
        <w:trPr>
          <w:trHeight w:val="223"/>
        </w:trPr>
        <w:tc>
          <w:tcPr>
            <w:tcW w:w="20" w:type="dxa"/>
            <w:vAlign w:val="bottom"/>
          </w:tcPr>
          <w:p>
            <w:pPr>
              <w:spacing w:after="0"/>
              <w:rPr>
                <w:sz w:val="19"/>
                <w:szCs w:val="19"/>
                <w:color w:val="auto"/>
              </w:rPr>
            </w:pPr>
          </w:p>
        </w:tc>
        <w:tc>
          <w:tcPr>
            <w:tcW w:w="912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1,628,812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1,506,568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w:t>
            </w: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2"/>
              </w:rPr>
              <w:t>June 30, 2016</w:t>
            </w:r>
          </w:p>
        </w:tc>
        <w:tc>
          <w:tcPr>
            <w:tcW w:w="12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2"/>
              </w:rPr>
              <w:t>June 30, 2015</w:t>
            </w:r>
          </w:p>
        </w:tc>
        <w:tc>
          <w:tcPr>
            <w:tcW w:w="240" w:type="dxa"/>
            <w:vAlign w:val="bottom"/>
          </w:tcPr>
          <w:p>
            <w:pPr>
              <w:spacing w:after="0"/>
              <w:rPr>
                <w:sz w:val="14"/>
                <w:szCs w:val="14"/>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June 30, 2016</w:t>
            </w:r>
          </w:p>
        </w:tc>
        <w:tc>
          <w:tcPr>
            <w:tcW w:w="24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June 30, 2015</w:t>
            </w:r>
          </w:p>
        </w:tc>
      </w:tr>
      <w:tr>
        <w:trPr>
          <w:trHeight w:val="196"/>
        </w:trPr>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from investments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41,674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43,175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80,843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76,054</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Dividend income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4,006</w:t>
            </w:r>
          </w:p>
        </w:tc>
      </w:tr>
      <w:tr>
        <w:trPr>
          <w:trHeight w:val="209"/>
        </w:trPr>
        <w:tc>
          <w:tcPr>
            <w:tcW w:w="5720" w:type="dxa"/>
            <w:vAlign w:val="bottom"/>
          </w:tcPr>
          <w:p>
            <w:pPr>
              <w:ind w:left="720"/>
              <w:spacing w:after="0"/>
              <w:rPr>
                <w:sz w:val="20"/>
                <w:szCs w:val="20"/>
                <w:color w:val="auto"/>
              </w:rPr>
            </w:pPr>
            <w:r>
              <w:rPr>
                <w:rFonts w:ascii="Arial" w:cs="Arial" w:eastAsia="Arial" w:hAnsi="Arial"/>
                <w:sz w:val="18"/>
                <w:szCs w:val="18"/>
                <w:color w:val="auto"/>
              </w:rPr>
              <w:t>Total investment income from non-controlled, non-affiliated</w:t>
            </w: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720" w:type="dxa"/>
            <w:vAlign w:val="bottom"/>
          </w:tcPr>
          <w:p>
            <w:pPr>
              <w:ind w:left="90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43,565</w:t>
            </w:r>
          </w:p>
        </w:tc>
        <w:tc>
          <w:tcPr>
            <w:tcW w:w="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43,804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83,932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80,060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Interest from investments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2,418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4,751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2,909</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r>
      <w:tr>
        <w:trPr>
          <w:trHeight w:val="230"/>
        </w:trPr>
        <w:tc>
          <w:tcPr>
            <w:tcW w:w="5720" w:type="dxa"/>
            <w:vAlign w:val="bottom"/>
          </w:tcPr>
          <w:p>
            <w:pPr>
              <w:ind w:left="720"/>
              <w:spacing w:after="0"/>
              <w:rPr>
                <w:sz w:val="20"/>
                <w:szCs w:val="20"/>
                <w:color w:val="auto"/>
              </w:rPr>
            </w:pPr>
            <w:r>
              <w:rPr>
                <w:rFonts w:ascii="Arial" w:cs="Arial" w:eastAsia="Arial" w:hAnsi="Arial"/>
                <w:sz w:val="18"/>
                <w:szCs w:val="18"/>
                <w:color w:val="auto"/>
              </w:rPr>
              <w:t>Total investment income from controlled, affiliated investments</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20"/>
                <w:szCs w:val="20"/>
                <w:color w:val="auto"/>
              </w:rPr>
            </w:pPr>
          </w:p>
        </w:tc>
      </w:tr>
      <w:tr>
        <w:trPr>
          <w:trHeight w:val="216"/>
        </w:trPr>
        <w:tc>
          <w:tcPr>
            <w:tcW w:w="572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Investment Income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46,034</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45,352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88,784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83,081</w:t>
            </w:r>
          </w:p>
        </w:tc>
      </w:tr>
      <w:tr>
        <w:trPr>
          <w:trHeight w:val="223"/>
        </w:trPr>
        <w:tc>
          <w:tcPr>
            <w:tcW w:w="57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8,947</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Management fees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5,993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5,296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10,247</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12,137</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Professional fees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1,971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3,893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2,490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2,312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2,427</w:t>
            </w:r>
          </w:p>
        </w:tc>
      </w:tr>
      <w:tr>
        <w:trPr>
          <w:trHeight w:val="27"/>
        </w:trPr>
        <w:tc>
          <w:tcPr>
            <w:tcW w:w="5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20,140</w:t>
            </w:r>
          </w:p>
        </w:tc>
        <w:tc>
          <w:tcPr>
            <w:tcW w:w="5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39,361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36,435</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Management and incentive fees waived (Note 3)</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572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Expenses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20,041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39,165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36,435</w:t>
            </w:r>
          </w:p>
        </w:tc>
      </w:tr>
      <w:tr>
        <w:trPr>
          <w:trHeight w:val="223"/>
        </w:trPr>
        <w:tc>
          <w:tcPr>
            <w:tcW w:w="5720" w:type="dxa"/>
            <w:vAlign w:val="bottom"/>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25,993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25,555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49,619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46,646</w:t>
            </w:r>
          </w:p>
        </w:tc>
        <w:tc>
          <w:tcPr>
            <w:tcW w:w="10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r>
      <w:tr>
        <w:trPr>
          <w:trHeight w:val="223"/>
        </w:trPr>
        <w:tc>
          <w:tcPr>
            <w:tcW w:w="572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25,503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25,020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48,694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45,806</w:t>
            </w:r>
          </w:p>
        </w:tc>
        <w:tc>
          <w:tcPr>
            <w:tcW w:w="10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Non-controlled, non-affiliated investments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14,801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8,493</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Controlled, affiliated investments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4,208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Translation of assets and liabilities in foreign currencies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3,309</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1,566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(1,208)</w:t>
            </w:r>
          </w:p>
        </w:tc>
      </w:tr>
      <w:tr>
        <w:trPr>
          <w:trHeight w:val="27"/>
        </w:trPr>
        <w:tc>
          <w:tcPr>
            <w:tcW w:w="5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net change in unrealized gains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23,840</w:t>
            </w:r>
          </w:p>
        </w:tc>
        <w:tc>
          <w:tcPr>
            <w:tcW w:w="5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11,123</w:t>
            </w: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Realized gains (losses):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Non-controlled, non-affiliated investments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1,852</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r>
      <w:tr>
        <w:trPr>
          <w:trHeight w:val="230"/>
        </w:trPr>
        <w:tc>
          <w:tcPr>
            <w:tcW w:w="5720" w:type="dxa"/>
            <w:vAlign w:val="bottom"/>
          </w:tcPr>
          <w:p>
            <w:pPr>
              <w:ind w:left="1080"/>
              <w:spacing w:after="0"/>
              <w:rPr>
                <w:sz w:val="20"/>
                <w:szCs w:val="20"/>
                <w:color w:val="auto"/>
              </w:rPr>
            </w:pPr>
            <w:r>
              <w:rPr>
                <w:rFonts w:ascii="Arial" w:cs="Arial" w:eastAsia="Arial" w:hAnsi="Arial"/>
                <w:sz w:val="18"/>
                <w:szCs w:val="18"/>
                <w:color w:val="auto"/>
              </w:rPr>
              <w:t>Total realized gains (losses)</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0"/>
                <w:szCs w:val="20"/>
                <w:color w:val="auto"/>
              </w:rPr>
            </w:pPr>
          </w:p>
        </w:tc>
      </w:tr>
      <w:tr>
        <w:trPr>
          <w:trHeight w:val="216"/>
        </w:trPr>
        <w:tc>
          <w:tcPr>
            <w:tcW w:w="572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Total Unrealized and Realized Gains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24,135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12,767</w:t>
            </w:r>
          </w:p>
        </w:tc>
      </w:tr>
      <w:tr>
        <w:trPr>
          <w:trHeight w:val="223"/>
        </w:trPr>
        <w:tc>
          <w:tcPr>
            <w:tcW w:w="5720" w:type="dxa"/>
            <w:vAlign w:val="bottom"/>
          </w:tcPr>
          <w:p>
            <w:pPr>
              <w:ind w:left="14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49,638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34,105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67,409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58,573</w:t>
            </w:r>
          </w:p>
        </w:tc>
        <w:tc>
          <w:tcPr>
            <w:tcW w:w="10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w w:val="95"/>
              </w:rPr>
              <w:t>Weighted average shares of common stock outstanding—basic and diluted</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59,348,460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53,987,627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57,575,365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53,945,087</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Schedule of Investments as of June 30,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980" w:type="dxa"/>
            <w:vAlign w:val="bottom"/>
            <w:gridSpan w:val="2"/>
            <w:vMerge w:val="restart"/>
          </w:tcPr>
          <w:p>
            <w:pPr>
              <w:ind w:left="110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Interest</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20" w:type="dxa"/>
            <w:vAlign w:val="bottom"/>
            <w:gridSpan w:val="2"/>
            <w:vMerge w:val="continue"/>
          </w:tcPr>
          <w:p>
            <w:pPr>
              <w:spacing w:after="0"/>
              <w:rPr>
                <w:sz w:val="14"/>
                <w:szCs w:val="14"/>
                <w:color w:val="auto"/>
              </w:rPr>
            </w:pPr>
          </w:p>
        </w:tc>
        <w:tc>
          <w:tcPr>
            <w:tcW w:w="298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 xml:space="preserve">Cost </w:t>
            </w:r>
            <w:r>
              <w:rPr>
                <w:rFonts w:ascii="Arial" w:cs="Arial" w:eastAsia="Arial" w:hAnsi="Arial"/>
                <w:sz w:val="12"/>
                <w:szCs w:val="12"/>
                <w:b w:val="1"/>
                <w:bCs w:val="1"/>
                <w:color w:val="auto"/>
                <w:w w:val="96"/>
              </w:rPr>
              <w:t>(2)(8)</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360"/>
              <w:spacing w:after="0"/>
              <w:rPr>
                <w:sz w:val="20"/>
                <w:szCs w:val="20"/>
                <w:color w:val="auto"/>
              </w:rPr>
            </w:pPr>
            <w:r>
              <w:rPr>
                <w:rFonts w:ascii="Arial" w:cs="Arial" w:eastAsia="Arial" w:hAnsi="Arial"/>
                <w:sz w:val="18"/>
                <w:szCs w:val="18"/>
                <w:b w:val="1"/>
                <w:bCs w:val="1"/>
                <w:color w:val="auto"/>
              </w:rPr>
              <w:t>Automotive</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Heartland Automotive Holdings, LLC </w:t>
            </w:r>
            <w:r>
              <w:rPr>
                <w:rFonts w:ascii="Arial" w:cs="Arial" w:eastAsia="Arial" w:hAnsi="Arial"/>
                <w:sz w:val="15"/>
                <w:szCs w:val="15"/>
                <w:color w:val="auto"/>
              </w:rPr>
              <w:t>(3)</w:t>
            </w:r>
          </w:p>
        </w:tc>
        <w:tc>
          <w:tcPr>
            <w:tcW w:w="2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($30,752 par,</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8/28/2012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$ 30,555</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$ 30,368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980" w:type="dxa"/>
            <w:vAlign w:val="bottom"/>
            <w:gridSpan w:val="2"/>
          </w:tcPr>
          <w:p>
            <w:pPr>
              <w:spacing w:after="0" w:line="201" w:lineRule="exact"/>
              <w:rPr>
                <w:sz w:val="20"/>
                <w:szCs w:val="20"/>
                <w:color w:val="auto"/>
              </w:rPr>
            </w:pPr>
            <w:r>
              <w:rPr>
                <w:rFonts w:ascii="Arial" w:cs="Arial" w:eastAsia="Arial" w:hAnsi="Arial"/>
                <w:sz w:val="18"/>
                <w:szCs w:val="18"/>
                <w:color w:val="auto"/>
              </w:rPr>
              <w:t>First-lien revolving loan</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($1,778 par, due 6/2017)</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10.75%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8/28/2012</w:t>
            </w:r>
          </w:p>
        </w:tc>
        <w:tc>
          <w:tcPr>
            <w:tcW w:w="10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1,746</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1,708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32,301</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32,076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3420" w:type="dxa"/>
            <w:vAlign w:val="bottom"/>
            <w:gridSpan w:val="2"/>
          </w:tcPr>
          <w:p>
            <w:pPr>
              <w:ind w:left="360"/>
              <w:spacing w:after="0"/>
              <w:rPr>
                <w:sz w:val="20"/>
                <w:szCs w:val="20"/>
                <w:color w:val="auto"/>
              </w:rPr>
            </w:pPr>
            <w:r>
              <w:rPr>
                <w:rFonts w:ascii="Arial" w:cs="Arial" w:eastAsia="Arial" w:hAnsi="Arial"/>
                <w:sz w:val="18"/>
                <w:szCs w:val="18"/>
                <w:b w:val="1"/>
                <w:bCs w:val="1"/>
                <w:color w:val="auto"/>
              </w:rPr>
              <w:t>Beverage, food and tobacco</w:t>
            </w: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(3)(5)</w:t>
            </w:r>
          </w:p>
        </w:tc>
        <w:tc>
          <w:tcPr>
            <w:tcW w:w="2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($62,415 par,</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3/2020)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3/3/2014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61,452</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61,791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420" w:type="dxa"/>
            <w:vAlign w:val="bottom"/>
            <w:gridSpan w:val="2"/>
          </w:tcPr>
          <w:p>
            <w:pPr>
              <w:ind w:left="360"/>
              <w:spacing w:after="0"/>
              <w:rPr>
                <w:sz w:val="20"/>
                <w:szCs w:val="20"/>
                <w:color w:val="auto"/>
              </w:rPr>
            </w:pPr>
            <w:r>
              <w:rPr>
                <w:rFonts w:ascii="Arial" w:cs="Arial" w:eastAsia="Arial" w:hAnsi="Arial"/>
                <w:sz w:val="18"/>
                <w:szCs w:val="18"/>
                <w:b w:val="1"/>
                <w:bCs w:val="1"/>
                <w:color w:val="auto"/>
              </w:rPr>
              <w:t>Business services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5"/>
                <w:szCs w:val="15"/>
                <w:color w:val="auto"/>
              </w:rPr>
              <w:t>(3)(5)</w:t>
            </w:r>
          </w:p>
        </w:tc>
        <w:tc>
          <w:tcPr>
            <w:tcW w:w="2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($56,982 par,</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4/2018)</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4/11/2013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56,116</w:t>
            </w: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59,546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Bullhorn, Inc. </w:t>
            </w:r>
            <w:r>
              <w:rPr>
                <w:rFonts w:ascii="Arial" w:cs="Arial" w:eastAsia="Arial" w:hAnsi="Arial"/>
                <w:sz w:val="15"/>
                <w:szCs w:val="15"/>
                <w:color w:val="auto"/>
              </w:rPr>
              <w:t>(3)(5)</w:t>
            </w:r>
          </w:p>
        </w:tc>
        <w:tc>
          <w:tcPr>
            <w:tcW w:w="29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($45,000 par,</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due 11/2020)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11/12/2015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44,003</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44,324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Clarabridge, Inc. </w:t>
            </w:r>
            <w:r>
              <w:rPr>
                <w:rFonts w:ascii="Arial" w:cs="Arial" w:eastAsia="Arial" w:hAnsi="Arial"/>
                <w:sz w:val="15"/>
                <w:szCs w:val="15"/>
                <w:color w:val="auto"/>
              </w:rPr>
              <w:t>(3)</w:t>
            </w:r>
          </w:p>
        </w:tc>
        <w:tc>
          <w:tcPr>
            <w:tcW w:w="2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($22,331 par,</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4/2019)</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5/20/2015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21,966</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21,400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Idera, Inc. </w:t>
            </w:r>
            <w:r>
              <w:rPr>
                <w:rFonts w:ascii="Arial" w:cs="Arial" w:eastAsia="Arial" w:hAnsi="Arial"/>
                <w:sz w:val="15"/>
                <w:szCs w:val="15"/>
                <w:color w:val="auto"/>
              </w:rPr>
              <w:t>(3)</w:t>
            </w:r>
          </w:p>
        </w:tc>
        <w:tc>
          <w:tcPr>
            <w:tcW w:w="29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($62,188 par,</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due 4/2021)</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6.50%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10/9/2015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56,623</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58,456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w:t>
            </w:r>
          </w:p>
        </w:tc>
        <w:tc>
          <w:tcPr>
            <w:tcW w:w="2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($27,828 par, due</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6/2019)</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6/30/2014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27,418</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27,529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5"/>
                <w:szCs w:val="15"/>
                <w:color w:val="auto"/>
              </w:rPr>
              <w:t>(3)</w:t>
            </w:r>
          </w:p>
        </w:tc>
        <w:tc>
          <w:tcPr>
            <w:tcW w:w="29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($25,782 par,</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due 9/2018)</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7.75%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9/12/2013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25,532</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25,849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($20,036 par,</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12/2019)</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12/30/2014</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19,722</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20,036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251,380</w:t>
            </w:r>
          </w:p>
        </w:tc>
        <w:tc>
          <w:tcPr>
            <w:tcW w:w="10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257,140</w:t>
            </w:r>
          </w:p>
        </w:tc>
        <w:tc>
          <w:tcPr>
            <w:tcW w:w="2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Chemicals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(3)(10)</w:t>
            </w:r>
          </w:p>
        </w:tc>
        <w:tc>
          <w:tcPr>
            <w:tcW w:w="29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($11,980 par,</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due 10/2019)</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10.50%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10/31/2014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10,879</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7,987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DIP loan ($4,443 par, due 11/2016)</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6/2/2016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4,340</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4,443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15,219</w:t>
            </w:r>
          </w:p>
        </w:tc>
        <w:tc>
          <w:tcPr>
            <w:tcW w:w="10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12,430</w:t>
            </w:r>
          </w:p>
        </w:tc>
        <w:tc>
          <w:tcPr>
            <w:tcW w:w="2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Education</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Campus Management, Inc. </w:t>
            </w:r>
            <w:r>
              <w:rPr>
                <w:rFonts w:ascii="Arial" w:cs="Arial" w:eastAsia="Arial" w:hAnsi="Arial"/>
                <w:sz w:val="15"/>
                <w:szCs w:val="15"/>
                <w:color w:val="auto"/>
              </w:rPr>
              <w:t>(3)(5)</w:t>
            </w:r>
          </w:p>
        </w:tc>
        <w:tc>
          <w:tcPr>
            <w:tcW w:w="29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($25,152 par,</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due 9/2018)</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8.75%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9/30/2013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24,831</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25,152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Frontline Technologies Group LLC </w:t>
            </w:r>
            <w:r>
              <w:rPr>
                <w:rFonts w:ascii="Arial" w:cs="Arial" w:eastAsia="Arial" w:hAnsi="Arial"/>
                <w:sz w:val="15"/>
                <w:szCs w:val="15"/>
                <w:color w:val="auto"/>
              </w:rPr>
              <w:t>(3)(5)</w:t>
            </w:r>
          </w:p>
        </w:tc>
        <w:tc>
          <w:tcPr>
            <w:tcW w:w="2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($54,863 par,</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4/2021)</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4/1/2016</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53,466</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53,628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78,297</w:t>
            </w:r>
          </w:p>
        </w:tc>
        <w:tc>
          <w:tcPr>
            <w:tcW w:w="10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78,780</w:t>
            </w:r>
          </w:p>
        </w:tc>
        <w:tc>
          <w:tcPr>
            <w:tcW w:w="2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Electronics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MyAlarm Center, LLC </w:t>
            </w:r>
            <w:r>
              <w:rPr>
                <w:rFonts w:ascii="Arial" w:cs="Arial" w:eastAsia="Arial" w:hAnsi="Arial"/>
                <w:sz w:val="15"/>
                <w:szCs w:val="15"/>
                <w:color w:val="auto"/>
              </w:rPr>
              <w:t>(3)</w:t>
            </w:r>
          </w:p>
        </w:tc>
        <w:tc>
          <w:tcPr>
            <w:tcW w:w="29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($63,085 par,</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due 1/2019)</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1/9/2014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62,572</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63,247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APX Group Inc.</w:t>
            </w:r>
          </w:p>
        </w:tc>
        <w:tc>
          <w:tcPr>
            <w:tcW w:w="2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notes 8.75% ($26,961 par,</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12/2020)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12/11/2014</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23,699</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24,737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86,271</w:t>
            </w:r>
          </w:p>
        </w:tc>
        <w:tc>
          <w:tcPr>
            <w:tcW w:w="10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87,984</w:t>
            </w:r>
          </w:p>
        </w:tc>
        <w:tc>
          <w:tcPr>
            <w:tcW w:w="2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Financial services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9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($22,800 par, due</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8/2020)</w:t>
            </w:r>
          </w:p>
        </w:tc>
        <w:tc>
          <w:tcPr>
            <w:tcW w:w="1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8/18/2015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22,322</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22,366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Second-lien loan ($33,677 par, due</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8/2020)</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10.50% PIK</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8/7/2015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33,220</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33,102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1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18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9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rPr>
              <w:t>10.00%</w:t>
            </w: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First-lien loan ($34,068 par,</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(incl. 2.50%</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3/2020)</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PIK)</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3/6/2015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33,475</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33,677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Smarsh, Inc. </w:t>
            </w:r>
            <w:r>
              <w:rPr>
                <w:rFonts w:ascii="Arial" w:cs="Arial" w:eastAsia="Arial" w:hAnsi="Arial"/>
                <w:sz w:val="15"/>
                <w:szCs w:val="15"/>
                <w:color w:val="auto"/>
              </w:rPr>
              <w:t>(3)(5)</w:t>
            </w:r>
          </w:p>
        </w:tc>
        <w:tc>
          <w:tcPr>
            <w:tcW w:w="2940" w:type="dxa"/>
            <w:vAlign w:val="bottom"/>
          </w:tcPr>
          <w:p>
            <w:pPr>
              <w:ind w:left="120"/>
              <w:spacing w:after="0" w:line="201" w:lineRule="exact"/>
              <w:rPr>
                <w:sz w:val="20"/>
                <w:szCs w:val="20"/>
                <w:color w:val="auto"/>
              </w:rPr>
            </w:pPr>
            <w:r>
              <w:rPr>
                <w:rFonts w:ascii="Arial" w:cs="Arial" w:eastAsia="Arial" w:hAnsi="Arial"/>
                <w:sz w:val="18"/>
                <w:szCs w:val="18"/>
                <w:color w:val="auto"/>
              </w:rPr>
              <w:t>First-lien loan ($30,000 par,</w:t>
            </w: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940" w:type="dxa"/>
            <w:vAlign w:val="bottom"/>
          </w:tcPr>
          <w:p>
            <w:pPr>
              <w:ind w:left="120"/>
              <w:spacing w:after="0"/>
              <w:rPr>
                <w:sz w:val="20"/>
                <w:szCs w:val="20"/>
                <w:color w:val="auto"/>
              </w:rPr>
            </w:pPr>
            <w:r>
              <w:rPr>
                <w:rFonts w:ascii="Arial" w:cs="Arial" w:eastAsia="Arial" w:hAnsi="Arial"/>
                <w:sz w:val="18"/>
                <w:szCs w:val="18"/>
                <w:color w:val="auto"/>
              </w:rPr>
              <w:t>due 1/2021)</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8.50%</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1/7/2016</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29,281</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29,700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Tibco Software </w:t>
            </w:r>
            <w:r>
              <w:rPr>
                <w:rFonts w:ascii="Arial" w:cs="Arial" w:eastAsia="Arial" w:hAnsi="Arial"/>
                <w:sz w:val="15"/>
                <w:szCs w:val="15"/>
                <w:color w:val="auto"/>
              </w:rPr>
              <w:t>(3)</w:t>
            </w:r>
          </w:p>
        </w:tc>
        <w:tc>
          <w:tcPr>
            <w:tcW w:w="29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First-lien loan ($249 par,</w:t>
            </w:r>
          </w:p>
        </w:tc>
        <w:tc>
          <w:tcPr>
            <w:tcW w:w="1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12/2020)</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6.50%</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1/26/2016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118,514</w:t>
            </w:r>
          </w:p>
        </w:tc>
        <w:tc>
          <w:tcPr>
            <w:tcW w:w="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119,072</w:t>
            </w:r>
          </w:p>
        </w:tc>
        <w:tc>
          <w:tcPr>
            <w:tcW w:w="280" w:type="dxa"/>
            <w:vAlign w:val="bottom"/>
            <w:vMerge w:val="continue"/>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Healthcare</w:t>
            </w:r>
          </w:p>
        </w:tc>
        <w:tc>
          <w:tcPr>
            <w:tcW w:w="2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2940" w:type="dxa"/>
            <w:vAlign w:val="bottom"/>
          </w:tcPr>
          <w:p>
            <w:pPr>
              <w:ind w:left="120"/>
              <w:spacing w:after="0" w:line="201" w:lineRule="exact"/>
              <w:rPr>
                <w:sz w:val="20"/>
                <w:szCs w:val="20"/>
                <w:color w:val="auto"/>
              </w:rPr>
            </w:pPr>
            <w:r>
              <w:rPr>
                <w:rFonts w:ascii="Arial" w:cs="Arial" w:eastAsia="Arial" w:hAnsi="Arial"/>
                <w:sz w:val="18"/>
                <w:szCs w:val="18"/>
                <w:color w:val="auto"/>
              </w:rPr>
              <w:t>First-lien loan (EUR 41,659 par,</w:t>
            </w: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48,133</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940" w:type="dxa"/>
            <w:vAlign w:val="bottom"/>
          </w:tcPr>
          <w:p>
            <w:pPr>
              <w:ind w:left="120"/>
              <w:spacing w:after="0"/>
              <w:rPr>
                <w:sz w:val="20"/>
                <w:szCs w:val="20"/>
                <w:color w:val="auto"/>
              </w:rPr>
            </w:pPr>
            <w:r>
              <w:rPr>
                <w:rFonts w:ascii="Arial" w:cs="Arial" w:eastAsia="Arial" w:hAnsi="Arial"/>
                <w:sz w:val="18"/>
                <w:szCs w:val="18"/>
                <w:color w:val="auto"/>
              </w:rPr>
              <w:t>due 9/2019)</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11.50%</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9/30/2014</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48,941</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w w:val="95"/>
              </w:rPr>
              <w:t>(EUR</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43,326)</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9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First-lien revolving loan</w:t>
            </w:r>
          </w:p>
        </w:tc>
        <w:tc>
          <w:tcPr>
            <w:tcW w:w="1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511</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(EUR 300 par, due 9/2019)</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11.50%</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9/30/2014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(EUR</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2940" w:type="dxa"/>
            <w:vAlign w:val="bottom"/>
          </w:tcPr>
          <w:p>
            <w:pPr>
              <w:ind w:left="120"/>
              <w:spacing w:after="0" w:line="201" w:lineRule="exact"/>
              <w:rPr>
                <w:sz w:val="20"/>
                <w:szCs w:val="20"/>
                <w:color w:val="auto"/>
              </w:rPr>
            </w:pPr>
            <w:r>
              <w:rPr>
                <w:rFonts w:ascii="Arial" w:cs="Arial" w:eastAsia="Arial" w:hAnsi="Arial"/>
                <w:sz w:val="18"/>
                <w:szCs w:val="18"/>
                <w:color w:val="auto"/>
              </w:rPr>
              <w:t>First-lien loan ($44,888 par,</w:t>
            </w: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940" w:type="dxa"/>
            <w:vAlign w:val="bottom"/>
          </w:tcPr>
          <w:p>
            <w:pPr>
              <w:ind w:left="120"/>
              <w:spacing w:after="0"/>
              <w:rPr>
                <w:sz w:val="20"/>
                <w:szCs w:val="20"/>
                <w:color w:val="auto"/>
              </w:rPr>
            </w:pPr>
            <w:r>
              <w:rPr>
                <w:rFonts w:ascii="Arial" w:cs="Arial" w:eastAsia="Arial" w:hAnsi="Arial"/>
                <w:sz w:val="18"/>
                <w:szCs w:val="18"/>
                <w:color w:val="auto"/>
              </w:rPr>
              <w:t>due 12/2021)</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6.25%</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12/17/2015</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44,126</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44,438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9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First-lien loan ($46,231 par, due</w:t>
            </w:r>
          </w:p>
        </w:tc>
        <w:tc>
          <w:tcPr>
            <w:tcW w:w="1200" w:type="dxa"/>
            <w:vAlign w:val="bottom"/>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rPr>
              <w:t>9.15% (incl.</w:t>
            </w: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9/2020)</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 PIK)</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9/30/2015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44,960</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45,306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w w:val="95"/>
              </w:rPr>
              <w:t xml:space="preserve">Mediware Information Systems, Inc. </w:t>
            </w:r>
            <w:r>
              <w:rPr>
                <w:rFonts w:ascii="Arial" w:cs="Arial" w:eastAsia="Arial" w:hAnsi="Arial"/>
                <w:sz w:val="15"/>
                <w:szCs w:val="15"/>
                <w:color w:val="auto"/>
                <w:w w:val="95"/>
              </w:rPr>
              <w:t>(3)(5)</w:t>
            </w:r>
          </w:p>
        </w:tc>
        <w:tc>
          <w:tcPr>
            <w:tcW w:w="2940" w:type="dxa"/>
            <w:vAlign w:val="bottom"/>
          </w:tcPr>
          <w:p>
            <w:pPr>
              <w:ind w:left="120"/>
              <w:spacing w:after="0" w:line="201" w:lineRule="exact"/>
              <w:rPr>
                <w:sz w:val="20"/>
                <w:szCs w:val="20"/>
                <w:color w:val="auto"/>
              </w:rPr>
            </w:pPr>
            <w:r>
              <w:rPr>
                <w:rFonts w:ascii="Arial" w:cs="Arial" w:eastAsia="Arial" w:hAnsi="Arial"/>
                <w:sz w:val="18"/>
                <w:szCs w:val="18"/>
                <w:color w:val="auto"/>
              </w:rPr>
              <w:t>First-lien loan ($66,659 par,</w:t>
            </w: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940" w:type="dxa"/>
            <w:vAlign w:val="bottom"/>
          </w:tcPr>
          <w:p>
            <w:pPr>
              <w:ind w:left="120"/>
              <w:spacing w:after="0"/>
              <w:rPr>
                <w:sz w:val="20"/>
                <w:szCs w:val="20"/>
                <w:color w:val="auto"/>
              </w:rPr>
            </w:pPr>
            <w:r>
              <w:rPr>
                <w:rFonts w:ascii="Arial" w:cs="Arial" w:eastAsia="Arial" w:hAnsi="Arial"/>
                <w:sz w:val="18"/>
                <w:szCs w:val="18"/>
                <w:color w:val="auto"/>
              </w:rPr>
              <w:t>due 5/2018)</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7.00%</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11/9/2012</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65,982</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67,159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9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First-lien loan ($29,925 par,</w:t>
            </w:r>
          </w:p>
        </w:tc>
        <w:tc>
          <w:tcPr>
            <w:tcW w:w="1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2/2021)</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8.75%</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2/29/2016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28,961</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29,327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5"/>
                <w:szCs w:val="15"/>
                <w:color w:val="auto"/>
              </w:rPr>
              <w:t>(3)</w:t>
            </w:r>
          </w:p>
        </w:tc>
        <w:tc>
          <w:tcPr>
            <w:tcW w:w="2940" w:type="dxa"/>
            <w:vAlign w:val="bottom"/>
          </w:tcPr>
          <w:p>
            <w:pPr>
              <w:ind w:left="120"/>
              <w:spacing w:after="0" w:line="201" w:lineRule="exact"/>
              <w:rPr>
                <w:sz w:val="20"/>
                <w:szCs w:val="20"/>
                <w:color w:val="auto"/>
              </w:rPr>
            </w:pPr>
            <w:r>
              <w:rPr>
                <w:rFonts w:ascii="Arial" w:cs="Arial" w:eastAsia="Arial" w:hAnsi="Arial"/>
                <w:sz w:val="18"/>
                <w:szCs w:val="18"/>
                <w:color w:val="auto"/>
              </w:rPr>
              <w:t>First-lien loan ($30,938 par,</w:t>
            </w: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940" w:type="dxa"/>
            <w:vAlign w:val="bottom"/>
          </w:tcPr>
          <w:p>
            <w:pPr>
              <w:ind w:left="120"/>
              <w:spacing w:after="0"/>
              <w:rPr>
                <w:sz w:val="20"/>
                <w:szCs w:val="20"/>
                <w:color w:val="auto"/>
              </w:rPr>
            </w:pPr>
            <w:r>
              <w:rPr>
                <w:rFonts w:ascii="Arial" w:cs="Arial" w:eastAsia="Arial" w:hAnsi="Arial"/>
                <w:sz w:val="18"/>
                <w:szCs w:val="18"/>
                <w:color w:val="auto"/>
              </w:rPr>
              <w:t>due 12/2017)</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8.75%</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12/28/2012</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30,664</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31,092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9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First-lien revolving loan</w:t>
            </w:r>
          </w:p>
        </w:tc>
        <w:tc>
          <w:tcPr>
            <w:tcW w:w="1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($2,000 par, due 12/2017)</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8.75%</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12/28/2012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265,834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267,976</w:t>
            </w:r>
          </w:p>
        </w:tc>
        <w:tc>
          <w:tcPr>
            <w:tcW w:w="2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Hotel, gaming, and leisure</w:t>
            </w:r>
          </w:p>
        </w:tc>
        <w:tc>
          <w:tcPr>
            <w:tcW w:w="2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w w:val="95"/>
              </w:rPr>
              <w:t xml:space="preserve">CrunchTime Information Systems, Inc. </w:t>
            </w:r>
            <w:r>
              <w:rPr>
                <w:rFonts w:ascii="Arial" w:cs="Arial" w:eastAsia="Arial" w:hAnsi="Arial"/>
                <w:sz w:val="15"/>
                <w:szCs w:val="15"/>
                <w:color w:val="auto"/>
                <w:w w:val="95"/>
              </w:rPr>
              <w:t>(3)</w:t>
            </w:r>
          </w:p>
        </w:tc>
        <w:tc>
          <w:tcPr>
            <w:tcW w:w="2940" w:type="dxa"/>
            <w:vAlign w:val="bottom"/>
          </w:tcPr>
          <w:p>
            <w:pPr>
              <w:ind w:left="120"/>
              <w:spacing w:after="0" w:line="201" w:lineRule="exact"/>
              <w:rPr>
                <w:sz w:val="20"/>
                <w:szCs w:val="20"/>
                <w:color w:val="auto"/>
              </w:rPr>
            </w:pPr>
            <w:r>
              <w:rPr>
                <w:rFonts w:ascii="Arial" w:cs="Arial" w:eastAsia="Arial" w:hAnsi="Arial"/>
                <w:sz w:val="18"/>
                <w:szCs w:val="18"/>
                <w:color w:val="auto"/>
              </w:rPr>
              <w:t>First-lien loan ($25,775 par, due</w:t>
            </w:r>
          </w:p>
        </w:tc>
        <w:tc>
          <w:tcPr>
            <w:tcW w:w="12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9.15% (incl.</w:t>
            </w: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940" w:type="dxa"/>
            <w:vAlign w:val="bottom"/>
          </w:tcPr>
          <w:p>
            <w:pPr>
              <w:ind w:left="120"/>
              <w:spacing w:after="0"/>
              <w:rPr>
                <w:sz w:val="20"/>
                <w:szCs w:val="20"/>
                <w:color w:val="auto"/>
              </w:rPr>
            </w:pPr>
            <w:r>
              <w:rPr>
                <w:rFonts w:ascii="Arial" w:cs="Arial" w:eastAsia="Arial" w:hAnsi="Arial"/>
                <w:sz w:val="18"/>
                <w:szCs w:val="18"/>
                <w:color w:val="auto"/>
              </w:rPr>
              <w:t>4/2020)</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2.50% PIK)</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4/16/2015</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25,254</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25,109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29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rPr>
              <w:t>10.15%</w:t>
            </w: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First-lien loan ($20,777 par, due</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(incl. 5.00%</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9/2019)</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PIK)</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9/29/2015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20,777</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20,569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2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10.15%</w:t>
            </w: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940" w:type="dxa"/>
            <w:vAlign w:val="bottom"/>
          </w:tcPr>
          <w:p>
            <w:pPr>
              <w:ind w:left="120"/>
              <w:spacing w:after="0"/>
              <w:rPr>
                <w:sz w:val="20"/>
                <w:szCs w:val="20"/>
                <w:color w:val="auto"/>
              </w:rPr>
            </w:pPr>
            <w:r>
              <w:rPr>
                <w:rFonts w:ascii="Arial" w:cs="Arial" w:eastAsia="Arial" w:hAnsi="Arial"/>
                <w:sz w:val="18"/>
                <w:szCs w:val="18"/>
                <w:color w:val="auto"/>
              </w:rPr>
              <w:t>First-lien revolver loan ($9,994 par,</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(incl. 5.00%</w:t>
            </w: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940" w:type="dxa"/>
            <w:vAlign w:val="bottom"/>
          </w:tcPr>
          <w:p>
            <w:pPr>
              <w:ind w:left="120"/>
              <w:spacing w:after="0"/>
              <w:rPr>
                <w:sz w:val="20"/>
                <w:szCs w:val="20"/>
                <w:color w:val="auto"/>
              </w:rPr>
            </w:pPr>
            <w:r>
              <w:rPr>
                <w:rFonts w:ascii="Arial" w:cs="Arial" w:eastAsia="Arial" w:hAnsi="Arial"/>
                <w:sz w:val="18"/>
                <w:szCs w:val="18"/>
                <w:color w:val="auto"/>
              </w:rPr>
              <w:t>due 9/2019)</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PIK)</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9/29/2015</w:t>
            </w:r>
          </w:p>
        </w:tc>
        <w:tc>
          <w:tcPr>
            <w:tcW w:w="640" w:type="dxa"/>
            <w:vAlign w:val="bottom"/>
          </w:tcPr>
          <w:p>
            <w:pPr>
              <w:jc w:val="right"/>
              <w:spacing w:after="0"/>
              <w:rPr>
                <w:sz w:val="20"/>
                <w:szCs w:val="20"/>
                <w:color w:val="auto"/>
              </w:rPr>
            </w:pPr>
            <w:r>
              <w:rPr>
                <w:rFonts w:ascii="Arial" w:cs="Arial" w:eastAsia="Arial" w:hAnsi="Arial"/>
                <w:sz w:val="18"/>
                <w:szCs w:val="18"/>
                <w:color w:val="auto"/>
              </w:rPr>
              <w:t>9,994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9,894</w:t>
            </w:r>
          </w:p>
        </w:tc>
        <w:tc>
          <w:tcPr>
            <w:tcW w:w="2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Soho House </w:t>
            </w:r>
            <w:r>
              <w:rPr>
                <w:rFonts w:ascii="Arial" w:cs="Arial" w:eastAsia="Arial" w:hAnsi="Arial"/>
                <w:sz w:val="15"/>
                <w:szCs w:val="15"/>
                <w:color w:val="auto"/>
              </w:rPr>
              <w:t>(4)</w:t>
            </w:r>
          </w:p>
        </w:tc>
        <w:tc>
          <w:tcPr>
            <w:tcW w:w="29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Second-lien bond (GBP 20,375 par,</w:t>
            </w:r>
          </w:p>
        </w:tc>
        <w:tc>
          <w:tcPr>
            <w:tcW w:w="1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27,237</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10/2018)</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9.13%</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9/20/2013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32,925</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(GBP</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20,375)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88,950</w:t>
            </w:r>
          </w:p>
        </w:tc>
        <w:tc>
          <w:tcPr>
            <w:tcW w:w="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82,809</w:t>
            </w:r>
          </w:p>
        </w:tc>
        <w:tc>
          <w:tcPr>
            <w:tcW w:w="280" w:type="dxa"/>
            <w:vAlign w:val="bottom"/>
            <w:vMerge w:val="continue"/>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96"/>
              </w:rPr>
              <w:t>Human resource support services</w:t>
            </w:r>
          </w:p>
        </w:tc>
        <w:tc>
          <w:tcPr>
            <w:tcW w:w="2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Saba Software, Inc. </w:t>
            </w:r>
            <w:r>
              <w:rPr>
                <w:rFonts w:ascii="Arial" w:cs="Arial" w:eastAsia="Arial" w:hAnsi="Arial"/>
                <w:sz w:val="15"/>
                <w:szCs w:val="15"/>
                <w:color w:val="auto"/>
              </w:rPr>
              <w:t>(3)(5)</w:t>
            </w:r>
          </w:p>
        </w:tc>
        <w:tc>
          <w:tcPr>
            <w:tcW w:w="2940" w:type="dxa"/>
            <w:vAlign w:val="bottom"/>
          </w:tcPr>
          <w:p>
            <w:pPr>
              <w:ind w:left="120"/>
              <w:spacing w:after="0" w:line="201" w:lineRule="exact"/>
              <w:rPr>
                <w:sz w:val="20"/>
                <w:szCs w:val="20"/>
                <w:color w:val="auto"/>
              </w:rPr>
            </w:pPr>
            <w:r>
              <w:rPr>
                <w:rFonts w:ascii="Arial" w:cs="Arial" w:eastAsia="Arial" w:hAnsi="Arial"/>
                <w:sz w:val="18"/>
                <w:szCs w:val="18"/>
                <w:color w:val="auto"/>
              </w:rPr>
              <w:t>First-lien loan ($54,450 par,</w:t>
            </w: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940" w:type="dxa"/>
            <w:vAlign w:val="bottom"/>
          </w:tcPr>
          <w:p>
            <w:pPr>
              <w:ind w:left="120"/>
              <w:spacing w:after="0"/>
              <w:rPr>
                <w:sz w:val="20"/>
                <w:szCs w:val="20"/>
                <w:color w:val="auto"/>
              </w:rPr>
            </w:pPr>
            <w:r>
              <w:rPr>
                <w:rFonts w:ascii="Arial" w:cs="Arial" w:eastAsia="Arial" w:hAnsi="Arial"/>
                <w:sz w:val="18"/>
                <w:szCs w:val="18"/>
                <w:color w:val="auto"/>
              </w:rPr>
              <w:t>due 3/2021)</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9.75%</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3/30/2015</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53,909</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54,042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Skillsoft </w:t>
            </w:r>
            <w:r>
              <w:rPr>
                <w:rFonts w:ascii="Arial" w:cs="Arial" w:eastAsia="Arial" w:hAnsi="Arial"/>
                <w:sz w:val="15"/>
                <w:szCs w:val="15"/>
                <w:color w:val="auto"/>
              </w:rPr>
              <w:t>(3)</w:t>
            </w:r>
          </w:p>
        </w:tc>
        <w:tc>
          <w:tcPr>
            <w:tcW w:w="29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First-lien loan ($14,711 par,</w:t>
            </w:r>
          </w:p>
        </w:tc>
        <w:tc>
          <w:tcPr>
            <w:tcW w:w="1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4/2021)</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5.75%</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11/5/2015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11,585</w:t>
            </w:r>
          </w:p>
        </w:tc>
        <w:tc>
          <w:tcPr>
            <w:tcW w:w="2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65,548</w:t>
            </w:r>
          </w:p>
        </w:tc>
        <w:tc>
          <w:tcPr>
            <w:tcW w:w="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65,627</w:t>
            </w:r>
          </w:p>
        </w:tc>
        <w:tc>
          <w:tcPr>
            <w:tcW w:w="280" w:type="dxa"/>
            <w:vAlign w:val="bottom"/>
            <w:vMerge w:val="continue"/>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Insurance</w:t>
            </w:r>
          </w:p>
        </w:tc>
        <w:tc>
          <w:tcPr>
            <w:tcW w:w="2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940" w:type="dxa"/>
            <w:vAlign w:val="bottom"/>
          </w:tcPr>
          <w:p>
            <w:pPr>
              <w:ind w:left="120"/>
              <w:spacing w:after="0" w:line="201" w:lineRule="exact"/>
              <w:rPr>
                <w:sz w:val="20"/>
                <w:szCs w:val="20"/>
                <w:color w:val="auto"/>
              </w:rPr>
            </w:pPr>
            <w:r>
              <w:rPr>
                <w:rFonts w:ascii="Arial" w:cs="Arial" w:eastAsia="Arial" w:hAnsi="Arial"/>
                <w:sz w:val="18"/>
                <w:szCs w:val="18"/>
                <w:color w:val="auto"/>
              </w:rPr>
              <w:t>First-lien loan ($65,309 par,</w:t>
            </w: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940" w:type="dxa"/>
            <w:vAlign w:val="bottom"/>
          </w:tcPr>
          <w:p>
            <w:pPr>
              <w:ind w:left="120"/>
              <w:spacing w:after="0"/>
              <w:rPr>
                <w:sz w:val="20"/>
                <w:szCs w:val="20"/>
                <w:color w:val="auto"/>
              </w:rPr>
            </w:pPr>
            <w:r>
              <w:rPr>
                <w:rFonts w:ascii="Arial" w:cs="Arial" w:eastAsia="Arial" w:hAnsi="Arial"/>
                <w:sz w:val="18"/>
                <w:szCs w:val="18"/>
                <w:color w:val="auto"/>
              </w:rPr>
              <w:t>due 10/2020)</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7.75%</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10/31/2014</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64,694</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66,779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Internet services</w:t>
            </w:r>
          </w:p>
        </w:tc>
        <w:tc>
          <w:tcPr>
            <w:tcW w:w="2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Highwinds Capital, Inc. </w:t>
            </w:r>
            <w:r>
              <w:rPr>
                <w:rFonts w:ascii="Arial" w:cs="Arial" w:eastAsia="Arial" w:hAnsi="Arial"/>
                <w:sz w:val="15"/>
                <w:szCs w:val="15"/>
                <w:color w:val="auto"/>
              </w:rPr>
              <w:t>(3)</w:t>
            </w:r>
          </w:p>
        </w:tc>
        <w:tc>
          <w:tcPr>
            <w:tcW w:w="2940" w:type="dxa"/>
            <w:vAlign w:val="bottom"/>
          </w:tcPr>
          <w:p>
            <w:pPr>
              <w:ind w:left="120"/>
              <w:spacing w:after="0" w:line="201" w:lineRule="exact"/>
              <w:rPr>
                <w:sz w:val="20"/>
                <w:szCs w:val="20"/>
                <w:color w:val="auto"/>
              </w:rPr>
            </w:pPr>
            <w:r>
              <w:rPr>
                <w:rFonts w:ascii="Arial" w:cs="Arial" w:eastAsia="Arial" w:hAnsi="Arial"/>
                <w:sz w:val="18"/>
                <w:szCs w:val="18"/>
                <w:color w:val="auto"/>
              </w:rPr>
              <w:t>First-lien loan ($48,957 par, due</w:t>
            </w: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940" w:type="dxa"/>
            <w:vAlign w:val="bottom"/>
          </w:tcPr>
          <w:p>
            <w:pPr>
              <w:ind w:left="120"/>
              <w:spacing w:after="0"/>
              <w:rPr>
                <w:sz w:val="20"/>
                <w:szCs w:val="20"/>
                <w:color w:val="auto"/>
              </w:rPr>
            </w:pPr>
            <w:r>
              <w:rPr>
                <w:rFonts w:ascii="Arial" w:cs="Arial" w:eastAsia="Arial" w:hAnsi="Arial"/>
                <w:sz w:val="18"/>
                <w:szCs w:val="18"/>
                <w:color w:val="auto"/>
              </w:rPr>
              <w:t>7/2018)</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9.00%</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3/7/2014</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48,550</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48,712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9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First-lien revolving loan ($3,000 par,</w:t>
            </w:r>
          </w:p>
        </w:tc>
        <w:tc>
          <w:tcPr>
            <w:tcW w:w="1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7/2018)</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9.00%</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3/7/2014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2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51,530</w:t>
            </w:r>
          </w:p>
        </w:tc>
        <w:tc>
          <w:tcPr>
            <w:tcW w:w="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51,697</w:t>
            </w:r>
          </w:p>
        </w:tc>
        <w:tc>
          <w:tcPr>
            <w:tcW w:w="280" w:type="dxa"/>
            <w:vAlign w:val="bottom"/>
            <w:vMerge w:val="continue"/>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Manufacturing</w:t>
            </w:r>
          </w:p>
        </w:tc>
        <w:tc>
          <w:tcPr>
            <w:tcW w:w="2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w w:val="99"/>
              </w:rPr>
              <w:t xml:space="preserve">Jeeves Information Systems AB </w:t>
            </w:r>
            <w:r>
              <w:rPr>
                <w:rFonts w:ascii="Arial" w:cs="Arial" w:eastAsia="Arial" w:hAnsi="Arial"/>
                <w:sz w:val="15"/>
                <w:szCs w:val="15"/>
                <w:color w:val="auto"/>
                <w:w w:val="99"/>
              </w:rPr>
              <w:t>(3)(4)(5)</w:t>
            </w:r>
          </w:p>
        </w:tc>
        <w:tc>
          <w:tcPr>
            <w:tcW w:w="2940" w:type="dxa"/>
            <w:vAlign w:val="bottom"/>
          </w:tcPr>
          <w:p>
            <w:pPr>
              <w:ind w:left="120"/>
              <w:spacing w:after="0" w:line="201" w:lineRule="exact"/>
              <w:rPr>
                <w:sz w:val="20"/>
                <w:szCs w:val="20"/>
                <w:color w:val="auto"/>
              </w:rPr>
            </w:pPr>
            <w:r>
              <w:rPr>
                <w:rFonts w:ascii="Arial" w:cs="Arial" w:eastAsia="Arial" w:hAnsi="Arial"/>
                <w:sz w:val="18"/>
                <w:szCs w:val="18"/>
                <w:color w:val="auto"/>
              </w:rPr>
              <w:t>First-lien loan (SEK 201,180 par,</w:t>
            </w: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23,982</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940" w:type="dxa"/>
            <w:vAlign w:val="bottom"/>
          </w:tcPr>
          <w:p>
            <w:pPr>
              <w:ind w:left="120"/>
              <w:spacing w:after="0"/>
              <w:rPr>
                <w:sz w:val="20"/>
                <w:szCs w:val="20"/>
                <w:color w:val="auto"/>
              </w:rPr>
            </w:pPr>
            <w:r>
              <w:rPr>
                <w:rFonts w:ascii="Arial" w:cs="Arial" w:eastAsia="Arial" w:hAnsi="Arial"/>
                <w:sz w:val="18"/>
                <w:szCs w:val="18"/>
                <w:color w:val="auto"/>
              </w:rPr>
              <w:t>due 3/2019)</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8.00%</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6/5/2013</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30,094</w:t>
            </w:r>
          </w:p>
        </w:tc>
        <w:tc>
          <w:tcPr>
            <w:tcW w:w="1460" w:type="dxa"/>
            <w:vAlign w:val="bottom"/>
            <w:gridSpan w:val="4"/>
          </w:tcPr>
          <w:p>
            <w:pPr>
              <w:ind w:left="140"/>
              <w:spacing w:after="0"/>
              <w:rPr>
                <w:sz w:val="20"/>
                <w:szCs w:val="20"/>
                <w:color w:val="auto"/>
              </w:rPr>
            </w:pPr>
            <w:r>
              <w:rPr>
                <w:rFonts w:ascii="Arial" w:cs="Arial" w:eastAsia="Arial" w:hAnsi="Arial"/>
                <w:sz w:val="18"/>
                <w:szCs w:val="18"/>
                <w:color w:val="auto"/>
              </w:rPr>
              <w:t>(SEK 203,192)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46"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0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Power Solutions International, Inc. </w:t>
            </w:r>
            <w:r>
              <w:rPr>
                <w:rFonts w:ascii="Arial" w:cs="Arial" w:eastAsia="Arial" w:hAnsi="Arial"/>
                <w:sz w:val="15"/>
                <w:szCs w:val="15"/>
                <w:color w:val="auto"/>
              </w:rPr>
              <w:t>(3)</w:t>
            </w:r>
          </w:p>
        </w:tc>
        <w:tc>
          <w:tcPr>
            <w:tcW w:w="28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First-lien loan ($45,000 par,</w:t>
            </w:r>
          </w:p>
        </w:tc>
        <w:tc>
          <w:tcPr>
            <w:tcW w:w="1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6/2021)</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10.75%</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6/28/2016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44,044</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43,988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74,138</w:t>
            </w:r>
          </w:p>
        </w:tc>
        <w:tc>
          <w:tcPr>
            <w:tcW w:w="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67,970</w:t>
            </w:r>
          </w:p>
        </w:tc>
        <w:tc>
          <w:tcPr>
            <w:tcW w:w="300" w:type="dxa"/>
            <w:vAlign w:val="bottom"/>
            <w:vMerge w:val="continue"/>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Office products</w:t>
            </w:r>
          </w:p>
        </w:tc>
        <w:tc>
          <w:tcPr>
            <w:tcW w:w="2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5"/>
                <w:szCs w:val="15"/>
                <w:color w:val="auto"/>
              </w:rPr>
              <w:t>(3)</w:t>
            </w:r>
          </w:p>
        </w:tc>
        <w:tc>
          <w:tcPr>
            <w:tcW w:w="2820" w:type="dxa"/>
            <w:vAlign w:val="bottom"/>
          </w:tcPr>
          <w:p>
            <w:pPr>
              <w:ind w:left="120"/>
              <w:spacing w:after="0" w:line="201" w:lineRule="exact"/>
              <w:rPr>
                <w:sz w:val="20"/>
                <w:szCs w:val="20"/>
                <w:color w:val="auto"/>
              </w:rPr>
            </w:pPr>
            <w:r>
              <w:rPr>
                <w:rFonts w:ascii="Arial" w:cs="Arial" w:eastAsia="Arial" w:hAnsi="Arial"/>
                <w:sz w:val="18"/>
                <w:szCs w:val="18"/>
                <w:color w:val="auto"/>
              </w:rPr>
              <w:t>First-lien loan ($36,717 par,</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due 3/2019)</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7.25%</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3/11/2014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36,519</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36,619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Oil, gas and consumable fuels</w:t>
            </w:r>
          </w:p>
        </w:tc>
        <w:tc>
          <w:tcPr>
            <w:tcW w:w="2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Key Energy Services </w:t>
            </w:r>
            <w:r>
              <w:rPr>
                <w:rFonts w:ascii="Arial" w:cs="Arial" w:eastAsia="Arial" w:hAnsi="Arial"/>
                <w:sz w:val="15"/>
                <w:szCs w:val="15"/>
                <w:color w:val="auto"/>
              </w:rPr>
              <w:t>(3)</w:t>
            </w:r>
          </w:p>
        </w:tc>
        <w:tc>
          <w:tcPr>
            <w:tcW w:w="2820" w:type="dxa"/>
            <w:vAlign w:val="bottom"/>
          </w:tcPr>
          <w:p>
            <w:pPr>
              <w:ind w:left="120"/>
              <w:spacing w:after="0" w:line="201" w:lineRule="exact"/>
              <w:rPr>
                <w:sz w:val="20"/>
                <w:szCs w:val="20"/>
                <w:color w:val="auto"/>
              </w:rPr>
            </w:pPr>
            <w:r>
              <w:rPr>
                <w:rFonts w:ascii="Arial" w:cs="Arial" w:eastAsia="Arial" w:hAnsi="Arial"/>
                <w:sz w:val="18"/>
                <w:szCs w:val="18"/>
                <w:color w:val="auto"/>
              </w:rPr>
              <w:t>First-lien loan ($12,905 par,</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due 6/2020)</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10.25%</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5/27/2015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12,499</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12,388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(3)(7)</w:t>
            </w:r>
          </w:p>
        </w:tc>
        <w:tc>
          <w:tcPr>
            <w:tcW w:w="28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0"/>
              <w:spacing w:after="0" w:line="201" w:lineRule="exact"/>
              <w:rPr>
                <w:sz w:val="20"/>
                <w:szCs w:val="20"/>
                <w:color w:val="auto"/>
              </w:rPr>
            </w:pPr>
            <w:r>
              <w:rPr>
                <w:rFonts w:ascii="Arial" w:cs="Arial" w:eastAsia="Arial" w:hAnsi="Arial"/>
                <w:sz w:val="18"/>
                <w:szCs w:val="18"/>
                <w:color w:val="auto"/>
              </w:rPr>
              <w:t>13.00%</w:t>
            </w:r>
          </w:p>
        </w:tc>
        <w:tc>
          <w:tcPr>
            <w:tcW w:w="1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First-lien loan ($48,572 par,</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(incl. 1.50%</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6/2018)</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PIK)</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6/4/2014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48,045</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37,765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60,544</w:t>
            </w:r>
          </w:p>
        </w:tc>
        <w:tc>
          <w:tcPr>
            <w:tcW w:w="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50,153</w:t>
            </w:r>
          </w:p>
        </w:tc>
        <w:tc>
          <w:tcPr>
            <w:tcW w:w="300" w:type="dxa"/>
            <w:vAlign w:val="bottom"/>
            <w:vMerge w:val="continue"/>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Pharmaceuticals</w:t>
            </w:r>
          </w:p>
        </w:tc>
        <w:tc>
          <w:tcPr>
            <w:tcW w:w="2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2820" w:type="dxa"/>
            <w:vAlign w:val="bottom"/>
          </w:tcPr>
          <w:p>
            <w:pPr>
              <w:ind w:left="120"/>
              <w:spacing w:after="0" w:line="201" w:lineRule="exact"/>
              <w:rPr>
                <w:sz w:val="20"/>
                <w:szCs w:val="20"/>
                <w:color w:val="auto"/>
              </w:rPr>
            </w:pPr>
            <w:r>
              <w:rPr>
                <w:rFonts w:ascii="Arial" w:cs="Arial" w:eastAsia="Arial" w:hAnsi="Arial"/>
                <w:sz w:val="18"/>
                <w:szCs w:val="18"/>
                <w:color w:val="auto"/>
              </w:rPr>
              <w:t>Secured note ($74,950 par, due</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10/2020)</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7.75%</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10/5/2015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74,087</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74,575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Retail and consumer products</w:t>
            </w:r>
          </w:p>
        </w:tc>
        <w:tc>
          <w:tcPr>
            <w:tcW w:w="2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Aeropostale, Inc. </w:t>
            </w:r>
            <w:r>
              <w:rPr>
                <w:rFonts w:ascii="Arial" w:cs="Arial" w:eastAsia="Arial" w:hAnsi="Arial"/>
                <w:sz w:val="15"/>
                <w:szCs w:val="15"/>
                <w:color w:val="auto"/>
              </w:rPr>
              <w:t>(6)</w:t>
            </w:r>
          </w:p>
        </w:tc>
        <w:tc>
          <w:tcPr>
            <w:tcW w:w="2820" w:type="dxa"/>
            <w:vAlign w:val="bottom"/>
          </w:tcPr>
          <w:p>
            <w:pPr>
              <w:ind w:left="120"/>
              <w:spacing w:after="0" w:line="201" w:lineRule="exact"/>
              <w:rPr>
                <w:sz w:val="20"/>
                <w:szCs w:val="20"/>
                <w:color w:val="auto"/>
              </w:rPr>
            </w:pPr>
            <w:r>
              <w:rPr>
                <w:rFonts w:ascii="Arial" w:cs="Arial" w:eastAsia="Arial" w:hAnsi="Arial"/>
                <w:sz w:val="18"/>
                <w:szCs w:val="18"/>
                <w:color w:val="auto"/>
              </w:rPr>
              <w:t>DIP loan ($32,813 par, due</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5/2017)</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5.63%</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5/9/2016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30,847</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32,113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 xml:space="preserve">American Achievement Corporation </w:t>
            </w:r>
            <w:r>
              <w:rPr>
                <w:rFonts w:ascii="Arial" w:cs="Arial" w:eastAsia="Arial" w:hAnsi="Arial"/>
                <w:sz w:val="15"/>
                <w:szCs w:val="15"/>
                <w:color w:val="auto"/>
                <w:w w:val="97"/>
              </w:rPr>
              <w:t>(3)</w:t>
            </w:r>
          </w:p>
        </w:tc>
        <w:tc>
          <w:tcPr>
            <w:tcW w:w="28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First-lien loan ($24,621 par, due</w:t>
            </w:r>
          </w:p>
        </w:tc>
        <w:tc>
          <w:tcPr>
            <w:tcW w:w="1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(5)</w:t>
            </w:r>
          </w:p>
        </w:tc>
        <w:tc>
          <w:tcPr>
            <w:tcW w:w="1680" w:type="dxa"/>
            <w:vAlign w:val="bottom"/>
            <w:shd w:val="clear" w:color="auto" w:fill="CCEEFF"/>
          </w:tcPr>
          <w:p>
            <w:pPr>
              <w:spacing w:after="0"/>
              <w:rPr>
                <w:sz w:val="20"/>
                <w:szCs w:val="20"/>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9/2020)</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8.25%</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9/30/2015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24,317</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24,437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w w:val="96"/>
              </w:rPr>
              <w:t xml:space="preserve">Destination Maternity Corporation </w:t>
            </w:r>
            <w:r>
              <w:rPr>
                <w:rFonts w:ascii="Arial" w:cs="Arial" w:eastAsia="Arial" w:hAnsi="Arial"/>
                <w:sz w:val="15"/>
                <w:szCs w:val="15"/>
                <w:color w:val="auto"/>
                <w:w w:val="96"/>
              </w:rPr>
              <w:t>(3)(5)</w:t>
            </w:r>
          </w:p>
        </w:tc>
        <w:tc>
          <w:tcPr>
            <w:tcW w:w="2820" w:type="dxa"/>
            <w:vAlign w:val="bottom"/>
          </w:tcPr>
          <w:p>
            <w:pPr>
              <w:ind w:left="120"/>
              <w:spacing w:after="0" w:line="201" w:lineRule="exact"/>
              <w:rPr>
                <w:sz w:val="20"/>
                <w:szCs w:val="20"/>
                <w:color w:val="auto"/>
              </w:rPr>
            </w:pPr>
            <w:r>
              <w:rPr>
                <w:rFonts w:ascii="Arial" w:cs="Arial" w:eastAsia="Arial" w:hAnsi="Arial"/>
                <w:sz w:val="18"/>
                <w:szCs w:val="18"/>
                <w:color w:val="auto"/>
                <w:w w:val="98"/>
              </w:rPr>
              <w:t>ABL FILO term loan ($18,286 par,</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due 3/2021)</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8.50%</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3/25/2016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17,874</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18,011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Quiksilver - Boardriders SA</w:t>
            </w:r>
          </w:p>
        </w:tc>
        <w:tc>
          <w:tcPr>
            <w:tcW w:w="28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Bond (EUR 5,699 par,</w:t>
            </w:r>
          </w:p>
        </w:tc>
        <w:tc>
          <w:tcPr>
            <w:tcW w:w="1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5,445</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12/2020)</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9.50%</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5/26/2015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6,014</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(EUR</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4,901)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(3)(4)(6)</w:t>
            </w:r>
          </w:p>
        </w:tc>
        <w:tc>
          <w:tcPr>
            <w:tcW w:w="2820" w:type="dxa"/>
            <w:vAlign w:val="bottom"/>
          </w:tcPr>
          <w:p>
            <w:pPr>
              <w:ind w:left="120"/>
              <w:spacing w:after="0" w:line="201" w:lineRule="exact"/>
              <w:rPr>
                <w:sz w:val="20"/>
                <w:szCs w:val="20"/>
                <w:color w:val="auto"/>
              </w:rPr>
            </w:pPr>
            <w:r>
              <w:rPr>
                <w:rFonts w:ascii="Arial" w:cs="Arial" w:eastAsia="Arial" w:hAnsi="Arial"/>
                <w:sz w:val="18"/>
                <w:szCs w:val="18"/>
                <w:color w:val="auto"/>
              </w:rPr>
              <w:t>First-lien loan ($3,660 par,</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due 6/2018)</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5.50%</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1/28/2016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3,419</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3,477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8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First-lien ABL loan ($22,727 par,</w:t>
            </w:r>
          </w:p>
        </w:tc>
        <w:tc>
          <w:tcPr>
            <w:tcW w:w="1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7/2020)</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8.50%</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3/18/2016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22,075</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22,614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Sports Authority </w:t>
            </w:r>
            <w:r>
              <w:rPr>
                <w:rFonts w:ascii="Arial" w:cs="Arial" w:eastAsia="Arial" w:hAnsi="Arial"/>
                <w:sz w:val="15"/>
                <w:szCs w:val="15"/>
                <w:color w:val="auto"/>
              </w:rPr>
              <w:t>(3)(5)</w:t>
            </w:r>
          </w:p>
        </w:tc>
        <w:tc>
          <w:tcPr>
            <w:tcW w:w="2820" w:type="dxa"/>
            <w:vAlign w:val="bottom"/>
          </w:tcPr>
          <w:p>
            <w:pPr>
              <w:ind w:left="120"/>
              <w:spacing w:after="0" w:line="201" w:lineRule="exact"/>
              <w:rPr>
                <w:sz w:val="20"/>
                <w:szCs w:val="20"/>
                <w:color w:val="auto"/>
              </w:rPr>
            </w:pPr>
            <w:r>
              <w:rPr>
                <w:rFonts w:ascii="Arial" w:cs="Arial" w:eastAsia="Arial" w:hAnsi="Arial"/>
                <w:sz w:val="18"/>
                <w:szCs w:val="18"/>
                <w:color w:val="auto"/>
              </w:rPr>
              <w:t>ABL FILO term loan ($6,429 par,</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due 7/2016)</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10.00%</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11/3/2015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6,412</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6,429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Toys ‘R’ Us-Delaware, Inc. </w:t>
            </w:r>
            <w:r>
              <w:rPr>
                <w:rFonts w:ascii="Arial" w:cs="Arial" w:eastAsia="Arial" w:hAnsi="Arial"/>
                <w:sz w:val="15"/>
                <w:szCs w:val="15"/>
                <w:color w:val="auto"/>
              </w:rPr>
              <w:t>(3)</w:t>
            </w:r>
          </w:p>
        </w:tc>
        <w:tc>
          <w:tcPr>
            <w:tcW w:w="28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ABL FILO term loan ($51,000 par,</w:t>
            </w:r>
          </w:p>
        </w:tc>
        <w:tc>
          <w:tcPr>
            <w:tcW w:w="1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10/2019)</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8.25%</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10/9/2014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50,392</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49,215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161,350</w:t>
            </w:r>
          </w:p>
        </w:tc>
        <w:tc>
          <w:tcPr>
            <w:tcW w:w="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161,741</w:t>
            </w:r>
          </w:p>
        </w:tc>
        <w:tc>
          <w:tcPr>
            <w:tcW w:w="300" w:type="dxa"/>
            <w:vAlign w:val="bottom"/>
            <w:vMerge w:val="continue"/>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Transportation</w:t>
            </w:r>
          </w:p>
        </w:tc>
        <w:tc>
          <w:tcPr>
            <w:tcW w:w="2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Carrix, Inc. </w:t>
            </w:r>
            <w:r>
              <w:rPr>
                <w:rFonts w:ascii="Arial" w:cs="Arial" w:eastAsia="Arial" w:hAnsi="Arial"/>
                <w:sz w:val="15"/>
                <w:szCs w:val="15"/>
                <w:color w:val="auto"/>
              </w:rPr>
              <w:t>(3)</w:t>
            </w:r>
          </w:p>
        </w:tc>
        <w:tc>
          <w:tcPr>
            <w:tcW w:w="2820" w:type="dxa"/>
            <w:vAlign w:val="bottom"/>
          </w:tcPr>
          <w:p>
            <w:pPr>
              <w:ind w:left="120"/>
              <w:spacing w:after="0" w:line="201" w:lineRule="exact"/>
              <w:rPr>
                <w:sz w:val="20"/>
                <w:szCs w:val="20"/>
                <w:color w:val="auto"/>
              </w:rPr>
            </w:pPr>
            <w:r>
              <w:rPr>
                <w:rFonts w:ascii="Arial" w:cs="Arial" w:eastAsia="Arial" w:hAnsi="Arial"/>
                <w:sz w:val="18"/>
                <w:szCs w:val="18"/>
                <w:color w:val="auto"/>
              </w:rPr>
              <w:t>First-lien loan ($13,364 par,</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due 1/2019)</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4.50%</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3/17/2015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12,682</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12,529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Debt Investments</w:t>
            </w:r>
          </w:p>
        </w:tc>
        <w:tc>
          <w:tcPr>
            <w:tcW w:w="2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1,599,310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1,587,748</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171.8%</w:t>
            </w:r>
          </w:p>
        </w:tc>
        <w:tc>
          <w:tcPr>
            <w:tcW w:w="0" w:type="dxa"/>
            <w:vAlign w:val="bottom"/>
          </w:tcPr>
          <w:p>
            <w:pPr>
              <w:spacing w:after="0"/>
              <w:rPr>
                <w:sz w:val="1"/>
                <w:szCs w:val="1"/>
                <w:color w:val="auto"/>
              </w:rPr>
            </w:pPr>
          </w:p>
        </w:tc>
      </w:tr>
      <w:tr>
        <w:trPr>
          <w:trHeight w:val="223"/>
        </w:trPr>
        <w:tc>
          <w:tcPr>
            <w:tcW w:w="3040" w:type="dxa"/>
            <w:vAlign w:val="bottom"/>
            <w:gridSpan w:val="3"/>
          </w:tcPr>
          <w:p>
            <w:pPr>
              <w:spacing w:after="0"/>
              <w:rPr>
                <w:sz w:val="20"/>
                <w:szCs w:val="20"/>
                <w:color w:val="auto"/>
              </w:rPr>
            </w:pPr>
            <w:r>
              <w:rPr>
                <w:rFonts w:ascii="Arial" w:cs="Arial" w:eastAsia="Arial" w:hAnsi="Arial"/>
                <w:sz w:val="18"/>
                <w:szCs w:val="18"/>
                <w:b w:val="1"/>
                <w:bCs w:val="1"/>
                <w:color w:val="auto"/>
              </w:rPr>
              <w:t>Equity and Other Investments</w:t>
            </w:r>
          </w:p>
        </w:tc>
        <w:tc>
          <w:tcPr>
            <w:tcW w:w="2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Business services</w:t>
            </w:r>
          </w:p>
        </w:tc>
        <w:tc>
          <w:tcPr>
            <w:tcW w:w="2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Network Merchants, Inc.</w:t>
            </w:r>
          </w:p>
        </w:tc>
        <w:tc>
          <w:tcPr>
            <w:tcW w:w="2820" w:type="dxa"/>
            <w:vAlign w:val="bottom"/>
          </w:tcPr>
          <w:p>
            <w:pPr>
              <w:ind w:left="120"/>
              <w:spacing w:after="0" w:line="201" w:lineRule="exact"/>
              <w:rPr>
                <w:sz w:val="20"/>
                <w:szCs w:val="20"/>
                <w:color w:val="auto"/>
              </w:rPr>
            </w:pPr>
            <w:r>
              <w:rPr>
                <w:rFonts w:ascii="Arial" w:cs="Arial" w:eastAsia="Arial" w:hAnsi="Arial"/>
                <w:sz w:val="18"/>
                <w:szCs w:val="18"/>
                <w:color w:val="auto"/>
              </w:rPr>
              <w:t>Non-Voting Preferred Units</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(774,099 units)</w:t>
            </w:r>
          </w:p>
        </w:tc>
        <w:tc>
          <w:tcPr>
            <w:tcW w:w="116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9/12/2013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780</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1,119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Financial services</w:t>
            </w:r>
          </w:p>
        </w:tc>
        <w:tc>
          <w:tcPr>
            <w:tcW w:w="2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AvidXchange, Inc.</w:t>
            </w:r>
          </w:p>
        </w:tc>
        <w:tc>
          <w:tcPr>
            <w:tcW w:w="2820" w:type="dxa"/>
            <w:vAlign w:val="bottom"/>
          </w:tcPr>
          <w:p>
            <w:pPr>
              <w:ind w:left="120"/>
              <w:spacing w:after="0" w:line="201" w:lineRule="exact"/>
              <w:rPr>
                <w:sz w:val="20"/>
                <w:szCs w:val="20"/>
                <w:color w:val="auto"/>
              </w:rPr>
            </w:pPr>
            <w:r>
              <w:rPr>
                <w:rFonts w:ascii="Arial" w:cs="Arial" w:eastAsia="Arial" w:hAnsi="Arial"/>
                <w:sz w:val="18"/>
                <w:szCs w:val="18"/>
                <w:color w:val="auto"/>
                <w:w w:val="95"/>
              </w:rPr>
              <w:t>Series E Preferred Equity (214,132</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shares)</w:t>
            </w:r>
          </w:p>
        </w:tc>
        <w:tc>
          <w:tcPr>
            <w:tcW w:w="116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8/7/2015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3,846</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3,846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TICC Capital Corp. </w:t>
            </w:r>
            <w:r>
              <w:rPr>
                <w:rFonts w:ascii="Arial" w:cs="Arial" w:eastAsia="Arial" w:hAnsi="Arial"/>
                <w:sz w:val="15"/>
                <w:szCs w:val="15"/>
                <w:color w:val="auto"/>
              </w:rPr>
              <w:t>(4)</w:t>
            </w:r>
          </w:p>
        </w:tc>
        <w:tc>
          <w:tcPr>
            <w:tcW w:w="28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 Shares (1,633,719</w:t>
            </w:r>
          </w:p>
        </w:tc>
        <w:tc>
          <w:tcPr>
            <w:tcW w:w="1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w:t>
            </w:r>
          </w:p>
        </w:tc>
        <w:tc>
          <w:tcPr>
            <w:tcW w:w="1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8/5/2015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10,943</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8,610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14,789</w:t>
            </w:r>
          </w:p>
        </w:tc>
        <w:tc>
          <w:tcPr>
            <w:tcW w:w="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12,456</w:t>
            </w:r>
          </w:p>
        </w:tc>
        <w:tc>
          <w:tcPr>
            <w:tcW w:w="300" w:type="dxa"/>
            <w:vAlign w:val="bottom"/>
            <w:vMerge w:val="continue"/>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Healthcare</w:t>
            </w:r>
          </w:p>
        </w:tc>
        <w:tc>
          <w:tcPr>
            <w:tcW w:w="2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Global Healthcare Exchange, LLC</w:t>
            </w:r>
          </w:p>
        </w:tc>
        <w:tc>
          <w:tcPr>
            <w:tcW w:w="2820" w:type="dxa"/>
            <w:vAlign w:val="bottom"/>
          </w:tcPr>
          <w:p>
            <w:pPr>
              <w:ind w:left="120"/>
              <w:spacing w:after="0" w:line="201" w:lineRule="exact"/>
              <w:rPr>
                <w:sz w:val="20"/>
                <w:szCs w:val="20"/>
                <w:color w:val="auto"/>
              </w:rPr>
            </w:pPr>
            <w:r>
              <w:rPr>
                <w:rFonts w:ascii="Arial" w:cs="Arial" w:eastAsia="Arial" w:hAnsi="Arial"/>
                <w:sz w:val="18"/>
                <w:szCs w:val="18"/>
                <w:color w:val="auto"/>
              </w:rPr>
              <w:t>Common Shares Class A (598</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shares)</w:t>
            </w:r>
          </w:p>
        </w:tc>
        <w:tc>
          <w:tcPr>
            <w:tcW w:w="116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3/11/2014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763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8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 Shares Class B (196</w:t>
            </w:r>
          </w:p>
        </w:tc>
        <w:tc>
          <w:tcPr>
            <w:tcW w:w="1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w:t>
            </w:r>
          </w:p>
        </w:tc>
        <w:tc>
          <w:tcPr>
            <w:tcW w:w="1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3/11/2014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20" w:type="dxa"/>
            <w:vAlign w:val="bottom"/>
          </w:tcPr>
          <w:p>
            <w:pPr>
              <w:ind w:left="2620"/>
              <w:spacing w:after="0"/>
              <w:rPr>
                <w:sz w:val="20"/>
                <w:szCs w:val="20"/>
                <w:color w:val="auto"/>
              </w:rPr>
            </w:pPr>
            <w:r>
              <w:rPr>
                <w:rFonts w:ascii="Arial" w:cs="Arial" w:eastAsia="Arial" w:hAnsi="Arial"/>
                <w:sz w:val="18"/>
                <w:szCs w:val="18"/>
                <w:color w:val="auto"/>
              </w:rPr>
              <w:t>8</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07"/>
        </w:trPr>
        <w:tc>
          <w:tcPr>
            <w:tcW w:w="29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(4)</w:t>
            </w:r>
          </w:p>
        </w:tc>
        <w:tc>
          <w:tcPr>
            <w:tcW w:w="3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987</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3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Warrants</w:t>
            </w:r>
          </w:p>
        </w:tc>
        <w:tc>
          <w:tcPr>
            <w:tcW w:w="8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9/30/2014</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877</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(EUR</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888)</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gridSpan w:val="2"/>
          </w:tcPr>
          <w:p>
            <w:pPr>
              <w:spacing w:after="0" w:line="201" w:lineRule="exact"/>
              <w:rPr>
                <w:sz w:val="20"/>
                <w:szCs w:val="20"/>
                <w:color w:val="auto"/>
              </w:rPr>
            </w:pPr>
            <w:r>
              <w:rPr>
                <w:rFonts w:ascii="Arial" w:cs="Arial" w:eastAsia="Arial" w:hAnsi="Arial"/>
                <w:sz w:val="18"/>
                <w:szCs w:val="18"/>
                <w:color w:val="auto"/>
              </w:rPr>
              <w:t>SRS Parent Corp.</w:t>
            </w:r>
          </w:p>
        </w:tc>
        <w:tc>
          <w:tcPr>
            <w:tcW w:w="3100" w:type="dxa"/>
            <w:vAlign w:val="bottom"/>
          </w:tcPr>
          <w:p>
            <w:pPr>
              <w:ind w:left="280"/>
              <w:spacing w:after="0" w:line="201" w:lineRule="exact"/>
              <w:rPr>
                <w:sz w:val="20"/>
                <w:szCs w:val="20"/>
                <w:color w:val="auto"/>
              </w:rPr>
            </w:pPr>
            <w:r>
              <w:rPr>
                <w:rFonts w:ascii="Arial" w:cs="Arial" w:eastAsia="Arial" w:hAnsi="Arial"/>
                <w:sz w:val="18"/>
                <w:szCs w:val="18"/>
                <w:color w:val="auto"/>
              </w:rPr>
              <w:t>Common Shares Class A</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100" w:type="dxa"/>
            <w:vAlign w:val="bottom"/>
          </w:tcPr>
          <w:p>
            <w:pPr>
              <w:ind w:left="280"/>
              <w:spacing w:after="0"/>
              <w:rPr>
                <w:sz w:val="20"/>
                <w:szCs w:val="20"/>
                <w:color w:val="auto"/>
              </w:rPr>
            </w:pPr>
            <w:r>
              <w:rPr>
                <w:rFonts w:ascii="Arial" w:cs="Arial" w:eastAsia="Arial" w:hAnsi="Arial"/>
                <w:sz w:val="18"/>
                <w:szCs w:val="18"/>
                <w:color w:val="auto"/>
              </w:rPr>
              <w:t>(1,980 shares)</w:t>
            </w:r>
          </w:p>
        </w:tc>
        <w:tc>
          <w:tcPr>
            <w:tcW w:w="84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12/28/2012</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1,980</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985</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1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5"/>
              </w:rPr>
              <w:t>Common Shares Class B (2,953,020</w:t>
            </w: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shares)</w:t>
            </w:r>
          </w:p>
        </w:tc>
        <w:tc>
          <w:tcPr>
            <w:tcW w:w="8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12/28/2012</w:t>
            </w: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3,481</w:t>
            </w:r>
          </w:p>
        </w:tc>
        <w:tc>
          <w:tcPr>
            <w:tcW w:w="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2,968</w:t>
            </w:r>
          </w:p>
        </w:tc>
        <w:tc>
          <w:tcPr>
            <w:tcW w:w="320" w:type="dxa"/>
            <w:vAlign w:val="bottom"/>
            <w:vMerge w:val="continue"/>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Hotel, gaming, and leisure</w:t>
            </w:r>
          </w:p>
        </w:tc>
        <w:tc>
          <w:tcPr>
            <w:tcW w:w="3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w:t>
            </w:r>
          </w:p>
        </w:tc>
        <w:tc>
          <w:tcPr>
            <w:tcW w:w="3100" w:type="dxa"/>
            <w:vAlign w:val="bottom"/>
          </w:tcPr>
          <w:p>
            <w:pPr>
              <w:ind w:left="280"/>
              <w:spacing w:after="0"/>
              <w:rPr>
                <w:sz w:val="20"/>
                <w:szCs w:val="20"/>
                <w:color w:val="auto"/>
              </w:rPr>
            </w:pPr>
            <w:r>
              <w:rPr>
                <w:rFonts w:ascii="Arial" w:cs="Arial" w:eastAsia="Arial" w:hAnsi="Arial"/>
                <w:sz w:val="18"/>
                <w:szCs w:val="18"/>
                <w:color w:val="auto"/>
              </w:rPr>
              <w:t>Class A Units (5,000,000 units)</w:t>
            </w:r>
          </w:p>
        </w:tc>
        <w:tc>
          <w:tcPr>
            <w:tcW w:w="84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9/29/2015</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3,897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97</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Class C-1 Units (8,800,000 units)</w:t>
            </w: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9/29/2015</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3,997</w:t>
            </w:r>
          </w:p>
        </w:tc>
        <w:tc>
          <w:tcPr>
            <w:tcW w:w="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w:t>
            </w:r>
          </w:p>
        </w:tc>
        <w:tc>
          <w:tcPr>
            <w:tcW w:w="320" w:type="dxa"/>
            <w:vAlign w:val="bottom"/>
            <w:vMerge w:val="continue"/>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98"/>
              </w:rPr>
              <w:t>Oil, gas and consumable fuels</w:t>
            </w:r>
          </w:p>
        </w:tc>
        <w:tc>
          <w:tcPr>
            <w:tcW w:w="3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(7)</w:t>
            </w:r>
          </w:p>
        </w:tc>
        <w:tc>
          <w:tcPr>
            <w:tcW w:w="3100" w:type="dxa"/>
            <w:vAlign w:val="bottom"/>
          </w:tcPr>
          <w:p>
            <w:pPr>
              <w:ind w:left="280"/>
              <w:spacing w:after="0"/>
              <w:rPr>
                <w:sz w:val="20"/>
                <w:szCs w:val="20"/>
                <w:color w:val="auto"/>
              </w:rPr>
            </w:pPr>
            <w:r>
              <w:rPr>
                <w:rFonts w:ascii="Arial" w:cs="Arial" w:eastAsia="Arial" w:hAnsi="Arial"/>
                <w:sz w:val="18"/>
                <w:szCs w:val="18"/>
                <w:color w:val="auto"/>
              </w:rPr>
              <w:t>Class A Member Units (933 units)</w:t>
            </w:r>
          </w:p>
        </w:tc>
        <w:tc>
          <w:tcPr>
            <w:tcW w:w="84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6/4/2014</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8,874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Other</w:t>
            </w:r>
          </w:p>
        </w:tc>
        <w:tc>
          <w:tcPr>
            <w:tcW w:w="3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 xml:space="preserve">Oak Hill Credit Partners </w:t>
            </w:r>
            <w:r>
              <w:rPr>
                <w:rFonts w:ascii="Arial" w:cs="Arial" w:eastAsia="Arial" w:hAnsi="Arial"/>
                <w:sz w:val="15"/>
                <w:szCs w:val="15"/>
                <w:color w:val="auto"/>
              </w:rPr>
              <w:t>(4)(6)</w:t>
            </w:r>
          </w:p>
        </w:tc>
        <w:tc>
          <w:tcPr>
            <w:tcW w:w="3100" w:type="dxa"/>
            <w:vAlign w:val="bottom"/>
          </w:tcPr>
          <w:p>
            <w:pPr>
              <w:ind w:left="280"/>
              <w:spacing w:after="0"/>
              <w:rPr>
                <w:sz w:val="20"/>
                <w:szCs w:val="20"/>
                <w:color w:val="auto"/>
              </w:rPr>
            </w:pPr>
            <w:r>
              <w:rPr>
                <w:rFonts w:ascii="Arial" w:cs="Arial" w:eastAsia="Arial" w:hAnsi="Arial"/>
                <w:sz w:val="18"/>
                <w:szCs w:val="18"/>
                <w:color w:val="auto"/>
              </w:rPr>
              <w:t>Structured Product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6.13%</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8/21/2015</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3,318</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2,366</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Symphony </w:t>
            </w:r>
            <w:r>
              <w:rPr>
                <w:rFonts w:ascii="Arial" w:cs="Arial" w:eastAsia="Arial" w:hAnsi="Arial"/>
                <w:sz w:val="15"/>
                <w:szCs w:val="15"/>
                <w:color w:val="auto"/>
              </w:rPr>
              <w:t>(4)(6)</w:t>
            </w:r>
          </w:p>
        </w:tc>
        <w:tc>
          <w:tcPr>
            <w:tcW w:w="3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Structured Product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6.38%</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11/17/2014</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4,235</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8,928</w:t>
            </w:r>
          </w:p>
        </w:tc>
        <w:tc>
          <w:tcPr>
            <w:tcW w:w="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6,601</w:t>
            </w:r>
          </w:p>
        </w:tc>
        <w:tc>
          <w:tcPr>
            <w:tcW w:w="320" w:type="dxa"/>
            <w:vAlign w:val="bottom"/>
            <w:vMerge w:val="continue"/>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00" w:type="dxa"/>
            <w:vAlign w:val="bottom"/>
            <w:gridSpan w:val="2"/>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rPr>
              <w:t>Total Equity and Other</w:t>
            </w:r>
          </w:p>
        </w:tc>
        <w:tc>
          <w:tcPr>
            <w:tcW w:w="3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Investments</w:t>
            </w:r>
          </w:p>
        </w:tc>
        <w:tc>
          <w:tcPr>
            <w:tcW w:w="3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40,849</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23,291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9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3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gridSpan w:val="3"/>
            <w:vMerge w:val="continue"/>
          </w:tcPr>
          <w:p>
            <w:pPr>
              <w:spacing w:after="0"/>
              <w:rPr>
                <w:sz w:val="19"/>
                <w:szCs w:val="19"/>
                <w:color w:val="auto"/>
              </w:rPr>
            </w:pPr>
          </w:p>
        </w:tc>
        <w:tc>
          <w:tcPr>
            <w:tcW w:w="3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1,640,159</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1,611,039</w:t>
            </w:r>
          </w:p>
        </w:tc>
        <w:tc>
          <w:tcPr>
            <w:tcW w:w="320" w:type="dxa"/>
            <w:vAlign w:val="bottom"/>
            <w:vMerge w:val="continue"/>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8"/>
          <w:szCs w:val="18"/>
          <w:color w:val="auto"/>
        </w:rPr>
      </w:pPr>
    </w:p>
    <w:p>
      <w:pPr>
        <w:jc w:val="both"/>
        <w:ind w:left="460" w:right="10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 to the extent a loan has been allocated to “first out” and “last out” tranches, whereby the “first out” tranche will have priority as to the “last out” tranche with respect to payments of principal, interest and any amounts due thereunder.</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9" w:lineRule="exact"/>
        <w:rPr>
          <w:rFonts w:ascii="Arial" w:cs="Arial" w:eastAsia="Arial" w:hAnsi="Arial"/>
          <w:sz w:val="18"/>
          <w:szCs w:val="18"/>
          <w:color w:val="auto"/>
        </w:rPr>
      </w:pPr>
    </w:p>
    <w:p>
      <w:pPr>
        <w:ind w:left="460" w:right="140" w:hanging="452"/>
        <w:spacing w:after="0" w:line="273"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six months ended June 30, 2016 in which the issuer was an Affiliated Person of and was deemed to Control a portfolio company are as follows: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Controlled, Affiliated Investments during the six months ended June 30,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3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Value at</w:t>
            </w: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June 30,</w:t>
            </w:r>
          </w:p>
        </w:tc>
        <w:tc>
          <w:tcPr>
            <w:tcW w:w="800" w:type="dxa"/>
            <w:vAlign w:val="bottom"/>
            <w:gridSpan w:val="3"/>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Additions (a)</w:t>
            </w:r>
          </w:p>
        </w:tc>
        <w:tc>
          <w:tcPr>
            <w:tcW w:w="1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1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Gain/(Loss)</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Gain/(Losses)</w:t>
            </w:r>
          </w:p>
        </w:tc>
        <w:tc>
          <w:tcPr>
            <w:tcW w:w="940" w:type="dxa"/>
            <w:vAlign w:val="bottom"/>
            <w:gridSpan w:val="2"/>
          </w:tcPr>
          <w:p>
            <w:pPr>
              <w:jc w:val="center"/>
              <w:ind w:left="256"/>
              <w:spacing w:after="0"/>
              <w:rPr>
                <w:sz w:val="20"/>
                <w:szCs w:val="20"/>
                <w:color w:val="auto"/>
              </w:rPr>
            </w:pPr>
            <w:r>
              <w:rPr>
                <w:rFonts w:ascii="Arial" w:cs="Arial" w:eastAsia="Arial" w:hAnsi="Arial"/>
                <w:sz w:val="14"/>
                <w:szCs w:val="14"/>
                <w:b w:val="1"/>
                <w:bCs w:val="1"/>
                <w:color w:val="auto"/>
                <w:w w:val="89"/>
              </w:rPr>
              <w:t>2016</w:t>
            </w:r>
          </w:p>
        </w:tc>
        <w:tc>
          <w:tcPr>
            <w:tcW w:w="3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Mississippi Resources, LLC</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1"/>
              </w:rPr>
              <w:t>(241)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$37,765</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IRGSE Holding Corp.</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3,063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731</w:t>
            </w:r>
          </w:p>
        </w:tc>
        <w:tc>
          <w:tcPr>
            <w:tcW w:w="14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30,610</w:t>
            </w:r>
          </w:p>
        </w:tc>
        <w:tc>
          <w:tcPr>
            <w:tcW w:w="14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500" w:type="dxa"/>
            <w:vAlign w:val="bottom"/>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63,498</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5,269</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(241)</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(151)</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68,375</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9"/>
              </w:rPr>
              <w:t>101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6"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40" w:hanging="452"/>
        <w:spacing w:after="0" w:line="25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8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June 30, 2016, the tax cost of the Company’s investments approximates their amortized cost.</w:t>
      </w:r>
    </w:p>
    <w:p>
      <w:pPr>
        <w:spacing w:after="0" w:line="23"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Notes contain a fixed rate structure. The Company entered into an interest rate swap agreement to swap to a floating rate. Refer to Note 5 for further information related to the Company’s interest rate swaps.</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first-lien loan portion of this investment is on non-accrual as of June 30, 2016.</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100" w:type="dxa"/>
            <w:vAlign w:val="bottom"/>
          </w:tcPr>
          <w:p>
            <w:pPr>
              <w:spacing w:after="0"/>
              <w:rPr>
                <w:sz w:val="14"/>
                <w:szCs w:val="1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40" w:type="dxa"/>
            <w:vAlign w:val="bottom"/>
          </w:tcPr>
          <w:p>
            <w:pPr>
              <w:spacing w:after="0"/>
              <w:rPr>
                <w:sz w:val="12"/>
                <w:szCs w:val="12"/>
                <w:color w:val="auto"/>
              </w:rPr>
            </w:pPr>
          </w:p>
        </w:tc>
        <w:tc>
          <w:tcPr>
            <w:tcW w:w="314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Interest</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 xml:space="preserve">Cost </w:t>
            </w:r>
            <w:r>
              <w:rPr>
                <w:rFonts w:ascii="Arial" w:cs="Arial" w:eastAsia="Arial" w:hAnsi="Arial"/>
                <w:sz w:val="12"/>
                <w:szCs w:val="12"/>
                <w:b w:val="1"/>
                <w:bCs w:val="1"/>
                <w:color w:val="auto"/>
                <w:w w:val="96"/>
              </w:rPr>
              <w:t>(2)(8)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1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ind w:left="360"/>
              <w:spacing w:after="0"/>
              <w:rPr>
                <w:sz w:val="20"/>
                <w:szCs w:val="20"/>
                <w:color w:val="auto"/>
              </w:rPr>
            </w:pPr>
            <w:r>
              <w:rPr>
                <w:rFonts w:ascii="Arial" w:cs="Arial" w:eastAsia="Arial" w:hAnsi="Arial"/>
                <w:sz w:val="18"/>
                <w:szCs w:val="18"/>
                <w:b w:val="1"/>
                <w:bCs w:val="1"/>
                <w:color w:val="auto"/>
              </w:rPr>
              <w:t>Automotive</w:t>
            </w:r>
          </w:p>
        </w:tc>
        <w:tc>
          <w:tcPr>
            <w:tcW w:w="1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 xml:space="preserve">Heartland Automotive Holdings, LLC </w:t>
            </w:r>
            <w:r>
              <w:rPr>
                <w:rFonts w:ascii="Arial" w:cs="Arial" w:eastAsia="Arial" w:hAnsi="Arial"/>
                <w:sz w:val="15"/>
                <w:szCs w:val="15"/>
                <w:color w:val="auto"/>
                <w:w w:val="98"/>
              </w:rPr>
              <w:t>(3)</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7"/>
              </w:rPr>
              <w:t>First-lien loan ($31,271 par, due 6/2017)</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8/28/2012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30,176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280" w:type="dxa"/>
            <w:vAlign w:val="bottom"/>
            <w:gridSpan w:val="3"/>
          </w:tcPr>
          <w:p>
            <w:pPr>
              <w:ind w:left="140"/>
              <w:spacing w:after="0" w:line="201" w:lineRule="exact"/>
              <w:rPr>
                <w:sz w:val="20"/>
                <w:szCs w:val="20"/>
                <w:color w:val="auto"/>
              </w:rPr>
            </w:pPr>
            <w:r>
              <w:rPr>
                <w:rFonts w:ascii="Arial" w:cs="Arial" w:eastAsia="Arial" w:hAnsi="Arial"/>
                <w:sz w:val="18"/>
                <w:szCs w:val="18"/>
                <w:color w:val="auto"/>
                <w:w w:val="96"/>
              </w:rPr>
              <w:t>First-lien revolving loan ($2,722 par, due</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180" w:type="dxa"/>
            <w:vAlign w:val="bottom"/>
            <w:gridSpan w:val="2"/>
          </w:tcPr>
          <w:p>
            <w:pPr>
              <w:ind w:left="140"/>
              <w:spacing w:after="0"/>
              <w:rPr>
                <w:sz w:val="20"/>
                <w:szCs w:val="20"/>
                <w:color w:val="auto"/>
              </w:rPr>
            </w:pPr>
            <w:r>
              <w:rPr>
                <w:rFonts w:ascii="Arial" w:cs="Arial" w:eastAsia="Arial" w:hAnsi="Arial"/>
                <w:sz w:val="18"/>
                <w:szCs w:val="18"/>
                <w:color w:val="auto"/>
              </w:rPr>
              <w:t>6/2017)</w:t>
            </w:r>
          </w:p>
        </w:tc>
        <w:tc>
          <w:tcPr>
            <w:tcW w:w="1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10.75%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8/28/2012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2,528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32,704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3120" w:type="dxa"/>
            <w:vAlign w:val="bottom"/>
            <w:gridSpan w:val="2"/>
          </w:tcPr>
          <w:p>
            <w:pPr>
              <w:ind w:left="360"/>
              <w:spacing w:after="0"/>
              <w:rPr>
                <w:sz w:val="20"/>
                <w:szCs w:val="20"/>
                <w:color w:val="auto"/>
              </w:rPr>
            </w:pPr>
            <w:r>
              <w:rPr>
                <w:rFonts w:ascii="Arial" w:cs="Arial" w:eastAsia="Arial" w:hAnsi="Arial"/>
                <w:sz w:val="18"/>
                <w:szCs w:val="18"/>
                <w:b w:val="1"/>
                <w:bCs w:val="1"/>
                <w:color w:val="auto"/>
              </w:rPr>
              <w:t>Beverage, food and tobacco</w:t>
            </w:r>
          </w:p>
        </w:tc>
        <w:tc>
          <w:tcPr>
            <w:tcW w:w="1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(3)(5)</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7"/>
              </w:rPr>
              <w:t>First-lien loan ($63,660 par, due 3/2020)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62,705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120" w:type="dxa"/>
            <w:vAlign w:val="bottom"/>
            <w:gridSpan w:val="2"/>
          </w:tcPr>
          <w:p>
            <w:pPr>
              <w:ind w:left="360"/>
              <w:spacing w:after="0"/>
              <w:rPr>
                <w:sz w:val="20"/>
                <w:szCs w:val="20"/>
                <w:color w:val="auto"/>
              </w:rPr>
            </w:pPr>
            <w:r>
              <w:rPr>
                <w:rFonts w:ascii="Arial" w:cs="Arial" w:eastAsia="Arial" w:hAnsi="Arial"/>
                <w:sz w:val="18"/>
                <w:szCs w:val="18"/>
                <w:b w:val="1"/>
                <w:bCs w:val="1"/>
                <w:color w:val="auto"/>
              </w:rPr>
              <w:t>Business services</w:t>
            </w:r>
          </w:p>
        </w:tc>
        <w:tc>
          <w:tcPr>
            <w:tcW w:w="1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5"/>
                <w:szCs w:val="15"/>
                <w:color w:val="auto"/>
              </w:rPr>
              <w:t>(3)(5)</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7"/>
              </w:rPr>
              <w:t>First-lien loan ($59,915 par, due 4/2018)</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4/11/2013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62,462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Bullhorn, Inc. </w:t>
            </w:r>
            <w:r>
              <w:rPr>
                <w:rFonts w:ascii="Arial" w:cs="Arial" w:eastAsia="Arial" w:hAnsi="Arial"/>
                <w:sz w:val="15"/>
                <w:szCs w:val="15"/>
                <w:color w:val="auto"/>
              </w:rPr>
              <w:t>(3)(5)</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w w:val="94"/>
              </w:rPr>
              <w:t>First-lien loan ($45,000 par, due 11/2020)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11/12/2015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43,916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43,763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Clarabridge, Inc. </w:t>
            </w:r>
            <w:r>
              <w:rPr>
                <w:rFonts w:ascii="Arial" w:cs="Arial" w:eastAsia="Arial" w:hAnsi="Arial"/>
                <w:sz w:val="15"/>
                <w:szCs w:val="15"/>
                <w:color w:val="auto"/>
              </w:rPr>
              <w:t>(3)</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7"/>
              </w:rPr>
              <w:t>First-lien loan ($22,388 par, due 4/2019)</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5/20/2015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21,641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Idera, Inc. </w:t>
            </w:r>
            <w:r>
              <w:rPr>
                <w:rFonts w:ascii="Arial" w:cs="Arial" w:eastAsia="Arial" w:hAnsi="Arial"/>
                <w:sz w:val="15"/>
                <w:szCs w:val="15"/>
                <w:color w:val="auto"/>
              </w:rPr>
              <w:t>(3)</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w w:val="97"/>
              </w:rPr>
              <w:t>First-lien loan ($62,500 par, due 4/2021)</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6.50%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10/9/2015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56,446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55,937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7"/>
              </w:rPr>
              <w:t>First-lien loan ($28,565 par, due 6/2019)</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6/30/2014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27,877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5"/>
                <w:szCs w:val="15"/>
                <w:color w:val="auto"/>
              </w:rPr>
              <w:t>(3)</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w w:val="97"/>
              </w:rPr>
              <w:t>First-lien loan ($25,782 par, due 9/2018)</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7.75%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9/12/2013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25,481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25,981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4"/>
              </w:rPr>
              <w:t>First-lien loan ($18,857 par, due 12/2019)</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12/30/2014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18,463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253,177</w:t>
            </w:r>
          </w:p>
        </w:tc>
        <w:tc>
          <w:tcPr>
            <w:tcW w:w="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256,124</w:t>
            </w:r>
          </w:p>
        </w:tc>
        <w:tc>
          <w:tcPr>
            <w:tcW w:w="2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Chemicals</w:t>
            </w:r>
          </w:p>
        </w:tc>
        <w:tc>
          <w:tcPr>
            <w:tcW w:w="1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w w:val="94"/>
              </w:rPr>
              <w:t>First-lien loan ($10,839 par, due 10/2019)</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10.50%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10/31/2014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10,148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7,804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Education</w:t>
            </w:r>
          </w:p>
        </w:tc>
        <w:tc>
          <w:tcPr>
            <w:tcW w:w="1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Campus Management, Inc. </w:t>
            </w:r>
            <w:r>
              <w:rPr>
                <w:rFonts w:ascii="Arial" w:cs="Arial" w:eastAsia="Arial" w:hAnsi="Arial"/>
                <w:sz w:val="15"/>
                <w:szCs w:val="15"/>
                <w:color w:val="auto"/>
              </w:rPr>
              <w:t>(3)(5)</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w w:val="97"/>
              </w:rPr>
              <w:t>First-lien loan ($26,277 par, due 9/2018)</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8.75%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9/30/2013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25,879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26,277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Electronics</w:t>
            </w:r>
          </w:p>
        </w:tc>
        <w:tc>
          <w:tcPr>
            <w:tcW w:w="1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MyAlarm Center, LLC </w:t>
            </w:r>
            <w:r>
              <w:rPr>
                <w:rFonts w:ascii="Arial" w:cs="Arial" w:eastAsia="Arial" w:hAnsi="Arial"/>
                <w:sz w:val="15"/>
                <w:szCs w:val="15"/>
                <w:color w:val="auto"/>
              </w:rPr>
              <w:t>(3)</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w w:val="97"/>
              </w:rPr>
              <w:t>First-lien loan ($62,371 par, due 1/2019)</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61,766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61,887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3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APX Group Inc.</w:t>
            </w:r>
          </w:p>
        </w:tc>
        <w:tc>
          <w:tcPr>
            <w:tcW w:w="32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Senior notes 8.75% ($24,818 par, due</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12/2020)</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12/11/2014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21,689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20,165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83,455</w:t>
            </w:r>
          </w:p>
        </w:tc>
        <w:tc>
          <w:tcPr>
            <w:tcW w:w="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82,052</w:t>
            </w:r>
          </w:p>
        </w:tc>
        <w:tc>
          <w:tcPr>
            <w:tcW w:w="2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Financial services</w:t>
            </w:r>
          </w:p>
        </w:tc>
        <w:tc>
          <w:tcPr>
            <w:tcW w:w="1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w w:val="97"/>
              </w:rPr>
              <w:t>First-lien loan ($23,400 par, due 8/2020)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8/18/2015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22,862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22,765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3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32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Second-lien loan ($31,897 par, due</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8/2020)</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10.50% PIK</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8/7/2015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31,380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30,910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1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10.00%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(incl. 2.50%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w w:val="97"/>
              </w:rPr>
              <w:t>First-lien loan ($33,639 par, due 3/2020)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PIK)</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32,980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32,769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86,444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180" w:type="dxa"/>
            <w:vAlign w:val="bottom"/>
            <w:gridSpan w:val="2"/>
          </w:tcPr>
          <w:p>
            <w:pPr>
              <w:jc w:val="right"/>
              <w:ind w:right="428"/>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Healthcare</w:t>
            </w:r>
          </w:p>
        </w:tc>
        <w:tc>
          <w:tcPr>
            <w:tcW w:w="3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 xml:space="preserve">Aesynt Incorporated </w:t>
            </w:r>
            <w:r>
              <w:rPr>
                <w:rFonts w:ascii="Arial" w:cs="Arial" w:eastAsia="Arial" w:hAnsi="Arial"/>
                <w:sz w:val="15"/>
                <w:szCs w:val="15"/>
                <w:color w:val="auto"/>
              </w:rPr>
              <w:t>(3)(5)</w:t>
            </w:r>
          </w:p>
        </w:tc>
        <w:tc>
          <w:tcPr>
            <w:tcW w:w="3260" w:type="dxa"/>
            <w:vAlign w:val="bottom"/>
          </w:tcPr>
          <w:p>
            <w:pPr>
              <w:ind w:left="200"/>
              <w:spacing w:after="0"/>
              <w:rPr>
                <w:sz w:val="20"/>
                <w:szCs w:val="20"/>
                <w:color w:val="auto"/>
              </w:rPr>
            </w:pPr>
            <w:r>
              <w:rPr>
                <w:rFonts w:ascii="Arial" w:cs="Arial" w:eastAsia="Arial" w:hAnsi="Arial"/>
                <w:sz w:val="18"/>
                <w:szCs w:val="18"/>
                <w:color w:val="auto"/>
                <w:w w:val="94"/>
              </w:rPr>
              <w:t>First-lien loan ($33,250 par, due 5/2019)</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5/8/2014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32,598</w:t>
            </w:r>
          </w:p>
        </w:tc>
        <w:tc>
          <w:tcPr>
            <w:tcW w:w="4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33,918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32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First-lien loan (EUR 35,912 par, due</w:t>
            </w: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40,572</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36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9/2019)</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11.50%</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9/30/2014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42,402</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0"/>
              </w:rPr>
              <w:t>(EUR</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37,349)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60" w:type="dxa"/>
            <w:vAlign w:val="bottom"/>
          </w:tcPr>
          <w:p>
            <w:pPr>
              <w:ind w:left="200"/>
              <w:spacing w:after="0" w:line="201" w:lineRule="exact"/>
              <w:rPr>
                <w:sz w:val="20"/>
                <w:szCs w:val="20"/>
                <w:color w:val="auto"/>
              </w:rPr>
            </w:pPr>
            <w:r>
              <w:rPr>
                <w:rFonts w:ascii="Arial" w:cs="Arial" w:eastAsia="Arial" w:hAnsi="Arial"/>
                <w:sz w:val="18"/>
                <w:szCs w:val="18"/>
                <w:color w:val="auto"/>
              </w:rPr>
              <w:t>First-lien revolving loan</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435</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3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(EUR 300 par, due 9/2019)</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11.50%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9/30/2014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420" w:type="dxa"/>
            <w:vAlign w:val="bottom"/>
          </w:tcPr>
          <w:p>
            <w:pPr>
              <w:spacing w:after="0"/>
              <w:rPr>
                <w:sz w:val="20"/>
                <w:szCs w:val="20"/>
                <w:color w:val="auto"/>
              </w:rPr>
            </w:pPr>
            <w:r>
              <w:rPr>
                <w:rFonts w:ascii="Arial" w:cs="Arial" w:eastAsia="Arial" w:hAnsi="Arial"/>
                <w:sz w:val="18"/>
                <w:szCs w:val="18"/>
                <w:color w:val="auto"/>
                <w:w w:val="90"/>
              </w:rPr>
              <w:t>(EUR</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32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First-lien loan ($45,000 par, due</w:t>
            </w: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12/2021)</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6.25%</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44,184</w:t>
            </w:r>
          </w:p>
        </w:tc>
        <w:tc>
          <w:tcPr>
            <w:tcW w:w="4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2"/>
        </w:trPr>
        <w:tc>
          <w:tcPr>
            <w:tcW w:w="326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3260" w:type="dxa"/>
            <w:vAlign w:val="bottom"/>
          </w:tcPr>
          <w:p>
            <w:pPr>
              <w:spacing w:after="0"/>
              <w:rPr>
                <w:sz w:val="17"/>
                <w:szCs w:val="17"/>
                <w:color w:val="auto"/>
              </w:rPr>
            </w:pPr>
          </w:p>
        </w:tc>
        <w:tc>
          <w:tcPr>
            <w:tcW w:w="11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9.00% (incl.</w:t>
            </w: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w w:val="94"/>
              </w:rPr>
              <w:t>First-lien loan ($45,411 par, due 9/2020)</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2.50% PIK)</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9/30/2015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44,022</w:t>
            </w:r>
          </w:p>
        </w:tc>
        <w:tc>
          <w:tcPr>
            <w:tcW w:w="4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43,708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 xml:space="preserve">Mediware Information Systems, Inc. </w:t>
            </w:r>
            <w:r>
              <w:rPr>
                <w:rFonts w:ascii="Arial" w:cs="Arial" w:eastAsia="Arial" w:hAnsi="Arial"/>
                <w:sz w:val="15"/>
                <w:szCs w:val="15"/>
                <w:color w:val="auto"/>
                <w:w w:val="98"/>
              </w:rPr>
              <w:t>(3)(5)</w:t>
            </w: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First-lien loan ($67,574 par, due 5/2018)</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11/9/2012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66,725</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68,250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326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5"/>
                <w:szCs w:val="15"/>
                <w:color w:val="auto"/>
              </w:rPr>
              <w:t>(3)</w:t>
            </w:r>
          </w:p>
        </w:tc>
        <w:tc>
          <w:tcPr>
            <w:tcW w:w="3260" w:type="dxa"/>
            <w:vAlign w:val="bottom"/>
          </w:tcPr>
          <w:p>
            <w:pPr>
              <w:ind w:left="200"/>
              <w:spacing w:after="0" w:line="201" w:lineRule="exact"/>
              <w:rPr>
                <w:sz w:val="20"/>
                <w:szCs w:val="20"/>
                <w:color w:val="auto"/>
              </w:rPr>
            </w:pPr>
            <w:r>
              <w:rPr>
                <w:rFonts w:ascii="Arial" w:cs="Arial" w:eastAsia="Arial" w:hAnsi="Arial"/>
                <w:sz w:val="18"/>
                <w:szCs w:val="18"/>
                <w:color w:val="auto"/>
              </w:rPr>
              <w:t>First-lien loan ($31,875 par, due</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12/2017)</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12/28/2012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31,508</w:t>
            </w:r>
          </w:p>
        </w:tc>
        <w:tc>
          <w:tcPr>
            <w:tcW w:w="4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31,477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13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2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First-lien revolving loan ($2,000 par, due</w:t>
            </w: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12/2017)</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8.75%</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12/28/2012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263,655</w:t>
            </w:r>
          </w:p>
        </w:tc>
        <w:tc>
          <w:tcPr>
            <w:tcW w:w="2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264,398</w:t>
            </w:r>
          </w:p>
        </w:tc>
        <w:tc>
          <w:tcPr>
            <w:tcW w:w="220" w:type="dxa"/>
            <w:vAlign w:val="bottom"/>
            <w:vMerge w:val="continue"/>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32.1%</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Hotel, gaming, and leisure</w:t>
            </w:r>
          </w:p>
        </w:tc>
        <w:tc>
          <w:tcPr>
            <w:tcW w:w="3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60" w:type="dxa"/>
            <w:vAlign w:val="bottom"/>
            <w:gridSpan w:val="2"/>
          </w:tcPr>
          <w:p>
            <w:pPr>
              <w:spacing w:after="0" w:line="201" w:lineRule="exact"/>
              <w:rPr>
                <w:sz w:val="20"/>
                <w:szCs w:val="20"/>
                <w:color w:val="auto"/>
              </w:rPr>
            </w:pPr>
            <w:r>
              <w:rPr>
                <w:rFonts w:ascii="Arial" w:cs="Arial" w:eastAsia="Arial" w:hAnsi="Arial"/>
                <w:sz w:val="18"/>
                <w:szCs w:val="18"/>
                <w:color w:val="auto"/>
                <w:w w:val="98"/>
              </w:rPr>
              <w:t xml:space="preserve">CrunchTime Information Systems, Inc. </w:t>
            </w:r>
            <w:r>
              <w:rPr>
                <w:rFonts w:ascii="Arial" w:cs="Arial" w:eastAsia="Arial" w:hAnsi="Arial"/>
                <w:sz w:val="15"/>
                <w:szCs w:val="15"/>
                <w:color w:val="auto"/>
                <w:w w:val="98"/>
              </w:rPr>
              <w:t>(3)</w:t>
            </w:r>
          </w:p>
        </w:tc>
        <w:tc>
          <w:tcPr>
            <w:tcW w:w="3260" w:type="dxa"/>
            <w:vAlign w:val="bottom"/>
          </w:tcPr>
          <w:p>
            <w:pPr>
              <w:spacing w:after="0"/>
              <w:rPr>
                <w:sz w:val="17"/>
                <w:szCs w:val="17"/>
                <w:color w:val="auto"/>
              </w:rPr>
            </w:pPr>
          </w:p>
        </w:tc>
        <w:tc>
          <w:tcPr>
            <w:tcW w:w="11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9.00% (incl.</w:t>
            </w: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w w:val="94"/>
              </w:rPr>
              <w:t>First-lien loan ($25,452 par, due 4/2020)</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2.50% PIK)</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4/16/2015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24,873</w:t>
            </w:r>
          </w:p>
        </w:tc>
        <w:tc>
          <w:tcPr>
            <w:tcW w:w="4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24,200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3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10.10%</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(incl. 5.00%</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First-lien loan ($20,260 par, due 9/2019)</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PIK)</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9/29/2015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20,260</w:t>
            </w:r>
          </w:p>
        </w:tc>
        <w:tc>
          <w:tcPr>
            <w:tcW w:w="4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1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10.10%</w:t>
            </w: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w w:val="96"/>
              </w:rPr>
              <w:t>First-lien revolver loan ($7,448 par, due</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(incl. 5.00%</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9/2019)</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PIK)</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9/29/2015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7,448</w:t>
            </w:r>
          </w:p>
        </w:tc>
        <w:tc>
          <w:tcPr>
            <w:tcW w:w="4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7,169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2"/>
        </w:trPr>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Soho House </w:t>
            </w:r>
            <w:r>
              <w:rPr>
                <w:rFonts w:ascii="Arial" w:cs="Arial" w:eastAsia="Arial" w:hAnsi="Arial"/>
                <w:sz w:val="15"/>
                <w:szCs w:val="15"/>
                <w:color w:val="auto"/>
              </w:rPr>
              <w:t>(4)</w:t>
            </w:r>
          </w:p>
        </w:tc>
        <w:tc>
          <w:tcPr>
            <w:tcW w:w="32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Second-lien bond (GBP 20,375 par, due</w:t>
            </w: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30,781</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36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10/2018)</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9.13%</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9/20/2013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33,055</w:t>
            </w: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0"/>
              </w:rPr>
              <w:t>(GBP</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20,884)</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85,636</w:t>
            </w:r>
          </w:p>
        </w:tc>
        <w:tc>
          <w:tcPr>
            <w:tcW w:w="2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81,650</w:t>
            </w:r>
          </w:p>
        </w:tc>
        <w:tc>
          <w:tcPr>
            <w:tcW w:w="220" w:type="dxa"/>
            <w:vAlign w:val="bottom"/>
            <w:vMerge w:val="continue"/>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10.0%</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98"/>
              </w:rPr>
              <w:t>Human resource support services</w:t>
            </w:r>
          </w:p>
        </w:tc>
        <w:tc>
          <w:tcPr>
            <w:tcW w:w="3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 xml:space="preserve">Saba Software, Inc. </w:t>
            </w:r>
            <w:r>
              <w:rPr>
                <w:rFonts w:ascii="Arial" w:cs="Arial" w:eastAsia="Arial" w:hAnsi="Arial"/>
                <w:sz w:val="15"/>
                <w:szCs w:val="15"/>
                <w:color w:val="auto"/>
              </w:rPr>
              <w:t>(3)(5)</w:t>
            </w:r>
          </w:p>
        </w:tc>
        <w:tc>
          <w:tcPr>
            <w:tcW w:w="3260" w:type="dxa"/>
            <w:vAlign w:val="bottom"/>
          </w:tcPr>
          <w:p>
            <w:pPr>
              <w:ind w:left="200"/>
              <w:spacing w:after="0"/>
              <w:rPr>
                <w:sz w:val="20"/>
                <w:szCs w:val="20"/>
                <w:color w:val="auto"/>
              </w:rPr>
            </w:pPr>
            <w:r>
              <w:rPr>
                <w:rFonts w:ascii="Arial" w:cs="Arial" w:eastAsia="Arial" w:hAnsi="Arial"/>
                <w:sz w:val="18"/>
                <w:szCs w:val="18"/>
                <w:color w:val="auto"/>
                <w:w w:val="94"/>
              </w:rPr>
              <w:t>First-lien loan ($54,725 par, due 3/2021)</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9.75%</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3/30/2015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54,141</w:t>
            </w:r>
          </w:p>
        </w:tc>
        <w:tc>
          <w:tcPr>
            <w:tcW w:w="4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53,767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Skillsoft </w:t>
            </w:r>
            <w:r>
              <w:rPr>
                <w:rFonts w:ascii="Arial" w:cs="Arial" w:eastAsia="Arial" w:hAnsi="Arial"/>
                <w:sz w:val="15"/>
                <w:szCs w:val="15"/>
                <w:color w:val="auto"/>
              </w:rPr>
              <w:t>(3)</w:t>
            </w: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First-lien loan ($500 par, due 4/2021)</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11/5/2015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54,579</w:t>
            </w:r>
          </w:p>
        </w:tc>
        <w:tc>
          <w:tcPr>
            <w:tcW w:w="2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54,152</w:t>
            </w:r>
          </w:p>
        </w:tc>
        <w:tc>
          <w:tcPr>
            <w:tcW w:w="220" w:type="dxa"/>
            <w:vAlign w:val="bottom"/>
            <w:vMerge w:val="continue"/>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Insurance</w:t>
            </w:r>
          </w:p>
        </w:tc>
        <w:tc>
          <w:tcPr>
            <w:tcW w:w="3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6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3260" w:type="dxa"/>
            <w:vAlign w:val="bottom"/>
          </w:tcPr>
          <w:p>
            <w:pPr>
              <w:ind w:left="200"/>
              <w:spacing w:after="0" w:line="201" w:lineRule="exact"/>
              <w:rPr>
                <w:sz w:val="20"/>
                <w:szCs w:val="20"/>
                <w:color w:val="auto"/>
              </w:rPr>
            </w:pPr>
            <w:r>
              <w:rPr>
                <w:rFonts w:ascii="Arial" w:cs="Arial" w:eastAsia="Arial" w:hAnsi="Arial"/>
                <w:sz w:val="18"/>
                <w:szCs w:val="18"/>
                <w:color w:val="auto"/>
              </w:rPr>
              <w:t>First-lien loan ($65,452 par, due</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10/2020)</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7.75%</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10/31/2014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64,782</w:t>
            </w:r>
          </w:p>
        </w:tc>
        <w:tc>
          <w:tcPr>
            <w:tcW w:w="4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63,980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Internet services</w:t>
            </w:r>
          </w:p>
        </w:tc>
        <w:tc>
          <w:tcPr>
            <w:tcW w:w="3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 xml:space="preserve">Highwinds Capital, Inc. </w:t>
            </w:r>
            <w:r>
              <w:rPr>
                <w:rFonts w:ascii="Arial" w:cs="Arial" w:eastAsia="Arial" w:hAnsi="Arial"/>
                <w:sz w:val="15"/>
                <w:szCs w:val="15"/>
                <w:color w:val="auto"/>
              </w:rPr>
              <w:t>(3)</w:t>
            </w:r>
          </w:p>
        </w:tc>
        <w:tc>
          <w:tcPr>
            <w:tcW w:w="3260" w:type="dxa"/>
            <w:vAlign w:val="bottom"/>
          </w:tcPr>
          <w:p>
            <w:pPr>
              <w:ind w:left="200"/>
              <w:spacing w:after="0"/>
              <w:rPr>
                <w:sz w:val="20"/>
                <w:szCs w:val="20"/>
                <w:color w:val="auto"/>
              </w:rPr>
            </w:pPr>
            <w:r>
              <w:rPr>
                <w:rFonts w:ascii="Arial" w:cs="Arial" w:eastAsia="Arial" w:hAnsi="Arial"/>
                <w:sz w:val="18"/>
                <w:szCs w:val="18"/>
                <w:color w:val="auto"/>
                <w:w w:val="94"/>
              </w:rPr>
              <w:t>First-lien loan ($50,987 par, due 7/2018)</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3/7/2014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50,474</w:t>
            </w:r>
          </w:p>
        </w:tc>
        <w:tc>
          <w:tcPr>
            <w:tcW w:w="4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50,095</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13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2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First-lien revolving loan ($2,800 par, due</w:t>
            </w: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7/2018)</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3/7/2014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53,249</w:t>
            </w:r>
          </w:p>
        </w:tc>
        <w:tc>
          <w:tcPr>
            <w:tcW w:w="2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52,843</w:t>
            </w:r>
          </w:p>
        </w:tc>
        <w:tc>
          <w:tcPr>
            <w:tcW w:w="220" w:type="dxa"/>
            <w:vAlign w:val="bottom"/>
            <w:vMerge w:val="continue"/>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Manufacturing</w:t>
            </w:r>
          </w:p>
        </w:tc>
        <w:tc>
          <w:tcPr>
            <w:tcW w:w="3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6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Jeeves Information Systems AB </w:t>
            </w:r>
            <w:r>
              <w:rPr>
                <w:rFonts w:ascii="Arial" w:cs="Arial" w:eastAsia="Arial" w:hAnsi="Arial"/>
                <w:sz w:val="15"/>
                <w:szCs w:val="15"/>
                <w:color w:val="auto"/>
              </w:rPr>
              <w:t>(3)(4)(5)</w:t>
            </w:r>
          </w:p>
        </w:tc>
        <w:tc>
          <w:tcPr>
            <w:tcW w:w="3260" w:type="dxa"/>
            <w:vAlign w:val="bottom"/>
          </w:tcPr>
          <w:p>
            <w:pPr>
              <w:ind w:left="200"/>
              <w:spacing w:after="0" w:line="201" w:lineRule="exact"/>
              <w:rPr>
                <w:sz w:val="20"/>
                <w:szCs w:val="20"/>
                <w:color w:val="auto"/>
              </w:rPr>
            </w:pPr>
            <w:r>
              <w:rPr>
                <w:rFonts w:ascii="Arial" w:cs="Arial" w:eastAsia="Arial" w:hAnsi="Arial"/>
                <w:sz w:val="18"/>
                <w:szCs w:val="18"/>
                <w:color w:val="auto"/>
              </w:rPr>
              <w:t>First-lien loan (SEK 192,573 par, due</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23,470</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3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3/2019)</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6/5/2013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29,289</w:t>
            </w:r>
          </w:p>
        </w:tc>
        <w:tc>
          <w:tcPr>
            <w:tcW w:w="1240" w:type="dxa"/>
            <w:vAlign w:val="bottom"/>
            <w:gridSpan w:val="3"/>
          </w:tcPr>
          <w:p>
            <w:pPr>
              <w:spacing w:after="0"/>
              <w:rPr>
                <w:sz w:val="20"/>
                <w:szCs w:val="20"/>
                <w:color w:val="auto"/>
              </w:rPr>
            </w:pPr>
            <w:r>
              <w:rPr>
                <w:rFonts w:ascii="Arial" w:cs="Arial" w:eastAsia="Arial" w:hAnsi="Arial"/>
                <w:sz w:val="18"/>
                <w:szCs w:val="18"/>
                <w:color w:val="auto"/>
              </w:rPr>
              <w:t>(SEK 197,869)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Office products</w:t>
            </w:r>
          </w:p>
        </w:tc>
        <w:tc>
          <w:tcPr>
            <w:tcW w:w="3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5"/>
                <w:szCs w:val="15"/>
                <w:color w:val="auto"/>
              </w:rPr>
              <w:t>(3)</w:t>
            </w:r>
          </w:p>
        </w:tc>
        <w:tc>
          <w:tcPr>
            <w:tcW w:w="3260" w:type="dxa"/>
            <w:vAlign w:val="bottom"/>
          </w:tcPr>
          <w:p>
            <w:pPr>
              <w:ind w:left="200"/>
              <w:spacing w:after="0"/>
              <w:rPr>
                <w:sz w:val="20"/>
                <w:szCs w:val="20"/>
                <w:color w:val="auto"/>
              </w:rPr>
            </w:pPr>
            <w:r>
              <w:rPr>
                <w:rFonts w:ascii="Arial" w:cs="Arial" w:eastAsia="Arial" w:hAnsi="Arial"/>
                <w:sz w:val="18"/>
                <w:szCs w:val="18"/>
                <w:color w:val="auto"/>
                <w:w w:val="94"/>
              </w:rPr>
              <w:t>First-lien loan ($36,811 par, due 3/2019)</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3/11/2014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36,579</w:t>
            </w:r>
          </w:p>
        </w:tc>
        <w:tc>
          <w:tcPr>
            <w:tcW w:w="4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36,370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Oil, gas and consumable fuels</w:t>
            </w:r>
          </w:p>
        </w:tc>
        <w:tc>
          <w:tcPr>
            <w:tcW w:w="3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 xml:space="preserve">Key Energy Services </w:t>
            </w:r>
            <w:r>
              <w:rPr>
                <w:rFonts w:ascii="Arial" w:cs="Arial" w:eastAsia="Arial" w:hAnsi="Arial"/>
                <w:sz w:val="15"/>
                <w:szCs w:val="15"/>
                <w:color w:val="auto"/>
              </w:rPr>
              <w:t>(3)</w:t>
            </w:r>
          </w:p>
        </w:tc>
        <w:tc>
          <w:tcPr>
            <w:tcW w:w="3260" w:type="dxa"/>
            <w:vAlign w:val="bottom"/>
          </w:tcPr>
          <w:p>
            <w:pPr>
              <w:ind w:left="200"/>
              <w:spacing w:after="0"/>
              <w:rPr>
                <w:sz w:val="20"/>
                <w:szCs w:val="20"/>
                <w:color w:val="auto"/>
              </w:rPr>
            </w:pPr>
            <w:r>
              <w:rPr>
                <w:rFonts w:ascii="Arial" w:cs="Arial" w:eastAsia="Arial" w:hAnsi="Arial"/>
                <w:sz w:val="18"/>
                <w:szCs w:val="18"/>
                <w:color w:val="auto"/>
                <w:w w:val="94"/>
              </w:rPr>
              <w:t>First-lien loan ($13,504 par, due 6/2020)</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10.25%</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5/27/2015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13,043</w:t>
            </w:r>
          </w:p>
        </w:tc>
        <w:tc>
          <w:tcPr>
            <w:tcW w:w="4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10,533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50"/>
        </w:trPr>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60" w:type="dxa"/>
            <w:vAlign w:val="bottom"/>
          </w:tcPr>
          <w:p>
            <w:pPr>
              <w:ind w:left="2360"/>
              <w:spacing w:after="0"/>
              <w:rPr>
                <w:sz w:val="20"/>
                <w:szCs w:val="20"/>
                <w:color w:val="auto"/>
              </w:rPr>
            </w:pPr>
            <w:r>
              <w:rPr>
                <w:rFonts w:ascii="Arial" w:cs="Arial" w:eastAsia="Arial" w:hAnsi="Arial"/>
                <w:sz w:val="18"/>
                <w:szCs w:val="18"/>
                <w:color w:val="auto"/>
              </w:rPr>
              <w:t>12</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6" w:right="2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16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Mississippi Resources,</w:t>
            </w:r>
          </w:p>
        </w:tc>
        <w:tc>
          <w:tcPr>
            <w:tcW w:w="30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13.00%</w:t>
            </w: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(3)(7)</w:t>
            </w: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First-lien loan ($46,679 par, due</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(incl. 1.50%</w:t>
            </w: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6/2018)</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PIK)</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6/4/2014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46,081</w:t>
            </w:r>
          </w:p>
        </w:tc>
        <w:tc>
          <w:tcPr>
            <w:tcW w:w="4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36,682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59,124</w:t>
            </w:r>
          </w:p>
        </w:tc>
        <w:tc>
          <w:tcPr>
            <w:tcW w:w="2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47,215</w:t>
            </w:r>
          </w:p>
        </w:tc>
        <w:tc>
          <w:tcPr>
            <w:tcW w:w="200" w:type="dxa"/>
            <w:vAlign w:val="bottom"/>
            <w:vMerge w:val="continue"/>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Pharmaceuticals</w:t>
            </w:r>
          </w:p>
        </w:tc>
        <w:tc>
          <w:tcPr>
            <w:tcW w:w="3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3040" w:type="dxa"/>
            <w:vAlign w:val="bottom"/>
          </w:tcPr>
          <w:p>
            <w:pPr>
              <w:ind w:left="100"/>
              <w:spacing w:after="0" w:line="201" w:lineRule="exact"/>
              <w:rPr>
                <w:sz w:val="20"/>
                <w:szCs w:val="20"/>
                <w:color w:val="auto"/>
              </w:rPr>
            </w:pPr>
            <w:r>
              <w:rPr>
                <w:rFonts w:ascii="Arial" w:cs="Arial" w:eastAsia="Arial" w:hAnsi="Arial"/>
                <w:sz w:val="18"/>
                <w:szCs w:val="18"/>
                <w:color w:val="auto"/>
              </w:rPr>
              <w:t>Secured note ($74,950 par, due</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10/2020)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7.75%</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10/5/2015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74,005</w:t>
            </w:r>
          </w:p>
        </w:tc>
        <w:tc>
          <w:tcPr>
            <w:tcW w:w="4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73,076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Real estate</w:t>
            </w:r>
          </w:p>
        </w:tc>
        <w:tc>
          <w:tcPr>
            <w:tcW w:w="3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 xml:space="preserve">JL Secured Promissory Note </w:t>
            </w:r>
            <w:r>
              <w:rPr>
                <w:rFonts w:ascii="Arial" w:cs="Arial" w:eastAsia="Arial" w:hAnsi="Arial"/>
                <w:sz w:val="15"/>
                <w:szCs w:val="15"/>
                <w:color w:val="auto"/>
              </w:rPr>
              <w:t>(4)</w:t>
            </w:r>
          </w:p>
        </w:tc>
        <w:tc>
          <w:tcPr>
            <w:tcW w:w="3040" w:type="dxa"/>
            <w:vAlign w:val="bottom"/>
          </w:tcPr>
          <w:p>
            <w:pPr>
              <w:ind w:left="100"/>
              <w:spacing w:after="0"/>
              <w:rPr>
                <w:sz w:val="20"/>
                <w:szCs w:val="20"/>
                <w:color w:val="auto"/>
              </w:rPr>
            </w:pPr>
            <w:r>
              <w:rPr>
                <w:rFonts w:ascii="Arial" w:cs="Arial" w:eastAsia="Arial" w:hAnsi="Arial"/>
                <w:sz w:val="18"/>
                <w:szCs w:val="18"/>
                <w:color w:val="auto"/>
                <w:w w:val="91"/>
              </w:rPr>
              <w:t>Secured note ($10,224 par, due 9/2017)</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7.00% PIK</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9/29/2015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10,224</w:t>
            </w:r>
          </w:p>
        </w:tc>
        <w:tc>
          <w:tcPr>
            <w:tcW w:w="4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10,224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Retail and consumer products</w:t>
            </w:r>
          </w:p>
        </w:tc>
        <w:tc>
          <w:tcPr>
            <w:tcW w:w="3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w w:val="95"/>
              </w:rPr>
              <w:t xml:space="preserve">American Achievement Corporation </w:t>
            </w:r>
            <w:r>
              <w:rPr>
                <w:rFonts w:ascii="Arial" w:cs="Arial" w:eastAsia="Arial" w:hAnsi="Arial"/>
                <w:sz w:val="15"/>
                <w:szCs w:val="15"/>
                <w:color w:val="auto"/>
                <w:w w:val="95"/>
              </w:rPr>
              <w:t>(3)(5)</w:t>
            </w:r>
          </w:p>
        </w:tc>
        <w:tc>
          <w:tcPr>
            <w:tcW w:w="3040" w:type="dxa"/>
            <w:vAlign w:val="bottom"/>
          </w:tcPr>
          <w:p>
            <w:pPr>
              <w:ind w:left="100"/>
              <w:spacing w:after="0" w:line="201" w:lineRule="exact"/>
              <w:rPr>
                <w:sz w:val="20"/>
                <w:szCs w:val="20"/>
                <w:color w:val="auto"/>
              </w:rPr>
            </w:pPr>
            <w:r>
              <w:rPr>
                <w:rFonts w:ascii="Arial" w:cs="Arial" w:eastAsia="Arial" w:hAnsi="Arial"/>
                <w:sz w:val="18"/>
                <w:szCs w:val="18"/>
                <w:color w:val="auto"/>
              </w:rPr>
              <w:t>First-lien loan ($25,000 par, due</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9/2020)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9/30/2015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24,664</w:t>
            </w:r>
          </w:p>
        </w:tc>
        <w:tc>
          <w:tcPr>
            <w:tcW w:w="4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24,563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Quiksilver - Boardriders SA</w:t>
            </w:r>
          </w:p>
        </w:tc>
        <w:tc>
          <w:tcPr>
            <w:tcW w:w="3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7,801</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Bond (EUR 7,599 par, due 12/2017)</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8.88%</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5/26/2015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8,062</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0"/>
              </w:rPr>
              <w:t>(EUR</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(4)(6)</w:t>
            </w:r>
          </w:p>
        </w:tc>
        <w:tc>
          <w:tcPr>
            <w:tcW w:w="3040" w:type="dxa"/>
            <w:vAlign w:val="bottom"/>
          </w:tcPr>
          <w:p>
            <w:pPr>
              <w:ind w:left="100"/>
              <w:spacing w:after="0" w:line="201" w:lineRule="exact"/>
              <w:rPr>
                <w:sz w:val="20"/>
                <w:szCs w:val="20"/>
                <w:color w:val="auto"/>
              </w:rPr>
            </w:pPr>
            <w:r>
              <w:rPr>
                <w:rFonts w:ascii="Arial" w:cs="Arial" w:eastAsia="Arial" w:hAnsi="Arial"/>
                <w:sz w:val="18"/>
                <w:szCs w:val="18"/>
                <w:color w:val="auto"/>
              </w:rPr>
              <w:t>First-lien ABL revolving loan ($303</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par, due 4/2016)</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4/15/2015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4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Sports Authority </w:t>
            </w:r>
            <w:r>
              <w:rPr>
                <w:rFonts w:ascii="Arial" w:cs="Arial" w:eastAsia="Arial" w:hAnsi="Arial"/>
                <w:sz w:val="15"/>
                <w:szCs w:val="15"/>
                <w:color w:val="auto"/>
              </w:rPr>
              <w:t>(3)(5)</w:t>
            </w:r>
          </w:p>
        </w:tc>
        <w:tc>
          <w:tcPr>
            <w:tcW w:w="30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ABL FILO term loan ($45,000 par, due</w:t>
            </w: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6/2017)</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7.40%</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11/3/2015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44,249</w:t>
            </w:r>
          </w:p>
        </w:tc>
        <w:tc>
          <w:tcPr>
            <w:tcW w:w="4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43,762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Toys ‘R’ Us-Delaware, Inc. </w:t>
            </w:r>
            <w:r>
              <w:rPr>
                <w:rFonts w:ascii="Arial" w:cs="Arial" w:eastAsia="Arial" w:hAnsi="Arial"/>
                <w:sz w:val="15"/>
                <w:szCs w:val="15"/>
                <w:color w:val="auto"/>
              </w:rPr>
              <w:t>(3)</w:t>
            </w:r>
          </w:p>
        </w:tc>
        <w:tc>
          <w:tcPr>
            <w:tcW w:w="3040" w:type="dxa"/>
            <w:vAlign w:val="bottom"/>
          </w:tcPr>
          <w:p>
            <w:pPr>
              <w:ind w:left="100"/>
              <w:spacing w:after="0" w:line="201" w:lineRule="exact"/>
              <w:rPr>
                <w:sz w:val="20"/>
                <w:szCs w:val="20"/>
                <w:color w:val="auto"/>
              </w:rPr>
            </w:pPr>
            <w:r>
              <w:rPr>
                <w:rFonts w:ascii="Arial" w:cs="Arial" w:eastAsia="Arial" w:hAnsi="Arial"/>
                <w:sz w:val="18"/>
                <w:szCs w:val="18"/>
                <w:color w:val="auto"/>
                <w:w w:val="95"/>
              </w:rPr>
              <w:t>ABL FILO term loan ($51,000 par, due</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10/2019)</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10/9/2014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50,313</w:t>
            </w:r>
          </w:p>
        </w:tc>
        <w:tc>
          <w:tcPr>
            <w:tcW w:w="4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49,470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127,404</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125,853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gridSpan w:val="2"/>
          </w:tcPr>
          <w:p>
            <w:pPr>
              <w:ind w:left="340"/>
              <w:spacing w:after="0"/>
              <w:rPr>
                <w:sz w:val="20"/>
                <w:szCs w:val="20"/>
                <w:color w:val="auto"/>
              </w:rPr>
            </w:pPr>
            <w:r>
              <w:rPr>
                <w:rFonts w:ascii="Arial" w:cs="Arial" w:eastAsia="Arial" w:hAnsi="Arial"/>
                <w:sz w:val="18"/>
                <w:szCs w:val="18"/>
                <w:b w:val="1"/>
                <w:bCs w:val="1"/>
                <w:color w:val="auto"/>
              </w:rPr>
              <w:t>Transportation</w:t>
            </w:r>
          </w:p>
        </w:tc>
        <w:tc>
          <w:tcPr>
            <w:tcW w:w="3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Carrix, Inc. </w:t>
            </w:r>
            <w:r>
              <w:rPr>
                <w:rFonts w:ascii="Arial" w:cs="Arial" w:eastAsia="Arial" w:hAnsi="Arial"/>
                <w:sz w:val="15"/>
                <w:szCs w:val="15"/>
                <w:color w:val="auto"/>
              </w:rPr>
              <w:t>(3)</w:t>
            </w:r>
          </w:p>
        </w:tc>
        <w:tc>
          <w:tcPr>
            <w:tcW w:w="30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First-lien loan ($13,441 par, due</w:t>
            </w: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1/2019)</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3/17/2015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12,631</w:t>
            </w:r>
          </w:p>
        </w:tc>
        <w:tc>
          <w:tcPr>
            <w:tcW w:w="4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Kewill, Ltd. </w:t>
            </w:r>
            <w:r>
              <w:rPr>
                <w:rFonts w:ascii="Arial" w:cs="Arial" w:eastAsia="Arial" w:hAnsi="Arial"/>
                <w:sz w:val="15"/>
                <w:szCs w:val="15"/>
                <w:color w:val="auto"/>
              </w:rPr>
              <w:t>(3)(4)</w:t>
            </w:r>
          </w:p>
        </w:tc>
        <w:tc>
          <w:tcPr>
            <w:tcW w:w="3040" w:type="dxa"/>
            <w:vAlign w:val="bottom"/>
          </w:tcPr>
          <w:p>
            <w:pPr>
              <w:ind w:left="100"/>
              <w:spacing w:after="0" w:line="201" w:lineRule="exact"/>
              <w:rPr>
                <w:sz w:val="20"/>
                <w:szCs w:val="20"/>
                <w:color w:val="auto"/>
              </w:rPr>
            </w:pPr>
            <w:r>
              <w:rPr>
                <w:rFonts w:ascii="Arial" w:cs="Arial" w:eastAsia="Arial" w:hAnsi="Arial"/>
                <w:sz w:val="18"/>
                <w:szCs w:val="18"/>
                <w:color w:val="auto"/>
              </w:rPr>
              <w:t>Second-lien loan ($62,500 par, due</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10/2019)</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10/2/2013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61,614</w:t>
            </w:r>
          </w:p>
        </w:tc>
        <w:tc>
          <w:tcPr>
            <w:tcW w:w="4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59,531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74,245</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72,031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Debt Investments</w:t>
            </w:r>
          </w:p>
        </w:tc>
        <w:tc>
          <w:tcPr>
            <w:tcW w:w="3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1,488,879</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1,459,372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177.7%</w:t>
            </w:r>
          </w:p>
        </w:tc>
        <w:tc>
          <w:tcPr>
            <w:tcW w:w="0" w:type="dxa"/>
            <w:vAlign w:val="bottom"/>
          </w:tcPr>
          <w:p>
            <w:pPr>
              <w:spacing w:after="0"/>
              <w:rPr>
                <w:sz w:val="1"/>
                <w:szCs w:val="1"/>
                <w:color w:val="auto"/>
              </w:rPr>
            </w:pPr>
          </w:p>
        </w:tc>
      </w:tr>
      <w:tr>
        <w:trPr>
          <w:trHeight w:val="223"/>
        </w:trPr>
        <w:tc>
          <w:tcPr>
            <w:tcW w:w="3160" w:type="dxa"/>
            <w:vAlign w:val="bottom"/>
            <w:gridSpan w:val="3"/>
          </w:tcPr>
          <w:p>
            <w:pPr>
              <w:spacing w:after="0"/>
              <w:rPr>
                <w:sz w:val="20"/>
                <w:szCs w:val="20"/>
                <w:color w:val="auto"/>
              </w:rPr>
            </w:pPr>
            <w:r>
              <w:rPr>
                <w:rFonts w:ascii="Arial" w:cs="Arial" w:eastAsia="Arial" w:hAnsi="Arial"/>
                <w:sz w:val="18"/>
                <w:szCs w:val="18"/>
                <w:b w:val="1"/>
                <w:bCs w:val="1"/>
                <w:color w:val="auto"/>
              </w:rPr>
              <w:t>Equity and Other Investments</w:t>
            </w:r>
          </w:p>
        </w:tc>
        <w:tc>
          <w:tcPr>
            <w:tcW w:w="3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Business services</w:t>
            </w:r>
          </w:p>
        </w:tc>
        <w:tc>
          <w:tcPr>
            <w:tcW w:w="3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rPr>
              <w:t>Network Merchants, Inc.</w:t>
            </w:r>
          </w:p>
        </w:tc>
        <w:tc>
          <w:tcPr>
            <w:tcW w:w="3040" w:type="dxa"/>
            <w:vAlign w:val="bottom"/>
          </w:tcPr>
          <w:p>
            <w:pPr>
              <w:ind w:left="100"/>
              <w:spacing w:after="0" w:line="201" w:lineRule="exact"/>
              <w:rPr>
                <w:sz w:val="20"/>
                <w:szCs w:val="20"/>
                <w:color w:val="auto"/>
              </w:rPr>
            </w:pPr>
            <w:r>
              <w:rPr>
                <w:rFonts w:ascii="Arial" w:cs="Arial" w:eastAsia="Arial" w:hAnsi="Arial"/>
                <w:sz w:val="18"/>
                <w:szCs w:val="18"/>
                <w:color w:val="auto"/>
                <w:w w:val="99"/>
              </w:rPr>
              <w:t>Non-Voting Preferred Units (774,099</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units)</w:t>
            </w:r>
          </w:p>
        </w:tc>
        <w:tc>
          <w:tcPr>
            <w:tcW w:w="108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9/12/2013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780</w:t>
            </w:r>
          </w:p>
        </w:tc>
        <w:tc>
          <w:tcPr>
            <w:tcW w:w="4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1,119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Financial services</w:t>
            </w:r>
          </w:p>
        </w:tc>
        <w:tc>
          <w:tcPr>
            <w:tcW w:w="3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rPr>
              <w:t>AvidXchange, Inc.</w:t>
            </w:r>
          </w:p>
        </w:tc>
        <w:tc>
          <w:tcPr>
            <w:tcW w:w="3040" w:type="dxa"/>
            <w:vAlign w:val="bottom"/>
          </w:tcPr>
          <w:p>
            <w:pPr>
              <w:ind w:left="100"/>
              <w:spacing w:after="0" w:line="201" w:lineRule="exact"/>
              <w:rPr>
                <w:sz w:val="20"/>
                <w:szCs w:val="20"/>
                <w:color w:val="auto"/>
              </w:rPr>
            </w:pPr>
            <w:r>
              <w:rPr>
                <w:rFonts w:ascii="Arial" w:cs="Arial" w:eastAsia="Arial" w:hAnsi="Arial"/>
                <w:sz w:val="18"/>
                <w:szCs w:val="18"/>
                <w:color w:val="auto"/>
              </w:rPr>
              <w:t>Series E Preferred Equity (214,132</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shares)</w:t>
            </w:r>
          </w:p>
        </w:tc>
        <w:tc>
          <w:tcPr>
            <w:tcW w:w="108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8/7/2015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3,846</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3,846</w:t>
            </w:r>
          </w:p>
        </w:tc>
        <w:tc>
          <w:tcPr>
            <w:tcW w:w="2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TICC Capital Corp. </w:t>
            </w:r>
            <w:r>
              <w:rPr>
                <w:rFonts w:ascii="Arial" w:cs="Arial" w:eastAsia="Arial" w:hAnsi="Arial"/>
                <w:sz w:val="15"/>
                <w:szCs w:val="15"/>
                <w:color w:val="auto"/>
              </w:rPr>
              <w:t>(4)</w:t>
            </w: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Shares (1,633,660 shares)</w:t>
            </w: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8/5/2015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10,943</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14,789</w:t>
            </w:r>
          </w:p>
        </w:tc>
        <w:tc>
          <w:tcPr>
            <w:tcW w:w="2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13,779</w:t>
            </w:r>
          </w:p>
        </w:tc>
        <w:tc>
          <w:tcPr>
            <w:tcW w:w="200" w:type="dxa"/>
            <w:vAlign w:val="bottom"/>
            <w:vMerge w:val="continue"/>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Healthcare</w:t>
            </w:r>
          </w:p>
        </w:tc>
        <w:tc>
          <w:tcPr>
            <w:tcW w:w="3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Global Healthcare Exchange, LLC</w:t>
            </w:r>
          </w:p>
        </w:tc>
        <w:tc>
          <w:tcPr>
            <w:tcW w:w="3040" w:type="dxa"/>
            <w:vAlign w:val="bottom"/>
          </w:tcPr>
          <w:p>
            <w:pPr>
              <w:ind w:left="100"/>
              <w:spacing w:after="0"/>
              <w:rPr>
                <w:sz w:val="20"/>
                <w:szCs w:val="20"/>
                <w:color w:val="auto"/>
              </w:rPr>
            </w:pPr>
            <w:r>
              <w:rPr>
                <w:rFonts w:ascii="Arial" w:cs="Arial" w:eastAsia="Arial" w:hAnsi="Arial"/>
                <w:sz w:val="18"/>
                <w:szCs w:val="18"/>
                <w:color w:val="auto"/>
                <w:w w:val="94"/>
              </w:rPr>
              <w:t>Common Shares Class A (598 shares)</w:t>
            </w:r>
          </w:p>
        </w:tc>
        <w:tc>
          <w:tcPr>
            <w:tcW w:w="108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3/11/2014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467</w:t>
            </w:r>
          </w:p>
        </w:tc>
        <w:tc>
          <w:tcPr>
            <w:tcW w:w="4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729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Common Shares Class B (196 shares)</w:t>
            </w: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3/11/2014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(4)</w:t>
            </w:r>
          </w:p>
        </w:tc>
        <w:tc>
          <w:tcPr>
            <w:tcW w:w="3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965</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Warrants</w:t>
            </w:r>
          </w:p>
        </w:tc>
        <w:tc>
          <w:tcPr>
            <w:tcW w:w="108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9/30/2014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877</w:t>
            </w:r>
          </w:p>
        </w:tc>
        <w:tc>
          <w:tcPr>
            <w:tcW w:w="420" w:type="dxa"/>
            <w:vAlign w:val="bottom"/>
          </w:tcPr>
          <w:p>
            <w:pPr>
              <w:spacing w:after="0"/>
              <w:rPr>
                <w:sz w:val="20"/>
                <w:szCs w:val="20"/>
                <w:color w:val="auto"/>
              </w:rPr>
            </w:pPr>
            <w:r>
              <w:rPr>
                <w:rFonts w:ascii="Arial" w:cs="Arial" w:eastAsia="Arial" w:hAnsi="Arial"/>
                <w:sz w:val="18"/>
                <w:szCs w:val="18"/>
                <w:color w:val="auto"/>
                <w:w w:val="90"/>
              </w:rPr>
              <w:t>(EUR</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888)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SRS Parent Corp.</w:t>
            </w:r>
          </w:p>
        </w:tc>
        <w:tc>
          <w:tcPr>
            <w:tcW w:w="30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Common Shares Class A (1,980</w:t>
            </w: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0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12/28/2012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1,980</w:t>
            </w: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040" w:type="dxa"/>
            <w:vAlign w:val="bottom"/>
          </w:tcPr>
          <w:p>
            <w:pPr>
              <w:ind w:left="100"/>
              <w:spacing w:after="0" w:line="201" w:lineRule="exact"/>
              <w:rPr>
                <w:sz w:val="20"/>
                <w:szCs w:val="20"/>
                <w:color w:val="auto"/>
              </w:rPr>
            </w:pPr>
            <w:r>
              <w:rPr>
                <w:rFonts w:ascii="Arial" w:cs="Arial" w:eastAsia="Arial" w:hAnsi="Arial"/>
                <w:sz w:val="18"/>
                <w:szCs w:val="18"/>
                <w:color w:val="auto"/>
                <w:w w:val="99"/>
              </w:rPr>
              <w:t>Common Shares Class B (2,953,020</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shares)</w:t>
            </w:r>
          </w:p>
        </w:tc>
        <w:tc>
          <w:tcPr>
            <w:tcW w:w="108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12/28/2012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3,481</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40" w:type="dxa"/>
            <w:vAlign w:val="bottom"/>
          </w:tcPr>
          <w:p>
            <w:pPr>
              <w:ind w:left="2460"/>
              <w:spacing w:after="0"/>
              <w:rPr>
                <w:sz w:val="20"/>
                <w:szCs w:val="20"/>
                <w:color w:val="auto"/>
              </w:rPr>
            </w:pPr>
            <w:r>
              <w:rPr>
                <w:rFonts w:ascii="Arial" w:cs="Arial" w:eastAsia="Arial" w:hAnsi="Arial"/>
                <w:sz w:val="18"/>
                <w:szCs w:val="18"/>
                <w:color w:val="auto"/>
              </w:rPr>
              <w:t>13</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6" w:right="2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3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Hotel, gaming, and leisure</w:t>
            </w:r>
          </w:p>
        </w:tc>
        <w:tc>
          <w:tcPr>
            <w:tcW w:w="3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w:t>
            </w:r>
          </w:p>
        </w:tc>
        <w:tc>
          <w:tcPr>
            <w:tcW w:w="3120" w:type="dxa"/>
            <w:vAlign w:val="bottom"/>
          </w:tcPr>
          <w:p>
            <w:pPr>
              <w:ind w:left="140"/>
              <w:spacing w:after="0"/>
              <w:rPr>
                <w:sz w:val="20"/>
                <w:szCs w:val="20"/>
                <w:color w:val="auto"/>
              </w:rPr>
            </w:pPr>
            <w:r>
              <w:rPr>
                <w:rFonts w:ascii="Arial" w:cs="Arial" w:eastAsia="Arial" w:hAnsi="Arial"/>
                <w:sz w:val="18"/>
                <w:szCs w:val="18"/>
                <w:color w:val="auto"/>
              </w:rPr>
              <w:t>Class A Units (5,000,000 units)</w:t>
            </w:r>
          </w:p>
        </w:tc>
        <w:tc>
          <w:tcPr>
            <w:tcW w:w="110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9/29/2015</w:t>
            </w:r>
          </w:p>
        </w:tc>
        <w:tc>
          <w:tcPr>
            <w:tcW w:w="820" w:type="dxa"/>
            <w:vAlign w:val="bottom"/>
          </w:tcPr>
          <w:p>
            <w:pPr>
              <w:jc w:val="right"/>
              <w:spacing w:after="0"/>
              <w:rPr>
                <w:sz w:val="20"/>
                <w:szCs w:val="20"/>
                <w:color w:val="auto"/>
              </w:rPr>
            </w:pPr>
            <w:r>
              <w:rPr>
                <w:rFonts w:ascii="Arial" w:cs="Arial" w:eastAsia="Arial" w:hAnsi="Arial"/>
                <w:sz w:val="18"/>
                <w:szCs w:val="18"/>
                <w:color w:val="auto"/>
              </w:rPr>
              <w:t>3,897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Class C-1 Units (8,800,000 units)</w:t>
            </w:r>
          </w:p>
        </w:tc>
        <w:tc>
          <w:tcPr>
            <w:tcW w:w="1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9/29/2015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3,997</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vMerge w:val="continue"/>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Oil, gas and consumable fuels</w:t>
            </w:r>
          </w:p>
        </w:tc>
        <w:tc>
          <w:tcPr>
            <w:tcW w:w="3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(7)</w:t>
            </w:r>
          </w:p>
        </w:tc>
        <w:tc>
          <w:tcPr>
            <w:tcW w:w="3120" w:type="dxa"/>
            <w:vAlign w:val="bottom"/>
          </w:tcPr>
          <w:p>
            <w:pPr>
              <w:ind w:left="140"/>
              <w:spacing w:after="0"/>
              <w:rPr>
                <w:sz w:val="20"/>
                <w:szCs w:val="20"/>
                <w:color w:val="auto"/>
              </w:rPr>
            </w:pPr>
            <w:r>
              <w:rPr>
                <w:rFonts w:ascii="Arial" w:cs="Arial" w:eastAsia="Arial" w:hAnsi="Arial"/>
                <w:sz w:val="18"/>
                <w:szCs w:val="18"/>
                <w:color w:val="auto"/>
              </w:rPr>
              <w:t>Class A Member Units (933 units)</w:t>
            </w:r>
          </w:p>
        </w:tc>
        <w:tc>
          <w:tcPr>
            <w:tcW w:w="110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6/4/2014</w:t>
            </w:r>
          </w:p>
        </w:tc>
        <w:tc>
          <w:tcPr>
            <w:tcW w:w="820" w:type="dxa"/>
            <w:vAlign w:val="bottom"/>
          </w:tcPr>
          <w:p>
            <w:pPr>
              <w:jc w:val="right"/>
              <w:spacing w:after="0"/>
              <w:rPr>
                <w:sz w:val="20"/>
                <w:szCs w:val="20"/>
                <w:color w:val="auto"/>
              </w:rPr>
            </w:pPr>
            <w:r>
              <w:rPr>
                <w:rFonts w:ascii="Arial" w:cs="Arial" w:eastAsia="Arial" w:hAnsi="Arial"/>
                <w:sz w:val="18"/>
                <w:szCs w:val="18"/>
                <w:color w:val="auto"/>
              </w:rPr>
              <w:t>8,874</w:t>
            </w:r>
          </w:p>
        </w:tc>
        <w:tc>
          <w:tcPr>
            <w:tcW w:w="2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Other</w:t>
            </w:r>
          </w:p>
        </w:tc>
        <w:tc>
          <w:tcPr>
            <w:tcW w:w="3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 xml:space="preserve">Oak Hill Credit Partners </w:t>
            </w:r>
            <w:r>
              <w:rPr>
                <w:rFonts w:ascii="Arial" w:cs="Arial" w:eastAsia="Arial" w:hAnsi="Arial"/>
                <w:sz w:val="15"/>
                <w:szCs w:val="15"/>
                <w:color w:val="auto"/>
              </w:rPr>
              <w:t>(4)(6)</w:t>
            </w:r>
          </w:p>
        </w:tc>
        <w:tc>
          <w:tcPr>
            <w:tcW w:w="3120" w:type="dxa"/>
            <w:vAlign w:val="bottom"/>
          </w:tcPr>
          <w:p>
            <w:pPr>
              <w:ind w:left="140"/>
              <w:spacing w:after="0"/>
              <w:rPr>
                <w:sz w:val="20"/>
                <w:szCs w:val="20"/>
                <w:color w:val="auto"/>
              </w:rPr>
            </w:pPr>
            <w:r>
              <w:rPr>
                <w:rFonts w:ascii="Arial" w:cs="Arial" w:eastAsia="Arial" w:hAnsi="Arial"/>
                <w:sz w:val="18"/>
                <w:szCs w:val="18"/>
                <w:color w:val="auto"/>
              </w:rPr>
              <w:t>Structured Product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5.82%</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8/21/2015</w:t>
            </w:r>
          </w:p>
        </w:tc>
        <w:tc>
          <w:tcPr>
            <w:tcW w:w="820" w:type="dxa"/>
            <w:vAlign w:val="bottom"/>
          </w:tcPr>
          <w:p>
            <w:pPr>
              <w:jc w:val="right"/>
              <w:spacing w:after="0"/>
              <w:rPr>
                <w:sz w:val="20"/>
                <w:szCs w:val="20"/>
                <w:color w:val="auto"/>
              </w:rPr>
            </w:pPr>
            <w:r>
              <w:rPr>
                <w:rFonts w:ascii="Arial" w:cs="Arial" w:eastAsia="Arial" w:hAnsi="Arial"/>
                <w:sz w:val="18"/>
                <w:szCs w:val="18"/>
                <w:color w:val="auto"/>
              </w:rPr>
              <w:t>3,293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3,099</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Symphony </w:t>
            </w:r>
            <w:r>
              <w:rPr>
                <w:rFonts w:ascii="Arial" w:cs="Arial" w:eastAsia="Arial" w:hAnsi="Arial"/>
                <w:sz w:val="15"/>
                <w:szCs w:val="15"/>
                <w:color w:val="auto"/>
              </w:rPr>
              <w:t>(4)(6)</w:t>
            </w:r>
          </w:p>
        </w:tc>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Structured Product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6.07%</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11/17/2014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8,876</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8,199</w:t>
            </w:r>
          </w:p>
        </w:tc>
        <w:tc>
          <w:tcPr>
            <w:tcW w:w="2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96"/>
              </w:rPr>
              <w:t>Total Equity and Other Investments</w:t>
            </w:r>
          </w:p>
        </w:tc>
        <w:tc>
          <w:tcPr>
            <w:tcW w:w="3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40,797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26,337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3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gridSpan w:val="2"/>
            <w:vMerge w:val="continue"/>
          </w:tcPr>
          <w:p>
            <w:pPr>
              <w:spacing w:after="0"/>
              <w:rPr>
                <w:sz w:val="19"/>
                <w:szCs w:val="19"/>
                <w:color w:val="auto"/>
              </w:rPr>
            </w:pPr>
          </w:p>
        </w:tc>
        <w:tc>
          <w:tcPr>
            <w:tcW w:w="3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1,529,676</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1,485,709</w:t>
            </w:r>
          </w:p>
        </w:tc>
        <w:tc>
          <w:tcPr>
            <w:tcW w:w="2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180.8%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8"/>
          <w:szCs w:val="18"/>
          <w:color w:val="auto"/>
        </w:rPr>
      </w:pPr>
    </w:p>
    <w:p>
      <w:pPr>
        <w:ind w:left="460" w:right="440" w:hanging="452"/>
        <w:spacing w:after="0" w:line="265"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1940 Act. Under the 1940 Act, the Company may not acquire any non-qualifying asset unless, at the time such acquisition is made, qualifying assets represent at least 70% of total assets.</w:t>
      </w:r>
    </w:p>
    <w:p>
      <w:pPr>
        <w:ind w:left="460" w:right="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 to the extent a loan has been allocated to “first out” and “last out” tranches, whereby the “first out” tranche will have priority as to the “last out” tranche with respect to payments of principal, interest and any amounts due thereunder.</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9" w:lineRule="exact"/>
        <w:rPr>
          <w:rFonts w:ascii="Arial" w:cs="Arial" w:eastAsia="Arial" w:hAnsi="Arial"/>
          <w:sz w:val="18"/>
          <w:szCs w:val="18"/>
          <w:color w:val="auto"/>
        </w:rPr>
      </w:pPr>
    </w:p>
    <w:p>
      <w:pPr>
        <w:ind w:left="460" w:right="140" w:hanging="452"/>
        <w:spacing w:after="0" w:line="273"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2015 in which the issuer was an Affiliated Person of and was deemed to Control a portfolio company are as follows: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Controlled, Affiliated Investments during the year ended December 31,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Realized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Value at</w:t>
            </w: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50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800" w:type="dxa"/>
            <w:vAlign w:val="bottom"/>
            <w:gridSpan w:val="3"/>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2014</w:t>
            </w:r>
          </w:p>
        </w:tc>
        <w:tc>
          <w:tcPr>
            <w:tcW w:w="3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Additions (a)</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Gain/(Loss)</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Gain/(Losses)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2015</w:t>
            </w:r>
          </w:p>
        </w:tc>
        <w:tc>
          <w:tcPr>
            <w:tcW w:w="3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 Resources, LLC</w:t>
            </w:r>
          </w:p>
        </w:tc>
        <w:tc>
          <w:tcPr>
            <w:tcW w:w="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41,636</w:t>
            </w: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3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1"/>
              </w:rPr>
              <w:t>(459)</w:t>
            </w:r>
          </w:p>
        </w:tc>
        <w:tc>
          <w:tcPr>
            <w:tcW w:w="3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(12,328)</w:t>
            </w:r>
          </w:p>
        </w:tc>
        <w:tc>
          <w:tcPr>
            <w:tcW w:w="3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36,682</w:t>
            </w:r>
          </w:p>
        </w:tc>
        <w:tc>
          <w:tcPr>
            <w:tcW w:w="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219</w:t>
            </w:r>
          </w:p>
        </w:tc>
        <w:tc>
          <w:tcPr>
            <w:tcW w:w="3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$6,003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IRGSE Holding Corp.</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31,704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(4,888)</w:t>
            </w:r>
          </w:p>
        </w:tc>
        <w:tc>
          <w:tcPr>
            <w:tcW w:w="14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26,816</w:t>
            </w:r>
          </w:p>
        </w:tc>
        <w:tc>
          <w:tcPr>
            <w:tcW w:w="14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41,636</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39,537</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(459)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(17,216)</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63,498</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9"/>
              </w:rPr>
              <w:t>240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40" w:hanging="452"/>
        <w:spacing w:after="0" w:line="25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8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December 31, 2015, the tax cost of the Company’s investments approximates their amortized cost.</w:t>
      </w:r>
    </w:p>
    <w:p>
      <w:pPr>
        <w:spacing w:after="0" w:line="23" w:lineRule="exact"/>
        <w:rPr>
          <w:rFonts w:ascii="Arial" w:cs="Arial" w:eastAsia="Arial" w:hAnsi="Arial"/>
          <w:sz w:val="18"/>
          <w:szCs w:val="18"/>
          <w:color w:val="auto"/>
        </w:rPr>
      </w:pPr>
    </w:p>
    <w:p>
      <w:pPr>
        <w:ind w:left="460" w:right="30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Notes contain a fixed rate structure. The Company entered into an interest rate swap agreement to swap to a floating rate. Refer to Note 5 for further information related to the Company’s interest rate swaps.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6"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96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8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4"/>
              </w:rPr>
              <w:t>June 30, 2016</w:t>
            </w:r>
          </w:p>
        </w:tc>
        <w:tc>
          <w:tcPr>
            <w:tcW w:w="12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June 30, 2015</w:t>
            </w:r>
          </w:p>
        </w:tc>
      </w:tr>
      <w:tr>
        <w:trPr>
          <w:trHeight w:val="196"/>
        </w:trPr>
        <w:tc>
          <w:tcPr>
            <w:tcW w:w="8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48,694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45,806</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18,215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11,123</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Net realized gains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9"/>
                <w:szCs w:val="19"/>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67,409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58,573</w:t>
            </w:r>
          </w:p>
        </w:tc>
      </w:tr>
      <w:tr>
        <w:trPr>
          <w:trHeight w:val="223"/>
        </w:trPr>
        <w:tc>
          <w:tcPr>
            <w:tcW w:w="8200" w:type="dxa"/>
            <w:vAlign w:val="bottom"/>
          </w:tcPr>
          <w:p>
            <w:pPr>
              <w:spacing w:after="0"/>
              <w:rPr>
                <w:sz w:val="20"/>
                <w:szCs w:val="20"/>
                <w:color w:val="auto"/>
              </w:rPr>
            </w:pPr>
            <w:r>
              <w:rPr>
                <w:rFonts w:ascii="Arial" w:cs="Arial" w:eastAsia="Arial" w:hAnsi="Arial"/>
                <w:sz w:val="18"/>
                <w:szCs w:val="18"/>
                <w:b w:val="1"/>
                <w:bCs w:val="1"/>
                <w:color w:val="auto"/>
              </w:rPr>
              <w:t>Increase (Decrease) in Net Assets Resulting from Capital Share Transactions</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78,250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120" w:type="dxa"/>
            <w:vAlign w:val="bottom"/>
          </w:tcPr>
          <w:p>
            <w:pPr>
              <w:spacing w:after="0"/>
              <w:rPr>
                <w:sz w:val="18"/>
                <w:szCs w:val="18"/>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5,217</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3,415</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(1,329)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120" w:type="dxa"/>
            <w:vAlign w:val="bottom"/>
          </w:tcPr>
          <w:p>
            <w:pPr>
              <w:spacing w:after="0"/>
              <w:rPr>
                <w:sz w:val="18"/>
                <w:szCs w:val="18"/>
                <w:color w:val="auto"/>
              </w:rPr>
            </w:pPr>
          </w:p>
        </w:tc>
        <w:tc>
          <w:tcPr>
            <w:tcW w:w="1840" w:type="dxa"/>
            <w:vAlign w:val="bottom"/>
            <w:gridSpan w:val="2"/>
          </w:tcPr>
          <w:p>
            <w:pPr>
              <w:jc w:val="right"/>
              <w:ind w:right="740"/>
              <w:spacing w:after="0"/>
              <w:rPr>
                <w:sz w:val="20"/>
                <w:szCs w:val="20"/>
                <w:color w:val="auto"/>
              </w:rPr>
            </w:pPr>
            <w:r>
              <w:rPr>
                <w:rFonts w:ascii="Arial" w:cs="Arial" w:eastAsia="Arial" w:hAnsi="Arial"/>
                <w:sz w:val="18"/>
                <w:szCs w:val="18"/>
                <w:color w:val="auto"/>
              </w:rPr>
              <w:t>(46,269)</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(42,104)</w:t>
            </w:r>
          </w:p>
        </w:tc>
      </w:tr>
      <w:tr>
        <w:trPr>
          <w:trHeight w:val="27"/>
        </w:trPr>
        <w:tc>
          <w:tcPr>
            <w:tcW w:w="8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(Decrease) in Net Assets Resulting from Capital Share Transactions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35,869</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(38,689)</w:t>
            </w:r>
          </w:p>
        </w:tc>
      </w:tr>
      <w:tr>
        <w:trPr>
          <w:trHeight w:val="223"/>
        </w:trPr>
        <w:tc>
          <w:tcPr>
            <w:tcW w:w="8200" w:type="dxa"/>
            <w:vAlign w:val="bottom"/>
          </w:tcPr>
          <w:p>
            <w:pPr>
              <w:ind w:left="360"/>
              <w:spacing w:after="0"/>
              <w:rPr>
                <w:sz w:val="20"/>
                <w:szCs w:val="20"/>
                <w:color w:val="auto"/>
              </w:rPr>
            </w:pPr>
            <w:r>
              <w:rPr>
                <w:rFonts w:ascii="Arial" w:cs="Arial" w:eastAsia="Arial" w:hAnsi="Arial"/>
                <w:sz w:val="18"/>
                <w:szCs w:val="18"/>
                <w:b w:val="1"/>
                <w:bCs w:val="1"/>
                <w:color w:val="auto"/>
              </w:rPr>
              <w:t>Total Increase in Net Assets</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103,278</w:t>
            </w:r>
          </w:p>
        </w:tc>
        <w:tc>
          <w:tcPr>
            <w:tcW w:w="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19,884</w:t>
            </w:r>
          </w:p>
        </w:tc>
        <w:tc>
          <w:tcPr>
            <w:tcW w:w="100" w:type="dxa"/>
            <w:vAlign w:val="bottom"/>
          </w:tcPr>
          <w:p>
            <w:pPr>
              <w:spacing w:after="0"/>
              <w:rPr>
                <w:sz w:val="19"/>
                <w:szCs w:val="19"/>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Net assets, beginning of period</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820,741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835,405</w:t>
            </w:r>
          </w:p>
        </w:tc>
      </w:tr>
      <w:tr>
        <w:trPr>
          <w:trHeight w:val="223"/>
        </w:trPr>
        <w:tc>
          <w:tcPr>
            <w:tcW w:w="8200" w:type="dxa"/>
            <w:vAlign w:val="bottom"/>
          </w:tcPr>
          <w:p>
            <w:pPr>
              <w:ind w:left="360"/>
              <w:spacing w:after="0"/>
              <w:rPr>
                <w:sz w:val="20"/>
                <w:szCs w:val="20"/>
                <w:color w:val="auto"/>
              </w:rPr>
            </w:pPr>
            <w:r>
              <w:rPr>
                <w:rFonts w:ascii="Arial" w:cs="Arial" w:eastAsia="Arial" w:hAnsi="Arial"/>
                <w:sz w:val="18"/>
                <w:szCs w:val="18"/>
                <w:b w:val="1"/>
                <w:bCs w:val="1"/>
                <w:color w:val="auto"/>
              </w:rPr>
              <w:t>Net Assets, End of Period</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924,019</w:t>
            </w:r>
          </w:p>
        </w:tc>
        <w:tc>
          <w:tcPr>
            <w:tcW w:w="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855,289</w:t>
            </w:r>
          </w:p>
        </w:tc>
        <w:tc>
          <w:tcPr>
            <w:tcW w:w="10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Undistributed Net Investment Income Included in Net Assets at the End of the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29,044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8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94"/>
              </w:rPr>
              <w:t>June 30, 2016</w:t>
            </w:r>
          </w:p>
        </w:tc>
        <w:tc>
          <w:tcPr>
            <w:tcW w:w="12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June 30, 2015</w:t>
            </w:r>
          </w:p>
        </w:tc>
      </w:tr>
      <w:tr>
        <w:trPr>
          <w:trHeight w:val="196"/>
        </w:trPr>
        <w:tc>
          <w:tcPr>
            <w:tcW w:w="8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67,409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58,573</w:t>
            </w: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Adjustments to reconcile increase in net assets resulting from operations to net cash used in operating</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140" w:type="dxa"/>
            <w:vAlign w:val="bottom"/>
          </w:tcPr>
          <w:p>
            <w:pPr>
              <w:ind w:left="720"/>
              <w:spacing w:after="0"/>
              <w:rPr>
                <w:sz w:val="20"/>
                <w:szCs w:val="20"/>
                <w:color w:val="auto"/>
              </w:rPr>
            </w:pPr>
            <w:r>
              <w:rPr>
                <w:rFonts w:ascii="Arial" w:cs="Arial" w:eastAsia="Arial" w:hAnsi="Arial"/>
                <w:sz w:val="18"/>
                <w:szCs w:val="18"/>
                <w:color w:val="auto"/>
              </w:rPr>
              <w:t>Net change in unrealized gains on investments</w:t>
            </w:r>
          </w:p>
        </w:tc>
        <w:tc>
          <w:tcPr>
            <w:tcW w:w="120" w:type="dxa"/>
            <w:vAlign w:val="bottom"/>
          </w:tcPr>
          <w:p>
            <w:pPr>
              <w:spacing w:after="0"/>
              <w:rPr>
                <w:sz w:val="18"/>
                <w:szCs w:val="18"/>
                <w:color w:val="auto"/>
              </w:rPr>
            </w:pP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(14,846)</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(9,022)</w:t>
            </w: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change in unrealized gains on foreign currency transactions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(1,803)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(3,309)</w:t>
            </w:r>
          </w:p>
        </w:tc>
      </w:tr>
      <w:tr>
        <w:trPr>
          <w:trHeight w:val="216"/>
        </w:trPr>
        <w:tc>
          <w:tcPr>
            <w:tcW w:w="8140" w:type="dxa"/>
            <w:vAlign w:val="bottom"/>
          </w:tcPr>
          <w:p>
            <w:pPr>
              <w:ind w:left="720"/>
              <w:spacing w:after="0"/>
              <w:rPr>
                <w:sz w:val="20"/>
                <w:szCs w:val="20"/>
                <w:color w:val="auto"/>
              </w:rPr>
            </w:pPr>
            <w:r>
              <w:rPr>
                <w:rFonts w:ascii="Arial" w:cs="Arial" w:eastAsia="Arial" w:hAnsi="Arial"/>
                <w:sz w:val="18"/>
                <w:szCs w:val="18"/>
                <w:color w:val="auto"/>
              </w:rPr>
              <w:t>Net change in unrealized (gains) losses on interest rate swaps</w:t>
            </w:r>
          </w:p>
        </w:tc>
        <w:tc>
          <w:tcPr>
            <w:tcW w:w="120" w:type="dxa"/>
            <w:vAlign w:val="bottom"/>
          </w:tcPr>
          <w:p>
            <w:pPr>
              <w:spacing w:after="0"/>
              <w:rPr>
                <w:sz w:val="18"/>
                <w:szCs w:val="18"/>
                <w:color w:val="auto"/>
              </w:rPr>
            </w:pP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1,208</w:t>
            </w: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realized (gains) losses on investments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8140" w:type="dxa"/>
            <w:vAlign w:val="bottom"/>
          </w:tcPr>
          <w:p>
            <w:pPr>
              <w:ind w:left="720"/>
              <w:spacing w:after="0"/>
              <w:rPr>
                <w:sz w:val="20"/>
                <w:szCs w:val="20"/>
                <w:color w:val="auto"/>
              </w:rPr>
            </w:pPr>
            <w:r>
              <w:rPr>
                <w:rFonts w:ascii="Arial" w:cs="Arial" w:eastAsia="Arial" w:hAnsi="Arial"/>
                <w:sz w:val="18"/>
                <w:szCs w:val="18"/>
                <w:color w:val="auto"/>
              </w:rPr>
              <w:t>Net realized gains on foreign currency transactions</w:t>
            </w:r>
          </w:p>
        </w:tc>
        <w:tc>
          <w:tcPr>
            <w:tcW w:w="120" w:type="dxa"/>
            <w:vAlign w:val="bottom"/>
          </w:tcPr>
          <w:p>
            <w:pPr>
              <w:spacing w:after="0"/>
              <w:rPr>
                <w:sz w:val="18"/>
                <w:szCs w:val="18"/>
                <w:color w:val="auto"/>
              </w:rPr>
            </w:pP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realized gains on interest rate swaps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(1,852)</w:t>
            </w:r>
          </w:p>
        </w:tc>
      </w:tr>
      <w:tr>
        <w:trPr>
          <w:trHeight w:val="216"/>
        </w:trPr>
        <w:tc>
          <w:tcPr>
            <w:tcW w:w="8140" w:type="dxa"/>
            <w:vAlign w:val="bottom"/>
          </w:tcPr>
          <w:p>
            <w:pPr>
              <w:ind w:left="720"/>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tcPr>
          <w:p>
            <w:pPr>
              <w:spacing w:after="0"/>
              <w:rPr>
                <w:sz w:val="18"/>
                <w:szCs w:val="18"/>
                <w:color w:val="auto"/>
              </w:rPr>
            </w:pP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(7,223)</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(3,832)</w:t>
            </w: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r>
      <w:tr>
        <w:trPr>
          <w:trHeight w:val="216"/>
        </w:trPr>
        <w:tc>
          <w:tcPr>
            <w:tcW w:w="8140" w:type="dxa"/>
            <w:vAlign w:val="bottom"/>
          </w:tcPr>
          <w:p>
            <w:pPr>
              <w:ind w:left="720"/>
              <w:spacing w:after="0"/>
              <w:rPr>
                <w:sz w:val="20"/>
                <w:szCs w:val="20"/>
                <w:color w:val="auto"/>
              </w:rPr>
            </w:pPr>
            <w:r>
              <w:rPr>
                <w:rFonts w:ascii="Arial" w:cs="Arial" w:eastAsia="Arial" w:hAnsi="Arial"/>
                <w:sz w:val="18"/>
                <w:szCs w:val="18"/>
                <w:color w:val="auto"/>
              </w:rPr>
              <w:t>Accretion of discount on Convertible Senior Notes</w:t>
            </w:r>
          </w:p>
        </w:tc>
        <w:tc>
          <w:tcPr>
            <w:tcW w:w="12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investments, net</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(328,203)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(227,289)</w:t>
            </w:r>
          </w:p>
        </w:tc>
      </w:tr>
      <w:tr>
        <w:trPr>
          <w:trHeight w:val="216"/>
        </w:trPr>
        <w:tc>
          <w:tcPr>
            <w:tcW w:w="8140" w:type="dxa"/>
            <w:vAlign w:val="bottom"/>
          </w:tcPr>
          <w:p>
            <w:pPr>
              <w:ind w:left="720"/>
              <w:spacing w:after="0"/>
              <w:rPr>
                <w:sz w:val="20"/>
                <w:szCs w:val="20"/>
                <w:color w:val="auto"/>
              </w:rPr>
            </w:pPr>
            <w:r>
              <w:rPr>
                <w:rFonts w:ascii="Arial" w:cs="Arial" w:eastAsia="Arial" w:hAnsi="Arial"/>
                <w:sz w:val="18"/>
                <w:szCs w:val="18"/>
                <w:color w:val="auto"/>
              </w:rPr>
              <w:t>Proceeds from investments, net</w:t>
            </w:r>
          </w:p>
        </w:tc>
        <w:tc>
          <w:tcPr>
            <w:tcW w:w="12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6,138</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14,325</w:t>
            </w: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Repayments on investments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223,629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93,192</w:t>
            </w:r>
          </w:p>
        </w:tc>
      </w:tr>
      <w:tr>
        <w:trPr>
          <w:trHeight w:val="216"/>
        </w:trPr>
        <w:tc>
          <w:tcPr>
            <w:tcW w:w="8140" w:type="dxa"/>
            <w:vAlign w:val="bottom"/>
          </w:tcPr>
          <w:p>
            <w:pPr>
              <w:ind w:left="720"/>
              <w:spacing w:after="0"/>
              <w:rPr>
                <w:sz w:val="20"/>
                <w:szCs w:val="20"/>
                <w:color w:val="auto"/>
              </w:rPr>
            </w:pPr>
            <w:r>
              <w:rPr>
                <w:rFonts w:ascii="Arial" w:cs="Arial" w:eastAsia="Arial" w:hAnsi="Arial"/>
                <w:sz w:val="18"/>
                <w:szCs w:val="18"/>
                <w:color w:val="auto"/>
              </w:rPr>
              <w:t>Paid-in-kind interest</w:t>
            </w:r>
          </w:p>
        </w:tc>
        <w:tc>
          <w:tcPr>
            <w:tcW w:w="120" w:type="dxa"/>
            <w:vAlign w:val="bottom"/>
          </w:tcPr>
          <w:p>
            <w:pPr>
              <w:spacing w:after="0"/>
              <w:rPr>
                <w:sz w:val="18"/>
                <w:szCs w:val="18"/>
                <w:color w:val="auto"/>
              </w:rPr>
            </w:pP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(4,547)</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(1,669)</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ind w:left="720"/>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(1,156)</w:t>
            </w: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receivable paid-in-kind</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814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4,318</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(20,370)</w:t>
            </w: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Management fees payable to affiliate</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r>
      <w:tr>
        <w:trPr>
          <w:trHeight w:val="216"/>
        </w:trPr>
        <w:tc>
          <w:tcPr>
            <w:tcW w:w="8140" w:type="dxa"/>
            <w:vAlign w:val="bottom"/>
          </w:tcPr>
          <w:p>
            <w:pPr>
              <w:ind w:left="720"/>
              <w:spacing w:after="0"/>
              <w:rPr>
                <w:sz w:val="20"/>
                <w:szCs w:val="20"/>
                <w:color w:val="auto"/>
              </w:rPr>
            </w:pPr>
            <w:r>
              <w:rPr>
                <w:rFonts w:ascii="Arial" w:cs="Arial" w:eastAsia="Arial" w:hAnsi="Arial"/>
                <w:sz w:val="18"/>
                <w:szCs w:val="18"/>
                <w:color w:val="auto"/>
              </w:rPr>
              <w:t>Incentive fees payable to affiliate</w:t>
            </w:r>
          </w:p>
        </w:tc>
        <w:tc>
          <w:tcPr>
            <w:tcW w:w="12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1,668</w:t>
            </w: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Payable to affiliate</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(1,518)</w:t>
            </w:r>
          </w:p>
        </w:tc>
      </w:tr>
      <w:tr>
        <w:trPr>
          <w:trHeight w:val="216"/>
        </w:trPr>
        <w:tc>
          <w:tcPr>
            <w:tcW w:w="814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(5,236)</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(26,537)</w:t>
            </w:r>
          </w:p>
        </w:tc>
      </w:tr>
      <w:tr>
        <w:trPr>
          <w:trHeight w:val="27"/>
        </w:trPr>
        <w:tc>
          <w:tcPr>
            <w:tcW w:w="8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(58,674)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(125,396)</w:t>
            </w:r>
          </w:p>
        </w:tc>
      </w:tr>
      <w:tr>
        <w:trPr>
          <w:trHeight w:val="223"/>
        </w:trPr>
        <w:tc>
          <w:tcPr>
            <w:tcW w:w="81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Borrowings on debt</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281,363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359,414</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Payments on debt</w:t>
            </w:r>
          </w:p>
        </w:tc>
        <w:tc>
          <w:tcPr>
            <w:tcW w:w="120" w:type="dxa"/>
            <w:vAlign w:val="bottom"/>
          </w:tcPr>
          <w:p>
            <w:pPr>
              <w:spacing w:after="0"/>
              <w:rPr>
                <w:sz w:val="18"/>
                <w:szCs w:val="18"/>
                <w:color w:val="auto"/>
              </w:rPr>
            </w:pP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(259,095)</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(194,952)</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Proceeds from issuance of common stock, net of offering and underwriting costs</w:t>
            </w:r>
          </w:p>
        </w:tc>
        <w:tc>
          <w:tcPr>
            <w:tcW w:w="12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78,250</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(1,329)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120" w:type="dxa"/>
            <w:vAlign w:val="bottom"/>
          </w:tcPr>
          <w:p>
            <w:pPr>
              <w:spacing w:after="0"/>
              <w:rPr>
                <w:sz w:val="18"/>
                <w:szCs w:val="18"/>
                <w:color w:val="auto"/>
              </w:rPr>
            </w:pP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(39,005)</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(38,610)</w:t>
            </w:r>
          </w:p>
        </w:tc>
      </w:tr>
      <w:tr>
        <w:trPr>
          <w:trHeight w:val="27"/>
        </w:trPr>
        <w:tc>
          <w:tcPr>
            <w:tcW w:w="8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60,184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125,743</w:t>
            </w:r>
          </w:p>
        </w:tc>
      </w:tr>
      <w:tr>
        <w:trPr>
          <w:trHeight w:val="223"/>
        </w:trPr>
        <w:tc>
          <w:tcPr>
            <w:tcW w:w="8140" w:type="dxa"/>
            <w:vAlign w:val="bottom"/>
          </w:tcPr>
          <w:p>
            <w:pPr>
              <w:ind w:left="720"/>
              <w:spacing w:after="0"/>
              <w:rPr>
                <w:sz w:val="20"/>
                <w:szCs w:val="20"/>
                <w:color w:val="auto"/>
              </w:rPr>
            </w:pPr>
            <w:r>
              <w:rPr>
                <w:rFonts w:ascii="Arial" w:cs="Arial" w:eastAsia="Arial" w:hAnsi="Arial"/>
                <w:sz w:val="18"/>
                <w:szCs w:val="18"/>
                <w:b w:val="1"/>
                <w:bCs w:val="1"/>
                <w:color w:val="auto"/>
              </w:rPr>
              <w:t>Net Increase in Cash and Cash Equivalents</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2,431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2,413</w:t>
            </w:r>
          </w:p>
        </w:tc>
      </w:tr>
      <w:tr>
        <w:trPr>
          <w:trHeight w:val="223"/>
        </w:trPr>
        <w:tc>
          <w:tcPr>
            <w:tcW w:w="8140" w:type="dxa"/>
            <w:vAlign w:val="bottom"/>
          </w:tcPr>
          <w:p>
            <w:pPr>
              <w:ind w:left="720"/>
              <w:spacing w:after="0"/>
              <w:rPr>
                <w:sz w:val="20"/>
                <w:szCs w:val="20"/>
                <w:color w:val="auto"/>
              </w:rPr>
            </w:pPr>
            <w:r>
              <w:rPr>
                <w:rFonts w:ascii="Arial" w:cs="Arial" w:eastAsia="Arial" w:hAnsi="Arial"/>
                <w:sz w:val="18"/>
                <w:szCs w:val="18"/>
                <w:b w:val="1"/>
                <w:bCs w:val="1"/>
                <w:color w:val="auto"/>
              </w:rPr>
              <w:t>Cash and Cash Equivalents, End of Period</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3,941</w:t>
            </w:r>
          </w:p>
        </w:tc>
        <w:tc>
          <w:tcPr>
            <w:tcW w:w="8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ind w:left="720"/>
              <w:spacing w:after="0"/>
              <w:rPr>
                <w:sz w:val="20"/>
                <w:szCs w:val="20"/>
                <w:color w:val="auto"/>
              </w:rPr>
            </w:pPr>
            <w:r>
              <w:rPr>
                <w:rFonts w:ascii="Arial" w:cs="Arial" w:eastAsia="Arial" w:hAnsi="Arial"/>
                <w:sz w:val="18"/>
                <w:szCs w:val="18"/>
                <w:color w:val="auto"/>
              </w:rPr>
              <w:t>Interest paid during the period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8,211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4,600</w:t>
            </w: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Excise taxes paid during the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r>
      <w:tr>
        <w:trPr>
          <w:trHeight w:val="216"/>
        </w:trPr>
        <w:tc>
          <w:tcPr>
            <w:tcW w:w="8140" w:type="dxa"/>
            <w:vAlign w:val="bottom"/>
          </w:tcPr>
          <w:p>
            <w:pPr>
              <w:ind w:left="720"/>
              <w:spacing w:after="0"/>
              <w:rPr>
                <w:sz w:val="20"/>
                <w:szCs w:val="20"/>
                <w:color w:val="auto"/>
              </w:rPr>
            </w:pPr>
            <w:r>
              <w:rPr>
                <w:rFonts w:ascii="Arial" w:cs="Arial" w:eastAsia="Arial" w:hAnsi="Arial"/>
                <w:sz w:val="18"/>
                <w:szCs w:val="18"/>
                <w:color w:val="auto"/>
              </w:rPr>
              <w:t>Dividends declared during the period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46,269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42,104</w:t>
            </w: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Reinvestment of dividends during the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5,217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2015, which was filed with the Securities and Exchange Commission (“SEC”), on February 24, 2016.</w:t>
      </w:r>
    </w:p>
    <w:p>
      <w:pPr>
        <w:spacing w:after="0" w:line="154"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ind w:left="900" w:right="520" w:hanging="446"/>
        <w:spacing w:after="0" w:line="286"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June 30, 2016,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5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The Company applies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83"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right="32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66"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and interest rate swaps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 Company has the legal right to offset the recognized amounts, and it intends to either settle on a net basis or realize the asset and settle the liability simultaneously.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31" w:lineRule="exact"/>
        <w:rPr>
          <w:sz w:val="20"/>
          <w:szCs w:val="20"/>
          <w:color w:val="auto"/>
        </w:rPr>
      </w:pPr>
    </w:p>
    <w:p>
      <w:pPr>
        <w:ind w:left="900" w:right="40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Company’s current approach to hedging the foreign currency exposure in its non-U.S. dollar denominated investments is primarily to borrow the par amount in local currency under the Company’s Revolving Credit Facility to fund these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The Company records expenses related to registration statement filings and applicable offering costs as deferred financing costs. To the extent such expenses relate to equity offerings, a portion of these expenses are charged as a reduction of capital upon each such offering.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Company records origination and other expenses related to its debt obligations as deferred financing costs. These expenses are deferred and amortized using the effective yield method, or straight-line method for revolving credit facilities, over the stated maturity life of the obligation.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generally include syndication, structuring or diligence fees, and fees for providing managerial assistance to our portfolio companies and are recognized as revenue when earned.</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8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2016</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In April 2015, the Financial Accounting Standards Board issued Accounting Standards Update No. 2015-03 (“ASU 2015-03”), </w:t>
      </w:r>
      <w:r>
        <w:rPr>
          <w:rFonts w:ascii="Arial" w:cs="Arial" w:eastAsia="Arial" w:hAnsi="Arial"/>
          <w:sz w:val="17"/>
          <w:szCs w:val="17"/>
          <w:i w:val="1"/>
          <w:iCs w:val="1"/>
          <w:color w:val="auto"/>
        </w:rPr>
        <w:t>“Interest – Imputation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Interest (Subtopic 835-30): Simplifying the Presentation of Debt Issuance Costs.” </w:t>
      </w:r>
      <w:r>
        <w:rPr>
          <w:rFonts w:ascii="Arial" w:cs="Arial" w:eastAsia="Arial" w:hAnsi="Arial"/>
          <w:sz w:val="17"/>
          <w:szCs w:val="17"/>
          <w:color w:val="auto"/>
        </w:rPr>
        <w:t>ASU 2015-03 requires that debt issuance costs be presented as a direct</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 from the carrying amount of the related debt liability, consistent with the presentation of debt discounts. Prior to the issuance of ASU 2015-03, debt issuance costs were required to be presented as deferred assets, separate from the related debt liability. ASU 2015-03 does not change the recognition and measurement requirements for debt issuance costs. ASU 2015-03 is effective for financial statements issued for fiscal years beginning after December 15, 2015, and interim periods within those fiscal years, with early adoption permitted. The Company adopted this guidance during the quarter ended March 31, 2016 and adjusted prior period balance sheets to reflect the change. The adoption of this guidance did not have an impact on the Company’s results of operations or cash flows. See Note 7, “Debt” for additional disclosures required under this guidance.</w:t>
      </w:r>
    </w:p>
    <w:p>
      <w:pPr>
        <w:spacing w:after="0" w:line="17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August 2014, the Financial Accounting Standards Board issued Accounting Standards Update 2014–15 (“ASU 2014-15”), “</w:t>
      </w:r>
      <w:r>
        <w:rPr>
          <w:rFonts w:ascii="Arial" w:cs="Arial" w:eastAsia="Arial" w:hAnsi="Arial"/>
          <w:sz w:val="18"/>
          <w:szCs w:val="18"/>
          <w:i w:val="1"/>
          <w:iCs w:val="1"/>
          <w:color w:val="auto"/>
        </w:rPr>
        <w:t>Presentation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 Going Concern (Subtopic 205 – 40): Disclosure of Uncertainties About an Entity’s Ability to Continue as a Going Concern</w:t>
      </w:r>
      <w:r>
        <w:rPr>
          <w:rFonts w:ascii="Arial" w:cs="Arial" w:eastAsia="Arial" w:hAnsi="Arial"/>
          <w:sz w:val="18"/>
          <w:szCs w:val="18"/>
          <w:color w:val="auto"/>
        </w:rPr>
        <w:t>.” ASU</w:t>
      </w:r>
      <w:r>
        <w:rPr>
          <w:rFonts w:ascii="Arial" w:cs="Arial" w:eastAsia="Arial" w:hAnsi="Arial"/>
          <w:sz w:val="18"/>
          <w:szCs w:val="18"/>
          <w:i w:val="1"/>
          <w:iCs w:val="1"/>
          <w:color w:val="auto"/>
        </w:rPr>
        <w:t xml:space="preserve"> </w:t>
      </w:r>
      <w:r>
        <w:rPr>
          <w:rFonts w:ascii="Arial" w:cs="Arial" w:eastAsia="Arial" w:hAnsi="Arial"/>
          <w:sz w:val="18"/>
          <w:szCs w:val="18"/>
          <w:color w:val="auto"/>
        </w:rPr>
        <w:t>2014-15 requires management to evaluate whether there are conditions or events that raise substantial doubt about the entity’s ability to continue as a going concern, and to provide certain disclosures when it is probable that the entity will be unable to meet its obligations as they become due within one year after the date that the financial statements are issued. Since this guidance is primarily around certain disclosures to the financial statements, the Company anticipates no impact on our financial position, results of operations or cash flows from adopting this standard. ASU 2014-15 is effective for the annual period ending after December 31, 2016 and for annual periods and interim periods thereafter, with early adoption permitted. The Company adopted this guidance during the quarter ended June 30, 2016. The adoption of this guidance did not have an impact on the Company’s financial position, results of operations or cash flows.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In May 2014, the Financial Accounting Standards Board issued Accounting Standards Update 2014-09 (“ASU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(Topic 606).” </w:t>
      </w:r>
      <w:r>
        <w:rPr>
          <w:rFonts w:ascii="Arial" w:cs="Arial" w:eastAsia="Arial" w:hAnsi="Arial"/>
          <w:sz w:val="18"/>
          <w:szCs w:val="18"/>
          <w:color w:val="auto"/>
        </w:rPr>
        <w:t>The guidance in this ASU supersedes the revenue recognition requirements in</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Topic 605, Revenue Recognition. Under the new 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public companies for interim and annual periods beginning after December 15, 2017, with early adoption permitted for interim and annual periods beginning after December 15, 2016. The Company is currently evaluating the impact of adopting this ASU on its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expenses incurred by any such affiliates or third parties for work done on its behalf.</w:t>
      </w:r>
    </w:p>
    <w:p>
      <w:pPr>
        <w:spacing w:after="0" w:line="178"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For the three and six months ended June 30, 2016, the Company incurred expenses of $0.8 million and $1.7 million, respectively, for administrative services payable to the Adviser under the terms of the Administration Agreement. For the three and six months ended June 30, 2015, the Company incurred expenses of $1.0 million and $1.9 million, respectively, for administrative services payable to the Adviser under the terms of the Administration Agreement.</w:t>
      </w:r>
    </w:p>
    <w:p>
      <w:pPr>
        <w:spacing w:after="0" w:line="14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November 3, 2015, the Board renewed the Administration Agreement. Unless earlier terminated as described below, the Administration Agreement will remain in effect until November 2016,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For the three and six months ended June 30, 2016, Management Fees were $6.0 million and $11.7 million, respectively. For the three and six months ended June 30, 2015, Management Fees were $5.3 million and $10.2 million, respectively.</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Adviser has voluntarily waived the Management Fee on the Company’s ownership of shares of common stock in TICC Capital Corp. (the “TICC Shares”) for any period in which TICC Capital Corp. remains a portfolio company of the Company.</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For the three and six months ended June 30, 2016, Management Fees of $16.1 and $30.7 were waived, respectively, consisting solely of Management Fees attributable to the Company’s ownership of the TICC Shares. For the three and six months ended June 30, 2015, which was prior to the Company’s ownership of TICC shares, no Management Fees were waived.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w:t>
      </w:r>
    </w:p>
    <w:p>
      <w:pPr>
        <w:spacing w:after="0" w:line="46" w:lineRule="exact"/>
        <w:rPr>
          <w:rFonts w:ascii="Arial" w:cs="Arial" w:eastAsia="Arial" w:hAnsi="Arial"/>
          <w:sz w:val="16"/>
          <w:szCs w:val="16"/>
          <w:color w:val="auto"/>
        </w:rPr>
      </w:pPr>
    </w:p>
    <w:p>
      <w:pPr>
        <w:ind w:left="900" w:right="40"/>
        <w:spacing w:after="0" w:line="290" w:lineRule="auto"/>
        <w:rPr>
          <w:rFonts w:ascii="Arial" w:cs="Arial" w:eastAsia="Arial" w:hAnsi="Arial"/>
          <w:sz w:val="16"/>
          <w:szCs w:val="16"/>
          <w:color w:val="auto"/>
        </w:rPr>
      </w:pPr>
      <w:r>
        <w:rPr>
          <w:rFonts w:ascii="Arial" w:cs="Arial" w:eastAsia="Arial" w:hAnsi="Arial"/>
          <w:sz w:val="16"/>
          <w:szCs w:val="16"/>
          <w:color w:val="auto"/>
        </w:rPr>
        <w:t>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5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right="20" w:hanging="446"/>
        <w:spacing w:after="0" w:line="289"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For the three and six months ended June 30, 2016, Incentive Fees were $5.4 million and $10.3 million, respectively, of which $5.4 million and $10.3 million, respectively, were realized and payable to the Adviser. For the three and six months ended June 30, 2015, Incentive Fees were $7.1 million and $12.1 million, respectively, of which $5.6 million and $10.1 million, respectively, were realized and payable to the Adviser.</w:t>
      </w:r>
    </w:p>
    <w:p>
      <w:pPr>
        <w:spacing w:after="0" w:line="16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the Company as a result of the Company’s ownership of the TICC Shares for any period in which TICC Capital Corp. remains a portfolio company of the Company. The Adviser has not waived any part of the Capital Gains Fee attributable to the Company’s ownership of the TICC Shares and, accordingly, any realized capital gains or losses and unrealized capital depreciation with respect to the TICC Shares will be applied towards the Company’s cumulative realized capital gains on which the Capital Gains Fee is calculated.</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For the three and six months ended June 30, 2016, Incentive Fees of $82.9 and $165.8 were waived, respectively, consisting solely of Incentive Fees attributable to the Company’s ownership of the TICC Shares. For the three and six months ended June 30, 2015, which was prior to the Company’s ownership of TICC shares, no Incentive Fees were waived. Any waived Incentive Fees are not subject to recoupment by the Adviser.</w:t>
      </w:r>
    </w:p>
    <w:p>
      <w:pPr>
        <w:spacing w:after="0" w:line="16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Since the Company’s IPO, with the exception of its waiver of Management Fees and certain Incentive Fees attributable to the Company’s ownership of the TICC Shares, the Adviser has not waived its right to receive any Management Fees or Incentive Fees payable pursuant to the Investment Advisory Agreement. There can be no assurance that the Adviser will continue to waive Management Fees or Incentive Fees related to the Company’s ownership of the TICC Shares, as the Adviser can discontinue the voluntary waiver at any time. Accordingly, the Company may be required to pay the full amount of the Management Fee and Incentive Fee, including with respect to the TICC Shares, in future periods.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November 3, 2015, the Board renewed the Investment Advisory Agreement. Unless earlier terminated as described below, the Investment Advisory Agreement will remain in effect until November 2016,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June 30, 2016 and December 31, 2015:</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June 30, 2016</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0" w:type="dxa"/>
            <w:vAlign w:val="bottom"/>
          </w:tcPr>
          <w:p>
            <w:pPr>
              <w:spacing w:after="0"/>
              <w:rPr>
                <w:sz w:val="10"/>
                <w:szCs w:val="10"/>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Amortized Cost </w:t>
            </w:r>
            <w:r>
              <w:rPr>
                <w:rFonts w:ascii="Arial" w:cs="Arial" w:eastAsia="Arial" w:hAnsi="Arial"/>
                <w:sz w:val="12"/>
                <w:szCs w:val="12"/>
                <w:b w:val="1"/>
                <w:bCs w:val="1"/>
                <w:color w:val="auto"/>
              </w:rPr>
              <w:t>(1)</w:t>
            </w:r>
          </w:p>
        </w:tc>
        <w:tc>
          <w:tcPr>
            <w:tcW w:w="440" w:type="dxa"/>
            <w:vAlign w:val="bottom"/>
          </w:tcPr>
          <w:p>
            <w:pPr>
              <w:spacing w:after="0"/>
              <w:rPr>
                <w:sz w:val="10"/>
                <w:szCs w:val="10"/>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1,503,451</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$1,497,227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66,146</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60,339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(5,807)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29,713</w:t>
            </w: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30,182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40,849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23,291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(17,558)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1,640,159</w:t>
            </w:r>
          </w:p>
        </w:tc>
        <w:tc>
          <w:tcPr>
            <w:tcW w:w="1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1,611,039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(29,120)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December 31, 2015</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400" w:type="dxa"/>
            <w:vAlign w:val="bottom"/>
          </w:tcPr>
          <w:p>
            <w:pPr>
              <w:spacing w:after="0"/>
              <w:rPr>
                <w:sz w:val="10"/>
                <w:szCs w:val="10"/>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Amortized Cost </w:t>
            </w:r>
            <w:r>
              <w:rPr>
                <w:rFonts w:ascii="Arial" w:cs="Arial" w:eastAsia="Arial" w:hAnsi="Arial"/>
                <w:sz w:val="12"/>
                <w:szCs w:val="12"/>
                <w:b w:val="1"/>
                <w:bCs w:val="1"/>
                <w:color w:val="auto"/>
              </w:rPr>
              <w:t>(1)</w:t>
            </w:r>
          </w:p>
        </w:tc>
        <w:tc>
          <w:tcPr>
            <w:tcW w:w="440" w:type="dxa"/>
            <w:vAlign w:val="bottom"/>
          </w:tcPr>
          <w:p>
            <w:pPr>
              <w:spacing w:after="0"/>
              <w:rPr>
                <w:sz w:val="10"/>
                <w:szCs w:val="10"/>
                <w:color w:val="auto"/>
              </w:rPr>
            </w:pPr>
          </w:p>
        </w:tc>
        <w:tc>
          <w:tcPr>
            <w:tcW w:w="11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1,333,080</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$1,310,183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126,049</w:t>
            </w:r>
          </w:p>
        </w:tc>
        <w:tc>
          <w:tcPr>
            <w:tcW w:w="140" w:type="dxa"/>
            <w:vAlign w:val="bottom"/>
          </w:tcPr>
          <w:p>
            <w:pPr>
              <w:spacing w:after="0"/>
              <w:rPr>
                <w:sz w:val="18"/>
                <w:szCs w:val="18"/>
                <w:color w:val="auto"/>
              </w:rPr>
            </w:pP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121,222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29,751</w:t>
            </w: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27,966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40,796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26,338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(14,458)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1,529,676</w:t>
            </w:r>
          </w:p>
        </w:tc>
        <w:tc>
          <w:tcPr>
            <w:tcW w:w="1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1,485,709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(43,967)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0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June 30, 2016 and December 31, 2015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b w:val="1"/>
                <w:bCs w:val="1"/>
                <w:color w:val="auto"/>
              </w:rPr>
              <w:t>June 30, 2016</w:t>
            </w:r>
          </w:p>
        </w:tc>
        <w:tc>
          <w:tcPr>
            <w:tcW w:w="600" w:type="dxa"/>
            <w:vAlign w:val="bottom"/>
          </w:tcPr>
          <w:p>
            <w:pPr>
              <w:spacing w:after="0"/>
              <w:rPr>
                <w:sz w:val="14"/>
                <w:szCs w:val="14"/>
                <w:color w:val="auto"/>
              </w:rPr>
            </w:pPr>
          </w:p>
        </w:tc>
        <w:tc>
          <w:tcPr>
            <w:tcW w:w="1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0"/>
        </w:trPr>
        <w:tc>
          <w:tcPr>
            <w:tcW w:w="5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Automotive</w:t>
            </w:r>
          </w:p>
        </w:tc>
        <w:tc>
          <w:tcPr>
            <w:tcW w:w="11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shd w:val="clear" w:color="auto" w:fill="CCEEFF"/>
          </w:tcPr>
          <w:p>
            <w:pPr>
              <w:spacing w:after="0"/>
              <w:rPr>
                <w:sz w:val="18"/>
                <w:szCs w:val="18"/>
                <w:color w:val="auto"/>
              </w:rPr>
            </w:pP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4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3.8%</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16.1%</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Chemicals</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0.8%</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Electronics</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5.5%</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Healthcare</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16.8%</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4.1%</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Internet services</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3.2%</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Office products</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2.3%</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Pharmaceuticals</w:t>
            </w: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Real Estate</w:t>
            </w: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Retail and consumer products</w:t>
            </w: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Transportation</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0.8%</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June 30, 2016 and December 31, 2015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June 30, 2016</w:t>
            </w:r>
          </w:p>
        </w:tc>
        <w:tc>
          <w:tcPr>
            <w:tcW w:w="1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Midwest</w:t>
            </w: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13.7%</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1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25.4%</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South</w:t>
            </w: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24.1%</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1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28.8%</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Canada</w:t>
            </w: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1.7%</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vMerge w:val="continue"/>
          </w:tcPr>
          <w:p>
            <w:pPr>
              <w:spacing w:after="0"/>
              <w:rPr>
                <w:sz w:val="19"/>
                <w:szCs w:val="19"/>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48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foreign currency forward contracts that the Company enters into typically have terms of approximately two months or less. Risks may arise as a result of the potential inability of the counterparties to meet the terms of their contracts. The Company attempts to limit this risk by dealing with only creditworthy counterparties.</w:t>
      </w:r>
    </w:p>
    <w:p>
      <w:pPr>
        <w:spacing w:after="0" w:line="167"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During the three and six months ended June 30, 2016, the Company did not enter into any foreign currency forward contracts related to its non-USD denominated investments. During the three and six months ended June 30, 2015, the Company entered into foreign currency forward contracts related to its non-USD denominated investments. The Company did not have any open foreign currency forward contracts as of December 31, 2015.</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unrealized and realized gains and losses within the Company’s consolidated statements of operations. Unrealized gains and losses on foreign currency forward contracts are also included in net unrealized gains (losses) within the Company’s consolidated balance sheets.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not been required to post cash collateral related to its foreign currency forward contracts, but may be required to do so in the future.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June 2014, in connection with the issuance of Convertible Senior Notes, the Company entered into two interest rate swap transactions, each with a $57.5 million notional amount. As of December 31, 2014 the Company received fixed rate interest at 4.50% and paid variable rate interest based on the 3-month London Interbank Offered Rate (“LIBOR”) plus 252.9 basis points.</w:t>
      </w:r>
    </w:p>
    <w:p>
      <w:pPr>
        <w:spacing w:after="0" w:line="181" w:lineRule="exact"/>
        <w:rPr>
          <w:sz w:val="20"/>
          <w:szCs w:val="20"/>
          <w:color w:val="auto"/>
        </w:rPr>
      </w:pPr>
    </w:p>
    <w:p>
      <w:pPr>
        <w:jc w:val="both"/>
        <w:ind w:right="480" w:firstLine="456"/>
        <w:spacing w:after="0" w:line="342" w:lineRule="auto"/>
        <w:rPr>
          <w:sz w:val="20"/>
          <w:szCs w:val="20"/>
          <w:color w:val="auto"/>
        </w:rPr>
      </w:pPr>
      <w:r>
        <w:rPr>
          <w:rFonts w:ascii="Arial" w:cs="Arial" w:eastAsia="Arial" w:hAnsi="Arial"/>
          <w:sz w:val="16"/>
          <w:szCs w:val="16"/>
          <w:color w:val="auto"/>
        </w:rPr>
        <w:t>In January 2015, the Company closed out its existing interest rate swaps and simultaneously entered into new interest rate swaps realizing a cash payment of $2.0 million and increasing pricing to three-month LIBOR plus 286 basis points. The new swap transactions mature on December 15, 2019.</w:t>
      </w:r>
    </w:p>
    <w:p>
      <w:pPr>
        <w:spacing w:after="0" w:line="124"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In November 2015, in connection with a fixed rate investment, the Company entered into two interest rate swap transactions, each with a $46.3 million notional amount. The Company receives three-month LIBOR and pays fixed rate interest at 1.16%. The swap transactions mature on October 5, 2018.</w:t>
      </w:r>
    </w:p>
    <w:p>
      <w:pPr>
        <w:spacing w:after="0" w:line="124"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The following tables present the gross and net information on the Company’s interest rate swap transactions that are eligible for offset in the Company’s 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June 30, 2016</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Gross Amount</w:t>
            </w:r>
          </w:p>
        </w:tc>
        <w:tc>
          <w:tcPr>
            <w:tcW w:w="240" w:type="dxa"/>
            <w:vAlign w:val="bottom"/>
          </w:tcPr>
          <w:p>
            <w:pPr>
              <w:spacing w:after="0"/>
              <w:rPr>
                <w:sz w:val="10"/>
                <w:szCs w:val="10"/>
                <w:color w:val="auto"/>
              </w:rPr>
            </w:pP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Amount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Net Amount of</w:t>
            </w: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Account in the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Assets in the</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1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Maturity Date</w:t>
            </w: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of Recognized</w:t>
            </w:r>
          </w:p>
        </w:tc>
        <w:tc>
          <w:tcPr>
            <w:tcW w:w="24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Assets</w:t>
            </w:r>
          </w:p>
        </w:tc>
        <w:tc>
          <w:tcPr>
            <w:tcW w:w="2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Balance Sheets</w:t>
            </w:r>
          </w:p>
        </w:tc>
        <w:tc>
          <w:tcPr>
            <w:tcW w:w="120" w:type="dxa"/>
            <w:vAlign w:val="bottom"/>
          </w:tcPr>
          <w:p>
            <w:pPr>
              <w:spacing w:after="0"/>
              <w:rPr>
                <w:sz w:val="14"/>
                <w:szCs w:val="14"/>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 xml:space="preserve">Balance Sheets </w:t>
            </w:r>
            <w:r>
              <w:rPr>
                <w:rFonts w:ascii="Arial" w:cs="Arial" w:eastAsia="Arial" w:hAnsi="Arial"/>
                <w:sz w:val="12"/>
                <w:szCs w:val="12"/>
                <w:b w:val="1"/>
                <w:bCs w:val="1"/>
                <w:color w:val="auto"/>
                <w:w w:val="90"/>
              </w:rPr>
              <w:t>(1)</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195"/>
        </w:trPr>
        <w:tc>
          <w:tcPr>
            <w:tcW w:w="43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Interest rate swap</w:t>
            </w:r>
          </w:p>
        </w:tc>
        <w:tc>
          <w:tcPr>
            <w:tcW w:w="9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Receivable for</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interest</w:t>
            </w:r>
          </w:p>
        </w:tc>
        <w:tc>
          <w:tcPr>
            <w:tcW w:w="0" w:type="dxa"/>
            <w:vAlign w:val="bottom"/>
          </w:tcPr>
          <w:p>
            <w:pPr>
              <w:spacing w:after="0"/>
              <w:rPr>
                <w:sz w:val="1"/>
                <w:szCs w:val="1"/>
                <w:color w:val="auto"/>
              </w:rPr>
            </w:pPr>
          </w:p>
        </w:tc>
      </w:tr>
      <w:tr>
        <w:trPr>
          <w:trHeight w:val="244"/>
        </w:trPr>
        <w:tc>
          <w:tcPr>
            <w:tcW w:w="5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12/15/2019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2"/>
              </w:rPr>
              <w:t>$ 115,000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2,946</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2,946</w:t>
            </w:r>
          </w:p>
        </w:tc>
        <w:tc>
          <w:tcPr>
            <w:tcW w:w="12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4"/>
              </w:rPr>
              <w:t>rate swaps</w:t>
            </w:r>
          </w:p>
        </w:tc>
        <w:tc>
          <w:tcPr>
            <w:tcW w:w="0" w:type="dxa"/>
            <w:vAlign w:val="bottom"/>
          </w:tcPr>
          <w:p>
            <w:pPr>
              <w:spacing w:after="0"/>
              <w:rPr>
                <w:sz w:val="1"/>
                <w:szCs w:val="1"/>
                <w:color w:val="auto"/>
              </w:rPr>
            </w:pPr>
          </w:p>
        </w:tc>
      </w:tr>
      <w:tr>
        <w:trPr>
          <w:trHeight w:val="202"/>
        </w:trPr>
        <w:tc>
          <w:tcPr>
            <w:tcW w:w="5500" w:type="dxa"/>
            <w:vAlign w:val="bottom"/>
            <w:gridSpan w:val="3"/>
          </w:tcPr>
          <w:p>
            <w:pPr>
              <w:spacing w:after="0" w:line="201" w:lineRule="exact"/>
              <w:rPr>
                <w:sz w:val="20"/>
                <w:szCs w:val="20"/>
                <w:color w:val="auto"/>
              </w:rPr>
            </w:pPr>
            <w:r>
              <w:rPr>
                <w:rFonts w:ascii="Arial" w:cs="Arial" w:eastAsia="Arial" w:hAnsi="Arial"/>
                <w:sz w:val="18"/>
                <w:szCs w:val="18"/>
                <w:color w:val="auto"/>
              </w:rPr>
              <w:t>Interest rate swap</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center"/>
              <w:ind w:right="40"/>
              <w:spacing w:after="0" w:line="201" w:lineRule="exact"/>
              <w:rPr>
                <w:sz w:val="20"/>
                <w:szCs w:val="20"/>
                <w:color w:val="auto"/>
              </w:rPr>
            </w:pPr>
            <w:r>
              <w:rPr>
                <w:rFonts w:ascii="Arial" w:cs="Arial" w:eastAsia="Arial" w:hAnsi="Arial"/>
                <w:sz w:val="18"/>
                <w:szCs w:val="18"/>
                <w:color w:val="auto"/>
                <w:w w:val="92"/>
              </w:rPr>
              <w:t>Receivable for</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interest</w:t>
            </w:r>
          </w:p>
        </w:tc>
        <w:tc>
          <w:tcPr>
            <w:tcW w:w="0" w:type="dxa"/>
            <w:vAlign w:val="bottom"/>
          </w:tcPr>
          <w:p>
            <w:pPr>
              <w:spacing w:after="0"/>
              <w:rPr>
                <w:sz w:val="1"/>
                <w:szCs w:val="1"/>
                <w:color w:val="auto"/>
              </w:rPr>
            </w:pPr>
          </w:p>
        </w:tc>
      </w:tr>
      <w:tr>
        <w:trPr>
          <w:trHeight w:val="244"/>
        </w:trPr>
        <w:tc>
          <w:tcPr>
            <w:tcW w:w="5500" w:type="dxa"/>
            <w:vAlign w:val="bottom"/>
            <w:gridSpan w:val="3"/>
          </w:tcPr>
          <w:p>
            <w:pPr>
              <w:jc w:val="right"/>
              <w:ind w:right="280"/>
              <w:spacing w:after="0"/>
              <w:rPr>
                <w:sz w:val="20"/>
                <w:szCs w:val="20"/>
                <w:color w:val="auto"/>
              </w:rPr>
            </w:pPr>
            <w:r>
              <w:rPr>
                <w:rFonts w:ascii="Arial" w:cs="Arial" w:eastAsia="Arial" w:hAnsi="Arial"/>
                <w:sz w:val="18"/>
                <w:szCs w:val="18"/>
                <w:color w:val="auto"/>
              </w:rPr>
              <w:t>10/5/2018</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92,500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(979)</w:t>
            </w:r>
          </w:p>
        </w:tc>
        <w:tc>
          <w:tcPr>
            <w:tcW w:w="1220" w:type="dxa"/>
            <w:vAlign w:val="bottom"/>
            <w:gridSpan w:val="2"/>
          </w:tcPr>
          <w:p>
            <w:pPr>
              <w:jc w:val="center"/>
              <w:ind w:right="40"/>
              <w:spacing w:after="0"/>
              <w:rPr>
                <w:sz w:val="20"/>
                <w:szCs w:val="20"/>
                <w:color w:val="auto"/>
              </w:rPr>
            </w:pPr>
            <w:r>
              <w:rPr>
                <w:rFonts w:ascii="Arial" w:cs="Arial" w:eastAsia="Arial" w:hAnsi="Arial"/>
                <w:sz w:val="18"/>
                <w:szCs w:val="18"/>
                <w:color w:val="auto"/>
                <w:w w:val="84"/>
              </w:rPr>
              <w:t>rate swaps</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207,500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2,946</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1,967</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As of June 30, 2016, $0.8 million of cash was pledged as collateral under the Company’s derivative instruments and is included in restricted cash as a component of Prepaid Expenses and Other Assets in the Company’s 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December 31, 2015</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0"/>
              </w:rPr>
              <w:t>Gross Amount</w:t>
            </w:r>
          </w:p>
        </w:tc>
        <w:tc>
          <w:tcPr>
            <w:tcW w:w="9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Gross Amount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Net Amount of</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Account in the</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240" w:type="dxa"/>
            <w:vAlign w:val="bottom"/>
            <w:gridSpan w:val="3"/>
            <w:vMerge w:val="continue"/>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Offset in the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Assets in the</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 Date</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4"/>
              </w:rPr>
              <w:t>Consolidated</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Assets</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6"/>
              </w:rPr>
              <w:t>Balance Sheets</w:t>
            </w:r>
          </w:p>
        </w:tc>
        <w:tc>
          <w:tcPr>
            <w:tcW w:w="360" w:type="dxa"/>
            <w:vAlign w:val="bottom"/>
          </w:tcPr>
          <w:p>
            <w:pPr>
              <w:spacing w:after="0"/>
              <w:rPr>
                <w:sz w:val="14"/>
                <w:szCs w:val="14"/>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8"/>
              </w:rPr>
              <w:t xml:space="preserve">Balance Sheets </w:t>
            </w:r>
            <w:r>
              <w:rPr>
                <w:rFonts w:ascii="Arial" w:cs="Arial" w:eastAsia="Arial" w:hAnsi="Arial"/>
                <w:sz w:val="12"/>
                <w:szCs w:val="12"/>
                <w:b w:val="1"/>
                <w:bCs w:val="1"/>
                <w:color w:val="auto"/>
                <w:w w:val="88"/>
              </w:rPr>
              <w:t>(1)</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195"/>
        </w:trPr>
        <w:tc>
          <w:tcPr>
            <w:tcW w:w="41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Interest rate swap</w:t>
            </w: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Receivable for</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interest</w:t>
            </w:r>
          </w:p>
        </w:tc>
        <w:tc>
          <w:tcPr>
            <w:tcW w:w="0" w:type="dxa"/>
            <w:vAlign w:val="bottom"/>
          </w:tcPr>
          <w:p>
            <w:pPr>
              <w:spacing w:after="0"/>
              <w:rPr>
                <w:sz w:val="1"/>
                <w:szCs w:val="1"/>
                <w:color w:val="auto"/>
              </w:rPr>
            </w:pPr>
          </w:p>
        </w:tc>
      </w:tr>
      <w:tr>
        <w:trPr>
          <w:trHeight w:val="244"/>
        </w:trPr>
        <w:tc>
          <w:tcPr>
            <w:tcW w:w="5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12/15/2019</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$ 115,000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rate swaps</w:t>
            </w:r>
          </w:p>
        </w:tc>
        <w:tc>
          <w:tcPr>
            <w:tcW w:w="0" w:type="dxa"/>
            <w:vAlign w:val="bottom"/>
          </w:tcPr>
          <w:p>
            <w:pPr>
              <w:spacing w:after="0"/>
              <w:rPr>
                <w:sz w:val="1"/>
                <w:szCs w:val="1"/>
                <w:color w:val="auto"/>
              </w:rPr>
            </w:pPr>
          </w:p>
        </w:tc>
      </w:tr>
      <w:tr>
        <w:trPr>
          <w:trHeight w:val="202"/>
        </w:trPr>
        <w:tc>
          <w:tcPr>
            <w:tcW w:w="5160" w:type="dxa"/>
            <w:vAlign w:val="bottom"/>
            <w:gridSpan w:val="3"/>
          </w:tcPr>
          <w:p>
            <w:pPr>
              <w:spacing w:after="0" w:line="201" w:lineRule="exact"/>
              <w:rPr>
                <w:sz w:val="20"/>
                <w:szCs w:val="20"/>
                <w:color w:val="auto"/>
              </w:rPr>
            </w:pPr>
            <w:r>
              <w:rPr>
                <w:rFonts w:ascii="Arial" w:cs="Arial" w:eastAsia="Arial" w:hAnsi="Arial"/>
                <w:sz w:val="18"/>
                <w:szCs w:val="18"/>
                <w:color w:val="auto"/>
              </w:rPr>
              <w:t>Interest rate swap</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2"/>
              </w:rPr>
              <w:t>Receivable for</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interest</w:t>
            </w:r>
          </w:p>
        </w:tc>
        <w:tc>
          <w:tcPr>
            <w:tcW w:w="0" w:type="dxa"/>
            <w:vAlign w:val="bottom"/>
          </w:tcPr>
          <w:p>
            <w:pPr>
              <w:spacing w:after="0"/>
              <w:rPr>
                <w:sz w:val="1"/>
                <w:szCs w:val="1"/>
                <w:color w:val="auto"/>
              </w:rPr>
            </w:pPr>
          </w:p>
        </w:tc>
      </w:tr>
      <w:tr>
        <w:trPr>
          <w:trHeight w:val="244"/>
        </w:trPr>
        <w:tc>
          <w:tcPr>
            <w:tcW w:w="5160" w:type="dxa"/>
            <w:vAlign w:val="bottom"/>
            <w:gridSpan w:val="3"/>
          </w:tcPr>
          <w:p>
            <w:pPr>
              <w:jc w:val="right"/>
              <w:ind w:right="160"/>
              <w:spacing w:after="0"/>
              <w:rPr>
                <w:sz w:val="20"/>
                <w:szCs w:val="20"/>
                <w:color w:val="auto"/>
              </w:rPr>
            </w:pPr>
            <w:r>
              <w:rPr>
                <w:rFonts w:ascii="Arial" w:cs="Arial" w:eastAsia="Arial" w:hAnsi="Arial"/>
                <w:sz w:val="18"/>
                <w:szCs w:val="18"/>
                <w:color w:val="auto"/>
              </w:rPr>
              <w:t>10/5/2018</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92,500</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274</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rate swaps</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207,500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402</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As of December 31, 2015, $0.9 million of cash was pledged as collateral under the Company’s derivative instruments and is included in restricted cash as a component of Prepaid Expenses and Other Assets in the Company’s consolidated balance sheets.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three and six months ended June 30, 2016, the Company received $1.3 million and $2.6 million, respectively, and paid $1.0 million and $2.0 million, respectively, related to the quarterly settlements of its $115 million notional amount interest rate swap. During the three and six months ended June 30, 2016, net amounts received were $0.3 million and $0.6 million, respectively. These net amounts are reductions to interest expense in the Company’s consolidated statements of operations.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three and six months ended June 30, 2015, the Company received $1.3 million and $2.6 million, respectively, and paid $0.9 million and $1.8 million, respectively, related to the quarterly settlements of its $115 million notional amount interest rate swap. During the three and six months ended June 30, 2015, net amounts received were $0.4 million and $0.8 million, respectively. These net amounts are reductions to interest expense in the Company’s consolidated statements of operations.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three and six months ended June 30, 2016, the Company received $0.1 million and $0.2 million, respectively, and paid $0.3 million and $0.5 million, respectively, related to the quarterly settlement of its $92.5 million notional amount interest rate swap. During the three and six months ended June 30, 2016, net amounts paid were $0.2 million and $0.3 million, respectively. These net amounts are a reduction to interest income in the Company’s consolidated statements of operations.</w:t>
      </w:r>
    </w:p>
    <w:p>
      <w:pPr>
        <w:spacing w:after="0" w:line="18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For the three and six months ended June 30, 2016, the Company recognized $0.3 million and $1.6 million, respectively, of unrealized appreciation on derivatives in the consolidated statement of operations related to the swap transactions. As of June 30, 2016 and December 31, 2015, the swap transactions had a fair value of $2.0 million and $0.4 million, respectively, which is included in receivable for interest rate swaps in the Company’s consolidated balance sheet.</w:t>
      </w:r>
    </w:p>
    <w:p>
      <w:pPr>
        <w:spacing w:after="0" w:line="18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June 30, 2016, $0.8 million of cash is pledged as collateral under the Company’s derivative instruments and is included in restricted cash as a component of other assets on the Company’s consolidated balance sheet. The Company also had $0.9 million of cash collateral posted as of December 31, 2015, which is also included in restricted cash as a component of other assets on the Company’s consolidated balance sheet.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June 30, 2016 and December 31,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4"/>
              </w:rPr>
              <w:t>Fair Value Hierarchy at June 30, 2016</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0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2</w:t>
            </w:r>
          </w:p>
        </w:tc>
        <w:tc>
          <w:tcPr>
            <w:tcW w:w="12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Level 3</w:t>
            </w:r>
          </w:p>
        </w:tc>
        <w:tc>
          <w:tcPr>
            <w:tcW w:w="8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$120,022</w:t>
            </w: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$1,377,204</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$1,497,226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27,237</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33,103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60,340</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30,182</w:t>
            </w:r>
          </w:p>
        </w:tc>
        <w:tc>
          <w:tcPr>
            <w:tcW w:w="12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84"/>
              </w:rPr>
              <w:t>8,610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6,600</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8,081</w:t>
            </w: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23,291</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8,610</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$184,041</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$1,418,388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$ 1,611,039</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1,967</w:t>
            </w:r>
          </w:p>
        </w:tc>
        <w:tc>
          <w:tcPr>
            <w:tcW w:w="38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8,610</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186,008</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1,418,388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1,613,006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260" w:type="dxa"/>
            <w:vAlign w:val="bottom"/>
            <w:vMerge w:val="restart"/>
          </w:tcPr>
          <w:p>
            <w:pPr>
              <w:jc w:val="right"/>
              <w:ind w:right="970"/>
              <w:spacing w:after="0"/>
              <w:rPr>
                <w:sz w:val="20"/>
                <w:szCs w:val="20"/>
                <w:color w:val="auto"/>
              </w:rPr>
            </w:pPr>
            <w:r>
              <w:rPr>
                <w:rFonts w:ascii="Arial" w:cs="Arial" w:eastAsia="Arial" w:hAnsi="Arial"/>
                <w:sz w:val="18"/>
                <w:szCs w:val="18"/>
                <w:color w:val="auto"/>
              </w:rPr>
              <w:t>27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20" w:type="dxa"/>
            <w:vAlign w:val="bottom"/>
            <w:gridSpan w:val="9"/>
          </w:tcPr>
          <w:p>
            <w:pPr>
              <w:jc w:val="right"/>
              <w:ind w:right="780"/>
              <w:spacing w:after="0"/>
              <w:rPr>
                <w:sz w:val="20"/>
                <w:szCs w:val="20"/>
                <w:color w:val="auto"/>
              </w:rPr>
            </w:pPr>
            <w:r>
              <w:rPr>
                <w:rFonts w:ascii="Arial" w:cs="Arial" w:eastAsia="Arial" w:hAnsi="Arial"/>
                <w:sz w:val="14"/>
                <w:szCs w:val="14"/>
                <w:b w:val="1"/>
                <w:bCs w:val="1"/>
                <w:color w:val="auto"/>
                <w:w w:val="96"/>
              </w:rPr>
              <w:t>Fair Value Hierarchy at December 31, 2015</w:t>
            </w:r>
          </w:p>
        </w:tc>
      </w:tr>
      <w:tr>
        <w:trPr>
          <w:trHeight w:val="142"/>
        </w:trPr>
        <w:tc>
          <w:tcPr>
            <w:tcW w:w="6400" w:type="dxa"/>
            <w:vAlign w:val="bottom"/>
          </w:tcPr>
          <w:p>
            <w:pPr>
              <w:spacing w:after="0"/>
              <w:rPr>
                <w:sz w:val="12"/>
                <w:szCs w:val="12"/>
                <w:color w:val="auto"/>
              </w:rPr>
            </w:pPr>
          </w:p>
        </w:tc>
        <w:tc>
          <w:tcPr>
            <w:tcW w:w="5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02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80,692</w:t>
            </w: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$1,229,491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$1,310,183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8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30,781</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90,441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121,222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20,165</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7,801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27,966</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8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84"/>
              </w:rPr>
              <w:t>9,933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8,200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8,205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26,338</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9,933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139,838</w:t>
            </w:r>
          </w:p>
        </w:tc>
        <w:tc>
          <w:tcPr>
            <w:tcW w:w="3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$1,335,938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$1,485,709</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402</w:t>
            </w:r>
          </w:p>
        </w:tc>
        <w:tc>
          <w:tcPr>
            <w:tcW w:w="38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r>
      <w:tr>
        <w:trPr>
          <w:trHeight w:val="27"/>
        </w:trPr>
        <w:tc>
          <w:tcPr>
            <w:tcW w:w="6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9,933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140,240</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1,335,938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$ 1,486,111</w:t>
            </w:r>
          </w:p>
        </w:tc>
      </w:tr>
      <w:tr>
        <w:trPr>
          <w:trHeight w:val="20"/>
        </w:trPr>
        <w:tc>
          <w:tcPr>
            <w:tcW w:w="6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six months ended June 30,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7"/>
          </w:tcPr>
          <w:p>
            <w:pPr>
              <w:jc w:val="center"/>
              <w:ind w:left="373"/>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2016</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12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First-lien</w:t>
            </w: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140" w:type="dxa"/>
            <w:vAlign w:val="bottom"/>
          </w:tcPr>
          <w:p>
            <w:pPr>
              <w:spacing w:after="0"/>
              <w:rPr>
                <w:sz w:val="10"/>
                <w:szCs w:val="10"/>
                <w:color w:val="auto"/>
              </w:rPr>
            </w:pPr>
          </w:p>
        </w:tc>
        <w:tc>
          <w:tcPr>
            <w:tcW w:w="13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Mezzanine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Equity</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10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debt</w:t>
            </w:r>
          </w:p>
        </w:tc>
        <w:tc>
          <w:tcPr>
            <w:tcW w:w="14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and unsecured debt</w:t>
            </w:r>
          </w:p>
        </w:tc>
        <w:tc>
          <w:tcPr>
            <w:tcW w:w="20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and other</w:t>
            </w:r>
          </w:p>
        </w:tc>
        <w:tc>
          <w:tcPr>
            <w:tcW w:w="20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investments</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investments</w:t>
            </w: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$1,267,992</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91,415</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$1,373,423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Purchases</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189,966</w:t>
            </w: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189,966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Repayments / redemptions</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(98,952)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(62,500)</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(161,452)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Paid-in-kind interest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907</w:t>
            </w:r>
          </w:p>
        </w:tc>
        <w:tc>
          <w:tcPr>
            <w:tcW w:w="140" w:type="dxa"/>
            <w:vAlign w:val="bottom"/>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14,145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2,411</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16,644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realized losses</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2,812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870</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(6,023)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1,377,204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33,103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8,081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1,418,388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7"/>
          </w:tcPr>
          <w:p>
            <w:pPr>
              <w:jc w:val="center"/>
              <w:ind w:left="393"/>
              <w:spacing w:after="0"/>
              <w:rPr>
                <w:sz w:val="20"/>
                <w:szCs w:val="20"/>
                <w:color w:val="auto"/>
              </w:rPr>
            </w:pPr>
            <w:r>
              <w:rPr>
                <w:rFonts w:ascii="Arial" w:cs="Arial" w:eastAsia="Arial" w:hAnsi="Arial"/>
                <w:sz w:val="14"/>
                <w:szCs w:val="14"/>
                <w:b w:val="1"/>
                <w:bCs w:val="1"/>
                <w:color w:val="auto"/>
                <w:w w:val="93"/>
              </w:rPr>
              <w:t>As of and for the Six Months Ended</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2016</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12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First-lien</w:t>
            </w: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140" w:type="dxa"/>
            <w:vAlign w:val="bottom"/>
          </w:tcPr>
          <w:p>
            <w:pPr>
              <w:spacing w:after="0"/>
              <w:rPr>
                <w:sz w:val="10"/>
                <w:szCs w:val="10"/>
                <w:color w:val="auto"/>
              </w:rPr>
            </w:pPr>
          </w:p>
        </w:tc>
        <w:tc>
          <w:tcPr>
            <w:tcW w:w="13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Mezzanine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Equity</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10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debt</w:t>
            </w:r>
          </w:p>
        </w:tc>
        <w:tc>
          <w:tcPr>
            <w:tcW w:w="14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and unsecured debt</w:t>
            </w:r>
          </w:p>
        </w:tc>
        <w:tc>
          <w:tcPr>
            <w:tcW w:w="20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and other</w:t>
            </w:r>
          </w:p>
        </w:tc>
        <w:tc>
          <w:tcPr>
            <w:tcW w:w="20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investments</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investments</w:t>
            </w: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$1,229,491</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90,442</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$1,335,940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Purchases</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282,403</w:t>
            </w: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282,398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Repayments / redemptions</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(158,150)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(62,500)</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(222,815)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Paid-in-kind interest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3,653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14,570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17,160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5,443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951</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6,422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(6,023)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1,377,204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33,103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8,081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1,418,388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820" w:type="dxa"/>
            <w:vAlign w:val="bottom"/>
          </w:tcPr>
          <w:p>
            <w:pPr>
              <w:jc w:val="right"/>
              <w:ind w:right="95"/>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six months ended June 30,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gridSpan w:val="7"/>
          </w:tcPr>
          <w:p>
            <w:pPr>
              <w:jc w:val="center"/>
              <w:ind w:left="333"/>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2015</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12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First-lien</w:t>
            </w: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140" w:type="dxa"/>
            <w:vAlign w:val="bottom"/>
          </w:tcPr>
          <w:p>
            <w:pPr>
              <w:spacing w:after="0"/>
              <w:rPr>
                <w:sz w:val="10"/>
                <w:szCs w:val="10"/>
                <w:color w:val="auto"/>
              </w:rPr>
            </w:pPr>
          </w:p>
        </w:tc>
        <w:tc>
          <w:tcPr>
            <w:tcW w:w="13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Mezzanine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Equity</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debt</w:t>
            </w:r>
          </w:p>
        </w:tc>
        <w:tc>
          <w:tcPr>
            <w:tcW w:w="160" w:type="dxa"/>
            <w:vAlign w:val="bottom"/>
          </w:tcPr>
          <w:p>
            <w:pPr>
              <w:spacing w:after="0"/>
              <w:rPr>
                <w:sz w:val="12"/>
                <w:szCs w:val="12"/>
                <w:color w:val="auto"/>
              </w:rPr>
            </w:pPr>
          </w:p>
        </w:tc>
        <w:tc>
          <w:tcPr>
            <w:tcW w:w="10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debt</w:t>
            </w:r>
          </w:p>
        </w:tc>
        <w:tc>
          <w:tcPr>
            <w:tcW w:w="14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and unsecured debt</w:t>
            </w:r>
          </w:p>
        </w:tc>
        <w:tc>
          <w:tcPr>
            <w:tcW w:w="20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and other</w:t>
            </w:r>
          </w:p>
        </w:tc>
        <w:tc>
          <w:tcPr>
            <w:tcW w:w="20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investments</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investments</w:t>
            </w: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$1,132,567</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61,406</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8,914</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$1,207,749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Purchases</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55,397</w:t>
            </w:r>
          </w:p>
        </w:tc>
        <w:tc>
          <w:tcPr>
            <w:tcW w:w="16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55,397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Repayments / redemptions</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(23,799)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(28,686)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Paid-in-kind interest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733</w:t>
            </w:r>
          </w:p>
        </w:tc>
        <w:tc>
          <w:tcPr>
            <w:tcW w:w="16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12,664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11,422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realized losses</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1,822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1,179,301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61,250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7,886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1,248,437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7"/>
          </w:tcPr>
          <w:p>
            <w:pPr>
              <w:jc w:val="center"/>
              <w:ind w:left="353"/>
              <w:spacing w:after="0"/>
              <w:rPr>
                <w:sz w:val="20"/>
                <w:szCs w:val="20"/>
                <w:color w:val="auto"/>
              </w:rPr>
            </w:pPr>
            <w:r>
              <w:rPr>
                <w:rFonts w:ascii="Arial" w:cs="Arial" w:eastAsia="Arial" w:hAnsi="Arial"/>
                <w:sz w:val="14"/>
                <w:szCs w:val="14"/>
                <w:b w:val="1"/>
                <w:bCs w:val="1"/>
                <w:color w:val="auto"/>
                <w:w w:val="93"/>
              </w:rPr>
              <w:t>As of and for the Six Months Ended</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2015</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12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First-lien</w:t>
            </w: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140" w:type="dxa"/>
            <w:vAlign w:val="bottom"/>
          </w:tcPr>
          <w:p>
            <w:pPr>
              <w:spacing w:after="0"/>
              <w:rPr>
                <w:sz w:val="10"/>
                <w:szCs w:val="10"/>
                <w:color w:val="auto"/>
              </w:rPr>
            </w:pPr>
          </w:p>
        </w:tc>
        <w:tc>
          <w:tcPr>
            <w:tcW w:w="13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Mezzanine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Equity</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debt</w:t>
            </w:r>
          </w:p>
        </w:tc>
        <w:tc>
          <w:tcPr>
            <w:tcW w:w="160" w:type="dxa"/>
            <w:vAlign w:val="bottom"/>
          </w:tcPr>
          <w:p>
            <w:pPr>
              <w:spacing w:after="0"/>
              <w:rPr>
                <w:sz w:val="12"/>
                <w:szCs w:val="12"/>
                <w:color w:val="auto"/>
              </w:rPr>
            </w:pPr>
          </w:p>
        </w:tc>
        <w:tc>
          <w:tcPr>
            <w:tcW w:w="10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debt</w:t>
            </w:r>
          </w:p>
        </w:tc>
        <w:tc>
          <w:tcPr>
            <w:tcW w:w="14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and unsecured debt</w:t>
            </w:r>
          </w:p>
        </w:tc>
        <w:tc>
          <w:tcPr>
            <w:tcW w:w="20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and other</w:t>
            </w:r>
          </w:p>
        </w:tc>
        <w:tc>
          <w:tcPr>
            <w:tcW w:w="20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investments</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investments</w:t>
            </w: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$1,059,336</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61,250</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$1,134,474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Purchases</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176,809</w:t>
            </w:r>
          </w:p>
        </w:tc>
        <w:tc>
          <w:tcPr>
            <w:tcW w:w="16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176,809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Repayments / redemptions</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(71,143)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(76,030)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Paid-in-kind interest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1,668</w:t>
            </w:r>
          </w:p>
        </w:tc>
        <w:tc>
          <w:tcPr>
            <w:tcW w:w="16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9,429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8,184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realized losses</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3,381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1,179,301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61,250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7,886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1,248,437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tables present information with respect to net change in unrealized appreciation or depreciation on investments for which Level 3 inputs were used in determining fair value that are still held by the Company at June 30, 2016 and 2015:</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800" w:type="dxa"/>
            <w:vAlign w:val="bottom"/>
            <w:gridSpan w:val="3"/>
          </w:tcPr>
          <w:p>
            <w:pPr>
              <w:jc w:val="center"/>
              <w:ind w:left="1096"/>
              <w:spacing w:after="0"/>
              <w:rPr>
                <w:sz w:val="20"/>
                <w:szCs w:val="20"/>
                <w:color w:val="auto"/>
              </w:rPr>
            </w:pPr>
            <w:r>
              <w:rPr>
                <w:rFonts w:ascii="Arial" w:cs="Arial" w:eastAsia="Arial" w:hAnsi="Arial"/>
                <w:sz w:val="14"/>
                <w:szCs w:val="14"/>
                <w:b w:val="1"/>
                <w:bCs w:val="1"/>
                <w:color w:val="auto"/>
                <w:w w:val="93"/>
              </w:rPr>
              <w:t>Net Change in Unrealized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Net Change in Unrealized</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Appreciation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for the Three</w:t>
            </w:r>
          </w:p>
        </w:tc>
        <w:tc>
          <w:tcPr>
            <w:tcW w:w="22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Appreciation or (Depreciation)</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80" w:type="dxa"/>
            <w:vAlign w:val="bottom"/>
          </w:tcPr>
          <w:p>
            <w:pPr>
              <w:spacing w:after="0"/>
              <w:rPr>
                <w:sz w:val="12"/>
                <w:szCs w:val="12"/>
                <w:color w:val="auto"/>
              </w:rPr>
            </w:pPr>
          </w:p>
        </w:tc>
        <w:tc>
          <w:tcPr>
            <w:tcW w:w="2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for the Three Months Ended</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June 30, 2016 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June 30, 2015 on</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Investments Held at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Investments Held at</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60"/>
              <w:spacing w:after="0"/>
              <w:rPr>
                <w:sz w:val="20"/>
                <w:szCs w:val="20"/>
                <w:color w:val="auto"/>
              </w:rPr>
            </w:pPr>
            <w:r>
              <w:rPr>
                <w:rFonts w:ascii="Arial" w:cs="Arial" w:eastAsia="Arial" w:hAnsi="Arial"/>
                <w:sz w:val="14"/>
                <w:szCs w:val="14"/>
                <w:b w:val="1"/>
                <w:bCs w:val="1"/>
                <w:color w:val="auto"/>
                <w:w w:val="90"/>
              </w:rPr>
              <w:t>June 30, 2016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June 30, 2015</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00" w:type="dxa"/>
            <w:vAlign w:val="bottom"/>
            <w:vMerge w:val="restart"/>
          </w:tcPr>
          <w:p>
            <w:pPr>
              <w:jc w:val="right"/>
              <w:ind w:right="376"/>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8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Net Change in 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49"/>
        </w:trPr>
        <w:tc>
          <w:tcPr>
            <w:tcW w:w="3800" w:type="dxa"/>
            <w:vAlign w:val="bottom"/>
          </w:tcPr>
          <w:p>
            <w:pPr>
              <w:spacing w:after="0"/>
              <w:rPr>
                <w:sz w:val="12"/>
                <w:szCs w:val="12"/>
                <w:color w:val="auto"/>
              </w:rPr>
            </w:pPr>
          </w:p>
        </w:tc>
        <w:tc>
          <w:tcPr>
            <w:tcW w:w="2740" w:type="dxa"/>
            <w:vAlign w:val="bottom"/>
            <w:gridSpan w:val="4"/>
          </w:tcPr>
          <w:p>
            <w:pPr>
              <w:jc w:val="center"/>
              <w:ind w:left="419"/>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c>
          <w:tcPr>
            <w:tcW w:w="21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Appreciation or (Depreciation)</w:t>
            </w:r>
          </w:p>
        </w:tc>
      </w:tr>
      <w:tr>
        <w:trPr>
          <w:trHeight w:val="149"/>
        </w:trPr>
        <w:tc>
          <w:tcPr>
            <w:tcW w:w="3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for the Six Months 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for the Six Months Ended</w:t>
            </w:r>
          </w:p>
        </w:tc>
      </w:tr>
      <w:tr>
        <w:trPr>
          <w:trHeight w:val="149"/>
        </w:trPr>
        <w:tc>
          <w:tcPr>
            <w:tcW w:w="3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June 30, 2016 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June 30, 2015 on</w:t>
            </w:r>
          </w:p>
        </w:tc>
      </w:tr>
      <w:tr>
        <w:trPr>
          <w:trHeight w:val="149"/>
        </w:trPr>
        <w:tc>
          <w:tcPr>
            <w:tcW w:w="3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Investments Held at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Investments Held at</w:t>
            </w:r>
          </w:p>
        </w:tc>
      </w:tr>
      <w:tr>
        <w:trPr>
          <w:trHeight w:val="171"/>
        </w:trPr>
        <w:tc>
          <w:tcPr>
            <w:tcW w:w="3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June 30, 2015</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(1,481)</w:t>
            </w:r>
          </w:p>
        </w:tc>
      </w:tr>
      <w:tr>
        <w:trPr>
          <w:trHeight w:val="27"/>
        </w:trPr>
        <w:tc>
          <w:tcPr>
            <w:tcW w:w="3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120" w:type="dxa"/>
            <w:vAlign w:val="bottom"/>
            <w:shd w:val="clear" w:color="auto" w:fill="CCEEFF"/>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following tables summarize the significant unobservable inputs the Company used to value the majority of its investments categorized within Level 3 as of June 30, 2016 and December 31, 2015. The tables are not intended to be all-inclusive, but instead capture the significant unobservable inputs relevant to the Company’s determination of fair values.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2016</w:t>
            </w:r>
          </w:p>
        </w:tc>
        <w:tc>
          <w:tcPr>
            <w:tcW w:w="1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Valuation</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Valuation</w:t>
            </w: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Unobservable</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Fair Value</w:t>
            </w:r>
          </w:p>
        </w:tc>
        <w:tc>
          <w:tcPr>
            <w:tcW w:w="21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 to</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120" w:type="dxa"/>
            <w:vAlign w:val="bottom"/>
            <w:gridSpan w:val="2"/>
          </w:tcPr>
          <w:p>
            <w:pPr>
              <w:ind w:left="680"/>
              <w:spacing w:after="0"/>
              <w:rPr>
                <w:sz w:val="20"/>
                <w:szCs w:val="20"/>
                <w:color w:val="auto"/>
              </w:rPr>
            </w:pPr>
            <w:r>
              <w:rPr>
                <w:rFonts w:ascii="Arial" w:cs="Arial" w:eastAsia="Arial" w:hAnsi="Arial"/>
                <w:sz w:val="14"/>
                <w:szCs w:val="14"/>
                <w:b w:val="1"/>
                <w:bCs w:val="1"/>
                <w:color w:val="auto"/>
              </w:rPr>
              <w:t>Technique</w:t>
            </w:r>
          </w:p>
        </w:tc>
        <w:tc>
          <w:tcPr>
            <w:tcW w:w="1160" w:type="dxa"/>
            <w:vAlign w:val="bottom"/>
            <w:gridSpan w:val="2"/>
          </w:tcPr>
          <w:p>
            <w:pPr>
              <w:ind w:left="360"/>
              <w:spacing w:after="0"/>
              <w:rPr>
                <w:sz w:val="20"/>
                <w:szCs w:val="20"/>
                <w:color w:val="auto"/>
              </w:rPr>
            </w:pPr>
            <w:r>
              <w:rPr>
                <w:rFonts w:ascii="Arial" w:cs="Arial" w:eastAsia="Arial" w:hAnsi="Arial"/>
                <w:sz w:val="14"/>
                <w:szCs w:val="14"/>
                <w:b w:val="1"/>
                <w:bCs w:val="1"/>
                <w:color w:val="auto"/>
              </w:rPr>
              <w:t>Input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5"/>
        </w:trPr>
        <w:tc>
          <w:tcPr>
            <w:tcW w:w="40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5.8% — 13.7%</w:t>
            </w:r>
          </w:p>
        </w:tc>
        <w:tc>
          <w:tcPr>
            <w:tcW w:w="1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1,377,204</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02"/>
        </w:trPr>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Second-lien debt investments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0"/>
              </w:rPr>
              <w:t>11.6% — 11.6%</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33,103</w:t>
            </w:r>
          </w:p>
        </w:tc>
        <w:tc>
          <w:tcPr>
            <w:tcW w:w="2120" w:type="dxa"/>
            <w:vAlign w:val="bottom"/>
            <w:gridSpan w:val="2"/>
          </w:tcPr>
          <w:p>
            <w:pPr>
              <w:spacing w:after="0"/>
              <w:rPr>
                <w:sz w:val="20"/>
                <w:szCs w:val="20"/>
                <w:color w:val="auto"/>
              </w:rPr>
            </w:pPr>
            <w:r>
              <w:rPr>
                <w:rFonts w:ascii="Arial" w:cs="Arial" w:eastAsia="Arial" w:hAnsi="Arial"/>
                <w:sz w:val="18"/>
                <w:szCs w:val="18"/>
                <w:color w:val="auto"/>
              </w:rPr>
              <w:t>Income approach</w:t>
            </w:r>
          </w:p>
        </w:tc>
        <w:tc>
          <w:tcPr>
            <w:tcW w:w="116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(11.6%)</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02"/>
        </w:trPr>
        <w:tc>
          <w:tcPr>
            <w:tcW w:w="4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and other investments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Comparable</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8.1x — 13.5x</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8,081</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(2)</w:t>
            </w: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multiple</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(11.1x)</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Discounted Cash Flow</w:t>
            </w:r>
          </w:p>
        </w:tc>
        <w:tc>
          <w:tcPr>
            <w:tcW w:w="11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12.0%</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$108.9 million of first-lien debt investments which were valued using the transacted value of the investments.</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$3.8 million of equity investments which were valued using the transacted value of the investments.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December 31, 2015</w:t>
            </w:r>
          </w:p>
        </w:tc>
        <w:tc>
          <w:tcPr>
            <w:tcW w:w="1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Valuation</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Valuation</w:t>
            </w:r>
          </w:p>
        </w:tc>
        <w:tc>
          <w:tcPr>
            <w:tcW w:w="1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Unobservable</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Fair Value</w:t>
            </w:r>
          </w:p>
        </w:tc>
        <w:tc>
          <w:tcPr>
            <w:tcW w:w="2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 to</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20" w:type="dxa"/>
            <w:vAlign w:val="bottom"/>
          </w:tcPr>
          <w:p>
            <w:pPr>
              <w:ind w:left="680"/>
              <w:spacing w:after="0"/>
              <w:rPr>
                <w:sz w:val="20"/>
                <w:szCs w:val="20"/>
                <w:color w:val="auto"/>
              </w:rPr>
            </w:pPr>
            <w:r>
              <w:rPr>
                <w:rFonts w:ascii="Arial" w:cs="Arial" w:eastAsia="Arial" w:hAnsi="Arial"/>
                <w:sz w:val="14"/>
                <w:szCs w:val="14"/>
                <w:b w:val="1"/>
                <w:bCs w:val="1"/>
                <w:color w:val="auto"/>
              </w:rPr>
              <w:t>Technique</w:t>
            </w:r>
          </w:p>
        </w:tc>
        <w:tc>
          <w:tcPr>
            <w:tcW w:w="10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Arial" w:cs="Arial" w:eastAsia="Arial" w:hAnsi="Arial"/>
                <w:sz w:val="14"/>
                <w:szCs w:val="14"/>
                <w:b w:val="1"/>
                <w:bCs w:val="1"/>
                <w:color w:val="auto"/>
              </w:rPr>
              <w:t>Input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5"/>
        </w:trPr>
        <w:tc>
          <w:tcPr>
            <w:tcW w:w="40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3.9% — 15.3%</w:t>
            </w:r>
          </w:p>
        </w:tc>
        <w:tc>
          <w:tcPr>
            <w:tcW w:w="1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1,229,491</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(10.8%)</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02"/>
        </w:trPr>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Second-lien debt investments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2"/>
              </w:rPr>
              <w:t>12.1% — 13.8%</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90,441</w:t>
            </w:r>
          </w:p>
        </w:tc>
        <w:tc>
          <w:tcPr>
            <w:tcW w:w="2020" w:type="dxa"/>
            <w:vAlign w:val="bottom"/>
          </w:tcPr>
          <w:p>
            <w:pPr>
              <w:spacing w:after="0"/>
              <w:rPr>
                <w:sz w:val="20"/>
                <w:szCs w:val="20"/>
                <w:color w:val="auto"/>
              </w:rPr>
            </w:pPr>
            <w:r>
              <w:rPr>
                <w:rFonts w:ascii="Arial" w:cs="Arial" w:eastAsia="Arial" w:hAnsi="Arial"/>
                <w:sz w:val="18"/>
                <w:szCs w:val="18"/>
                <w:color w:val="auto"/>
              </w:rPr>
              <w:t>Income approach</w:t>
            </w:r>
          </w:p>
        </w:tc>
        <w:tc>
          <w:tcPr>
            <w:tcW w:w="100" w:type="dxa"/>
            <w:vAlign w:val="bottom"/>
          </w:tcPr>
          <w:p>
            <w:pPr>
              <w:spacing w:after="0"/>
              <w:rPr>
                <w:sz w:val="21"/>
                <w:szCs w:val="21"/>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(13.2%)</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02"/>
        </w:trPr>
        <w:tc>
          <w:tcPr>
            <w:tcW w:w="4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Mezzanine and unsecured debt investments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12.6% — 12.6%</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7,801</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Income approach</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(12.6%)</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02"/>
        </w:trPr>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Equity and other investments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spacing w:after="0" w:line="201" w:lineRule="exact"/>
              <w:rPr>
                <w:sz w:val="20"/>
                <w:szCs w:val="20"/>
                <w:color w:val="auto"/>
              </w:rPr>
            </w:pPr>
            <w:r>
              <w:rPr>
                <w:rFonts w:ascii="Arial" w:cs="Arial" w:eastAsia="Arial" w:hAnsi="Arial"/>
                <w:sz w:val="18"/>
                <w:szCs w:val="18"/>
                <w:color w:val="auto"/>
              </w:rPr>
              <w:t>Comparable</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Market Multiple or</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multiple or</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8.4x — 13.5x</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8,205</w:t>
            </w:r>
          </w:p>
        </w:tc>
        <w:tc>
          <w:tcPr>
            <w:tcW w:w="2020" w:type="dxa"/>
            <w:vAlign w:val="bottom"/>
          </w:tcPr>
          <w:p>
            <w:pPr>
              <w:spacing w:after="0"/>
              <w:rPr>
                <w:sz w:val="20"/>
                <w:szCs w:val="20"/>
                <w:color w:val="auto"/>
              </w:rPr>
            </w:pPr>
            <w:r>
              <w:rPr>
                <w:rFonts w:ascii="Arial" w:cs="Arial" w:eastAsia="Arial" w:hAnsi="Arial"/>
                <w:sz w:val="18"/>
                <w:szCs w:val="18"/>
                <w:color w:val="auto"/>
                <w:w w:val="98"/>
              </w:rPr>
              <w:t xml:space="preserve">Discounted Cash Flow </w:t>
            </w:r>
            <w:r>
              <w:rPr>
                <w:rFonts w:ascii="Arial" w:cs="Arial" w:eastAsia="Arial" w:hAnsi="Arial"/>
                <w:sz w:val="15"/>
                <w:szCs w:val="15"/>
                <w:color w:val="auto"/>
                <w:w w:val="98"/>
              </w:rPr>
              <w:t>(2)</w:t>
            </w:r>
          </w:p>
        </w:tc>
        <w:tc>
          <w:tcPr>
            <w:tcW w:w="100" w:type="dxa"/>
            <w:vAlign w:val="bottom"/>
          </w:tcPr>
          <w:p>
            <w:pPr>
              <w:spacing w:after="0"/>
              <w:rPr>
                <w:sz w:val="21"/>
                <w:szCs w:val="21"/>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3060" w:type="dxa"/>
            <w:vAlign w:val="bottom"/>
            <w:gridSpan w:val="3"/>
          </w:tcPr>
          <w:p>
            <w:pPr>
              <w:ind w:left="60"/>
              <w:spacing w:after="0"/>
              <w:rPr>
                <w:sz w:val="20"/>
                <w:szCs w:val="20"/>
                <w:color w:val="auto"/>
              </w:rPr>
            </w:pPr>
            <w:r>
              <w:rPr>
                <w:rFonts w:ascii="Arial" w:cs="Arial" w:eastAsia="Arial" w:hAnsi="Arial"/>
                <w:sz w:val="18"/>
                <w:szCs w:val="18"/>
                <w:color w:val="auto"/>
                <w:w w:val="95"/>
              </w:rPr>
              <w:t>(11.8x) or 12.0%  Increase or decrease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25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$44.1 million of first-lien debt investments which, due to the proximity of the transactions relative to the measurement date, were valued using the transacted value of the investments.</w:t>
      </w:r>
    </w:p>
    <w:p>
      <w:pPr>
        <w:spacing w:after="0" w:line="1" w:lineRule="exact"/>
        <w:rPr>
          <w:rFonts w:ascii="Arial" w:cs="Arial" w:eastAsia="Arial" w:hAnsi="Arial"/>
          <w:sz w:val="18"/>
          <w:szCs w:val="18"/>
          <w:color w:val="auto"/>
        </w:rPr>
      </w:pPr>
    </w:p>
    <w:p>
      <w:pPr>
        <w:ind w:left="460" w:right="38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$3.8 million of equity investments which, due to the proximity of the transactions relative to the measurement date, were valued using the transacted value of the investments.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The fair value of the Company’s Revolving Credit Facility, which is categorized as Level 3 within the fair value hierarchy, as of June 30, 2016, approximates its carrying value as the outstanding balance is callable at carrying value. The fair value of the Company’s Convertible Senior Notes, which is categorized as Level 2 within the fair value hierarchy, as of June 30, 2016, was $117.6 million, based on broker quotes received by the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The carrying amounts of the Company’s assets and liabilities, other than investments at fair value and Convertible Senior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June 30, 2016 and December 31, 2015, the Company’s asset coverage was 237.3% and 225.7%,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June 30, 2016 and December 31,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June 30, 2016</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40" w:type="dxa"/>
            <w:vAlign w:val="bottom"/>
          </w:tcPr>
          <w:p>
            <w:pPr>
              <w:spacing w:after="0"/>
              <w:rPr>
                <w:sz w:val="10"/>
                <w:szCs w:val="10"/>
                <w:color w:val="auto"/>
              </w:rPr>
            </w:pP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Aggregate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Committed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2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$ 821,250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560,366</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260,884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$553,822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70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115,000</w:t>
            </w:r>
          </w:p>
        </w:tc>
        <w:tc>
          <w:tcPr>
            <w:tcW w:w="10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110,103</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$ 936,250</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675,366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260,884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663,925</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34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Convertible Senior Notes are presented net of deferred financing costs of $6.5 million and $2.7 million, respectively.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2015</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40" w:type="dxa"/>
            <w:vAlign w:val="bottom"/>
          </w:tcPr>
          <w:p>
            <w:pPr>
              <w:spacing w:after="0"/>
              <w:rPr>
                <w:sz w:val="10"/>
                <w:szCs w:val="10"/>
                <w:color w:val="auto"/>
              </w:rPr>
            </w:pP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Aggregate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Committed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2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$ 821,250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540,305</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280,945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$532,996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70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115,000</w:t>
            </w:r>
          </w:p>
        </w:tc>
        <w:tc>
          <w:tcPr>
            <w:tcW w:w="10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109,427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$ 936,250</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655,305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280,945</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642,423</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36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Convertible Senior Notes are presented net of deferred financing costs of $7.3 million and $3.1 million, respectively.</w:t>
      </w:r>
    </w:p>
    <w:p>
      <w:pPr>
        <w:spacing w:after="0" w:line="18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the three and six months ended June 30, 2016 and 2015, the components of interest expense were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4"/>
          </w:tcPr>
          <w:p>
            <w:pPr>
              <w:ind w:left="300"/>
              <w:spacing w:after="0"/>
              <w:rPr>
                <w:sz w:val="20"/>
                <w:szCs w:val="20"/>
                <w:color w:val="auto"/>
              </w:rPr>
            </w:pPr>
            <w:r>
              <w:rPr>
                <w:rFonts w:ascii="Arial" w:cs="Arial" w:eastAsia="Arial" w:hAnsi="Arial"/>
                <w:sz w:val="14"/>
                <w:szCs w:val="14"/>
                <w:b w:val="1"/>
                <w:bCs w:val="1"/>
                <w:color w:val="auto"/>
                <w:w w:val="98"/>
              </w:rPr>
              <w:t>Three Months Ended</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4"/>
          </w:tcPr>
          <w:p>
            <w:pPr>
              <w:ind w:left="440"/>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3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June 30, 2016</w:t>
            </w:r>
          </w:p>
        </w:tc>
        <w:tc>
          <w:tcPr>
            <w:tcW w:w="3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June 30, 2015</w:t>
            </w:r>
          </w:p>
        </w:tc>
        <w:tc>
          <w:tcPr>
            <w:tcW w:w="3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June 30, 2016</w:t>
            </w:r>
          </w:p>
        </w:tc>
        <w:tc>
          <w:tcPr>
            <w:tcW w:w="3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June 30, 2015</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9,585</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Commitment fees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469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481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1,067</w:t>
            </w:r>
          </w:p>
        </w:tc>
        <w:tc>
          <w:tcPr>
            <w:tcW w:w="2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576</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2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291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Swap settlement</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(805)</w:t>
            </w:r>
          </w:p>
        </w:tc>
      </w:tr>
      <w:tr>
        <w:trPr>
          <w:trHeight w:val="223"/>
        </w:trPr>
        <w:tc>
          <w:tcPr>
            <w:tcW w:w="374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9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5,630</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10,927</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8,947</w:t>
            </w:r>
          </w:p>
        </w:tc>
        <w:tc>
          <w:tcPr>
            <w:tcW w:w="20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(in millions)</w:t>
            </w: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709.5</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532.3</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687.8</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2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Average 1-month LIBOR rate</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6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7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131" w:lineRule="exact"/>
        <w:rPr>
          <w:sz w:val="20"/>
          <w:szCs w:val="20"/>
          <w:color w:val="auto"/>
        </w:rPr>
      </w:pPr>
    </w:p>
    <w:p>
      <w:pPr>
        <w:ind w:left="900" w:right="240" w:hanging="446"/>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2, 2015, the Company entered into a fourth amendment to the Revolving Credit Facility:</w:t>
      </w:r>
    </w:p>
    <w:p>
      <w:pPr>
        <w:spacing w:after="0" w:line="131" w:lineRule="exact"/>
        <w:rPr>
          <w:sz w:val="20"/>
          <w:szCs w:val="20"/>
          <w:color w:val="auto"/>
        </w:rPr>
      </w:pPr>
    </w:p>
    <w:p>
      <w:pPr>
        <w:ind w:left="900" w:right="24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the accordion feature, which allows the Company, under certain circumstances, to increase the size of the Revolving Credit Facility, from a maximum of $956.3 million to a maximum of $1.25 billion.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June 30, 2016, the Company had outstanding debt denominated in Swedish Krona (SEK) of 203.9 million, Euro (EUR) of 47.9 million and Pound Sterling (GBP) of 21.0 million on its Revolving Credit Facility, included in the Outstanding Principal amount in the table above.</w:t>
      </w:r>
    </w:p>
    <w:p>
      <w:pPr>
        <w:spacing w:after="0" w:line="18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340" w:hanging="446"/>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2, 2015.</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Net proceeds received from the Company’s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May 8, 2012, the “Closing Date,” the Company’s wholly owned subsidiary TPG SL SPV, LLC, a Delaware limited liability company, referred to as TPG SL SPV,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were permitted to be used to finance the acquisition of eligible assets by TPG SL SPV, including the purchase of such assets from the Company. The Company retains a residual interest in assets contributed to or acquired by TPG SL SPV through its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could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After giving effect to amendments to the credit and security agreement in January 2014 and March 2015, the facility (as amended, the “SPV Asset Facility”) had commitments of $175 million and the pricing ranged from cost of funds plus 225 basis points to LIBOR plus 235 basis points and the facility was scheduled to mature on January 21, 2021.</w:t>
      </w:r>
    </w:p>
    <w:p>
      <w:pPr>
        <w:spacing w:after="0" w:line="181"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The undrawn portion of the commitment bore an unutilized commitment fee of 0.75%. This fee ceased to accrue on January 21, 2015 when the reinvestment period ended. The SPV Asset Facility contained customary 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the Company’s other debt obligations.</w:t>
      </w:r>
    </w:p>
    <w:p>
      <w:pPr>
        <w:spacing w:after="0" w:line="188"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June 10, 2014, the Company issued in a private offering $115 million aggregate principal amount convertible senior notes due December 2019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the Company’s common stock or a combination of cash and shares of the Company’s common stock, at the Company’s election, at an initial conversion rate of 38.7162 shares of</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common stock per $1,000 principal amount of Convertible Senior Notes, which is equivalent to an initial conversion price of approximately $25.83 per share of the Company’s common stock, subject to customary anti-dilution adjustments. The sale of the Convertible Senior Notes generated net proceeds of approximately $110.8 million. The Company used the net proceeds of the offering to pay down debt under the Revolving Credit Facility. In connection with the offering of Convertible Senior Notes, the Company has entered into interest rate swaps to continue to align the interest rates of its liabilities with its investment portfolio, which consists of predominately floating rate loans. As a result of the swaps, the Company’s effective interest rate on the Convertible Senior Notes is three-month LIBOR plus 286 basis points. See Note 5 for further information related to the Company’s interest rate swaps.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Holders may convert their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20,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firstLine="8"/>
        <w:spacing w:after="0" w:line="271" w:lineRule="auto"/>
        <w:tabs>
          <w:tab w:leader="none" w:pos="2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(the “measurement period”) in which the trading price (as defined in the indenture governing the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7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8"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For the three and six months ended June 30, 2016 and 2015, the components of interest expense related to the Convertible Senior Notes were as follows: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4"/>
          </w:tcPr>
          <w:p>
            <w:pPr>
              <w:ind w:left="240"/>
              <w:spacing w:after="0"/>
              <w:rPr>
                <w:sz w:val="20"/>
                <w:szCs w:val="20"/>
                <w:color w:val="auto"/>
              </w:rPr>
            </w:pPr>
            <w:r>
              <w:rPr>
                <w:rFonts w:ascii="Arial" w:cs="Arial" w:eastAsia="Arial" w:hAnsi="Arial"/>
                <w:sz w:val="14"/>
                <w:szCs w:val="14"/>
                <w:b w:val="1"/>
                <w:bCs w:val="1"/>
                <w:color w:val="auto"/>
                <w:w w:val="96"/>
              </w:rPr>
              <w:t>Three Months Ended</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ind w:left="340"/>
              <w:spacing w:after="0"/>
              <w:rPr>
                <w:sz w:val="20"/>
                <w:szCs w:val="20"/>
                <w:color w:val="auto"/>
              </w:rPr>
            </w:pPr>
            <w:r>
              <w:rPr>
                <w:rFonts w:ascii="Arial" w:cs="Arial" w:eastAsia="Arial" w:hAnsi="Arial"/>
                <w:sz w:val="14"/>
                <w:szCs w:val="14"/>
                <w:b w:val="1"/>
                <w:bCs w:val="1"/>
                <w:color w:val="auto"/>
                <w:w w:val="98"/>
              </w:rPr>
              <w:t>Six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June 30, 2016</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June 30, 2015</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June 30, 2016</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June 30, 2015</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1,294</w:t>
            </w:r>
          </w:p>
        </w:tc>
        <w:tc>
          <w:tcPr>
            <w:tcW w:w="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291</w:t>
            </w:r>
          </w:p>
        </w:tc>
        <w:tc>
          <w:tcPr>
            <w:tcW w:w="3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385</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r>
      <w:tr>
        <w:trPr>
          <w:trHeight w:val="223"/>
        </w:trPr>
        <w:tc>
          <w:tcPr>
            <w:tcW w:w="512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1,626</w:t>
            </w:r>
          </w:p>
        </w:tc>
        <w:tc>
          <w:tcPr>
            <w:tcW w:w="6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3,264</w:t>
            </w:r>
          </w:p>
        </w:tc>
        <w:tc>
          <w:tcPr>
            <w:tcW w:w="6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Total interest expense in the table above does not include the effect of the interest rate swaps. During the three and six months ended June 30, 2016, the Company received $1.3 million and $2.6 million, respectively, and paid $1.0 million and $2.0 million, respectively, related to the quarterly settlements of its interest rate swaps. During the three and six months ended June 30, 2016, net amounts received were $0.3 million and $0.6 million, respectively. During the three and six months ended June 30, 2015, the Company received $1.3 million and $2.6 million, respectively, and paid $0.9 million and $1.8 million, respectively, related to the quarterly settlements of its interest rate swaps. During the three and six months ended June 30, 2015, net amounts received were $0.4 million and $0.8 million, respectively. These net amounts are reductions to interest expense in the Company’s consolidated statements of operations. In January 2015, the Company closed out its existing interest rate swaps and simultaneously entered into new interest rate swaps, realizing a cash payment of $2.0 million and increasing pricing to three-month LIBOR plus 286 basis points. Please see Note 5 for further information about the Company’s interest rate swaps.</w:t>
      </w:r>
    </w:p>
    <w:p>
      <w:pPr>
        <w:spacing w:after="0" w:line="19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As of June 30, 2016, the principal amount of the Convertible Senior Notes exceeded the value of the underlying shares multiplied by the per share closing price of the Company’s common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2016, the components of the carrying value of the Convertible Senior Notes and the stated interest rate were as follows: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020" w:type="dxa"/>
            <w:vAlign w:val="bottom"/>
            <w:gridSpan w:val="4"/>
          </w:tcPr>
          <w:p>
            <w:pPr>
              <w:ind w:left="1860"/>
              <w:spacing w:after="0"/>
              <w:rPr>
                <w:sz w:val="20"/>
                <w:szCs w:val="20"/>
                <w:color w:val="auto"/>
              </w:rPr>
            </w:pPr>
            <w:r>
              <w:rPr>
                <w:rFonts w:ascii="Arial" w:cs="Arial" w:eastAsia="Arial" w:hAnsi="Arial"/>
                <w:sz w:val="14"/>
                <w:szCs w:val="14"/>
                <w:b w:val="1"/>
                <w:bCs w:val="1"/>
                <w:color w:val="auto"/>
              </w:rPr>
              <w:t>December 2019</w:t>
            </w:r>
          </w:p>
        </w:tc>
      </w:tr>
      <w:tr>
        <w:trPr>
          <w:trHeight w:val="149"/>
        </w:trPr>
        <w:tc>
          <w:tcPr>
            <w:tcW w:w="4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Convertible</w:t>
            </w:r>
          </w:p>
        </w:tc>
      </w:tr>
      <w:tr>
        <w:trPr>
          <w:trHeight w:val="171"/>
        </w:trPr>
        <w:tc>
          <w:tcPr>
            <w:tcW w:w="4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Senior Notes</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amount of debt</w:t>
            </w:r>
          </w:p>
        </w:tc>
        <w:tc>
          <w:tcPr>
            <w:tcW w:w="1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(2,226)</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(2,671)</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Carrying value of debt</w:t>
            </w:r>
          </w:p>
        </w:tc>
        <w:tc>
          <w:tcPr>
            <w:tcW w:w="18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110,103</w:t>
            </w:r>
          </w:p>
        </w:tc>
        <w:tc>
          <w:tcPr>
            <w:tcW w:w="2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Stated interest rate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r>
    </w:tbl>
    <w:p>
      <w:pPr>
        <w:spacing w:after="0" w:line="202"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The stated interest rate in the table above does not include the effect of the interest rate swaps. The Company’s swap-adjusted interest rate is three month LIBOR plus 286 basis points. Please see Note 5 for further information about the Company’s interest rate swaps.</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Convertible Senior Notes Indenture contains certain covenants, including covenants requiring the Company to comply with the requirement under the 1940 Act that the Company’s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June 30, 2016, the Company was in compliance with the terms of the Convertible Senior Notes Indenture.</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Convertible Senior Notes Indenture. The Company has determined that the embedded conversion options in the Convertible Senior Notes are not required to be separately accounted for as a derivative under U.S. GAAP. In accounting for the Convertible Senior Notes, the Company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2016 and December 31, 2015, the Company was in compliance with the terms of its debt obligations.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2016 and December 31, 2015, the Company had the following commitments to fund investments: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June 30, 2016</w:t>
            </w:r>
          </w:p>
        </w:tc>
        <w:tc>
          <w:tcPr>
            <w:tcW w:w="1940" w:type="dxa"/>
            <w:vAlign w:val="bottom"/>
            <w:gridSpan w:val="4"/>
          </w:tcPr>
          <w:p>
            <w:pPr>
              <w:ind w:left="680"/>
              <w:spacing w:after="0"/>
              <w:rPr>
                <w:sz w:val="20"/>
                <w:szCs w:val="20"/>
                <w:color w:val="auto"/>
              </w:rPr>
            </w:pPr>
            <w:r>
              <w:rPr>
                <w:rFonts w:ascii="Arial" w:cs="Arial" w:eastAsia="Arial" w:hAnsi="Arial"/>
                <w:sz w:val="14"/>
                <w:szCs w:val="14"/>
                <w:b w:val="1"/>
                <w:bCs w:val="1"/>
                <w:color w:val="auto"/>
                <w:w w:val="98"/>
              </w:rPr>
              <w:t>December 31, 2015</w:t>
            </w: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Aeropostale, Inc. - Revolver</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37,188</w:t>
            </w:r>
          </w:p>
        </w:tc>
        <w:tc>
          <w:tcPr>
            <w:tcW w:w="6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AppStar Financial, LLC - Revolver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AvidXchange, Inc. - Delayed Draw Term Loan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Clarabridge, Inc. - Revolver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2,500</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CrunchTime Information Systems, Inc. - Delayed Draw Term Loan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CrunchTime Information Systems, Inc. - Revolver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Ecommerce Industries, Inc. - Delayed Draw Term Loan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Ecommerce Industries, Inc. - Revolver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2,486</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Heartland Automotive Holdings, LLC - Revolver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Helix Health, Ltd. - Revolver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4,111</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Highwinds Capital, Inc. - Revolver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IRGSE Holding Corp. - Revolver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Leaf US Holdings, Inc. - Revolver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MyAlarm Center, LLC - Delayed Draw</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1,449</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Network Merchants, Inc. - Revolver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PayLease, LLC - Revolver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ScentAir Technologies, Inc. - Multi Draw Term Loan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ScentAir Technologies, Inc. - Revolver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2,143</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Sears - ABL Revolver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17,913</w:t>
            </w:r>
          </w:p>
        </w:tc>
        <w:tc>
          <w:tcPr>
            <w:tcW w:w="100" w:type="dxa"/>
            <w:vAlign w:val="bottom"/>
            <w:shd w:val="clear" w:color="auto" w:fill="CCEEFF"/>
          </w:tcPr>
          <w:p>
            <w:pPr>
              <w:spacing w:after="0"/>
              <w:rPr>
                <w:sz w:val="18"/>
                <w:szCs w:val="18"/>
                <w:color w:val="auto"/>
              </w:rPr>
            </w:pPr>
          </w:p>
        </w:tc>
      </w:tr>
      <w:tr>
        <w:trPr>
          <w:trHeight w:val="223"/>
        </w:trPr>
        <w:tc>
          <w:tcPr>
            <w:tcW w:w="5880" w:type="dxa"/>
            <w:vAlign w:val="bottom"/>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93,147</w:t>
            </w:r>
          </w:p>
        </w:tc>
        <w:tc>
          <w:tcPr>
            <w:tcW w:w="68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78,646</w:t>
            </w: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June 30, 2016, management is not aware of any pending or threatened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March 2016, the Company issued a total of 5,000,000 shares of common stock at $16.42 per share. Net of underwriting fees and offering costs, the Company received total cash proceeds of $78.3 million.</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six months ended June 30, 2016 and 2015. All shares issued to stockholders in the tables below are newly issued shares.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2"/>
              </w:rPr>
              <w:t>Six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right="700"/>
              <w:spacing w:after="0"/>
              <w:rPr>
                <w:sz w:val="20"/>
                <w:szCs w:val="20"/>
                <w:color w:val="auto"/>
              </w:rPr>
            </w:pPr>
            <w:r>
              <w:rPr>
                <w:rFonts w:ascii="Arial" w:cs="Arial" w:eastAsia="Arial" w:hAnsi="Arial"/>
                <w:sz w:val="14"/>
                <w:szCs w:val="14"/>
                <w:b w:val="1"/>
                <w:bCs w:val="1"/>
                <w:color w:val="auto"/>
                <w:w w:val="92"/>
              </w:rPr>
              <w:t>June 30, 2016</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4240" w:type="dxa"/>
            <w:vAlign w:val="bottom"/>
            <w:vMerge w:val="restart"/>
          </w:tcPr>
          <w:p>
            <w:pPr>
              <w:spacing w:after="0"/>
              <w:rPr>
                <w:sz w:val="10"/>
                <w:szCs w:val="10"/>
                <w:color w:val="auto"/>
              </w:rPr>
            </w:pPr>
          </w:p>
        </w:tc>
        <w:tc>
          <w:tcPr>
            <w:tcW w:w="146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Record Date</w:t>
            </w:r>
          </w:p>
        </w:tc>
        <w:tc>
          <w:tcPr>
            <w:tcW w:w="8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Date</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6"/>
              </w:rPr>
              <w:t>Shares Issued</w:t>
            </w:r>
          </w:p>
        </w:tc>
        <w:tc>
          <w:tcPr>
            <w:tcW w:w="0" w:type="dxa"/>
            <w:vAlign w:val="bottom"/>
          </w:tcPr>
          <w:p>
            <w:pPr>
              <w:spacing w:after="0"/>
              <w:rPr>
                <w:sz w:val="1"/>
                <w:szCs w:val="1"/>
                <w:color w:val="auto"/>
              </w:rPr>
            </w:pPr>
          </w:p>
        </w:tc>
      </w:tr>
      <w:tr>
        <w:trPr>
          <w:trHeight w:val="171"/>
        </w:trPr>
        <w:tc>
          <w:tcPr>
            <w:tcW w:w="880" w:type="dxa"/>
            <w:vAlign w:val="bottom"/>
            <w:vMerge w:val="continue"/>
          </w:tcPr>
          <w:p>
            <w:pPr>
              <w:spacing w:after="0"/>
              <w:rPr>
                <w:sz w:val="14"/>
                <w:szCs w:val="14"/>
                <w:color w:val="auto"/>
              </w:rPr>
            </w:pPr>
          </w:p>
        </w:tc>
        <w:tc>
          <w:tcPr>
            <w:tcW w:w="42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Shares Issued</w:t>
            </w:r>
          </w:p>
        </w:tc>
        <w:tc>
          <w:tcPr>
            <w:tcW w:w="3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 2015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December 31, 2015</w:t>
            </w:r>
          </w:p>
        </w:tc>
        <w:tc>
          <w:tcPr>
            <w:tcW w:w="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February 1, 2016</w:t>
            </w:r>
          </w:p>
        </w:tc>
        <w:tc>
          <w:tcPr>
            <w:tcW w:w="38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147,809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February 24, 2016</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March 31, 2016</w:t>
            </w:r>
          </w:p>
        </w:tc>
        <w:tc>
          <w:tcPr>
            <w:tcW w:w="30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May 2, 2016</w:t>
            </w: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186,204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334,013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gridSpan w:val="3"/>
            <w:vMerge w:val="restart"/>
          </w:tcPr>
          <w:p>
            <w:pPr>
              <w:jc w:val="center"/>
              <w:ind w:right="700"/>
              <w:spacing w:after="0"/>
              <w:rPr>
                <w:sz w:val="20"/>
                <w:szCs w:val="20"/>
                <w:color w:val="auto"/>
              </w:rPr>
            </w:pPr>
            <w:r>
              <w:rPr>
                <w:rFonts w:ascii="Arial" w:cs="Arial" w:eastAsia="Arial" w:hAnsi="Arial"/>
                <w:sz w:val="14"/>
                <w:szCs w:val="14"/>
                <w:b w:val="1"/>
                <w:bCs w:val="1"/>
                <w:color w:val="auto"/>
                <w:w w:val="92"/>
              </w:rPr>
              <w:t>Six Months Ended</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right="700"/>
              <w:spacing w:after="0"/>
              <w:rPr>
                <w:sz w:val="20"/>
                <w:szCs w:val="20"/>
                <w:color w:val="auto"/>
              </w:rPr>
            </w:pPr>
            <w:r>
              <w:rPr>
                <w:rFonts w:ascii="Arial" w:cs="Arial" w:eastAsia="Arial" w:hAnsi="Arial"/>
                <w:sz w:val="14"/>
                <w:szCs w:val="14"/>
                <w:b w:val="1"/>
                <w:bCs w:val="1"/>
                <w:color w:val="auto"/>
                <w:w w:val="92"/>
              </w:rPr>
              <w:t>June 30, 2015</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4240" w:type="dxa"/>
            <w:vAlign w:val="bottom"/>
            <w:vMerge w:val="restart"/>
          </w:tcPr>
          <w:p>
            <w:pPr>
              <w:spacing w:after="0"/>
              <w:rPr>
                <w:sz w:val="10"/>
                <w:szCs w:val="10"/>
                <w:color w:val="auto"/>
              </w:rPr>
            </w:pPr>
          </w:p>
        </w:tc>
        <w:tc>
          <w:tcPr>
            <w:tcW w:w="146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Record Date</w:t>
            </w:r>
          </w:p>
        </w:tc>
        <w:tc>
          <w:tcPr>
            <w:tcW w:w="8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Date</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6"/>
              </w:rPr>
              <w:t>Shares Issued</w:t>
            </w:r>
          </w:p>
        </w:tc>
        <w:tc>
          <w:tcPr>
            <w:tcW w:w="0" w:type="dxa"/>
            <w:vAlign w:val="bottom"/>
          </w:tcPr>
          <w:p>
            <w:pPr>
              <w:spacing w:after="0"/>
              <w:rPr>
                <w:sz w:val="1"/>
                <w:szCs w:val="1"/>
                <w:color w:val="auto"/>
              </w:rPr>
            </w:pPr>
          </w:p>
        </w:tc>
      </w:tr>
      <w:tr>
        <w:trPr>
          <w:trHeight w:val="171"/>
        </w:trPr>
        <w:tc>
          <w:tcPr>
            <w:tcW w:w="880" w:type="dxa"/>
            <w:vAlign w:val="bottom"/>
            <w:vMerge w:val="continue"/>
          </w:tcPr>
          <w:p>
            <w:pPr>
              <w:spacing w:after="0"/>
              <w:rPr>
                <w:sz w:val="14"/>
                <w:szCs w:val="14"/>
                <w:color w:val="auto"/>
              </w:rPr>
            </w:pPr>
          </w:p>
        </w:tc>
        <w:tc>
          <w:tcPr>
            <w:tcW w:w="42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Shares Issued</w:t>
            </w:r>
          </w:p>
        </w:tc>
        <w:tc>
          <w:tcPr>
            <w:tcW w:w="3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 2014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December 31, 2014</w:t>
            </w:r>
          </w:p>
        </w:tc>
        <w:tc>
          <w:tcPr>
            <w:tcW w:w="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February 2, 2015</w:t>
            </w:r>
          </w:p>
        </w:tc>
        <w:tc>
          <w:tcPr>
            <w:tcW w:w="38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162,490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February 24, 2015</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March 31, 2015</w:t>
            </w:r>
          </w:p>
        </w:tc>
        <w:tc>
          <w:tcPr>
            <w:tcW w:w="30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May 1, 2015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41,441</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203,931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Prior to the Company’s IPO, the number of shares issued through the dividend reinvestment plan was determined by dividing the total dollar amount of the dividend payable to such stockholder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November 3, 2014, the Company’s Board approved a stock repurchase plan (the “Company 10b5-1 Plan”) to acquire up to $50 million in the aggregate of the Company’s common stock at prices just below the Company’s net asset value per share, in accordance with the guidelines specified in Rule 10b-18 and Rule 10b5-1 of the Exchange Act.</w:t>
      </w:r>
    </w:p>
    <w:p>
      <w:pPr>
        <w:spacing w:after="0" w:line="181"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The Company 10b5-1 Plan is designed to allow the Company to repurchase its common stock at times when it otherwise might be prevented from doing so under insider trading laws. The Company 10b5-1 Plan requires Goldman, Sachs &amp; Co.,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jc w:val="both"/>
        <w:ind w:right="60" w:firstLine="456"/>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On August 3, 2016, the Board authorized the extension of the termination date of the Company 10b5-1 Plan to February 28, 2017. Unless extended or terminated by the Board, the Company 10b5-1 Plan will be in effect through the earlier of February 28, 2017 or such time as the current approved repurchase amount of up to $50 million has been fully utilized, subject to certain conditions.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During the six months ended June 30, 2016, the Company repurchased 86,081 shares under the Company 10b5-1 Plan at a weighted average price per share of $15.44, inclusive of commissions, for a total cost of $1.3 million. No shares were repurchased under the Company 10b5-1 Plan during the six months ended June 30, 2015 or the three months ended June 30, 2016.</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4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4800" w:type="dxa"/>
            <w:vAlign w:val="bottom"/>
          </w:tcPr>
          <w:p>
            <w:pPr>
              <w:spacing w:after="0"/>
              <w:rPr>
                <w:sz w:val="12"/>
                <w:szCs w:val="12"/>
                <w:color w:val="auto"/>
              </w:rPr>
            </w:pPr>
          </w:p>
        </w:tc>
        <w:tc>
          <w:tcPr>
            <w:tcW w:w="1560" w:type="dxa"/>
            <w:vAlign w:val="bottom"/>
            <w:tcBorders>
              <w:top w:val="single" w:sz="8" w:color="auto"/>
            </w:tcBorders>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w w:val="94"/>
              </w:rPr>
              <w:t>June 30, 2016</w:t>
            </w: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June 30, 2015</w:t>
            </w:r>
          </w:p>
        </w:tc>
        <w:tc>
          <w:tcPr>
            <w:tcW w:w="660" w:type="dxa"/>
            <w:vAlign w:val="bottom"/>
          </w:tcPr>
          <w:p>
            <w:pPr>
              <w:spacing w:after="0"/>
              <w:rPr>
                <w:sz w:val="12"/>
                <w:szCs w:val="12"/>
                <w:color w:val="auto"/>
              </w:rPr>
            </w:pPr>
          </w:p>
        </w:tc>
        <w:tc>
          <w:tcPr>
            <w:tcW w:w="15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June 30, 2016</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June 30, 2015</w:t>
            </w:r>
          </w:p>
        </w:tc>
        <w:tc>
          <w:tcPr>
            <w:tcW w:w="100" w:type="dxa"/>
            <w:vAlign w:val="bottom"/>
          </w:tcPr>
          <w:p>
            <w:pPr>
              <w:spacing w:after="0"/>
              <w:rPr>
                <w:sz w:val="12"/>
                <w:szCs w:val="12"/>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49,638</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34,105</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67,409</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4800" w:type="dxa"/>
            <w:vAlign w:val="bottom"/>
          </w:tcPr>
          <w:p>
            <w:pPr>
              <w:spacing w:after="0" w:line="201" w:lineRule="exact"/>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59,348,460</w:t>
            </w:r>
          </w:p>
        </w:tc>
        <w:tc>
          <w:tcPr>
            <w:tcW w:w="10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53,987,627</w:t>
            </w:r>
          </w:p>
        </w:tc>
        <w:tc>
          <w:tcPr>
            <w:tcW w:w="8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57,575,365</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53,945,087</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three and six months ended June 30, 2016 was less than the conversion price for the Convertible Senior Notes outstanding as of June 30, 2016. Therefore, for all periods presented in the financial statements, the underlying shares for the intrinsic value of the embedded options in the Convertible Senior Notes have no impact on the computation of diluted earnings per common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six months ended June 30, 2016 and 2015:</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3"/>
          </w:tcPr>
          <w:p>
            <w:pPr>
              <w:ind w:left="28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2016</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148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Record Date</w:t>
            </w:r>
          </w:p>
        </w:tc>
        <w:tc>
          <w:tcPr>
            <w:tcW w:w="300" w:type="dxa"/>
            <w:vAlign w:val="bottom"/>
          </w:tcPr>
          <w:p>
            <w:pPr>
              <w:spacing w:after="0"/>
              <w:rPr>
                <w:sz w:val="12"/>
                <w:szCs w:val="12"/>
                <w:color w:val="auto"/>
              </w:rPr>
            </w:pPr>
          </w:p>
        </w:tc>
        <w:tc>
          <w:tcPr>
            <w:tcW w:w="16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Payment Date</w:t>
            </w:r>
          </w:p>
        </w:tc>
        <w:tc>
          <w:tcPr>
            <w:tcW w:w="1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24, 2016</w:t>
            </w:r>
          </w:p>
        </w:tc>
        <w:tc>
          <w:tcPr>
            <w:tcW w:w="12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March 31, 2016</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3"/>
              </w:rPr>
              <w:t>April 29, 2016</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0.39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May 4, 2016</w:t>
            </w:r>
          </w:p>
        </w:tc>
        <w:tc>
          <w:tcPr>
            <w:tcW w:w="1480" w:type="dxa"/>
            <w:vAlign w:val="bottom"/>
            <w:gridSpan w:val="2"/>
          </w:tcPr>
          <w:p>
            <w:pPr>
              <w:ind w:left="200"/>
              <w:spacing w:after="0"/>
              <w:rPr>
                <w:sz w:val="20"/>
                <w:szCs w:val="20"/>
                <w:color w:val="auto"/>
              </w:rPr>
            </w:pPr>
            <w:r>
              <w:rPr>
                <w:rFonts w:ascii="Arial" w:cs="Arial" w:eastAsia="Arial" w:hAnsi="Arial"/>
                <w:sz w:val="18"/>
                <w:szCs w:val="18"/>
                <w:color w:val="auto"/>
              </w:rPr>
              <w:t>June 30, 2016</w:t>
            </w:r>
          </w:p>
        </w:tc>
        <w:tc>
          <w:tcPr>
            <w:tcW w:w="30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color w:val="auto"/>
              </w:rPr>
              <w:t>July 29, 2016</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2015</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148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Record Date</w:t>
            </w:r>
          </w:p>
        </w:tc>
        <w:tc>
          <w:tcPr>
            <w:tcW w:w="300" w:type="dxa"/>
            <w:vAlign w:val="bottom"/>
          </w:tcPr>
          <w:p>
            <w:pPr>
              <w:spacing w:after="0"/>
              <w:rPr>
                <w:sz w:val="12"/>
                <w:szCs w:val="12"/>
                <w:color w:val="auto"/>
              </w:rPr>
            </w:pPr>
          </w:p>
        </w:tc>
        <w:tc>
          <w:tcPr>
            <w:tcW w:w="16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Payment Date</w:t>
            </w:r>
          </w:p>
        </w:tc>
        <w:tc>
          <w:tcPr>
            <w:tcW w:w="1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24, 2015</w:t>
            </w:r>
          </w:p>
        </w:tc>
        <w:tc>
          <w:tcPr>
            <w:tcW w:w="12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March 31, 2015</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3"/>
              </w:rPr>
              <w:t>April 30, 2015</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0.39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May 7, 2015</w:t>
            </w:r>
          </w:p>
        </w:tc>
        <w:tc>
          <w:tcPr>
            <w:tcW w:w="1480" w:type="dxa"/>
            <w:vAlign w:val="bottom"/>
            <w:gridSpan w:val="2"/>
          </w:tcPr>
          <w:p>
            <w:pPr>
              <w:ind w:left="200"/>
              <w:spacing w:after="0"/>
              <w:rPr>
                <w:sz w:val="20"/>
                <w:szCs w:val="20"/>
                <w:color w:val="auto"/>
              </w:rPr>
            </w:pPr>
            <w:r>
              <w:rPr>
                <w:rFonts w:ascii="Arial" w:cs="Arial" w:eastAsia="Arial" w:hAnsi="Arial"/>
                <w:sz w:val="18"/>
                <w:szCs w:val="18"/>
                <w:color w:val="auto"/>
              </w:rPr>
              <w:t>June 30, 2015</w:t>
            </w:r>
          </w:p>
        </w:tc>
        <w:tc>
          <w:tcPr>
            <w:tcW w:w="30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color w:val="auto"/>
              </w:rPr>
              <w:t>July 31, 2015</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520" w:right="180"/>
        <w:spacing w:after="0" w:line="449" w:lineRule="auto"/>
        <w:rPr>
          <w:sz w:val="20"/>
          <w:szCs w:val="20"/>
          <w:color w:val="auto"/>
        </w:rPr>
      </w:pPr>
      <w:r>
        <w:rPr>
          <w:rFonts w:ascii="Arial" w:cs="Arial" w:eastAsia="Arial" w:hAnsi="Arial"/>
          <w:sz w:val="18"/>
          <w:szCs w:val="18"/>
          <w:color w:val="auto"/>
        </w:rPr>
        <w:t>The dividends declared during the six months ended June 30, 2016 and 2015 were derived from net investment income, determined on a tax basis. 40</w:t>
      </w:r>
    </w:p>
    <w:p>
      <w:pPr>
        <w:sectPr>
          <w:pgSz w:w="11900" w:h="16838" w:orient="portrait"/>
          <w:cols w:equalWidth="0" w:num="1">
            <w:col w:w="11180"/>
          </w:cols>
          <w:pgMar w:left="24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Highlights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six months ended June 30, 2016 and 2015.</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Six Months Ended</w:t>
            </w: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June 30, 2016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June 30,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(7)</w:t>
            </w:r>
          </w:p>
        </w:tc>
        <w:tc>
          <w:tcPr>
            <w:tcW w:w="10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15.15</w:t>
            </w:r>
          </w:p>
        </w:tc>
        <w:tc>
          <w:tcPr>
            <w:tcW w:w="220" w:type="dxa"/>
            <w:vAlign w:val="bottom"/>
          </w:tcPr>
          <w:p>
            <w:pPr>
              <w:spacing w:after="0"/>
              <w:rPr>
                <w:sz w:val="20"/>
                <w:szCs w:val="20"/>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 xml:space="preserve">Net realized and unrealized gain </w:t>
            </w:r>
            <w:r>
              <w:rPr>
                <w:rFonts w:ascii="Arial" w:cs="Arial" w:eastAsia="Arial" w:hAnsi="Arial"/>
                <w:sz w:val="15"/>
                <w:szCs w:val="15"/>
                <w:color w:val="auto"/>
              </w:rPr>
              <w:t>(1)</w:t>
            </w:r>
          </w:p>
        </w:tc>
        <w:tc>
          <w:tcPr>
            <w:tcW w:w="1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from operations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 xml:space="preserve">Issuance of common stock, net of offering costs </w:t>
            </w:r>
            <w:r>
              <w:rPr>
                <w:rFonts w:ascii="Arial" w:cs="Arial" w:eastAsia="Arial" w:hAnsi="Arial"/>
                <w:sz w:val="15"/>
                <w:szCs w:val="15"/>
                <w:color w:val="auto"/>
              </w:rPr>
              <w:t>(2)</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Dividends declared from net investment income </w:t>
            </w:r>
            <w:r>
              <w:rPr>
                <w:rFonts w:ascii="Arial" w:cs="Arial" w:eastAsia="Arial" w:hAnsi="Arial"/>
                <w:sz w:val="15"/>
                <w:szCs w:val="15"/>
                <w:color w:val="auto"/>
              </w:rPr>
              <w:t>(2)</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Total increase in net assets</w:t>
            </w:r>
          </w:p>
        </w:tc>
        <w:tc>
          <w:tcPr>
            <w:tcW w:w="10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Asset Value, End of Period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Per share market value at end of period</w:t>
            </w:r>
          </w:p>
        </w:tc>
        <w:tc>
          <w:tcPr>
            <w:tcW w:w="10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(4)</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7.79%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End of Period</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59,411,892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54,001,289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15"/>
                <w:szCs w:val="15"/>
                <w:b w:val="1"/>
                <w:bCs w:val="1"/>
                <w:color w:val="auto"/>
              </w:rPr>
              <w:t>(5)</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Ratio of net expenses to average net assets </w:t>
            </w:r>
            <w:r>
              <w:rPr>
                <w:rFonts w:ascii="Arial" w:cs="Arial" w:eastAsia="Arial" w:hAnsi="Arial"/>
                <w:sz w:val="15"/>
                <w:szCs w:val="15"/>
                <w:color w:val="auto"/>
              </w:rPr>
              <w:t>(6)</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924,019</w:t>
            </w:r>
          </w:p>
        </w:tc>
        <w:tc>
          <w:tcPr>
            <w:tcW w:w="220" w:type="dxa"/>
            <w:vAlign w:val="bottom"/>
          </w:tcPr>
          <w:p>
            <w:pPr>
              <w:spacing w:after="0"/>
              <w:rPr>
                <w:sz w:val="20"/>
                <w:szCs w:val="20"/>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855,289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460" w:right="6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460" w:right="140" w:hanging="452"/>
        <w:spacing w:after="0" w:line="265"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ratio of net expenses to average net assets in the table above reflects the Adviser’s waivers of its right to receive a portion of the Management Fee and Incentive Fees with respect to our ownership of shares of common stock of TICC Capital Corp. Excluding the effects of waivers, the ratio of net expenses to average net assets would have been 9.38% for the six months ended June 30, 2016. No Management Fees or Incentive Fees were waived for the six months ended June 30, 2015, which was prior to our ownership of TICC Shares.</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three and six months ended June 30, 2016.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used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7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have in place a stock repurchase plan, the Company 10b5-1 Plan, to acquire up to $50 million in the aggregate of our common stock at prices below our net asset value over a specified period, in accordance with the guidelines specified in Rule 10b-18 and Rule 10b5-1 of the Exchange Act. We put the Company 10b5-1 Plan in place because we believe that if our common stock is trading below our then-current net asset value, it is in the best interest of our stockholders for us to reinvest in our portfolio and increase our leverage ratio through share repurchases.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August 4, 2015, our Board authorized us to enter into a new stock repurchase plan, the Company 10b5-1 Plan, to acquire up to $50 million in the aggregate of our common stock at prices just below our net asset value over a specified period, in accordance with the guidelines specified in Rule 10b-18 and Rule 10b5-1 of the Exchange Act. On August 3, 2016, our Board authorized the extension of the termination date of the Company 10b5-1 plan to February 28, 2017. Unless extended or terminated by the Board, the Company 10b5-1 Plan will be in effect through the earlier of February 28, 2017 or such time as the current approved repurchase amount of up to $50 million has been fully utilized, subject to certain conditions.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June 30, 2016, we have originated more than $4.6 billion aggregate principal amount of investments and retained approximately $3.2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By “middle-market companies,” we mean companies that have annual EBITDA, which we believe is a useful proxy for cash flow, of $10 million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$250 million, although we may invest in larger or smaller companies on occasion. As of June 30, 2016, our core portfolio companies, which excludes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that fall outside of our typical borrower profile and represent 87% of our total investments based on fair value, had weighted average annual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 of $139.4 million and weighted average annual EBITDA of $36.4 million.</w:t>
      </w:r>
    </w:p>
    <w:p>
      <w:pPr>
        <w:spacing w:after="0" w:line="21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2016, the average investment size in each of our portfolio companies was approximately $32.2 million based on fair value.</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As of June 30, 2016, the largest single investment based on fair value represented 4.6% of our total investment portfolio.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2016, no industry represented more than 16.8% of our total investment portfolio.</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Investment Structuring. </w:t>
      </w:r>
      <w:r>
        <w:rPr>
          <w:rFonts w:ascii="Arial" w:cs="Arial" w:eastAsia="Arial" w:hAnsi="Arial"/>
          <w:sz w:val="18"/>
          <w:szCs w:val="18"/>
          <w:color w:val="auto"/>
        </w:rPr>
        <w:t>We focus on investing at the top of the capital structure and protecting that position. As of June 30, 2016, approximately 96.7%</w:t>
      </w:r>
      <w:r>
        <w:rPr>
          <w:rFonts w:ascii="Arial" w:cs="Arial" w:eastAsia="Arial" w:hAnsi="Arial"/>
          <w:sz w:val="18"/>
          <w:szCs w:val="18"/>
          <w:i w:val="1"/>
          <w:iCs w:val="1"/>
          <w:color w:val="auto"/>
        </w:rPr>
        <w:t xml:space="preserve"> </w:t>
      </w:r>
      <w:r>
        <w:rPr>
          <w:rFonts w:ascii="Arial" w:cs="Arial" w:eastAsia="Arial" w:hAnsi="Arial"/>
          <w:sz w:val="18"/>
          <w:szCs w:val="18"/>
          <w:color w:val="auto"/>
        </w:rPr>
        <w:t>of our portfolio was invested in secured debt, including 92.9%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June 30, 2016, the weighted average term on new investment commitments in new portfolio companies was 3.4 years.</w:t>
      </w:r>
    </w:p>
    <w:p>
      <w:pPr>
        <w:spacing w:after="0" w:line="18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i w:val="1"/>
          <w:iCs w:val="1"/>
          <w:color w:val="auto"/>
        </w:rPr>
        <w:t xml:space="preserve">Risk Mitigation. </w:t>
      </w:r>
      <w:r>
        <w:rPr>
          <w:rFonts w:ascii="Arial" w:cs="Arial" w:eastAsia="Arial" w:hAnsi="Arial"/>
          <w:sz w:val="17"/>
          <w:szCs w:val="17"/>
          <w:color w:val="auto"/>
        </w:rPr>
        <w:t>We seek to mitigate non-credit-related risk on our returns in several ways, including call protection provisions to protect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income. As of June 30, 2016, we had call protection on 81.7% of our debt investments based on fair value, with weighted average call prices of 106.5% for the first year, 103.4% for the second year and 101.6% for the third year, in each case from the date of the initial investment. As of June 30, 2016, 96.4% of our debt investments based on fair value bore interest at floating rates (when including investment specific hedges), with 92.6% of these subject to interest rate floors, which we believe helps act as a portfolio-wide hedge against inflation.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TPG Special Situations Partners, or TSSP.</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TSSP, with over $16 billion of assets under management as of March 31, 2016, is TPG’s special situations and credit platform and encompasses TPG Specialty Lending, TPG Opportunities Partners and TSSP 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140 investment and operating professionals. As of June 30, 2016, twenty eight (28) of these personnel are dedicated to our business, including 21 investment professionals.</w:t>
      </w:r>
    </w:p>
    <w:p>
      <w:pPr>
        <w:spacing w:after="0" w:line="18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6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sales of loans and debt and equity securities and various loan origination and other fees. Our debt investments typically have a term of two to six years, and, as of June 30, 2016, 96.4% of these investments based on fair value bore interest at a floating rate (when including investment specific hedges), with 92.6% of these subject to interest rate floors. Interest on debt investments is generally payable quarterly or semiannually. Some of our investments provide for deferred interest payments or PIK interest. For the six months ended June 30, 2016, 5.0% of our total investment income was comprised of PIK interest.</w:t>
      </w:r>
    </w:p>
    <w:p>
      <w:pPr>
        <w:spacing w:after="0" w:line="19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and Convertible Senior Notes, after taking into account the effect of the interest rate swaps we have entered into in connection with the Convertible Senior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We record prepayment premiums on loans as interest income.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Dividend income 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87"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446"/>
        <w:spacing w:after="0" w:line="30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59" w:lineRule="exact"/>
        <w:rPr>
          <w:rFonts w:ascii="Arial" w:cs="Arial" w:eastAsia="Arial" w:hAnsi="Arial"/>
          <w:sz w:val="16"/>
          <w:szCs w:val="16"/>
          <w:color w:val="auto"/>
        </w:rPr>
      </w:pPr>
    </w:p>
    <w:p>
      <w:pPr>
        <w:ind w:left="900" w:right="100" w:hanging="446"/>
        <w:spacing w:after="0" w:line="34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our total borrowings are limited so that our asset coverage ratio cannot fall below 200%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to financing facilities from time to time.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820" w:firstLine="456"/>
        <w:spacing w:after="0" w:line="308" w:lineRule="auto"/>
        <w:rPr>
          <w:sz w:val="20"/>
          <w:szCs w:val="20"/>
          <w:color w:val="auto"/>
        </w:rPr>
      </w:pPr>
      <w:r>
        <w:rPr>
          <w:rFonts w:ascii="Arial" w:cs="Arial" w:eastAsia="Arial" w:hAnsi="Arial"/>
          <w:sz w:val="17"/>
          <w:szCs w:val="17"/>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reduces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June 30, 2016, our portfolio based on fair value consisted of 92.9% first-lien debt investments, 3.7% second-lien debt investments, 1.9% mezzanine and unsecured debt investments and 1.5% equity and other investments. As of December 31, 2015, our portfolio based on fair value consisted of 88.2% first-lien debt investments, 8.1% second-lien debt investments, 1.9% mezzanine and unsecured debt investments, and 1.8% equity and other investments.</w:t>
      </w:r>
    </w:p>
    <w:p>
      <w:pPr>
        <w:spacing w:after="0" w:line="187"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As of June 30, 2016 and December 31, 2015, our weighted average total yield of debt and income producing securities at fair value (which includes interest income and amortization of fees and discounts) was 10.6% and 10.3%, respectively, and our weighted average total yield of debt and income producing securities at amortized cost (which includes interest income and amortization of fees and discounts) was 10.5% and 10.1%, respectively.</w:t>
      </w:r>
    </w:p>
    <w:p>
      <w:pPr>
        <w:spacing w:after="0" w:line="14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As of June 30, 2016 and December 31, 2015, we had investments in 50 and 46 portfolio companies, respectively, with an aggregate fair value of $1,611.0 million and $1,485.7 million, respectively.</w:t>
      </w:r>
    </w:p>
    <w:p>
      <w:pPr>
        <w:spacing w:after="0" w:line="17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For the three months ended June 30, 2016, we made new investment commitments of $184.7 million, $170.0 million in three new portfolio companies and $14.7 million in three existing portfolio companies. For this period, we had $114.7 million aggregate principal amount in exits and repayments, resulting in a net portfolio increase of $31.1 million aggregate principal amount.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three months ended June 30, 2015, we made new investment commitments of $112.3 million, $96.8 million in five new portfolio companies and $15.5 million in three existing portfolio companies. For this period, we had $21.6 million aggregate principal amount in exits and repayments, resulting in a net portfolio increase of $62.5 million aggregate principal amount.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investment activity for the three months ended June 30, 2016 and 2015 is presented below (information presented herein is at par value unless otherwise indicated).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40" w:type="dxa"/>
            <w:vAlign w:val="bottom"/>
            <w:gridSpan w:val="2"/>
            <w:vMerge w:val="restart"/>
          </w:tcPr>
          <w:p>
            <w:pPr>
              <w:ind w:left="920"/>
              <w:spacing w:after="0"/>
              <w:rPr>
                <w:sz w:val="20"/>
                <w:szCs w:val="20"/>
                <w:color w:val="auto"/>
              </w:rPr>
            </w:pPr>
            <w:r>
              <w:rPr>
                <w:rFonts w:ascii="Arial" w:cs="Arial" w:eastAsia="Arial" w:hAnsi="Arial"/>
                <w:sz w:val="14"/>
                <w:szCs w:val="14"/>
                <w:color w:val="auto"/>
              </w:rPr>
              <w:t>($ in millions)</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30, 2016</w:t>
            </w:r>
          </w:p>
        </w:tc>
        <w:tc>
          <w:tcPr>
            <w:tcW w:w="220" w:type="dxa"/>
            <w:vAlign w:val="bottom"/>
          </w:tcPr>
          <w:p>
            <w:pPr>
              <w:spacing w:after="0"/>
              <w:rPr>
                <w:sz w:val="12"/>
                <w:szCs w:val="12"/>
                <w:color w:val="auto"/>
              </w:rPr>
            </w:pPr>
          </w:p>
        </w:tc>
        <w:tc>
          <w:tcPr>
            <w:tcW w:w="11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June 30, 2015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6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Gross originations</w:t>
            </w:r>
          </w:p>
        </w:tc>
        <w:tc>
          <w:tcPr>
            <w:tcW w:w="660" w:type="dxa"/>
            <w:vAlign w:val="bottom"/>
          </w:tcPr>
          <w:p>
            <w:pPr>
              <w:spacing w:after="0"/>
              <w:rPr>
                <w:sz w:val="18"/>
                <w:szCs w:val="18"/>
                <w:color w:val="auto"/>
              </w:rPr>
            </w:pPr>
          </w:p>
        </w:tc>
        <w:tc>
          <w:tcPr>
            <w:tcW w:w="9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199.7</w:t>
            </w:r>
          </w:p>
        </w:tc>
        <w:tc>
          <w:tcPr>
            <w:tcW w:w="320" w:type="dxa"/>
            <w:vAlign w:val="bottom"/>
          </w:tcPr>
          <w:p>
            <w:pPr>
              <w:spacing w:after="0"/>
              <w:rPr>
                <w:sz w:val="18"/>
                <w:szCs w:val="18"/>
                <w:color w:val="auto"/>
              </w:rPr>
            </w:pPr>
          </w:p>
        </w:tc>
        <w:tc>
          <w:tcPr>
            <w:tcW w:w="880" w:type="dxa"/>
            <w:vAlign w:val="bottom"/>
            <w:gridSpan w:val="3"/>
          </w:tcPr>
          <w:p>
            <w:pPr>
              <w:jc w:val="right"/>
              <w:ind w:right="18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112.3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Syndications/sell downs</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20" w:type="dxa"/>
            <w:vAlign w:val="bottom"/>
          </w:tcPr>
          <w:p>
            <w:pPr>
              <w:ind w:left="720"/>
              <w:spacing w:after="0"/>
              <w:rPr>
                <w:sz w:val="20"/>
                <w:szCs w:val="20"/>
                <w:color w:val="auto"/>
              </w:rPr>
            </w:pPr>
            <w:r>
              <w:rPr>
                <w:rFonts w:ascii="Arial" w:cs="Arial" w:eastAsia="Arial" w:hAnsi="Arial"/>
                <w:sz w:val="18"/>
                <w:szCs w:val="18"/>
                <w:color w:val="auto"/>
              </w:rPr>
              <w:t>Total new investment commitments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top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112.3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660" w:type="dxa"/>
            <w:vAlign w:val="bottom"/>
          </w:tcPr>
          <w:p>
            <w:pPr>
              <w:spacing w:after="0"/>
              <w:rPr>
                <w:sz w:val="18"/>
                <w:szCs w:val="18"/>
                <w:color w:val="auto"/>
              </w:rPr>
            </w:pPr>
          </w:p>
        </w:tc>
        <w:tc>
          <w:tcPr>
            <w:tcW w:w="9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145.8</w:t>
            </w:r>
          </w:p>
        </w:tc>
        <w:tc>
          <w:tcPr>
            <w:tcW w:w="320" w:type="dxa"/>
            <w:vAlign w:val="bottom"/>
          </w:tcPr>
          <w:p>
            <w:pPr>
              <w:spacing w:after="0"/>
              <w:rPr>
                <w:sz w:val="18"/>
                <w:szCs w:val="18"/>
                <w:color w:val="auto"/>
              </w:rPr>
            </w:pPr>
          </w:p>
        </w:tc>
        <w:tc>
          <w:tcPr>
            <w:tcW w:w="880" w:type="dxa"/>
            <w:vAlign w:val="bottom"/>
            <w:gridSpan w:val="3"/>
          </w:tcPr>
          <w:p>
            <w:pPr>
              <w:jc w:val="right"/>
              <w:ind w:right="18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Mezzanine and unsecured</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and other</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20" w:type="dxa"/>
            <w:vAlign w:val="bottom"/>
          </w:tcPr>
          <w:p>
            <w:pPr>
              <w:ind w:left="720"/>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top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660" w:type="dxa"/>
            <w:vAlign w:val="bottom"/>
          </w:tcPr>
          <w:p>
            <w:pPr>
              <w:spacing w:after="0"/>
              <w:rPr>
                <w:sz w:val="18"/>
                <w:szCs w:val="18"/>
                <w:color w:val="auto"/>
              </w:rPr>
            </w:pPr>
          </w:p>
        </w:tc>
        <w:tc>
          <w:tcPr>
            <w:tcW w:w="9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52.2</w:t>
            </w:r>
          </w:p>
        </w:tc>
        <w:tc>
          <w:tcPr>
            <w:tcW w:w="320" w:type="dxa"/>
            <w:vAlign w:val="bottom"/>
          </w:tcPr>
          <w:p>
            <w:pPr>
              <w:spacing w:after="0"/>
              <w:rPr>
                <w:sz w:val="18"/>
                <w:szCs w:val="18"/>
                <w:color w:val="auto"/>
              </w:rPr>
            </w:pPr>
          </w:p>
        </w:tc>
        <w:tc>
          <w:tcPr>
            <w:tcW w:w="880" w:type="dxa"/>
            <w:vAlign w:val="bottom"/>
            <w:gridSpan w:val="3"/>
          </w:tcPr>
          <w:p>
            <w:pPr>
              <w:jc w:val="right"/>
              <w:ind w:right="18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Mezzanine and unsecured</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6"/>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40" w:type="dxa"/>
            <w:vAlign w:val="bottom"/>
            <w:gridSpan w:val="2"/>
          </w:tcPr>
          <w:p>
            <w:pPr>
              <w:ind w:left="920"/>
              <w:spacing w:after="0" w:line="205" w:lineRule="exact"/>
              <w:rPr>
                <w:sz w:val="20"/>
                <w:szCs w:val="20"/>
                <w:color w:val="auto"/>
              </w:rPr>
            </w:pPr>
            <w:r>
              <w:rPr>
                <w:rFonts w:ascii="Arial" w:cs="Arial" w:eastAsia="Arial" w:hAnsi="Arial"/>
                <w:sz w:val="18"/>
                <w:szCs w:val="18"/>
                <w:b w:val="1"/>
                <w:bCs w:val="1"/>
                <w:color w:val="auto"/>
                <w:w w:val="93"/>
              </w:rPr>
              <w:t>Number of new investment commitments in new portfolio</w:t>
            </w: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620" w:type="dxa"/>
            <w:vAlign w:val="bottom"/>
          </w:tcPr>
          <w:p>
            <w:pPr>
              <w:ind w:left="180"/>
              <w:spacing w:after="0"/>
              <w:rPr>
                <w:sz w:val="20"/>
                <w:szCs w:val="20"/>
                <w:color w:val="auto"/>
              </w:rPr>
            </w:pPr>
            <w:r>
              <w:rPr>
                <w:rFonts w:ascii="Arial" w:cs="Arial" w:eastAsia="Arial" w:hAnsi="Arial"/>
                <w:sz w:val="18"/>
                <w:szCs w:val="18"/>
                <w:b w:val="1"/>
                <w:bCs w:val="1"/>
                <w:color w:val="auto"/>
              </w:rPr>
              <w:t>companies</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52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Average new investment commitment amount in new portfolio</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companies</w:t>
            </w:r>
          </w:p>
        </w:tc>
        <w:tc>
          <w:tcPr>
            <w:tcW w:w="6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86"/>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52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5"/>
              </w:rPr>
              <w:t>Weighted average term for new investment commitments in new</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620" w:type="dxa"/>
            <w:vAlign w:val="bottom"/>
          </w:tcPr>
          <w:p>
            <w:pPr>
              <w:ind w:left="180"/>
              <w:spacing w:after="0"/>
              <w:rPr>
                <w:sz w:val="20"/>
                <w:szCs w:val="20"/>
                <w:color w:val="auto"/>
              </w:rPr>
            </w:pPr>
            <w:r>
              <w:rPr>
                <w:rFonts w:ascii="Arial" w:cs="Arial" w:eastAsia="Arial" w:hAnsi="Arial"/>
                <w:sz w:val="18"/>
                <w:szCs w:val="18"/>
                <w:b w:val="1"/>
                <w:bCs w:val="1"/>
                <w:color w:val="auto"/>
              </w:rPr>
              <w:t>portfolio companies (in years)</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Percentage of new debt investment commitments at floating rates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w w:val="97"/>
              </w:rPr>
              <w:t>Percentage of new debt investment commitments at fixed rates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Weighted average interest rate of new investment commitments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4620" w:type="dxa"/>
            <w:vAlign w:val="bottom"/>
          </w:tcPr>
          <w:p>
            <w:pPr>
              <w:spacing w:after="0" w:line="198" w:lineRule="exact"/>
              <w:rPr>
                <w:sz w:val="20"/>
                <w:szCs w:val="20"/>
                <w:color w:val="auto"/>
              </w:rPr>
            </w:pPr>
            <w:r>
              <w:rPr>
                <w:rFonts w:ascii="Arial" w:cs="Arial" w:eastAsia="Arial" w:hAnsi="Arial"/>
                <w:sz w:val="18"/>
                <w:szCs w:val="18"/>
                <w:b w:val="1"/>
                <w:bCs w:val="1"/>
                <w:color w:val="auto"/>
                <w:w w:val="93"/>
              </w:rPr>
              <w:t>Weighted average spread over LIBOR of new floating rate</w:t>
            </w: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620" w:type="dxa"/>
            <w:vAlign w:val="bottom"/>
          </w:tcPr>
          <w:p>
            <w:pPr>
              <w:ind w:left="180"/>
              <w:spacing w:after="0"/>
              <w:rPr>
                <w:sz w:val="20"/>
                <w:szCs w:val="20"/>
                <w:color w:val="auto"/>
              </w:rPr>
            </w:pPr>
            <w:r>
              <w:rPr>
                <w:rFonts w:ascii="Arial" w:cs="Arial" w:eastAsia="Arial" w:hAnsi="Arial"/>
                <w:sz w:val="18"/>
                <w:szCs w:val="18"/>
                <w:b w:val="1"/>
                <w:bCs w:val="1"/>
                <w:color w:val="auto"/>
              </w:rPr>
              <w:t>investment commitments</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7.2%</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4"/>
              </w:rPr>
              <w:t>Weighted average interest rate on investments sold or paid down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100" w:type="dxa"/>
            <w:vAlign w:val="bottom"/>
            <w:gridSpan w:val="6"/>
          </w:tcPr>
          <w:p>
            <w:pPr>
              <w:spacing w:after="0"/>
              <w:rPr>
                <w:sz w:val="20"/>
                <w:szCs w:val="20"/>
                <w:color w:val="auto"/>
              </w:rPr>
            </w:pPr>
            <w:r>
              <w:rPr>
                <w:rFonts w:ascii="Arial" w:cs="Arial" w:eastAsia="Arial" w:hAnsi="Arial"/>
                <w:sz w:val="18"/>
                <w:szCs w:val="18"/>
                <w:color w:val="auto"/>
              </w:rPr>
              <w:t>As of June 30, 2016 and December 31, 2015, our investments consisted of the following:</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54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66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June 30, 2016</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42"/>
        </w:trPr>
        <w:tc>
          <w:tcPr>
            <w:tcW w:w="5540" w:type="dxa"/>
            <w:vAlign w:val="bottom"/>
            <w:gridSpan w:val="2"/>
            <w:vMerge w:val="continue"/>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Fair Value</w:t>
            </w:r>
          </w:p>
        </w:tc>
        <w:tc>
          <w:tcPr>
            <w:tcW w:w="5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Amortized Cost</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Fair Value</w:t>
            </w:r>
          </w:p>
        </w:tc>
        <w:tc>
          <w:tcPr>
            <w:tcW w:w="4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Amortized Cost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$ 1,497.2</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1,503.5</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$ 1,310.2</w:t>
            </w: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Second-lien debt investments</w:t>
            </w:r>
          </w:p>
        </w:tc>
        <w:tc>
          <w:tcPr>
            <w:tcW w:w="660" w:type="dxa"/>
            <w:vAlign w:val="bottom"/>
          </w:tcPr>
          <w:p>
            <w:pPr>
              <w:jc w:val="right"/>
              <w:spacing w:after="0"/>
              <w:rPr>
                <w:sz w:val="20"/>
                <w:szCs w:val="20"/>
                <w:color w:val="auto"/>
              </w:rPr>
            </w:pPr>
            <w:r>
              <w:rPr>
                <w:rFonts w:ascii="Arial" w:cs="Arial" w:eastAsia="Arial" w:hAnsi="Arial"/>
                <w:sz w:val="18"/>
                <w:szCs w:val="18"/>
                <w:color w:val="auto"/>
              </w:rPr>
              <w:t>60.3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66.1</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121.2</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29.7</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Equity and other investments</w:t>
            </w:r>
          </w:p>
        </w:tc>
        <w:tc>
          <w:tcPr>
            <w:tcW w:w="660" w:type="dxa"/>
            <w:vAlign w:val="bottom"/>
          </w:tcPr>
          <w:p>
            <w:pPr>
              <w:jc w:val="right"/>
              <w:spacing w:after="0"/>
              <w:rPr>
                <w:sz w:val="20"/>
                <w:szCs w:val="20"/>
                <w:color w:val="auto"/>
              </w:rPr>
            </w:pPr>
            <w:r>
              <w:rPr>
                <w:rFonts w:ascii="Arial" w:cs="Arial" w:eastAsia="Arial" w:hAnsi="Arial"/>
                <w:sz w:val="18"/>
                <w:szCs w:val="18"/>
                <w:color w:val="auto"/>
              </w:rPr>
              <w:t>23.3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40.9</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26.3</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$ 1,611.0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1,640.2</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1,485.7</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show the fair value and amortized cost of our performing and non-accrual investments as of June 30, 2016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1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760" w:type="dxa"/>
            <w:vAlign w:val="bottom"/>
          </w:tcPr>
          <w:p>
            <w:pPr>
              <w:spacing w:after="0"/>
              <w:rPr>
                <w:sz w:val="14"/>
                <w:szCs w:val="14"/>
                <w:color w:val="auto"/>
              </w:rPr>
            </w:pPr>
          </w:p>
        </w:tc>
        <w:tc>
          <w:tcPr>
            <w:tcW w:w="252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June 30, 2016</w:t>
            </w:r>
          </w:p>
        </w:tc>
        <w:tc>
          <w:tcPr>
            <w:tcW w:w="208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CCEEFF"/>
            </w:tcBorders>
            <w:vMerge w:val="continue"/>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5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6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2"/>
              </w:rPr>
              <w:t>Fair Value</w:t>
            </w:r>
          </w:p>
        </w:tc>
        <w:tc>
          <w:tcPr>
            <w:tcW w:w="5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27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$ 1,603.0</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99.5%</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w w:val="82"/>
              </w:rPr>
              <w:t>$ 1,485.7</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2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54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0.5%</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7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$ 1,611.0</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64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1,485.7</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760" w:type="dxa"/>
            <w:vAlign w:val="bottom"/>
            <w:vMerge w:val="restart"/>
          </w:tcPr>
          <w:p>
            <w:pPr>
              <w:jc w:val="right"/>
              <w:ind w:right="470"/>
              <w:spacing w:after="0"/>
              <w:rPr>
                <w:sz w:val="20"/>
                <w:szCs w:val="20"/>
                <w:color w:val="auto"/>
              </w:rPr>
            </w:pPr>
            <w:r>
              <w:rPr>
                <w:rFonts w:ascii="Arial" w:cs="Arial" w:eastAsia="Arial" w:hAnsi="Arial"/>
                <w:sz w:val="18"/>
                <w:szCs w:val="18"/>
                <w:color w:val="auto"/>
              </w:rPr>
              <w:t>47</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9" w:right="6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1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440"/>
              <w:spacing w:after="0"/>
              <w:rPr>
                <w:sz w:val="20"/>
                <w:szCs w:val="20"/>
                <w:color w:val="auto"/>
              </w:rPr>
            </w:pPr>
            <w:r>
              <w:rPr>
                <w:rFonts w:ascii="Arial" w:cs="Arial" w:eastAsia="Arial" w:hAnsi="Arial"/>
                <w:sz w:val="14"/>
                <w:szCs w:val="14"/>
                <w:b w:val="1"/>
                <w:bCs w:val="1"/>
                <w:color w:val="auto"/>
                <w:w w:val="92"/>
              </w:rPr>
              <w:t>June 30, 2016</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42"/>
        </w:trPr>
        <w:tc>
          <w:tcPr>
            <w:tcW w:w="3120" w:type="dxa"/>
            <w:vAlign w:val="bottom"/>
            <w:vMerge w:val="continue"/>
          </w:tcPr>
          <w:p>
            <w:pPr>
              <w:spacing w:after="0"/>
              <w:rPr>
                <w:sz w:val="12"/>
                <w:szCs w:val="12"/>
                <w:color w:val="auto"/>
              </w:rPr>
            </w:pPr>
          </w:p>
        </w:tc>
        <w:tc>
          <w:tcPr>
            <w:tcW w:w="202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Amortized Cost</w:t>
            </w:r>
          </w:p>
        </w:tc>
        <w:tc>
          <w:tcPr>
            <w:tcW w:w="5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680" w:type="dxa"/>
            <w:vAlign w:val="bottom"/>
          </w:tcPr>
          <w:p>
            <w:pPr>
              <w:spacing w:after="0"/>
              <w:rPr>
                <w:sz w:val="12"/>
                <w:szCs w:val="12"/>
                <w:color w:val="auto"/>
              </w:rPr>
            </w:pPr>
          </w:p>
        </w:tc>
        <w:tc>
          <w:tcPr>
            <w:tcW w:w="1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Performing</w:t>
            </w:r>
          </w:p>
        </w:tc>
        <w:tc>
          <w:tcPr>
            <w:tcW w:w="20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vMerge w:val="continue"/>
            <w:shd w:val="clear" w:color="auto" w:fill="CCEEFF"/>
          </w:tcPr>
          <w:p>
            <w:pPr>
              <w:spacing w:after="0"/>
              <w:rPr>
                <w:sz w:val="18"/>
                <w:szCs w:val="18"/>
                <w:color w:val="auto"/>
              </w:rPr>
            </w:pPr>
          </w:p>
        </w:tc>
        <w:tc>
          <w:tcPr>
            <w:tcW w:w="20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1,629.3</w:t>
            </w:r>
          </w:p>
        </w:tc>
        <w:tc>
          <w:tcPr>
            <w:tcW w:w="5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1,529.7</w:t>
            </w:r>
          </w:p>
        </w:tc>
        <w:tc>
          <w:tcPr>
            <w:tcW w:w="58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w:t>
            </w:r>
          </w:p>
        </w:tc>
        <w:tc>
          <w:tcPr>
            <w:tcW w:w="5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28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1,640.2</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1,529.7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6"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weighted average yields and interest rates of our performing debt investments at fair value as of June 30, 2016 and December 31, 2015 were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9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June 30, 2016</w:t>
            </w:r>
          </w:p>
        </w:tc>
        <w:tc>
          <w:tcPr>
            <w:tcW w:w="1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2015</w:t>
            </w:r>
          </w:p>
        </w:tc>
      </w:tr>
      <w:tr>
        <w:trPr>
          <w:trHeight w:val="182"/>
        </w:trPr>
        <w:tc>
          <w:tcPr>
            <w:tcW w:w="4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Weighted average total yield of debt and income producing</w:t>
            </w:r>
          </w:p>
        </w:tc>
        <w:tc>
          <w:tcPr>
            <w:tcW w:w="5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10.6%</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r>
      <w:tr>
        <w:trPr>
          <w:trHeight w:val="202"/>
        </w:trPr>
        <w:tc>
          <w:tcPr>
            <w:tcW w:w="4900" w:type="dxa"/>
            <w:vAlign w:val="bottom"/>
          </w:tcPr>
          <w:p>
            <w:pPr>
              <w:spacing w:after="0" w:line="201" w:lineRule="exact"/>
              <w:rPr>
                <w:sz w:val="20"/>
                <w:szCs w:val="20"/>
                <w:color w:val="auto"/>
              </w:rPr>
            </w:pPr>
            <w:r>
              <w:rPr>
                <w:rFonts w:ascii="Arial" w:cs="Arial" w:eastAsia="Arial" w:hAnsi="Arial"/>
                <w:sz w:val="18"/>
                <w:szCs w:val="18"/>
                <w:color w:val="auto"/>
                <w:w w:val="99"/>
              </w:rPr>
              <w:t>Weighted average interest rate of debt and income producing</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90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1960" w:type="dxa"/>
            <w:vAlign w:val="bottom"/>
            <w:gridSpan w:val="3"/>
          </w:tcPr>
          <w:p>
            <w:pPr>
              <w:jc w:val="right"/>
              <w:ind w:right="440"/>
              <w:spacing w:after="0"/>
              <w:rPr>
                <w:sz w:val="20"/>
                <w:szCs w:val="20"/>
                <w:color w:val="auto"/>
              </w:rPr>
            </w:pPr>
            <w:r>
              <w:rPr>
                <w:rFonts w:ascii="Arial" w:cs="Arial" w:eastAsia="Arial" w:hAnsi="Arial"/>
                <w:sz w:val="18"/>
                <w:szCs w:val="18"/>
                <w:color w:val="auto"/>
              </w:rPr>
              <w:t>9.8%</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9.8%</w:t>
            </w:r>
          </w:p>
        </w:tc>
      </w:tr>
      <w:tr>
        <w:trPr>
          <w:trHeight w:val="202"/>
        </w:trPr>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spread over LIBOR of all floating rate</w:t>
            </w: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8.8%</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r>
    </w:tbl>
    <w:p>
      <w:pPr>
        <w:spacing w:after="0" w:line="202"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87"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ind w:left="900" w:right="40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6"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97"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63"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June 30, 2016 and December 31, 2015. Investment performance ratings are accurate only as of those dates and may change due to subsequent developments relating to a portfolio company’s business or financial condition, market conditions or developments, and other factors.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June 30, 2016</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Investments at</w:t>
            </w:r>
          </w:p>
        </w:tc>
        <w:tc>
          <w:tcPr>
            <w:tcW w:w="13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0"/>
              </w:rPr>
              <w:t>Percentage of</w:t>
            </w:r>
          </w:p>
        </w:tc>
        <w:tc>
          <w:tcPr>
            <w:tcW w:w="280" w:type="dxa"/>
            <w:vAlign w:val="bottom"/>
          </w:tcPr>
          <w:p>
            <w:pPr>
              <w:spacing w:after="0"/>
              <w:rPr>
                <w:sz w:val="10"/>
                <w:szCs w:val="10"/>
                <w:color w:val="auto"/>
              </w:rPr>
            </w:pPr>
          </w:p>
        </w:tc>
        <w:tc>
          <w:tcPr>
            <w:tcW w:w="15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Investments at</w:t>
            </w: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62"/>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Performance Rating</w:t>
            </w:r>
          </w:p>
        </w:tc>
        <w:tc>
          <w:tcPr>
            <w:tcW w:w="120" w:type="dxa"/>
            <w:vAlign w:val="bottom"/>
          </w:tcPr>
          <w:p>
            <w:pPr>
              <w:spacing w:after="0"/>
              <w:rPr>
                <w:sz w:val="14"/>
                <w:szCs w:val="14"/>
                <w:color w:val="auto"/>
              </w:rPr>
            </w:pP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Fair Value</w:t>
            </w:r>
          </w:p>
        </w:tc>
        <w:tc>
          <w:tcPr>
            <w:tcW w:w="1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5"/>
              </w:rPr>
              <w:t>Fair Value</w:t>
            </w: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0" w:type="dxa"/>
            <w:vAlign w:val="bottom"/>
            <w:gridSpan w:val="2"/>
            <w:vMerge w:val="continue"/>
          </w:tcPr>
          <w:p>
            <w:pPr>
              <w:spacing w:after="0"/>
              <w:rPr>
                <w:sz w:val="14"/>
                <w:szCs w:val="14"/>
                <w:color w:val="auto"/>
              </w:rPr>
            </w:pPr>
          </w:p>
        </w:tc>
        <w:tc>
          <w:tcPr>
            <w:tcW w:w="15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3"/>
              </w:rPr>
              <w:t>($ in millions)</w:t>
            </w: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Total Portfolio</w:t>
            </w:r>
          </w:p>
        </w:tc>
        <w:tc>
          <w:tcPr>
            <w:tcW w:w="280" w:type="dxa"/>
            <w:vAlign w:val="bottom"/>
          </w:tcPr>
          <w:p>
            <w:pPr>
              <w:spacing w:after="0"/>
              <w:rPr>
                <w:sz w:val="14"/>
                <w:szCs w:val="14"/>
                <w:color w:val="auto"/>
              </w:rPr>
            </w:pPr>
          </w:p>
        </w:tc>
        <w:tc>
          <w:tcPr>
            <w:tcW w:w="15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5"/>
              </w:rPr>
              <w:t>($ in millions)</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Total Portfolio</w:t>
            </w:r>
          </w:p>
        </w:tc>
        <w:tc>
          <w:tcPr>
            <w:tcW w:w="0" w:type="dxa"/>
            <w:vAlign w:val="bottom"/>
          </w:tcPr>
          <w:p>
            <w:pPr>
              <w:spacing w:after="0"/>
              <w:rPr>
                <w:sz w:val="1"/>
                <w:szCs w:val="1"/>
                <w:color w:val="auto"/>
              </w:rPr>
            </w:pPr>
          </w:p>
        </w:tc>
      </w:tr>
      <w:tr>
        <w:trPr>
          <w:trHeight w:val="20"/>
        </w:trPr>
        <w:tc>
          <w:tcPr>
            <w:tcW w:w="1980" w:type="dxa"/>
            <w:vAlign w:val="bottom"/>
            <w:shd w:val="clear" w:color="auto" w:fill="000000"/>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Borders>
              <w:left w:val="single" w:sz="8" w:color="CCEEFF"/>
            </w:tcBorders>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1,225.1</w:t>
            </w:r>
          </w:p>
        </w:tc>
        <w:tc>
          <w:tcPr>
            <w:tcW w:w="600" w:type="dxa"/>
            <w:vAlign w:val="bottom"/>
            <w:tcBorders>
              <w:left w:val="single" w:sz="8" w:color="CCEEFF"/>
            </w:tcBorders>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76.0%</w:t>
            </w: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60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2</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263.0</w:t>
            </w:r>
          </w:p>
        </w:tc>
        <w:tc>
          <w:tcPr>
            <w:tcW w:w="6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266.1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60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114.5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4</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26.8</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1,611.</w:t>
            </w:r>
            <w:r>
              <w:rPr>
                <w:rFonts w:ascii="Arial" w:cs="Arial" w:eastAsia="Arial" w:hAnsi="Arial"/>
                <w:sz w:val="18"/>
                <w:szCs w:val="18"/>
                <w:u w:val="single" w:color="auto"/>
                <w:color w:val="auto"/>
              </w:rPr>
              <w:t>0</w:t>
            </w:r>
          </w:p>
        </w:tc>
        <w:tc>
          <w:tcPr>
            <w:tcW w:w="600" w:type="dxa"/>
            <w:vAlign w:val="bottom"/>
            <w:vMerge w:val="continue"/>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2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1,485.7</w:t>
            </w:r>
          </w:p>
        </w:tc>
        <w:tc>
          <w:tcPr>
            <w:tcW w:w="600" w:type="dxa"/>
            <w:vAlign w:val="bottom"/>
            <w:vMerge w:val="continue"/>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three and six months ended June 30, 2016 and 2015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gridSpan w:val="2"/>
            <w:vMerge w:val="restart"/>
          </w:tcPr>
          <w:p>
            <w:pPr>
              <w:ind w:left="460"/>
              <w:spacing w:after="0"/>
              <w:rPr>
                <w:sz w:val="20"/>
                <w:szCs w:val="20"/>
                <w:color w:val="auto"/>
              </w:rPr>
            </w:pPr>
            <w:r>
              <w:rPr>
                <w:rFonts w:ascii="Arial" w:cs="Arial" w:eastAsia="Arial" w:hAnsi="Arial"/>
                <w:sz w:val="14"/>
                <w:szCs w:val="14"/>
                <w:color w:val="auto"/>
              </w:rPr>
              <w:t>($ in millions)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14"/>
                <w:szCs w:val="14"/>
                <w:color w:val="auto"/>
              </w:rPr>
            </w:pPr>
          </w:p>
        </w:tc>
        <w:tc>
          <w:tcPr>
            <w:tcW w:w="19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9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Less: Net expenses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 before income taxes</w:t>
            </w: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Less: Income taxes, including excise taxes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xml:space="preserve">Net realized gains (losses) </w:t>
            </w:r>
            <w:r>
              <w:rPr>
                <w:rFonts w:ascii="Arial" w:cs="Arial" w:eastAsia="Arial" w:hAnsi="Arial"/>
                <w:sz w:val="15"/>
                <w:szCs w:val="15"/>
                <w:color w:val="auto"/>
              </w:rPr>
              <w:t>(1)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change in unrealized gains </w:t>
            </w:r>
            <w:r>
              <w:rPr>
                <w:rFonts w:ascii="Arial" w:cs="Arial" w:eastAsia="Arial" w:hAnsi="Arial"/>
                <w:sz w:val="15"/>
                <w:szCs w:val="15"/>
                <w:color w:val="auto"/>
              </w:rPr>
              <w:t>(1)</w:t>
            </w: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720" w:type="dxa"/>
            <w:vAlign w:val="bottom"/>
          </w:tcPr>
          <w:p>
            <w:pPr>
              <w:ind w:left="360"/>
              <w:spacing w:after="0"/>
              <w:rPr>
                <w:sz w:val="20"/>
                <w:szCs w:val="20"/>
                <w:color w:val="auto"/>
              </w:rPr>
            </w:pPr>
            <w:r>
              <w:rPr>
                <w:rFonts w:ascii="Arial" w:cs="Arial" w:eastAsia="Arial" w:hAnsi="Arial"/>
                <w:sz w:val="18"/>
                <w:szCs w:val="18"/>
                <w:b w:val="1"/>
                <w:bCs w:val="1"/>
                <w:color w:val="auto"/>
                <w:w w:val="97"/>
              </w:rPr>
              <w:t>Net increase in net assets resulting from operations</w:t>
            </w:r>
          </w:p>
        </w:tc>
        <w:tc>
          <w:tcPr>
            <w:tcW w:w="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r>
              <w:rPr>
                <w:rFonts w:ascii="Arial" w:cs="Arial" w:eastAsia="Arial" w:hAnsi="Arial"/>
                <w:sz w:val="18"/>
                <w:szCs w:val="18"/>
                <w:u w:val="single" w:color="auto"/>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(1)   Includes foreign exchange hedging activity.</w:t>
            </w: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Investment Income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180" w:type="dxa"/>
            <w:vAlign w:val="bottom"/>
            <w:gridSpan w:val="2"/>
            <w:vMerge w:val="restart"/>
          </w:tcPr>
          <w:p>
            <w:pPr>
              <w:ind w:left="460"/>
              <w:spacing w:after="0"/>
              <w:rPr>
                <w:sz w:val="20"/>
                <w:szCs w:val="20"/>
                <w:color w:val="auto"/>
              </w:rPr>
            </w:pPr>
            <w:r>
              <w:rPr>
                <w:rFonts w:ascii="Arial" w:cs="Arial" w:eastAsia="Arial" w:hAnsi="Arial"/>
                <w:sz w:val="14"/>
                <w:szCs w:val="14"/>
                <w:color w:val="auto"/>
              </w:rPr>
              <w:t>($ in millions)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24"/>
                <w:szCs w:val="24"/>
                <w:color w:val="auto"/>
              </w:rPr>
            </w:pPr>
          </w:p>
        </w:tc>
        <w:tc>
          <w:tcPr>
            <w:tcW w:w="19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9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w:t>
            </w:r>
          </w:p>
        </w:tc>
        <w:tc>
          <w:tcPr>
            <w:tcW w:w="6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Dividend income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1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720" w:type="dxa"/>
            <w:vAlign w:val="bottom"/>
          </w:tcPr>
          <w:p>
            <w:pPr>
              <w:ind w:left="360"/>
              <w:spacing w:after="0"/>
              <w:rPr>
                <w:sz w:val="20"/>
                <w:szCs w:val="20"/>
                <w:color w:val="auto"/>
              </w:rPr>
            </w:pPr>
            <w:r>
              <w:rPr>
                <w:rFonts w:ascii="Arial" w:cs="Arial" w:eastAsia="Arial" w:hAnsi="Arial"/>
                <w:sz w:val="18"/>
                <w:szCs w:val="18"/>
                <w:b w:val="1"/>
                <w:bCs w:val="1"/>
                <w:color w:val="auto"/>
              </w:rPr>
              <w:t>Total investment income</w:t>
            </w:r>
          </w:p>
        </w:tc>
        <w:tc>
          <w:tcPr>
            <w:tcW w:w="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46.0</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45.3</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r>
              <w:rPr>
                <w:rFonts w:ascii="Arial" w:cs="Arial" w:eastAsia="Arial" w:hAnsi="Arial"/>
                <w:sz w:val="18"/>
                <w:szCs w:val="18"/>
                <w:u w:val="single" w:color="auto"/>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20" w:type="dxa"/>
            <w:vAlign w:val="bottom"/>
            <w:vMerge w:val="restart"/>
          </w:tcPr>
          <w:p>
            <w:pPr>
              <w:jc w:val="right"/>
              <w:ind w:right="2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Interest from investments, which includes amortization of upfront fees and prepayment fees, decreased from $44.6 million for the three months ended June 30, 2015 to $44.1 million for the three months ended June 30, 2016. The average size of our investment portfolio increased from $1.4 billion during the three months ended June 30, 2015 to $1.6 billion during the three months ended June 30, 2016. Accelerated amortization of upfront fees primarily from unscheduled paydowns decreased from $1.6 million for the three months ended June 30, 2015 to $1.2 million for the three months ended June 30, 2016. Prepayment fees decreased from $8.1 million for the three months ended June 30, 2015 to $0.5 million for the three months ended June 30, 2016. The accelerated amortization and prepayment fees primarily resulted from a full paydown on one portfolio investment, a partial paydown on one portfolio investment and earning a prepayment fee on one existing portfolio investment during the three months ended June 30, 2015 and from a full paydown on one portfolio investment and a partial paydown on one portfolio investment during the three months ended June 30, 2016. Dividend income for the three months ended June 30, 2016 was $0.5 million. We did not have dividend income for the three months ended June 30, 2015. Other income increased from $0.7 million for the three months ended June 30, 2015 to $1.4 million for the three months ended June 30, 2016, primarily due to higher syndication, amendment and agency fees earned during the second quarter of 2016.</w:t>
      </w:r>
    </w:p>
    <w:p>
      <w:pPr>
        <w:spacing w:after="0" w:line="18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Interest from investments, which includes amortization of upfront fees and prepayment fees, increased from $79.0 million for the six months ended June 30, 2015 to $85.6 million for the six months ended June 30, 2016, primarily due to the increase in the size of our portfolio. The average size of our total investment portfolio increased from $1.3 billion during the six months ended June 30, 2015 to $1.6 billion during the six months ended June 30, 2016. In addition, accelerated amortization of upfront fees primarily from unscheduled paydowns remained flat at $1.9 million for each of the six months ended June 30, 2015 and June 30, 2016; and prepayment fees decreased from $9.8 million for the six months ended June 30, 2015 to $2.1 million for the six months ended June 30, 2016. The accelerated amortization and prepayment fees primarily resulted from full paydowns on three portfolio investments, a partial paydown on one portfolio investment and earning a prepayment fee on one existing portfolio investment during the six months ended June 30, 2015 and from full paydowns on two portfolio investments and a partial paydown on one portfolio investment during the six months ended June 30, 2016. Other income decreased from $4.1 million for the six months ended June 30, 2015 to $2.3 million for the six months ended June 30, 2016, primarily due to higher syndication, amendment and agency fees earned during the first quarter of 2015.</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three and six months ended June 30, 2016 and 2015 were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40" w:type="dxa"/>
            <w:vAlign w:val="bottom"/>
          </w:tcPr>
          <w:p>
            <w:pPr>
              <w:spacing w:after="0"/>
              <w:rPr>
                <w:sz w:val="14"/>
                <w:szCs w:val="14"/>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19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562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Incentive fees related to pre-incentive fee net investment income (net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waivers)</w:t>
            </w: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140" w:type="dxa"/>
            <w:vAlign w:val="bottom"/>
          </w:tcPr>
          <w:p>
            <w:pPr>
              <w:spacing w:after="0"/>
              <w:rPr>
                <w:sz w:val="18"/>
                <w:szCs w:val="18"/>
                <w:color w:val="auto"/>
              </w:rPr>
            </w:pPr>
          </w:p>
        </w:tc>
        <w:tc>
          <w:tcPr>
            <w:tcW w:w="126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1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Directors fees</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b w:val="1"/>
                <w:bCs w:val="1"/>
                <w:color w:val="auto"/>
              </w:rPr>
              <w:t>Net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r>
              <w:rPr>
                <w:rFonts w:ascii="Arial" w:cs="Arial" w:eastAsia="Arial" w:hAnsi="Arial"/>
                <w:sz w:val="18"/>
                <w:szCs w:val="18"/>
                <w:u w:val="single" w:color="auto"/>
                <w:color w:val="auto"/>
              </w:rPr>
              <w:t>2</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r>
              <w:rPr>
                <w:rFonts w:ascii="Arial" w:cs="Arial" w:eastAsia="Arial" w:hAnsi="Arial"/>
                <w:sz w:val="18"/>
                <w:szCs w:val="18"/>
                <w:u w:val="single" w:color="auto"/>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Interest expense, including other debt financing expenses, increased from $4.7 million for the three months ended June 30, 2015 to $5.6 million for the three months ended June 30, 2016. This increase was primarily due to an increase in the weighted average debt outstanding from $532 million for the three months ended June 30, 2015 to $710 million for the three months ended June 30, 2016. The average interest rate on our debt outstanding was 2.5% for the three months ended June 30, 2015 and 2.6% for the three months ended June 30, 2016.</w:t>
      </w:r>
    </w:p>
    <w:p>
      <w:pPr>
        <w:spacing w:after="0" w:line="18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Interest expense, including other debt financing expenses, increased from $9.0 million for the six months ended June 30, 2015 to $10.9 million for the six months ended June 30, 2016. This increase was primarily due to an increase in the average debt outstanding from $477 million for the six months ended June 30, 2015 to $688 million for the six months ended June 30, 2016. The average stated interest rate on our debt outstanding was 2.6% for the six months ended June 30, 2015 and June 30, 2016.</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Management Fees (net of waivers) increased from $5.3 million for the three months ended June 30, 2015 to $6.0 million for the three months ended June 30, 2016. Management Fees increased from $5.3 million for the three months ended June 30, 2015 to $6.0 million for the three months ended June 30, 2016 due to the increase in total assets, which increased from an average of $1.4 billion for the three months ended June 30, 2015 to an average of $1.6 billion for the three months ended June 30, 2016. Management Fees waived were $16.1 for the three months ended June 30, 2016, consisting solely of Management Fees attributable to our ownership of shares of common stock in TICC Capital Corp., or the TICC Shares; no management fees were waived for the three months ended June 30, 2015, which was prior to our ownership of TICC Shares.</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Management Fees (net of waivers) increased from $10.2 million for the six months ended June 30, 2015 to $11.8 million for the six months ended June 30, 2016. Management Fees increased from $10.2 million for the six months ended June 30, 2015 to $11.8 million for the six months ended June 30, 2016 due to the increase in total assets, which increased from an average of $1.4 billion for the six months ended June 30, 2015 to an average of $1.6 billion for the six months ended June 30, 2016. Management Fees waived were $30.7 for the six months ended June 30, 2016, consisting solely of Management Fees attributable to our ownership of shares of common stock in TICC Capital Corp., or the TICC Shares; no management fees were waived for the six months ended June 30, 2015, which was prior to our ownership of TICC Shares.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Adviser has voluntarily waived the Management Fee on our ownership of the TICC Shares for any period in which TICC Capital Corp. remains our portfolio company. Any waived Management Fees are not subject to recoupment by the Adviser. Following our IPO, with the exception of its waiver of Management Fees attributable to our ownership of the TICC Shares, the Adviser has not waived its right to receive the full Management Fee payable pursuant to the Investment Advisory Agreement. There can be no assurance that the Adviser will continue to waive Management Fees related to the TICC Shares, as the Adviser can discontinue the voluntary waiver at any time. Accordingly, we may be required to pay the full amount of the Management Fee, including with respect to the TICC Shares, in future periods.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Incentive Fees (net of waivers) related to pre-Incentive Fee net investment income decreased from $5.6 million for the three months ended June 30, 2015 to $5.3 million for the three months ended June 30, 2016. This decrease resulted from the decrease in prepayment fees and accelerated amortization of upfront fees primarily from unscheduled paydowns. For the three months ended June 30, 2016, Incentive Fees related to pre-Incentive Fee net investment income of $82.9 were waived, consisting solely of Incentive Fees attributable to our ownership of the TICC Shares. There were no Incentive Fees related to pre-Incentive Fee net investment income waived for the three months ended June 30, 2015, which was prior to our ownership of TICC Shares. Incentive Fees related to capital gains and losses were $1.5 million for the three months ended June 30, 2015. There were no Incentive Fees related to capital gains and losses for the three months ended June 30, 2016 due to unrealized losses on our investments.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Incentive Fees (net of waivers) related to pre-Incentive Fee net investment income were $10.1 million for each of the six months ended June 30, 2015 and June 30, 2016. For the six months ended June 30, 2016, Incentive Fees related to pre-Incentive Fee net investment income of $165.8 were waived, consisting solely of Incentive Fees attributable to our ownership of the TICC Shares. There were no Incentive Fees related to pre-Incentive Fee net investment income waived for the six months ended June 30, 2015, which was prior to our ownership of TICC Shares. Incentive Fees related to capital gains and losses were $2.0 million for the six months ended June 30, 2015. There were no Incentive Fees related to capital gains and losses for the six months ended June 30, 2016 due to unrealized losses on our investments.</w:t>
      </w:r>
    </w:p>
    <w:p>
      <w:pPr>
        <w:spacing w:after="0" w:line="193"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us as a result of our ownership of the TICC Shares for any period in which TICC Capital Corp. remains our portfolio company. The Adviser has not waived any part of the Incentive Fee related to capital gains and losses attributable to our ownership of the TICC Shares and, accordingly, any realized capital gains or losses and unrealized capital depreciation with respect to the TICC Shares will be applied towards our cumulative realized capital gains on which the Incentive Fee related to capital gains and losses is calculated.</w:t>
      </w:r>
    </w:p>
    <w:p>
      <w:pPr>
        <w:spacing w:after="0" w:line="18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Any waived Incentive Fees are not subject to recoupment by the Adviser. There can be no assurance that the Adviser will continue to waive any Incentive Fee related to the TICC Shares, as the Adviser can discontinue the voluntary waiver at any time. Accordingly, we may be required to pay the full amount of the Incentive Fee, including with respect to the TICC Shares, in future periods.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Professional fees increased from $1.3 million for the three months ended June 30, 2015 to $2.0 million for the three months ended June 30, 2016 due to an increase in costs associated with servicing a growing investment portfolio and as a result of our ongoing corporate actions with respect to our investment in the TICC Shares. Other general and administrative fees decreased from $1.3 million for the three months ended June 30, 2015 to $1.0 million for the three months ended June 30, 2016.</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Professional fees increased from $2.5 million for the six months ended June 30, 2015 to $3.9 million for the six months ended June 30, 2016 due to an increase in costs associated with servicing a growing investment portfolio and as a result of our ongoing corporate actions with respect to our investment in the TICC Shares. Other general and administrative fees decreased from $2.4 million for the six months ended June 30, 2015 to $2.3 million for the six months ended June 30,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For each of the three months ended June 30, 2016 and 2015, we recorded an expense of $0.5 million for U.S. federal excise tax. For the six months ended June 30, 2016 and 2015, we recorded an expense of $0.9 million and $0.8 million, respectively, for U.S. federal excise tax.</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our net realized and unrealized gains (losses) for the three and six months ended June 30, 2016 and 2015:</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26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14"/>
                <w:szCs w:val="14"/>
                <w:color w:val="auto"/>
              </w:rPr>
            </w:pPr>
          </w:p>
        </w:tc>
        <w:tc>
          <w:tcPr>
            <w:tcW w:w="20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52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realized gains (losses) on investments</w:t>
            </w:r>
          </w:p>
        </w:tc>
        <w:tc>
          <w:tcPr>
            <w:tcW w:w="3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8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realized gains on interest rate swaps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on foreign currency transactions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realized losses on foreign currency investments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on foreign currency borrowings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realized gains (losses)</w:t>
            </w:r>
          </w:p>
        </w:tc>
        <w:tc>
          <w:tcPr>
            <w:tcW w:w="3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38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6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 on investments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25.8</w:t>
            </w:r>
          </w:p>
        </w:tc>
        <w:tc>
          <w:tcPr>
            <w:tcW w:w="4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Change in unrealized losses on investments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Losses on Investments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w:t>
            </w:r>
          </w:p>
        </w:tc>
        <w:tc>
          <w:tcPr>
            <w:tcW w:w="4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Unrealized appreciation (depreciation) on foreign currency</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borrowings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4.5</w:t>
            </w:r>
          </w:p>
        </w:tc>
        <w:tc>
          <w:tcPr>
            <w:tcW w:w="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Unrealized appreciation (depreciation) on foreign currency cash and</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forward contracts</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Unrealized appreciation (depreciation) on interest rate swaps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Net Change in Unrealized Gains (Losses) on Foreign Currency</w:t>
            </w: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Transactions and Interest Rate Swaps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4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23.8</w:t>
            </w:r>
          </w:p>
        </w:tc>
        <w:tc>
          <w:tcPr>
            <w:tcW w:w="4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For the three and six months ended June 30, 2016, we had net realized gains on investments of $0.4 million. For the three and six months ended June 30, 2016, we did not have realized gains or losses on interest rate swaps. For the three and six months ended June 30, 2016, we had net realized losses of $0.1 million and $0.2 million, respectively, on foreign currency transactions, primarily as a result of translating foreign currency related to our non-USD denominated investments. For the three and six months ended June 30, 2016, we had net realized losses of $0.1 million on foreign currency investments. For the three and six months ended June 30, 2016, we had net realized gains of $0.1 million and $0.4 million, respectively, on foreign currency borrowings.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three months ended June 30, 2016 we had $25.8 million in unrealized appreciation on 37 portfolio company investments, which was offset by $6.8 million in unrealized depreciation on 14 portfolio company investments. For the six months ended June 30, 2016 we had $26.0 million in unrealized appreciation on 34 portfolio company investments, which was offset by $11.2 million in unrealized depreciation on 18 portfolio company investments.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w:t>
      </w:r>
    </w:p>
    <w:p>
      <w:pPr>
        <w:spacing w:after="0" w:line="193"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For the three and six months ended June 30, 2016, we had unrealized appreciation on foreign currency borrowings of $4.5 million and 1.8 million, respectively, as a result of fluctuations in the GBP, SEK and EUR exchange rates. For the three and six months ended June 30, 2016, we had unrealized depreciation on foreign currency cash and forward contracts of less than $0.1 million. For the three and six months ended June 30, 2016, we had unrealized appreciation on interest rate swaps of $0.3 million and $1.6 million, respectively, due to fluctuations in interest rates.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the three and six months ended June 30, 2015, we had net realized losses on investments of $0.3 million and $0.1 million, respectively. For the six months ended June 30, 2015, we had net realized gains on interest rate swaps of $1.9 million. We did not have realized gains or losses on interest rate swaps for the three months ended June 30, 2015. For the three and six months ended June 30, 2015, we had net realized losses on foreign currency transactions of $0.2 million and $0.2 million, respectively, primarily from translating foreign currency related to our non-USD denominated investments. For the three and six months ended June 30, 2015, we had net realized foreign currency losses on non-USD denominated investments of $0.1 million and $0.2 million, respectively. For the three and six months ended June 30, 2015, we had net realized foreign currency gains on borrowings of $0.1 million and $0.2 million, respectively.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For the three months ended June 30, 2015, we had $19.0 million in unrealized appreciation on 30 portfolio company investments, which was offset by $4.7 million in unrealized depreciation on 10 portfolio company investments. For the six months ended June 30, 2015, we had $18.3 million in unrealized appreciation on 30 portfolio company investments, which was offset by $9.3 million in unrealized depreciation on 12 portfolio company investments. Unrealized appreciation for the three and six months ended June 30, 2015 resulted from an increase in fair market value, primarily due to positive valuation adjustments in the portfolio and some tightening in credit spreads. Unrealized depreciation for the three and six months ended June 30, 2015 primarily resulted from the reversal of prior period unrealized appreciation and in some instances negative credit-related adjustments.</w:t>
      </w:r>
    </w:p>
    <w:p>
      <w:pPr>
        <w:spacing w:after="0" w:line="17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For the three and six months ended June 30, 2015, we had unrealized depreciation of $4.0 million and unrealized appreciation of $3.3 million, respectively, on the translation of foreign currency borrowings, primarily as a result of fluctuations in the GBP, SEK and EUR exchange rates. For the three and six months ended June 30, 2015, we had unrealized appreciation on foreign currency cash and forward contracts of $0.1 million and less than $0.1 million, respectively. For the three and six months ended June 30, 2015, we had unrealized depreciation on interest rate swaps of $0.9 million and $1.2 million,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Since we began investing in 2011 through June 30, 2016, our exited investments have resulted in an aggregate cash flow realized gross internal rate of return to us of 15.9% (based on cash invested of $1.3 billion and total proceeds from these exited investments of $1.6 billion). Ninety one percent of these exited investments resulted in an aggregate cash flow realized gross internal rate of return to us of 10% or greater.</w:t>
      </w:r>
    </w:p>
    <w:p>
      <w:pPr>
        <w:spacing w:after="0" w:line="166"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current approach to hedging the foreign currency exposure in our non-U.S. dollar denominated investments is primarily to borrow the necessary local currency under our Revolving Credit Facility to fund these investments. For the three and six months ended June 30, 2016, we had $4.5 million and $1.8 million, respectively, of unrealized gains on the translation of our non-U.S. dollar denominated debt into U.S. dollars; such amounts approximate the corresponding unrealized gains and losses on the translation of our non-U.S. dollar denominated investments into U.S. dollars for the three and six months ended June 30, 2016. See Note 2 for additional disclosure regarding our accounting for foreign currency. See Note 7 for additional disclosure regarding the amounts of outstanding debt denominated in each foreign currency at June 30, 2016. See our consolidated schedule of investments for additional disclosure regarding the foreign currency amounts (in both par and fair value) of our non-U.S. dollar denominated investments.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During the three and six months ended June 30, 2016, we did not enter into any foreign currency forward contracts related to our non-USD denominated investments. During the three and six months ended June 30, 2015, we entered into foreign currency forward contracts related to our non-USD denominated investments. We did not have any open foreign currency forward contracts as of December 31, 2015. We bear the costs incurred in connection with entering into, administering and settling derivative contracts. There can be no assurance any hedging strategy we employ will be successful.</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76"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capital commitments of our private phase investors terminated upon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June 30, 2016 and December 31, 2015, our asset coverage ratio was 237.3% and 225.7%, respectively. We carefully consider our unfunded commitments for the purpose of planning our capital resources and ongoing liquidity, including our financial leverage. Further, we maintain sufficient borrowing capacity within the 200% asset coverage limitation to cover any outstanding unfunded commitments we are required to fund.</w:t>
      </w:r>
    </w:p>
    <w:p>
      <w:pPr>
        <w:spacing w:after="0" w:line="18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Cash and cash equivalents as of June 30, 2016, taken together with cash available under our credit facilities, is expected to be sufficient for our investing activities and to conduct our operations in the near term. As of June 30, 2016, we had approximately $260.9 million of availability on our Revolving Credit Facility.</w:t>
      </w:r>
    </w:p>
    <w:p>
      <w:pPr>
        <w:spacing w:after="0" w:line="181"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As of June 30, 2016, we had $3.9 million in cash and cash equivalents, an increase of $1.5 million from December 31, 2015. During the six months ended June 30, 2016, we used $58.7 million in cash for operating activities, primarily as a result of funding portfolio investments of $327.3 million, which was partially offset by repayments on investments of $223.6 million, net cash from other operating activity of $22.4 million, and an increase in net assets resulting from operations of $67.4 million. Lastly, cash provided by financing activities was $60.2 million during the period, primarily due to borrowings of $281.4 million and proceeds from issuance of common stock, net of offering and underwriting costs, of $78.3 million, which was partially offset by repayments on debt of $259.2 million, purchases of treasury stock of $1.3 million, and dividends paid of $39.0 million.</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As of June 30, 2016, we had $0.8 million of restricted cash pledged as collateral under our interest rate swap agreements, a decrease of $0.1 million from December 31,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March 3, 2016, we issued 5,000,000 shares of common stock at $16.42 per share. Net of underwriting fees and offering costs, we received total cash proceeds of $78.3 million.</w:t>
      </w:r>
    </w:p>
    <w:p>
      <w:pPr>
        <w:spacing w:after="0" w:line="17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During the six months ended June 30, 2016 and 2015, we issued 334,013 and 203,931 shares of our common stock, respectively, to investors who have not opted out of our dividend reinvestment plan for proceeds of $5.2 million and $3.4 million, respectively. On August 1, 2016, we issued 168,621 shares of our common stock through our dividend reinvestment plan for proceeds of $2.8 million, which is not reflected in the number of shares issued for the six months ended June 30, 2016 in this section or the consolidated financial statements for the three and six months ended June 30, 2016.</w:t>
      </w:r>
    </w:p>
    <w:p>
      <w:pPr>
        <w:spacing w:after="0" w:line="154"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On November 3, 2014, the Board approved the Company 10b5-1 Plan to acquire up to $50 million in the aggregate of our common stock at prices just below our net asset value over a specified period, in accordance with the guidelines specified in Rule 10b-18 and Rule 10b5-1 of the Exchange Act. We put the Company 10b5-1 Plan in place because we believe that, in the current market conditions, if our common stock is trading below our then-current net asset value, it is in the best interest of our stockholders for us to reinvest in our portfolio and increase our leverage ratio through share repurchases.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Company 10b5-1 Plan expired in accordance with its terms on June 30, 2015. On August 4, 2015, the Board authorized us to enter into a new stock repurchase plan, on substantially the same terms as the prior stock repurchase plan. On August 3, 2016, the Board authorized the extension of the termination date of the Company 10b5-1 Plan to February 28, 2017. Unless extended or terminated by the Board, the Company 10b5-1 Plan will be in effect through the earlier of February 28, 2017 or such time as the current approved repurchase amount of up to $50 million has been fully utilized, subject to certain conditions.</w:t>
      </w:r>
    </w:p>
    <w:p>
      <w:pPr>
        <w:spacing w:after="0" w:line="154"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During the six months ended June 30, 2016, 86,081 shares were repurchased under the Company 10b5-1 Plan at a weighted average price per share of $15.44, inclusive of commissions, for a total cost of $1.3 million. No shares were repurchased under the Company 10b5-1 Plan during the six months ended June 30,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June 30, 2016 and December 31,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June 30, 2016</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080" w:type="dxa"/>
            <w:vAlign w:val="bottom"/>
          </w:tcPr>
          <w:p>
            <w:pPr>
              <w:spacing w:after="0"/>
              <w:rPr>
                <w:sz w:val="10"/>
                <w:szCs w:val="10"/>
                <w:color w:val="auto"/>
              </w:rPr>
            </w:pPr>
          </w:p>
        </w:tc>
        <w:tc>
          <w:tcPr>
            <w:tcW w:w="1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Aggregate Principal</w:t>
            </w:r>
          </w:p>
        </w:tc>
        <w:tc>
          <w:tcPr>
            <w:tcW w:w="1300" w:type="dxa"/>
            <w:vAlign w:val="bottom"/>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right"/>
              <w:ind w:right="780"/>
              <w:spacing w:after="0" w:line="119" w:lineRule="exact"/>
              <w:rPr>
                <w:sz w:val="20"/>
                <w:szCs w:val="20"/>
                <w:color w:val="auto"/>
              </w:rPr>
            </w:pPr>
            <w:r>
              <w:rPr>
                <w:rFonts w:ascii="Arial" w:cs="Arial" w:eastAsia="Arial" w:hAnsi="Arial"/>
                <w:sz w:val="13"/>
                <w:szCs w:val="13"/>
                <w:b w:val="1"/>
                <w:bCs w:val="1"/>
                <w:color w:val="auto"/>
              </w:rPr>
              <w:t>Amount</w:t>
            </w: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5080" w:type="dxa"/>
            <w:vAlign w:val="bottom"/>
          </w:tcPr>
          <w:p>
            <w:pPr>
              <w:spacing w:after="0"/>
              <w:rPr>
                <w:sz w:val="20"/>
                <w:szCs w:val="20"/>
                <w:color w:val="auto"/>
              </w:rPr>
            </w:pPr>
            <w:r>
              <w:rPr>
                <w:rFonts w:ascii="Arial" w:cs="Arial" w:eastAsia="Arial" w:hAnsi="Arial"/>
                <w:sz w:val="14"/>
                <w:szCs w:val="14"/>
                <w:color w:val="auto"/>
              </w:rPr>
              <w:t>($ in millions)</w:t>
            </w: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Amount Committed</w:t>
            </w:r>
          </w:p>
        </w:tc>
        <w:tc>
          <w:tcPr>
            <w:tcW w:w="100" w:type="dxa"/>
            <w:vAlign w:val="bottom"/>
          </w:tcPr>
          <w:p>
            <w:pPr>
              <w:spacing w:after="0"/>
              <w:rPr>
                <w:sz w:val="14"/>
                <w:szCs w:val="14"/>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1"/>
              </w:rPr>
              <w:t>Principal</w:t>
            </w:r>
          </w:p>
        </w:tc>
        <w:tc>
          <w:tcPr>
            <w:tcW w:w="12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2"/>
                <w:szCs w:val="12"/>
                <w:b w:val="1"/>
                <w:bCs w:val="1"/>
                <w:color w:val="auto"/>
                <w:w w:val="96"/>
              </w:rPr>
              <w:t>(2)</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4"/>
              </w:rPr>
              <w:t>821.3</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553.8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460" w:type="dxa"/>
            <w:vAlign w:val="bottom"/>
          </w:tcPr>
          <w:p>
            <w:pPr>
              <w:spacing w:after="0"/>
              <w:rPr>
                <w:sz w:val="18"/>
                <w:szCs w:val="18"/>
                <w:color w:val="auto"/>
              </w:rPr>
            </w:pPr>
          </w:p>
        </w:tc>
        <w:tc>
          <w:tcPr>
            <w:tcW w:w="1440" w:type="dxa"/>
            <w:vAlign w:val="bottom"/>
            <w:gridSpan w:val="2"/>
          </w:tcPr>
          <w:p>
            <w:pPr>
              <w:ind w:left="38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110.1</w:t>
            </w:r>
          </w:p>
        </w:tc>
      </w:tr>
      <w:tr>
        <w:trPr>
          <w:trHeight w:val="27"/>
        </w:trPr>
        <w:tc>
          <w:tcPr>
            <w:tcW w:w="50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936.3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675.4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663.9</w:t>
            </w:r>
          </w:p>
        </w:tc>
      </w:tr>
      <w:tr>
        <w:trPr>
          <w:trHeight w:val="20"/>
        </w:trPr>
        <w:tc>
          <w:tcPr>
            <w:tcW w:w="5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360" w:hanging="452"/>
        <w:spacing w:after="0" w:line="261"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Convertible Senior Notes are presented net of deferred financing costs of $6.5 million and $2.7 million, respectively.</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6"/>
              </w:rPr>
              <w:t>December 31, 2015</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080" w:type="dxa"/>
            <w:vAlign w:val="bottom"/>
          </w:tcPr>
          <w:p>
            <w:pPr>
              <w:spacing w:after="0"/>
              <w:rPr>
                <w:sz w:val="10"/>
                <w:szCs w:val="10"/>
                <w:color w:val="auto"/>
              </w:rPr>
            </w:pPr>
          </w:p>
        </w:tc>
        <w:tc>
          <w:tcPr>
            <w:tcW w:w="1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Aggregate Principal</w:t>
            </w:r>
          </w:p>
        </w:tc>
        <w:tc>
          <w:tcPr>
            <w:tcW w:w="1380" w:type="dxa"/>
            <w:vAlign w:val="bottom"/>
            <w:gridSpan w:val="3"/>
          </w:tcPr>
          <w:p>
            <w:pPr>
              <w:jc w:val="right"/>
              <w:ind w:right="620"/>
              <w:spacing w:after="0" w:line="119" w:lineRule="exact"/>
              <w:rPr>
                <w:sz w:val="20"/>
                <w:szCs w:val="20"/>
                <w:color w:val="auto"/>
              </w:rPr>
            </w:pPr>
            <w:r>
              <w:rPr>
                <w:rFonts w:ascii="Arial" w:cs="Arial" w:eastAsia="Arial" w:hAnsi="Arial"/>
                <w:sz w:val="13"/>
                <w:szCs w:val="13"/>
                <w:b w:val="1"/>
                <w:bCs w:val="1"/>
                <w:color w:val="auto"/>
                <w:w w:val="96"/>
              </w:rPr>
              <w:t>Outstanding</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right"/>
              <w:ind w:right="780"/>
              <w:spacing w:after="0" w:line="119" w:lineRule="exact"/>
              <w:rPr>
                <w:sz w:val="20"/>
                <w:szCs w:val="20"/>
                <w:color w:val="auto"/>
              </w:rPr>
            </w:pPr>
            <w:r>
              <w:rPr>
                <w:rFonts w:ascii="Arial" w:cs="Arial" w:eastAsia="Arial" w:hAnsi="Arial"/>
                <w:sz w:val="13"/>
                <w:szCs w:val="13"/>
                <w:b w:val="1"/>
                <w:bCs w:val="1"/>
                <w:color w:val="auto"/>
              </w:rPr>
              <w:t>Amount</w:t>
            </w: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5080" w:type="dxa"/>
            <w:vAlign w:val="bottom"/>
          </w:tcPr>
          <w:p>
            <w:pPr>
              <w:spacing w:after="0"/>
              <w:rPr>
                <w:sz w:val="20"/>
                <w:szCs w:val="20"/>
                <w:color w:val="auto"/>
              </w:rPr>
            </w:pPr>
            <w:r>
              <w:rPr>
                <w:rFonts w:ascii="Arial" w:cs="Arial" w:eastAsia="Arial" w:hAnsi="Arial"/>
                <w:sz w:val="14"/>
                <w:szCs w:val="14"/>
                <w:color w:val="auto"/>
              </w:rPr>
              <w:t>($ in millions)</w:t>
            </w: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Amount Committed</w:t>
            </w:r>
          </w:p>
        </w:tc>
        <w:tc>
          <w:tcPr>
            <w:tcW w:w="100" w:type="dxa"/>
            <w:vAlign w:val="bottom"/>
          </w:tcPr>
          <w:p>
            <w:pPr>
              <w:spacing w:after="0"/>
              <w:rPr>
                <w:sz w:val="14"/>
                <w:szCs w:val="14"/>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1"/>
              </w:rPr>
              <w:t>Principal</w:t>
            </w:r>
          </w:p>
        </w:tc>
        <w:tc>
          <w:tcPr>
            <w:tcW w:w="4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2"/>
                <w:szCs w:val="12"/>
                <w:b w:val="1"/>
                <w:bCs w:val="1"/>
                <w:color w:val="auto"/>
                <w:w w:val="96"/>
              </w:rPr>
              <w:t>(2)</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4"/>
              </w:rPr>
              <w:t>821.3</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6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460" w:type="dxa"/>
            <w:vAlign w:val="bottom"/>
          </w:tcPr>
          <w:p>
            <w:pPr>
              <w:spacing w:after="0"/>
              <w:rPr>
                <w:sz w:val="18"/>
                <w:szCs w:val="18"/>
                <w:color w:val="auto"/>
              </w:rPr>
            </w:pPr>
          </w:p>
        </w:tc>
        <w:tc>
          <w:tcPr>
            <w:tcW w:w="1440" w:type="dxa"/>
            <w:vAlign w:val="bottom"/>
            <w:gridSpan w:val="2"/>
          </w:tcPr>
          <w:p>
            <w:pPr>
              <w:ind w:left="38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115.0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109.4</w:t>
            </w:r>
          </w:p>
        </w:tc>
      </w:tr>
      <w:tr>
        <w:trPr>
          <w:trHeight w:val="27"/>
        </w:trPr>
        <w:tc>
          <w:tcPr>
            <w:tcW w:w="50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936.3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655.3</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642.4</w:t>
            </w:r>
          </w:p>
        </w:tc>
      </w:tr>
      <w:tr>
        <w:trPr>
          <w:trHeight w:val="20"/>
        </w:trPr>
        <w:tc>
          <w:tcPr>
            <w:tcW w:w="5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360" w:hanging="452"/>
        <w:spacing w:after="0" w:line="261"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Convertible Senior Notes are presented net of deferred financing costs of $7.3 million and $3.1 million, respectively.</w:t>
      </w:r>
    </w:p>
    <w:p>
      <w:pPr>
        <w:spacing w:after="0" w:line="184"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As of June 30, 2016 and December 31, 2015, we were in compliance with the terms of our debt arrangements. We intend to continue to utilize our credit facilities to fund investments and for other general corporate purposes.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On February 27, 2014, we further amended and restated the agreement. The second amended and restated agreement (the Revolving Credit Facility), among other things:</w:t>
      </w:r>
    </w:p>
    <w:p>
      <w:pPr>
        <w:spacing w:after="0" w:line="76"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June 27, 2014, we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we entered into a third amendment to the Revolving Credit Facility:</w:t>
      </w:r>
    </w:p>
    <w:p>
      <w:pPr>
        <w:spacing w:after="0" w:line="131" w:lineRule="exact"/>
        <w:rPr>
          <w:sz w:val="20"/>
          <w:szCs w:val="20"/>
          <w:color w:val="auto"/>
        </w:rPr>
      </w:pPr>
    </w:p>
    <w:p>
      <w:pPr>
        <w:ind w:left="900" w:right="260" w:hanging="446"/>
        <w:spacing w:after="0" w:line="34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On October 23, 2014, we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2, 2015, we entered into a fourth amendment to the Revolving Credit Facility:</w:t>
      </w:r>
    </w:p>
    <w:p>
      <w:pPr>
        <w:spacing w:after="0" w:line="131" w:lineRule="exact"/>
        <w:rPr>
          <w:sz w:val="20"/>
          <w:szCs w:val="20"/>
          <w:color w:val="auto"/>
        </w:rPr>
      </w:pPr>
    </w:p>
    <w:p>
      <w:pPr>
        <w:ind w:left="900" w:right="260" w:hanging="446"/>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increasing the accordion feature, which allows us, under certain circumstances, to increase the size of the Revolving Credit Facility, from a maximum of $956.3 million to a maximum of $1.25 billion.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may borrow amounts in U.S. dollars or certain other permitted currencies. As of June 30, 2016, we had outstanding debt denominated in Swedish Krona (SEK) of 203.9 million, Euro (EUR) of 47.9 million and Pound Sterling (GBP) of 21.0 million on our Revolving Credit Facility, included in the Outstanding Principal amount in the table above.</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4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2, 2015.</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Net proceeds received from our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8, 2012, the Closing Date, our wholly owned subsidiary, TPG SL SPV, LLC,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were permitted to be used to finance the acquisition of eligible assets by TPG SL SPV, including the purchase of such assets from us. We retain a residual interest in assets contributed to or acquired by TPG SL SPV through our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6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could be returned to us,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color w:val="auto"/>
        </w:rPr>
        <w:t>After giving effect to amendments to the credit and security agreement in January 2014 and March 2015, the facility had commitments of $175 million and the pricing ranged from cost of funds plus 225 basis points to LIBOR plus 235 basis points and the facility was scheduled to mature on January 21, 2021.</w:t>
      </w:r>
    </w:p>
    <w:p>
      <w:pPr>
        <w:spacing w:after="0" w:line="124"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The undrawn portion of the commitment bore an unutilized commitment fee of 0.75%. This fee ceased to accrue on January 21, 2015 when the reinvestment period ended. The SPV Asset Facility contained customary 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our other debt obligations.</w:t>
      </w:r>
    </w:p>
    <w:p>
      <w:pPr>
        <w:spacing w:after="0" w:line="18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June 10, 2014, we issued in a private offering $115 million aggregate principal amount convertible senior notes due December 2019, or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$110.8 million. We used the net proceeds of the offering to pay down debt under the Revolving Credit Facility. In connection with the offering of Convertible Senior Notes, we have entered into interest rate swaps to continue to align the interest rates of our liabilities with our investment portfolio, which consists of predominately floating rate loans. As a result of the swaps, our effective interest rate on the Convertible Senior Notes is three-month LIBOR plus 286 basis points.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Holders may convert their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right="40" w:firstLine="8"/>
        <w:spacing w:after="0" w:line="271" w:lineRule="auto"/>
        <w:tabs>
          <w:tab w:leader="none" w:pos="2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or the measurement period, in which the trading price (as defined in the indenture governing the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79"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The notes are senior unsecured obligations and rank senior in right of payment to our future indebtedness that is expressly subordinated in right of payment to the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54"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As of June 30, 2016, the principal amount of the Convertible Senior Notes exceeded the value of the underlying shares multiplied by the per share closing price of our common stock.</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Convertible Senior Notes Indenture contains certain covenants, including covenants requiring us to comply with the requirement under the 1940 Act that our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June 30, 2016, we were in compliance with the terms of the Convertible Senior Notes Indenture.</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Convertible Senior Notes are accounted for in accordance with Accounting Standards Codification (“ASC”) 470-20. Upon conversion of any of the Convertible Senior Notes, we intend to pay the outstanding principal amount in cash and, to the extent that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conversion value exceeds the principal amount, we have the option to pay in cash or shares of our common stock (or a combination of cash and shares) in respect of the excess amount, subject to the requirements of the Convertible Senior Notes Indenture. We have determined that the embedded conversion options in the Convertible Senior Notes are not required to be separately accounted for as a derivative under U.S. GAAP. In accounting for the Convertible Senior Notes, we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June 30, 2016 and December 31, 2015, we had the following commitments to fund investments: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20" w:type="dxa"/>
            <w:vAlign w:val="bottom"/>
          </w:tcPr>
          <w:p>
            <w:pPr>
              <w:spacing w:after="0"/>
              <w:rPr>
                <w:sz w:val="20"/>
                <w:szCs w:val="20"/>
                <w:color w:val="auto"/>
              </w:rPr>
            </w:pPr>
            <w:r>
              <w:rPr>
                <w:rFonts w:ascii="Arial" w:cs="Arial" w:eastAsia="Arial" w:hAnsi="Arial"/>
                <w:sz w:val="14"/>
                <w:szCs w:val="14"/>
                <w:color w:val="auto"/>
              </w:rPr>
              <w:t>($ in millions)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June 30, 2016</w:t>
            </w:r>
          </w:p>
        </w:tc>
        <w:tc>
          <w:tcPr>
            <w:tcW w:w="1620" w:type="dxa"/>
            <w:vAlign w:val="bottom"/>
            <w:gridSpan w:val="4"/>
          </w:tcPr>
          <w:p>
            <w:pPr>
              <w:ind w:left="360"/>
              <w:spacing w:after="0"/>
              <w:rPr>
                <w:sz w:val="20"/>
                <w:szCs w:val="20"/>
                <w:color w:val="auto"/>
              </w:rPr>
            </w:pPr>
            <w:r>
              <w:rPr>
                <w:rFonts w:ascii="Arial" w:cs="Arial" w:eastAsia="Arial" w:hAnsi="Arial"/>
                <w:sz w:val="14"/>
                <w:szCs w:val="14"/>
                <w:b w:val="1"/>
                <w:bCs w:val="1"/>
                <w:color w:val="auto"/>
                <w:w w:val="98"/>
              </w:rPr>
              <w:t>December 31, 2015</w:t>
            </w: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Aeropostale, Inc. - Revolver</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AppStar Financial, LLC - Revolver</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AvidXchange, Inc. - Delayed Draw Term Loan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Clarabridge, Inc. - Revolver</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CrunchTime Information Systems, Inc. - Delayed Draw Term Loan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CrunchTime Information Systems, Inc. - Revolver</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Ecommerce Industries, Inc. - Delayed Draw Term Loan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Ecommerce Industries, Inc. - Revolver</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Heartland Automotive Holdings, LLC - Revolver</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Helix Health, Ltd. - Revolver</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Highwinds Capital, Inc. - Revolver</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IRGSE Holding Corp. - Revolver</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Leaf US Holdings, Inc. - Revolver</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MyAlarm Center, LLC - Delayed Draw</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Network Merchants, Inc. - Revolver</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PayLease, LLC - Revolver</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ScentAir Technologies, Inc. - Multi Draw Term Loan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ScentAir Technologies, Inc. - Revolver</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Sears - ABL Revolver</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r>
      <w:tr>
        <w:trPr>
          <w:trHeight w:val="223"/>
        </w:trPr>
        <w:tc>
          <w:tcPr>
            <w:tcW w:w="6220" w:type="dxa"/>
            <w:vAlign w:val="bottom"/>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360" w:type="dxa"/>
            <w:vAlign w:val="bottom"/>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June 30, 2016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w w:val="98"/>
              </w:rPr>
              <w:t>Payments Due by Period</w:t>
            </w: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460" w:type="dxa"/>
            <w:vAlign w:val="bottom"/>
            <w:gridSpan w:val="2"/>
            <w:vMerge w:val="restart"/>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millions)</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88"/>
              </w:rPr>
              <w:t>Less than</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460" w:type="dxa"/>
            <w:vAlign w:val="bottom"/>
            <w:gridSpan w:val="2"/>
            <w:vMerge w:val="continue"/>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4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8"/>
              </w:rPr>
              <w:t>1-3 years</w:t>
            </w:r>
          </w:p>
        </w:tc>
        <w:tc>
          <w:tcPr>
            <w:tcW w:w="46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3-5 years</w:t>
            </w:r>
          </w:p>
        </w:tc>
        <w:tc>
          <w:tcPr>
            <w:tcW w:w="2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210"/>
        </w:trPr>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w:t>
            </w: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$560.4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$ 560.4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Convertible Senior Notes</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Contractual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675.4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$ 675.4</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80" w:firstLine="456"/>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2" w:lineRule="exact"/>
        <w:rPr>
          <w:sz w:val="20"/>
          <w:szCs w:val="20"/>
          <w:color w:val="auto"/>
        </w:rPr>
      </w:pPr>
    </w:p>
    <w:p>
      <w:pPr>
        <w:ind w:left="900" w:right="2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29"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30" w:lineRule="exact"/>
        <w:rPr>
          <w:rFonts w:ascii="Arial" w:cs="Arial" w:eastAsia="Arial" w:hAnsi="Arial"/>
          <w:sz w:val="18"/>
          <w:szCs w:val="18"/>
          <w:color w:val="auto"/>
        </w:rPr>
      </w:pPr>
    </w:p>
    <w:p>
      <w:pPr>
        <w:ind w:left="900" w:right="80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30"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2015, filed with the SEC on February 24, 2016, and elsewhere in our filings with the SEC.</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June 30, 2016, 96.4% of our debt investments based on fair value in our portfolio bore interest at floating rates (when including investment specific hedges), with 92.6% of these subject to interest rate floors. Our credit facilities also bear interest at floating rates. In connection with our Convertible Senior Notes, which bear interest at a fixed rate, we have entered into fixed-to-floating interest rate swaps in order to continue to align the interest rates of our liabilities with our investment portfolio.</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Assuming that our consolidated balance sheet as of June 30, 2016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6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00" w:type="dxa"/>
            <w:vAlign w:val="bottom"/>
          </w:tcPr>
          <w:p>
            <w:pPr>
              <w:spacing w:after="0"/>
              <w:rPr>
                <w:sz w:val="20"/>
                <w:szCs w:val="20"/>
                <w:color w:val="auto"/>
              </w:rPr>
            </w:pPr>
            <w:r>
              <w:rPr>
                <w:rFonts w:ascii="Arial" w:cs="Arial" w:eastAsia="Arial" w:hAnsi="Arial"/>
                <w:sz w:val="14"/>
                <w:szCs w:val="14"/>
                <w:b w:val="1"/>
                <w:bCs w:val="1"/>
                <w:color w:val="auto"/>
                <w:w w:val="89"/>
              </w:rPr>
              <w:t>Basis Point Change</w:t>
            </w:r>
          </w:p>
        </w:tc>
        <w:tc>
          <w:tcPr>
            <w:tcW w:w="2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7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0"/>
              </w:rPr>
              <w:t>Interest Income</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Interest Expense</w:t>
            </w:r>
          </w:p>
        </w:tc>
        <w:tc>
          <w:tcPr>
            <w:tcW w:w="38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Net Income</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8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18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4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21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20"/>
              <w:spacing w:after="0"/>
              <w:rPr>
                <w:sz w:val="20"/>
                <w:szCs w:val="20"/>
                <w:color w:val="auto"/>
              </w:rPr>
            </w:pPr>
            <w:r>
              <w:rPr>
                <w:rFonts w:ascii="Arial" w:cs="Arial" w:eastAsia="Arial" w:hAnsi="Arial"/>
                <w:sz w:val="18"/>
                <w:szCs w:val="18"/>
                <w:color w:val="auto"/>
              </w:rPr>
              <w:t>25.8</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12.7</w:t>
            </w:r>
          </w:p>
        </w:tc>
        <w:tc>
          <w:tcPr>
            <w:tcW w:w="6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14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w:t>
            </w:r>
          </w:p>
        </w:tc>
        <w:tc>
          <w:tcPr>
            <w:tcW w:w="6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Down 25 basis points</w:t>
            </w:r>
          </w:p>
        </w:tc>
        <w:tc>
          <w:tcPr>
            <w:tcW w:w="21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(0.30)</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6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b w:val="1"/>
          <w:bCs w:val="1"/>
          <w:i w:val="1"/>
          <w:iCs w:val="1"/>
          <w:color w:val="auto"/>
        </w:rPr>
        <w:t xml:space="preserve">Evaluation of Disclosure Controls and Procedures. </w:t>
      </w:r>
      <w:r>
        <w:rPr>
          <w:rFonts w:ascii="Arial" w:cs="Arial" w:eastAsia="Arial" w:hAnsi="Arial"/>
          <w:sz w:val="16"/>
          <w:szCs w:val="16"/>
          <w:color w:val="auto"/>
        </w:rPr>
        <w:t>As of the end of the period covered by this report, we carried out an evaluation,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supervision and with the participation of our management, including our Co-Chief Executive Officers and Chief Financial Officer, of the effectiveness of the design and operation of our disclosure controls and procedures (as defined in Rule 13a-15 under the Exchange Act). Based on that evaluation, our Co-Chief Executive Officers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5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our most recently completed fiscal quarter that have materially affected, or are reasonably likely to materially affect, our internal control over financial reporting.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addition to the other information set forth in this report, you should carefully consider the risk factors discussed in Part I, “Item 1A. Risk Factors” in our Annual Report on Form 10-K for the fiscal year ended December 31, 2015 and the risk factors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7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 To the extent we and an affiliate both hold investments in the same portfolio company that are of a different character, we may also face restrictions on our ability to become actively involved in the event that portfolio company becomes distressed as a result of the restrictions imposed on transactions involving affiliates under the 1940 Act. In such cases, we may be unable to exercise rights we may otherwise have to protect our interests as security holders in such portfolio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in non-U.S. denominated currencies, our hedging costs will increase.</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have the ability to borrow in certain foreign currencies under the second amended and restated senior secured revolving credit agreement, as amended, with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9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Hedging against a decline in the values of our portfolio positions would not eliminate the possibility of fluctuations in the values of such positions or prevent losses if the values of such positions were to decline.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success of our hedging strategy will depend on our ability to correctly identify appropriate exposures for hedging. To date, we have entered into hedging transactions to seek to reduce currency exchange rate risk and interest rate risk related to specific portfolio companies. In addition, in connection with the offering of our Convertible Senior Notes, which bear interest at a fixed rate, we entered into fixed-to-floating interest rate swaps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6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addition, recent and anticipated regulatory changes require that certain types of swaps, including interest rate and credit default swaps, be cleared and traded on regulated platforms, and these regulatory changes are expected to apply to foreign exchange transactions in the future. Cleared swaps, such as the interest rate swaps we entered into in connection with our Convertible Senior Notes offering, require us to post collateral. Any failure by us to fulfill any collateral requirement (e.g., a so-called “margin call”) may result in a default and could have a material adverse impact on our business, financial condition and results of operations. U.S. regulators have adopted rules imposing margin requirements for derivatives executed with registered swap dealers that are not cleared. These new requirements could significantly increase the cost of using non-cleared swaps to hedge our interest rate and foreign exchange risk.</w:t>
      </w:r>
    </w:p>
    <w:p>
      <w:pPr>
        <w:spacing w:after="0" w:line="1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Finally, the SEC has issued a proposed rule, Rule 18f-4, that if adopted would potentially constrain our ability to use swaps and other derivatives. Among other requirements, the proposed rule could potentially force us to reduce our use of leverage if our aggregate exposure to swap or derivative positions, together with outstanding leverage and any financial commitments to our portfolio companies, exceeds 150 percent of our net asset value, absent an assessment that our use of derivatives reduces our actual portfolio risk. In addition, we may be required under the proposed rule to carry sufficient cash and cash equivalents to meet our actual, and in some cases, expected future, obligations under any swaps or derivatives we currently have in place, which could cause the returns on our overall portfolio to be lower as a result. We cannot assure you when or if the proposed rule will be adopted by the SEC, and if adopted, whether the final rule will similarly constrain our ability to utilize swaps and derivatives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4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The U.S. capital markets experienced extreme volatility and disruption in recent years, leading to recessionary conditions and depressed levels of consumer and commercial spending. For instance, the referendum by British voters to exit the European Union (“Brexit”) in June 2016 has led to disruption and instability in the global markets. Disruptions in the capital markets have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92"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94" w:lineRule="exact"/>
        <w:rPr>
          <w:sz w:val="20"/>
          <w:szCs w:val="20"/>
          <w:color w:val="auto"/>
        </w:rPr>
      </w:pPr>
    </w:p>
    <w:p>
      <w:pPr>
        <w:ind w:left="5620" w:right="4860" w:hanging="5045"/>
        <w:spacing w:after="0" w:line="536" w:lineRule="auto"/>
        <w:tabs>
          <w:tab w:leader="none" w:pos="896"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receipt of a reduced level of interest income from our portfolio companies; 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about financial stability could have a significant adverse effect on our business, results of operations and financial condition.</w:t>
      </w:r>
    </w:p>
    <w:p>
      <w:pPr>
        <w:spacing w:after="0" w:line="129"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 Also, to the extent uncertainty regarding any economic recovery in Europe and Brexit continue to negatively impact consumer confidence and consumer credit factors, our business and results of operations could be significantly and adversely affected.</w:t>
      </w:r>
    </w:p>
    <w:p>
      <w:pPr>
        <w:spacing w:after="0" w:line="167" w:lineRule="exact"/>
        <w:rPr>
          <w:sz w:val="20"/>
          <w:szCs w:val="20"/>
          <w:color w:val="auto"/>
        </w:rPr>
      </w:pPr>
    </w:p>
    <w:p>
      <w:pPr>
        <w:ind w:right="100" w:firstLine="913"/>
        <w:spacing w:after="0" w:line="289" w:lineRule="auto"/>
        <w:rPr>
          <w:sz w:val="20"/>
          <w:szCs w:val="20"/>
          <w:color w:val="auto"/>
        </w:rPr>
      </w:pPr>
      <w:r>
        <w:rPr>
          <w:rFonts w:ascii="Arial" w:cs="Arial" w:eastAsia="Arial" w:hAnsi="Arial"/>
          <w:sz w:val="16"/>
          <w:szCs w:val="16"/>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However, it is possible that, without quantitative easing by the Federal Reserve, these developments, along with the United States government’s credit and deficit concerns and the European sovereign debt crisis, could cause interest rates and borrowing costs to rise, which may negatively impact our ability to access the debt markets on favorable terms. Additionally, in December 2015, the Federal Reserve raised the target range for the federal funds rate by 0.25%. However, if key economic indicators, such as the unemployment rate or inflation, do not progress at a rate consistent with the Federal Reserve’s objectives, the target range for the federal funds rate may further increase and cause interest rates and borrowing costs to rise, which may negatively impact our ability to access the debt markets on favorable terms.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11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Brexit could also have negative impacts on both the U.K. economy and the economies of other countries in Europe. In addition, interest income derived from loans to foreign companies is not eligible to be distributed to our non-U.S. stockholders free from withholding taxes.</w:t>
      </w:r>
    </w:p>
    <w:p>
      <w:pPr>
        <w:spacing w:after="0" w:line="178"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00" w:right="44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short-selling pressure with respect to shares of our common stock or BDCs generally;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future sales of our securities convertible into or exchangeable or exercisable for our common stock or the conversion of such securities;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uncertainty surrounding the strength of the U.S. economic recovery;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concerns regarding European sovereign debt and Brexit;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concerns regarding volatility in the Chinese stock market and Chinese currency;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fluctuations in base interest rates, such as LIBOR, EURIBOR, the Federal Funds Rate or the Prime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660"/>
          </w:cols>
          <w:pgMar w:left="240" w:top="459" w:right="9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Exhibits.</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Co-Chief Executive Officer Pursuant to 18 U.S.C. Section 1350, as Adopted Pursuant to Section 302 of the Sarbanes-Oxley Act of</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2002</w:t>
      </w:r>
    </w:p>
    <w:p>
      <w:pPr>
        <w:spacing w:after="0" w:line="10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Co-Chief Executive Officer Pursuant to 18 U.S.C. Section 1350, as Adopted Pursuant to Section 302 of the Sarbanes-Oxley Act of</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2002</w:t>
      </w:r>
    </w:p>
    <w:p>
      <w:pPr>
        <w:spacing w:after="0" w:line="10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302 of the Sarbanes-Oxley Act of 2002</w:t>
      </w:r>
    </w:p>
    <w:p>
      <w:pPr>
        <w:spacing w:after="0" w:line="117" w:lineRule="exact"/>
        <w:rPr>
          <w:sz w:val="20"/>
          <w:szCs w:val="20"/>
          <w:color w:val="auto"/>
        </w:rPr>
      </w:pPr>
    </w:p>
    <w:p>
      <w:pPr>
        <w:jc w:val="center"/>
        <w:ind w:left="5620" w:right="280" w:hanging="5612"/>
        <w:spacing w:after="0" w:line="449" w:lineRule="auto"/>
        <w:tabs>
          <w:tab w:leader="none" w:pos="6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Certification of Co-CEOs and CFO Pursuant to 18 U.S.C. Section 1350, as Adopted Pursuant to Section 906 of the Sarbanes-Oxley Act of 2002 68</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3, 2016</w:t>
      </w:r>
      <w:r>
        <w:rPr>
          <w:sz w:val="20"/>
          <w:szCs w:val="20"/>
          <w:color w:val="auto"/>
        </w:rPr>
        <w:tab/>
      </w:r>
      <w:r>
        <w:rPr>
          <w:rFonts w:ascii="Arial" w:cs="Arial" w:eastAsia="Arial" w:hAnsi="Arial"/>
          <w:sz w:val="16"/>
          <w:szCs w:val="16"/>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3, 2016</w:t>
      </w:r>
      <w:r>
        <w:rPr>
          <w:sz w:val="20"/>
          <w:szCs w:val="20"/>
          <w:color w:val="auto"/>
        </w:rPr>
        <w:tab/>
      </w:r>
      <w:r>
        <w:rPr>
          <w:rFonts w:ascii="Arial" w:cs="Arial" w:eastAsia="Arial" w:hAnsi="Arial"/>
          <w:sz w:val="17"/>
          <w:szCs w:val="17"/>
          <w:color w:val="auto"/>
        </w:rPr>
        <w:t>By:  /s/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3, 2016</w:t>
      </w:r>
      <w:r>
        <w:rPr>
          <w:sz w:val="20"/>
          <w:szCs w:val="20"/>
          <w:color w:val="auto"/>
        </w:rPr>
        <w:tab/>
      </w:r>
      <w:r>
        <w:rPr>
          <w:rFonts w:ascii="Arial" w:cs="Arial" w:eastAsia="Arial" w:hAnsi="Arial"/>
          <w:sz w:val="16"/>
          <w:szCs w:val="16"/>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31"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480" w:right="120" w:hanging="567"/>
        <w:spacing w:after="0" w:line="264"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right="40" w:hanging="567"/>
        <w:spacing w:after="0" w:line="264"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6" w:lineRule="exact"/>
        <w:rPr>
          <w:rFonts w:ascii="Arial" w:cs="Arial" w:eastAsia="Arial" w:hAnsi="Arial"/>
          <w:sz w:val="18"/>
          <w:szCs w:val="18"/>
          <w:color w:val="auto"/>
        </w:rPr>
      </w:pPr>
    </w:p>
    <w:p>
      <w:pPr>
        <w:jc w:val="both"/>
        <w:ind w:left="1480" w:right="220" w:hanging="567"/>
        <w:spacing w:after="0" w:line="342" w:lineRule="auto"/>
        <w:tabs>
          <w:tab w:leader="none" w:pos="14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80" w:hanging="567"/>
        <w:spacing w:after="0" w:line="264"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820" w:right="120" w:hanging="678"/>
        <w:spacing w:after="0" w:line="342" w:lineRule="auto"/>
        <w:tabs>
          <w:tab w:leader="none" w:pos="1820" w:val="left"/>
        </w:tabs>
        <w:numPr>
          <w:ilvl w:val="2"/>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820" w:right="400" w:hanging="678"/>
        <w:spacing w:after="0" w:line="277" w:lineRule="auto"/>
        <w:tabs>
          <w:tab w:leader="none" w:pos="182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August 3, 2016</w:t>
            </w:r>
          </w:p>
        </w:tc>
        <w:tc>
          <w:tcPr>
            <w:tcW w:w="7700" w:type="dxa"/>
            <w:vAlign w:val="bottom"/>
            <w:gridSpan w:val="2"/>
          </w:tcPr>
          <w:p>
            <w:pPr>
              <w:ind w:left="2180"/>
              <w:spacing w:after="0"/>
              <w:rPr>
                <w:sz w:val="20"/>
                <w:szCs w:val="20"/>
                <w:color w:val="auto"/>
              </w:rPr>
            </w:pPr>
            <w:r>
              <w:rPr>
                <w:rFonts w:ascii="Arial" w:cs="Arial" w:eastAsia="Arial" w:hAnsi="Arial"/>
                <w:sz w:val="18"/>
                <w:szCs w:val="18"/>
                <w:color w:val="auto"/>
              </w:rPr>
              <w:t>By:  /s/ Joshua Easterly</w:t>
            </w:r>
          </w:p>
        </w:tc>
      </w:tr>
      <w:tr>
        <w:trPr>
          <w:trHeight w:val="195"/>
        </w:trPr>
        <w:tc>
          <w:tcPr>
            <w:tcW w:w="3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3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Co-Chief Executive Officer</w:t>
            </w:r>
          </w:p>
        </w:tc>
      </w:tr>
    </w:tbl>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131"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480" w:right="120" w:hanging="567"/>
        <w:spacing w:after="0" w:line="264"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right="40" w:hanging="567"/>
        <w:spacing w:after="0" w:line="264"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6" w:lineRule="exact"/>
        <w:rPr>
          <w:rFonts w:ascii="Arial" w:cs="Arial" w:eastAsia="Arial" w:hAnsi="Arial"/>
          <w:sz w:val="18"/>
          <w:szCs w:val="18"/>
          <w:color w:val="auto"/>
        </w:rPr>
      </w:pPr>
    </w:p>
    <w:p>
      <w:pPr>
        <w:jc w:val="both"/>
        <w:ind w:left="1480" w:right="220" w:hanging="567"/>
        <w:spacing w:after="0" w:line="342" w:lineRule="auto"/>
        <w:tabs>
          <w:tab w:leader="none" w:pos="14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80" w:hanging="567"/>
        <w:spacing w:after="0" w:line="264"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480" w:right="460" w:hanging="567"/>
        <w:spacing w:after="0" w:line="342" w:lineRule="auto"/>
        <w:tabs>
          <w:tab w:leader="none" w:pos="14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140" w:hanging="567"/>
        <w:spacing w:after="0" w:line="277"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August 3, 2016</w:t>
            </w:r>
          </w:p>
        </w:tc>
        <w:tc>
          <w:tcPr>
            <w:tcW w:w="7700" w:type="dxa"/>
            <w:vAlign w:val="bottom"/>
            <w:gridSpan w:val="2"/>
          </w:tcPr>
          <w:p>
            <w:pPr>
              <w:ind w:left="2180"/>
              <w:spacing w:after="0"/>
              <w:rPr>
                <w:sz w:val="20"/>
                <w:szCs w:val="20"/>
                <w:color w:val="auto"/>
              </w:rPr>
            </w:pPr>
            <w:r>
              <w:rPr>
                <w:rFonts w:ascii="Arial" w:cs="Arial" w:eastAsia="Arial" w:hAnsi="Arial"/>
                <w:sz w:val="18"/>
                <w:szCs w:val="18"/>
                <w:color w:val="auto"/>
              </w:rPr>
              <w:t>By:  /s/ Michael Fishman</w:t>
            </w:r>
          </w:p>
        </w:tc>
      </w:tr>
      <w:tr>
        <w:trPr>
          <w:trHeight w:val="195"/>
        </w:trPr>
        <w:tc>
          <w:tcPr>
            <w:tcW w:w="3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Michael Fishman</w:t>
            </w:r>
          </w:p>
        </w:tc>
      </w:tr>
      <w:tr>
        <w:trPr>
          <w:trHeight w:val="230"/>
        </w:trPr>
        <w:tc>
          <w:tcPr>
            <w:tcW w:w="3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Co-Chief Executive Officer</w:t>
            </w:r>
          </w:p>
        </w:tc>
      </w:tr>
    </w:tbl>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31"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480" w:right="120" w:hanging="567"/>
        <w:spacing w:after="0" w:line="264"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right="40" w:hanging="567"/>
        <w:spacing w:after="0" w:line="264"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6" w:lineRule="exact"/>
        <w:rPr>
          <w:rFonts w:ascii="Arial" w:cs="Arial" w:eastAsia="Arial" w:hAnsi="Arial"/>
          <w:sz w:val="18"/>
          <w:szCs w:val="18"/>
          <w:color w:val="auto"/>
        </w:rPr>
      </w:pPr>
    </w:p>
    <w:p>
      <w:pPr>
        <w:jc w:val="both"/>
        <w:ind w:left="1480" w:right="220" w:hanging="567"/>
        <w:spacing w:after="0" w:line="342" w:lineRule="auto"/>
        <w:tabs>
          <w:tab w:leader="none" w:pos="14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80" w:hanging="567"/>
        <w:spacing w:after="0" w:line="264"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820" w:right="120" w:hanging="678"/>
        <w:spacing w:after="0" w:line="342" w:lineRule="auto"/>
        <w:tabs>
          <w:tab w:leader="none" w:pos="1820" w:val="left"/>
        </w:tabs>
        <w:numPr>
          <w:ilvl w:val="2"/>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820" w:right="400" w:hanging="678"/>
        <w:spacing w:after="0" w:line="277" w:lineRule="auto"/>
        <w:tabs>
          <w:tab w:leader="none" w:pos="18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August 3, 2016</w:t>
            </w:r>
          </w:p>
        </w:tc>
        <w:tc>
          <w:tcPr>
            <w:tcW w:w="7700" w:type="dxa"/>
            <w:vAlign w:val="bottom"/>
            <w:gridSpan w:val="2"/>
          </w:tcPr>
          <w:p>
            <w:pPr>
              <w:ind w:left="2180"/>
              <w:spacing w:after="0"/>
              <w:rPr>
                <w:sz w:val="20"/>
                <w:szCs w:val="20"/>
                <w:color w:val="auto"/>
              </w:rPr>
            </w:pPr>
            <w:r>
              <w:rPr>
                <w:rFonts w:ascii="Arial" w:cs="Arial" w:eastAsia="Arial" w:hAnsi="Arial"/>
                <w:sz w:val="18"/>
                <w:szCs w:val="18"/>
                <w:color w:val="auto"/>
              </w:rPr>
              <w:t>By:  /s/ Ian Simmonds</w:t>
            </w:r>
          </w:p>
        </w:tc>
      </w:tr>
      <w:tr>
        <w:trPr>
          <w:trHeight w:val="195"/>
        </w:trPr>
        <w:tc>
          <w:tcPr>
            <w:tcW w:w="3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6"/>
          <w:szCs w:val="16"/>
          <w:color w:val="auto"/>
        </w:rPr>
        <w:t>In connection with the quarterly report on Form 10-Q of TPG Specialty Lending, Inc. (the “Company”) for the quarterly period ended June 30, 2016, as filed with the Securities and Exchange Commission on the date hereof (the “Report”), Joshua Easterly and Michael Fishman, as Co-Chief Executive Officers of the Company, and Ian Simmonds, as Chief Financial Officer of the Company, each hereby certifies, pursuant to 18 U.S.C. § 1350, as adopted pursuant to §</w:t>
      </w:r>
    </w:p>
    <w:p>
      <w:pPr>
        <w:spacing w:after="0"/>
        <w:rPr>
          <w:sz w:val="20"/>
          <w:szCs w:val="20"/>
          <w:color w:val="auto"/>
        </w:rPr>
      </w:pPr>
      <w:r>
        <w:rPr>
          <w:rFonts w:ascii="Arial" w:cs="Arial" w:eastAsia="Arial" w:hAnsi="Arial"/>
          <w:sz w:val="18"/>
          <w:szCs w:val="18"/>
          <w:color w:val="auto"/>
        </w:rPr>
        <w:t>906 of the Sarbanes-Oxley Act of 2002, that, to such officer’s knowledge:</w:t>
      </w:r>
    </w:p>
    <w:p>
      <w:pPr>
        <w:spacing w:after="0" w:line="103" w:lineRule="exact"/>
        <w:rPr>
          <w:sz w:val="20"/>
          <w:szCs w:val="20"/>
          <w:color w:val="auto"/>
        </w:rPr>
      </w:pPr>
    </w:p>
    <w:p>
      <w:pPr>
        <w:ind w:left="720" w:hanging="256"/>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Joshua Easterly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80"/>
              <w:spacing w:after="0"/>
              <w:rPr>
                <w:sz w:val="20"/>
                <w:szCs w:val="20"/>
                <w:color w:val="auto"/>
              </w:rPr>
            </w:pPr>
            <w:r>
              <w:rPr>
                <w:rFonts w:ascii="Arial" w:cs="Arial" w:eastAsia="Arial" w:hAnsi="Arial"/>
                <w:sz w:val="18"/>
                <w:szCs w:val="18"/>
                <w:color w:val="auto"/>
              </w:rPr>
              <w:t>Co-Chief Executive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ind w:left="80"/>
              <w:spacing w:after="0"/>
              <w:rPr>
                <w:sz w:val="20"/>
                <w:szCs w:val="20"/>
                <w:color w:val="auto"/>
              </w:rPr>
            </w:pPr>
            <w:r>
              <w:rPr>
                <w:rFonts w:ascii="Arial" w:cs="Arial" w:eastAsia="Arial" w:hAnsi="Arial"/>
                <w:sz w:val="18"/>
                <w:szCs w:val="18"/>
                <w:color w:val="auto"/>
              </w:rPr>
              <w:t>August 3, 2016</w:t>
            </w:r>
          </w:p>
        </w:tc>
      </w:tr>
      <w:tr>
        <w:trPr>
          <w:trHeight w:val="432"/>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Fishman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ind w:left="80"/>
              <w:spacing w:after="0"/>
              <w:rPr>
                <w:sz w:val="20"/>
                <w:szCs w:val="20"/>
                <w:color w:val="auto"/>
              </w:rPr>
            </w:pPr>
            <w:r>
              <w:rPr>
                <w:rFonts w:ascii="Arial" w:cs="Arial" w:eastAsia="Arial" w:hAnsi="Arial"/>
                <w:sz w:val="18"/>
                <w:szCs w:val="18"/>
                <w:color w:val="auto"/>
              </w:rPr>
              <w:t>Michael Fishman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80"/>
              <w:spacing w:after="0"/>
              <w:rPr>
                <w:sz w:val="20"/>
                <w:szCs w:val="20"/>
                <w:color w:val="auto"/>
              </w:rPr>
            </w:pPr>
            <w:r>
              <w:rPr>
                <w:rFonts w:ascii="Arial" w:cs="Arial" w:eastAsia="Arial" w:hAnsi="Arial"/>
                <w:sz w:val="18"/>
                <w:szCs w:val="18"/>
                <w:color w:val="auto"/>
              </w:rPr>
              <w:t>Co-Chief Executive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ind w:left="80"/>
              <w:spacing w:after="0"/>
              <w:rPr>
                <w:sz w:val="20"/>
                <w:szCs w:val="20"/>
                <w:color w:val="auto"/>
              </w:rPr>
            </w:pPr>
            <w:r>
              <w:rPr>
                <w:rFonts w:ascii="Arial" w:cs="Arial" w:eastAsia="Arial" w:hAnsi="Arial"/>
                <w:sz w:val="18"/>
                <w:szCs w:val="18"/>
                <w:color w:val="auto"/>
              </w:rPr>
              <w:t>August 3, 2016</w:t>
            </w:r>
          </w:p>
        </w:tc>
      </w:tr>
      <w:tr>
        <w:trPr>
          <w:trHeight w:val="432"/>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Ian Simmonds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ind w:left="80"/>
              <w:spacing w:after="0"/>
              <w:rPr>
                <w:sz w:val="20"/>
                <w:szCs w:val="20"/>
                <w:color w:val="auto"/>
              </w:rPr>
            </w:pPr>
            <w:r>
              <w:rPr>
                <w:rFonts w:ascii="Arial" w:cs="Arial" w:eastAsia="Arial" w:hAnsi="Arial"/>
                <w:sz w:val="18"/>
                <w:szCs w:val="18"/>
                <w:color w:val="auto"/>
              </w:rPr>
              <w:t>Ian Simmonds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ind w:left="80"/>
              <w:spacing w:after="0"/>
              <w:rPr>
                <w:sz w:val="20"/>
                <w:szCs w:val="20"/>
                <w:color w:val="auto"/>
              </w:rPr>
            </w:pPr>
            <w:r>
              <w:rPr>
                <w:rFonts w:ascii="Arial" w:cs="Arial" w:eastAsia="Arial" w:hAnsi="Arial"/>
                <w:sz w:val="18"/>
                <w:szCs w:val="18"/>
                <w:color w:val="auto"/>
              </w:rPr>
              <w:t>August 3, 2016</w:t>
            </w:r>
          </w:p>
        </w:tc>
      </w:tr>
    </w:tbl>
    <w:p>
      <w:pPr>
        <w:spacing w:after="0" w:line="20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lowerLetter"/>
      <w:start w:val="1"/>
    </w:lvl>
  </w:abstractNum>
  <w:abstractNum w:abstractNumId="5">
    <w:nsid w:val="1E7FF521"/>
    <w:multiLevelType w:val="hybridMultilevel"/>
    <w:lvl w:ilvl="0">
      <w:lvlJc w:val="left"/>
      <w:lvlText w:val="(%1)"/>
      <w:numFmt w:val="decimal"/>
      <w:start w:val="8"/>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lowerLetter"/>
      <w:start w:val="1"/>
    </w:lvl>
  </w:abstractNum>
  <w:abstractNum w:abstractNumId="8">
    <w:nsid w:val="6CEAF087"/>
    <w:multiLevelType w:val="hybridMultilevel"/>
    <w:lvl w:ilvl="0">
      <w:lvlJc w:val="left"/>
      <w:lvlText w:val="(%1)"/>
      <w:numFmt w:val="decimal"/>
      <w:start w:val="8"/>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lowerRoman"/>
      <w:start w:val="1"/>
    </w:lvl>
  </w:abstractNum>
  <w:abstractNum w:abstractNumId="13">
    <w:nsid w:val="419AC241"/>
    <w:multiLevelType w:val="hybridMultilevel"/>
    <w:lvl w:ilvl="0">
      <w:lvlJc w:val="left"/>
      <w:lvlText w:val="(%1)"/>
      <w:numFmt w:val="lowerRoman"/>
      <w:start w:val="2"/>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1"/>
      <w:numFmt w:val="decimal"/>
      <w:start w:val="32"/>
    </w:lvl>
  </w:abstractNum>
  <w:abstractNum w:abstractNumId="51">
    <w:nsid w:val="520EEDD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2019-12-29T10:18:46Z</dcterms:created>
  <dcterms:modified xsi:type="dcterms:W3CDTF">2019-12-29T10:18:46Z</dcterms:modified>
</cp:coreProperties>
</file>