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September 30, 2015, TPG Specialty Lending, Inc. issued the following press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Corrects Misleading Statements from TICC Capital Corp.</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NEW YORK—(BUSINESS WIRE)—TPG Specialty Lending, Inc. (“TSLX”; NYSE: TSLX), a specialty finance company focused on lending to middle-market companies, corrected statements made by TICC Capital Corp. (“TICC”; Nasdaq: TICC) in its September 29 letter to stockholders regarding TSLX’s offer to acquire TICC in a stock-for-stock transaction valuing TICC at $7.50 per share.</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Josh Easterly, Chairman and Co-Chief Executive Officer of TSLX stated: “We believe that TICC’s statements hide the clear facts of our proposal. Only the TSLX proposal would put immediate and substantial value in the hands of TICC stockholders. Under the TICC Management proposal where Benefit Street would manage the assets, there is no direct consideration to TICC stockholders, who under management’s proposal, only get the prospect of paying reduced fees going forward to a manager with no public BDC experience. We are confident the long-suffering TICC stockholders will see that our proposal offers superior value for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TSLX urges stockholders to remember the following in reviewing TICC materials: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CURRENT TICC DIVIDEND IS UNSUSTAINABLE</w:t>
      </w:r>
    </w:p>
    <w:p>
      <w:pPr>
        <w:spacing w:after="0" w:line="1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TICC re-issued its first letter to stockholders with amended statements regarding its dividend.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TICC admitted that its dividend is in part a return of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Paying a dividend by returning investors’ capital is clearly unsustainable.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five equity analysts have indicated that the dividend will be cut – TICC and Benefit Street have not refuted these reports.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TSLX proposal, TICC stockholders would gain the opportunity to receive a stable and sustainable dividend that has the opportunity to grow over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TSLX PROPOSAL DOES NOT “TAKE-OUT” INVESTORS AND OFFERS A PREMIUM TO THE MARKET PRICE</w:t>
      </w:r>
    </w:p>
    <w:p>
      <w:pPr>
        <w:spacing w:after="0" w:line="135" w:lineRule="exact"/>
        <w:rPr>
          <w:sz w:val="20"/>
          <w:szCs w:val="20"/>
          <w:color w:val="auto"/>
        </w:rPr>
      </w:pPr>
    </w:p>
    <w:p>
      <w:pPr>
        <w:ind w:left="900" w:right="2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Investors would be able to exchange their shares of TICC for shares of TSLX, thereby realizing a 20% premium to the trading price of TICC shares prior to the public announcement of our proposal.</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top of that premium, TICC investors would be able to participate in any upside of TSLX and the benefits of a leading platform that has outperformed TICC by 66.5% over the past three years!</w:t>
      </w:r>
    </w:p>
    <w:p>
      <w:pPr>
        <w:sectPr>
          <w:pgSz w:w="11900" w:h="16838" w:orient="portrait"/>
          <w:cols w:equalWidth="0" w:num="1">
            <w:col w:w="11320"/>
          </w:cols>
          <w:pgMar w:left="240" w:top="2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TICC IS TRYING TO OBSCURE THE PREMIUM BY SWITCHING THE DISCUSSION TO NET ASSET VALUE</w:t>
      </w:r>
    </w:p>
    <w:p>
      <w:pPr>
        <w:spacing w:after="0" w:line="135" w:lineRule="exact"/>
        <w:rPr>
          <w:sz w:val="20"/>
          <w:szCs w:val="20"/>
          <w:color w:val="auto"/>
        </w:rPr>
      </w:pPr>
    </w:p>
    <w:p>
      <w:pPr>
        <w:ind w:left="900" w:right="2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TICC notes the TSLX offer is a 12.8% discount to TICC’s net asset value as of June 30, 2015 but stockholders know full well that they cannot realize net asset value for their shares, only what the market is willing to pay.</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TICC has focused on the wrong metric – and glossed over the fact that TICC’s shares traded at a 27.1% discount to June 30 net asset value on the day prior to the public announcement of our proposal.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is not a temporary issue either – TICC shares have traded at a discount to net asset value every trading day of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AGAINST TICC’S PROPOSALS – DON’T LET OTHERS DECIDE THE FATE OF YOUR INVESTMENT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TSLX urges stockholders to visit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xml:space="preserve"> for more information about TSLX’s offer and the deficiencies of management’s proposals. Hold TICC management accountable for their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ectPr>
          <w:pgSz w:w="11900" w:h="16838" w:orient="portrait"/>
          <w:cols w:equalWidth="0" w:num="1">
            <w:col w:w="11400"/>
          </w:cols>
          <w:pgMar w:left="240" w:top="270" w:right="259" w:bottom="1440" w:gutter="0" w:footer="0" w:header="0"/>
        </w:sectPr>
      </w:pPr>
    </w:p>
    <w:bookmarkStart w:id="4" w:name="page5"/>
    <w:bookmarkEnd w:id="4"/>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a preliminary proxy statement and accompanying GOLD proxy card with the SEC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ATHTTP://WWW.TPGSPECIALTYLENDING.COM.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ectPr>
          <w:pgSz w:w="11900" w:h="16838" w:orient="portrait"/>
          <w:cols w:equalWidth="0" w:num="1">
            <w:col w:w="11380"/>
          </w:cols>
          <w:pgMar w:left="240" w:top="274" w:right="27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2019-12-20T22:15:14Z</dcterms:created>
  <dcterms:modified xsi:type="dcterms:W3CDTF">2019-12-20T22:15:14Z</dcterms:modified>
</cp:coreProperties>
</file>