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February 16, 2023, the registrant issued a press release announcing its financial results for the quarter ended December 31, 2022.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February 16, 2023, the registrant issued a press release, included herewith as Exhibit 99.1, announcing the declaration of a first quarter 2023 base dividend per share of $0.46 to shareholders of record as of March 15, 2023, payable on March 31, 2023, a fourth quarter 2022 supplemental dividend per share of $0.09 to shareholders of record as of February 28, 2023, payable on March 20, 2023.</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0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0000EE"/>
              </w:rPr>
              <w:t>Press Release, dated February 16, 2023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790"/>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80" w:type="dxa"/>
            <w:vAlign w:val="bottom"/>
          </w:tcPr>
          <w:p>
            <w:pPr>
              <w:spacing w:after="0"/>
              <w:rPr>
                <w:sz w:val="20"/>
                <w:szCs w:val="20"/>
                <w:color w:val="auto"/>
              </w:rPr>
            </w:pPr>
          </w:p>
        </w:tc>
        <w:tc>
          <w:tcPr>
            <w:tcW w:w="7560" w:type="dxa"/>
            <w:vAlign w:val="bottom"/>
            <w:gridSpan w:val="2"/>
          </w:tcPr>
          <w:p>
            <w:pPr>
              <w:ind w:left="194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0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February 16, 2023</w:t>
            </w:r>
          </w:p>
        </w:tc>
        <w:tc>
          <w:tcPr>
            <w:tcW w:w="7560" w:type="dxa"/>
            <w:vAlign w:val="bottom"/>
            <w:gridSpan w:val="2"/>
          </w:tcPr>
          <w:p>
            <w:pPr>
              <w:ind w:left="1940"/>
              <w:spacing w:after="0"/>
              <w:rPr>
                <w:sz w:val="20"/>
                <w:szCs w:val="20"/>
                <w:color w:val="auto"/>
              </w:rPr>
            </w:pPr>
            <w:r>
              <w:rPr>
                <w:rFonts w:ascii="Arial" w:cs="Arial" w:eastAsia="Arial" w:hAnsi="Arial"/>
                <w:sz w:val="18"/>
                <w:szCs w:val="18"/>
                <w:color w:val="auto"/>
              </w:rPr>
              <w:t>By: /s/ Ian Simmonds</w:t>
            </w:r>
          </w:p>
        </w:tc>
      </w:tr>
      <w:tr>
        <w:trPr>
          <w:trHeight w:val="195"/>
        </w:trPr>
        <w:tc>
          <w:tcPr>
            <w:tcW w:w="3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FULL YEAR AND FOURTH QUARTER 2022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Sixth Street Specialty Lending, Inc. Reports Full Year and Fourth Quarter 2022 Earnings Results; Declares a $0.01 Per Share Increase in First Quarter Base Dividend Per Share to $0.46, and a Fourth Quarter Supplemental Dividend of $0.09 Per Share</w:t>
      </w:r>
    </w:p>
    <w:p>
      <w:pPr>
        <w:sectPr>
          <w:pgSz w:w="11900" w:h="16838" w:orient="portrait"/>
          <w:cols w:equalWidth="0" w:num="1">
            <w:col w:w="11260"/>
          </w:cols>
          <w:pgMar w:left="320" w:top="121" w:right="319" w:bottom="1440" w:gutter="0" w:footer="0" w:header="0"/>
        </w:sectPr>
      </w:pPr>
    </w:p>
    <w:p>
      <w:pPr>
        <w:spacing w:after="0" w:line="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NEW YORK—February 16, 2023— Sixth Street Specialty Lending, Inc. (NYSE: TSLX, or the “Company”) today reported net investment income of $2.13 per share and net income of $1.38 per share, for the year ended December 31, 2022. For the quarter ended December 31, 2022 net investment income and net income per share were $0.65 and $0.57, respectively. The Company’s net investment income in the fourth quarter was driven by higher fees from elevated repayment activity, as well as a robust level of interest income from the strength in the core earnings power of the portfolio. Return on equity (ROE) for the full year 2022 was 12.7% and 8.3% on a net investment income and a net income basis, respectively. Annualized ROE for the fourth quarter 2022 was 15.9% and 14.0% on a net investment income and a net income basis, respectively.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2134235"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26606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$2.13</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$0.65</w:t>
            </w:r>
          </w:p>
        </w:tc>
      </w:tr>
      <w:tr>
        <w:trPr>
          <w:trHeight w:val="162"/>
        </w:trPr>
        <w:tc>
          <w:tcPr>
            <w:tcW w:w="2240" w:type="dxa"/>
            <w:vAlign w:val="bottom"/>
            <w:tcBorders>
              <w:bottom w:val="single" w:sz="8" w:color="D9DDE1"/>
            </w:tcBorders>
            <w:gridSpan w:val="2"/>
          </w:tcPr>
          <w:p>
            <w:pPr>
              <w:spacing w:after="0"/>
              <w:rPr>
                <w:sz w:val="14"/>
                <w:szCs w:val="14"/>
                <w:color w:val="auto"/>
              </w:rPr>
            </w:pPr>
          </w:p>
        </w:tc>
        <w:tc>
          <w:tcPr>
            <w:tcW w:w="1120" w:type="dxa"/>
            <w:vAlign w:val="bottom"/>
            <w:tcBorders>
              <w:bottom w:val="single" w:sz="8" w:color="D9DDE1"/>
            </w:tcBorders>
          </w:tcPr>
          <w:p>
            <w:pPr>
              <w:spacing w:after="0"/>
              <w:rPr>
                <w:sz w:val="14"/>
                <w:szCs w:val="14"/>
                <w:color w:val="auto"/>
              </w:rPr>
            </w:pPr>
          </w:p>
        </w:tc>
      </w:tr>
      <w:tr>
        <w:trPr>
          <w:trHeight w:val="218"/>
        </w:trPr>
        <w:tc>
          <w:tcPr>
            <w:tcW w:w="2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(adjusted):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2022 (adjusted):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$0.64</w:t>
            </w:r>
          </w:p>
        </w:tc>
      </w:tr>
    </w:tbl>
    <w:p>
      <w:pPr>
        <w:spacing w:after="0" w:line="430"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jc w:val="both"/>
        <w:spacing w:after="0" w:line="289" w:lineRule="auto"/>
        <w:rPr>
          <w:sz w:val="20"/>
          <w:szCs w:val="20"/>
          <w:color w:val="auto"/>
        </w:rPr>
      </w:pPr>
      <w:r>
        <w:rPr>
          <w:rFonts w:ascii="Arial" w:cs="Arial" w:eastAsia="Arial" w:hAnsi="Arial"/>
          <w:sz w:val="16"/>
          <w:szCs w:val="16"/>
          <w:color w:val="auto"/>
        </w:rPr>
        <w:t>Both net investment income per share and net income per share for the year include approximately $0.11 per share unwind of previously accrued capital gains incentive fees in 2022, which is a non-cash reversal. Excluding the impact of the unwind of capital gains incentive fee expenses for the year, the Company’s adjusted net investment income and adjusted net income for the year ended December 31, 2022 were $2.01 per share $1.27 per share, respectively. For the quarter ended December 31, 2022, adjusted net investment income per share was $0.64 and adjusted net income per share was $0.56. Return on equity (ROE) for the full year 2022 was 12.0% and 7.6% on an adjusted net investment income and an adjusted net income basis, respectively. Annualized ROE for the fourth quarter 2022 was 15.5% and 13.6% on an adjusted net investment income and an adjusted net income basis, respectively.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213423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4235" cy="26543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$0.57</w:t>
            </w:r>
          </w:p>
        </w:tc>
      </w:tr>
      <w:tr>
        <w:trPr>
          <w:trHeight w:val="162"/>
        </w:trPr>
        <w:tc>
          <w:tcPr>
            <w:tcW w:w="2240" w:type="dxa"/>
            <w:vAlign w:val="bottom"/>
            <w:tcBorders>
              <w:bottom w:val="single" w:sz="8" w:color="D9DDE1"/>
            </w:tcBorders>
            <w:gridSpan w:val="2"/>
          </w:tcPr>
          <w:p>
            <w:pPr>
              <w:spacing w:after="0"/>
              <w:rPr>
                <w:sz w:val="14"/>
                <w:szCs w:val="14"/>
                <w:color w:val="auto"/>
              </w:rPr>
            </w:pPr>
          </w:p>
        </w:tc>
        <w:tc>
          <w:tcPr>
            <w:tcW w:w="1120" w:type="dxa"/>
            <w:vAlign w:val="bottom"/>
            <w:tcBorders>
              <w:bottom w:val="single" w:sz="8" w:color="D9DDE1"/>
            </w:tcBorders>
          </w:tcPr>
          <w:p>
            <w:pPr>
              <w:spacing w:after="0"/>
              <w:rPr>
                <w:sz w:val="14"/>
                <w:szCs w:val="14"/>
                <w:color w:val="auto"/>
              </w:rPr>
            </w:pPr>
          </w:p>
        </w:tc>
      </w:tr>
      <w:tr>
        <w:trPr>
          <w:trHeight w:val="218"/>
        </w:trPr>
        <w:tc>
          <w:tcPr>
            <w:tcW w:w="2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(adjusted):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2022 (adjusted):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$0.56</w:t>
            </w:r>
          </w:p>
        </w:tc>
      </w:tr>
    </w:tbl>
    <w:p>
      <w:pPr>
        <w:spacing w:after="0" w:line="431"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jc w:val="both"/>
        <w:spacing w:after="0" w:line="289" w:lineRule="auto"/>
        <w:rPr>
          <w:sz w:val="20"/>
          <w:szCs w:val="20"/>
          <w:color w:val="auto"/>
        </w:rPr>
      </w:pPr>
      <w:r>
        <w:rPr>
          <w:rFonts w:ascii="Arial" w:cs="Arial" w:eastAsia="Arial" w:hAnsi="Arial"/>
          <w:sz w:val="16"/>
          <w:szCs w:val="16"/>
          <w:color w:val="auto"/>
        </w:rPr>
        <w:t>Reported net asset value (NAV) per share was $16.48 at December 31, 2022 as compared to $16.36 at September 30, 2022. The Company announced that its Board of Directors has increased its quarterly base dividend, raising this figure by $0.01 per share to $0.46 per share to shareholders of record as of March 15, and payable on March 31. The Board also announced a fourth quarter supplemental dividend of $0.09 per share to shareholders of record as of February 28, 2023, payable on March 20, 2023. Giving effect to the impact of the supplemental dividend, the Company’s fourth quarter adjusted NAV per share was $16.39 as compared to adjusted NAV per share of $16.73 at December 31, 2021. The primary driver of this year’s NAV per share decline was from unrealized losses as the Company incorporated the impact of wider credit market spreads on the valuation of its portfolio.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21342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(NII):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2022</w:t>
            </w: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r>
      <w:tr>
        <w:trPr>
          <w:trHeight w:val="27"/>
        </w:trPr>
        <w:tc>
          <w:tcPr>
            <w:tcW w:w="440" w:type="dxa"/>
            <w:vAlign w:val="bottom"/>
            <w:tcBorders>
              <w:bottom w:val="single" w:sz="8" w:color="D9DDE1"/>
            </w:tcBorders>
          </w:tcPr>
          <w:p>
            <w:pPr>
              <w:spacing w:after="0"/>
              <w:rPr>
                <w:sz w:val="2"/>
                <w:szCs w:val="2"/>
                <w:color w:val="auto"/>
              </w:rPr>
            </w:pPr>
          </w:p>
        </w:tc>
        <w:tc>
          <w:tcPr>
            <w:tcW w:w="1740" w:type="dxa"/>
            <w:vAlign w:val="bottom"/>
            <w:tcBorders>
              <w:bottom w:val="single" w:sz="8" w:color="D9DDE1"/>
            </w:tcBorders>
            <w:gridSpan w:val="2"/>
          </w:tcPr>
          <w:p>
            <w:pPr>
              <w:spacing w:after="0"/>
              <w:rPr>
                <w:sz w:val="2"/>
                <w:szCs w:val="2"/>
                <w:color w:val="auto"/>
              </w:rPr>
            </w:pPr>
          </w:p>
        </w:tc>
        <w:tc>
          <w:tcPr>
            <w:tcW w:w="1180" w:type="dxa"/>
            <w:vAlign w:val="bottom"/>
            <w:tcBorders>
              <w:bottom w:val="single" w:sz="8" w:color="D9DDE1"/>
            </w:tcBorders>
          </w:tcPr>
          <w:p>
            <w:pPr>
              <w:spacing w:after="0"/>
              <w:rPr>
                <w:sz w:val="2"/>
                <w:szCs w:val="2"/>
                <w:color w:val="auto"/>
              </w:rPr>
            </w:pPr>
          </w:p>
        </w:tc>
      </w:tr>
      <w:tr>
        <w:trPr>
          <w:trHeight w:val="218"/>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(NI):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2022</w:t>
            </w: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r>
        <w:trPr>
          <w:trHeight w:val="27"/>
        </w:trPr>
        <w:tc>
          <w:tcPr>
            <w:tcW w:w="440" w:type="dxa"/>
            <w:vAlign w:val="bottom"/>
            <w:tcBorders>
              <w:bottom w:val="single" w:sz="8" w:color="D9DDE1"/>
            </w:tcBorders>
          </w:tcPr>
          <w:p>
            <w:pPr>
              <w:spacing w:after="0"/>
              <w:rPr>
                <w:sz w:val="2"/>
                <w:szCs w:val="2"/>
                <w:color w:val="auto"/>
              </w:rPr>
            </w:pPr>
          </w:p>
        </w:tc>
        <w:tc>
          <w:tcPr>
            <w:tcW w:w="1740" w:type="dxa"/>
            <w:vAlign w:val="bottom"/>
            <w:tcBorders>
              <w:bottom w:val="single" w:sz="8" w:color="D9DDE1"/>
            </w:tcBorders>
            <w:gridSpan w:val="2"/>
          </w:tcPr>
          <w:p>
            <w:pPr>
              <w:spacing w:after="0"/>
              <w:rPr>
                <w:sz w:val="2"/>
                <w:szCs w:val="2"/>
                <w:color w:val="auto"/>
              </w:rPr>
            </w:pPr>
          </w:p>
        </w:tc>
        <w:tc>
          <w:tcPr>
            <w:tcW w:w="1180" w:type="dxa"/>
            <w:vAlign w:val="bottom"/>
            <w:tcBorders>
              <w:bottom w:val="single" w:sz="8" w:color="D9DDE1"/>
            </w:tcBorders>
          </w:tcPr>
          <w:p>
            <w:pPr>
              <w:spacing w:after="0"/>
              <w:rPr>
                <w:sz w:val="2"/>
                <w:szCs w:val="2"/>
                <w:color w:val="auto"/>
              </w:rPr>
            </w:pPr>
          </w:p>
        </w:tc>
      </w:tr>
      <w:tr>
        <w:trPr>
          <w:trHeight w:val="218"/>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 NII):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2022</w:t>
            </w: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15.5%</w:t>
            </w:r>
          </w:p>
        </w:tc>
      </w:tr>
      <w:tr>
        <w:trPr>
          <w:trHeight w:val="27"/>
        </w:trPr>
        <w:tc>
          <w:tcPr>
            <w:tcW w:w="440" w:type="dxa"/>
            <w:vAlign w:val="bottom"/>
            <w:tcBorders>
              <w:bottom w:val="single" w:sz="8" w:color="D9DDE1"/>
            </w:tcBorders>
          </w:tcPr>
          <w:p>
            <w:pPr>
              <w:spacing w:after="0"/>
              <w:rPr>
                <w:sz w:val="2"/>
                <w:szCs w:val="2"/>
                <w:color w:val="auto"/>
              </w:rPr>
            </w:pPr>
          </w:p>
        </w:tc>
        <w:tc>
          <w:tcPr>
            <w:tcW w:w="1740" w:type="dxa"/>
            <w:vAlign w:val="bottom"/>
            <w:tcBorders>
              <w:bottom w:val="single" w:sz="8" w:color="D9DDE1"/>
            </w:tcBorders>
            <w:gridSpan w:val="2"/>
          </w:tcPr>
          <w:p>
            <w:pPr>
              <w:spacing w:after="0"/>
              <w:rPr>
                <w:sz w:val="2"/>
                <w:szCs w:val="2"/>
                <w:color w:val="auto"/>
              </w:rPr>
            </w:pPr>
          </w:p>
        </w:tc>
        <w:tc>
          <w:tcPr>
            <w:tcW w:w="1180" w:type="dxa"/>
            <w:vAlign w:val="bottom"/>
            <w:tcBorders>
              <w:bottom w:val="single" w:sz="8" w:color="D9DDE1"/>
            </w:tcBorders>
          </w:tcPr>
          <w:p>
            <w:pPr>
              <w:spacing w:after="0"/>
              <w:rPr>
                <w:sz w:val="2"/>
                <w:szCs w:val="2"/>
                <w:color w:val="auto"/>
              </w:rPr>
            </w:pPr>
          </w:p>
        </w:tc>
      </w:tr>
      <w:tr>
        <w:trPr>
          <w:trHeight w:val="218"/>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 NI):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2022</w:t>
            </w: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13.6%</w:t>
            </w:r>
          </w:p>
        </w:tc>
      </w:tr>
    </w:tbl>
    <w:p>
      <w:pPr>
        <w:spacing w:after="0" w:line="161"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jc w:val="both"/>
        <w:spacing w:after="0" w:line="286" w:lineRule="auto"/>
        <w:rPr>
          <w:sz w:val="20"/>
          <w:szCs w:val="20"/>
          <w:color w:val="auto"/>
        </w:rPr>
      </w:pPr>
      <w:r>
        <w:rPr>
          <w:rFonts w:ascii="Arial" w:cs="Arial" w:eastAsia="Arial" w:hAnsi="Arial"/>
          <w:sz w:val="17"/>
          <w:szCs w:val="17"/>
          <w:color w:val="auto"/>
        </w:rPr>
        <w:t>Post-quarter end, the Company satisfied the maturity of its $150 million January 2023 unsecured notes through utilization of undrawn capacity on its revolving credit facility. The settlement marginally decreased the Company’s weighted average cost of debt and had no impact on leverage.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213423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4235" cy="17970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2022</w:t>
            </w:r>
          </w:p>
        </w:tc>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$1,341.6</w:t>
            </w:r>
          </w:p>
        </w:tc>
      </w:tr>
      <w:tr>
        <w:trPr>
          <w:trHeight w:val="27"/>
        </w:trPr>
        <w:tc>
          <w:tcPr>
            <w:tcW w:w="320" w:type="dxa"/>
            <w:vAlign w:val="bottom"/>
            <w:tcBorders>
              <w:bottom w:val="single" w:sz="8" w:color="D9DDE1"/>
            </w:tcBorders>
          </w:tcPr>
          <w:p>
            <w:pPr>
              <w:spacing w:after="0"/>
              <w:rPr>
                <w:sz w:val="2"/>
                <w:szCs w:val="2"/>
                <w:color w:val="auto"/>
              </w:rPr>
            </w:pPr>
          </w:p>
        </w:tc>
        <w:tc>
          <w:tcPr>
            <w:tcW w:w="400" w:type="dxa"/>
            <w:vAlign w:val="bottom"/>
            <w:tcBorders>
              <w:bottom w:val="single" w:sz="8" w:color="D9DDE1"/>
            </w:tcBorders>
          </w:tcPr>
          <w:p>
            <w:pPr>
              <w:spacing w:after="0"/>
              <w:rPr>
                <w:sz w:val="2"/>
                <w:szCs w:val="2"/>
                <w:color w:val="auto"/>
              </w:rPr>
            </w:pPr>
          </w:p>
        </w:tc>
        <w:tc>
          <w:tcPr>
            <w:tcW w:w="1620" w:type="dxa"/>
            <w:vAlign w:val="bottom"/>
            <w:tcBorders>
              <w:bottom w:val="single" w:sz="8" w:color="D9DDE1"/>
            </w:tcBorders>
          </w:tcPr>
          <w:p>
            <w:pPr>
              <w:spacing w:after="0"/>
              <w:rPr>
                <w:sz w:val="2"/>
                <w:szCs w:val="2"/>
                <w:color w:val="auto"/>
              </w:rPr>
            </w:pPr>
          </w:p>
        </w:tc>
        <w:tc>
          <w:tcPr>
            <w:tcW w:w="1020" w:type="dxa"/>
            <w:vAlign w:val="bottom"/>
            <w:tcBorders>
              <w:bottom w:val="single" w:sz="8" w:color="D9DDE1"/>
            </w:tcBorders>
          </w:tcPr>
          <w:p>
            <w:pPr>
              <w:spacing w:after="0"/>
              <w:rPr>
                <w:sz w:val="2"/>
                <w:szCs w:val="2"/>
                <w:color w:val="auto"/>
              </w:rPr>
            </w:pPr>
          </w:p>
        </w:tc>
      </w:tr>
      <w:tr>
        <w:trPr>
          <w:trHeight w:val="23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2022</w:t>
            </w:r>
          </w:p>
        </w:tc>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$16.48</w:t>
            </w:r>
          </w:p>
        </w:tc>
      </w:tr>
      <w:tr>
        <w:trPr>
          <w:trHeight w:val="27"/>
        </w:trPr>
        <w:tc>
          <w:tcPr>
            <w:tcW w:w="320" w:type="dxa"/>
            <w:vAlign w:val="bottom"/>
            <w:tcBorders>
              <w:bottom w:val="single" w:sz="8" w:color="D9DDE1"/>
            </w:tcBorders>
          </w:tcPr>
          <w:p>
            <w:pPr>
              <w:spacing w:after="0"/>
              <w:rPr>
                <w:sz w:val="2"/>
                <w:szCs w:val="2"/>
                <w:color w:val="auto"/>
              </w:rPr>
            </w:pPr>
          </w:p>
        </w:tc>
        <w:tc>
          <w:tcPr>
            <w:tcW w:w="400" w:type="dxa"/>
            <w:vAlign w:val="bottom"/>
            <w:tcBorders>
              <w:bottom w:val="single" w:sz="8" w:color="D9DDE1"/>
            </w:tcBorders>
          </w:tcPr>
          <w:p>
            <w:pPr>
              <w:spacing w:after="0"/>
              <w:rPr>
                <w:sz w:val="2"/>
                <w:szCs w:val="2"/>
                <w:color w:val="auto"/>
              </w:rPr>
            </w:pPr>
          </w:p>
        </w:tc>
        <w:tc>
          <w:tcPr>
            <w:tcW w:w="1620" w:type="dxa"/>
            <w:vAlign w:val="bottom"/>
            <w:tcBorders>
              <w:bottom w:val="single" w:sz="8" w:color="D9DDE1"/>
            </w:tcBorders>
          </w:tcPr>
          <w:p>
            <w:pPr>
              <w:spacing w:after="0"/>
              <w:rPr>
                <w:sz w:val="2"/>
                <w:szCs w:val="2"/>
                <w:color w:val="auto"/>
              </w:rPr>
            </w:pPr>
          </w:p>
        </w:tc>
        <w:tc>
          <w:tcPr>
            <w:tcW w:w="1020" w:type="dxa"/>
            <w:vAlign w:val="bottom"/>
            <w:tcBorders>
              <w:bottom w:val="single" w:sz="8" w:color="D9DDE1"/>
            </w:tcBorders>
          </w:tcPr>
          <w:p>
            <w:pPr>
              <w:spacing w:after="0"/>
              <w:rPr>
                <w:sz w:val="2"/>
                <w:szCs w:val="2"/>
                <w:color w:val="auto"/>
              </w:rPr>
            </w:pPr>
          </w:p>
        </w:tc>
      </w:tr>
      <w:tr>
        <w:trPr>
          <w:trHeight w:val="23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2022</w:t>
            </w:r>
          </w:p>
        </w:tc>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(per share, adj.):</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21342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ind w:left="8740"/>
        <w:spacing w:after="0"/>
        <w:rPr>
          <w:sz w:val="20"/>
          <w:szCs w:val="20"/>
          <w:color w:val="auto"/>
        </w:rPr>
      </w:pPr>
      <w:r>
        <w:rPr>
          <w:rFonts w:ascii="Arial" w:cs="Arial" w:eastAsia="Arial" w:hAnsi="Arial"/>
          <w:sz w:val="18"/>
          <w:szCs w:val="18"/>
          <w:b w:val="1"/>
          <w:bCs w:val="1"/>
          <w:color w:val="FFFFFF"/>
        </w:rPr>
        <w:t>Dividends (per share)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b w:val="1"/>
                <w:bCs w:val="1"/>
                <w:color w:val="auto"/>
              </w:rPr>
              <w:t>Q4 2022 (Base):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2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40" w:type="dxa"/>
            <w:vAlign w:val="bottom"/>
            <w:tcBorders>
              <w:bottom w:val="single" w:sz="8" w:color="D9DDE1"/>
            </w:tcBorders>
          </w:tcPr>
          <w:p>
            <w:pPr>
              <w:spacing w:after="0"/>
              <w:rPr>
                <w:sz w:val="2"/>
                <w:szCs w:val="2"/>
                <w:color w:val="auto"/>
              </w:rPr>
            </w:pPr>
          </w:p>
        </w:tc>
        <w:tc>
          <w:tcPr>
            <w:tcW w:w="1820" w:type="dxa"/>
            <w:vAlign w:val="bottom"/>
            <w:tcBorders>
              <w:bottom w:val="single" w:sz="8" w:color="D9DDE1"/>
            </w:tcBorders>
          </w:tcPr>
          <w:p>
            <w:pPr>
              <w:spacing w:after="0"/>
              <w:rPr>
                <w:sz w:val="2"/>
                <w:szCs w:val="2"/>
                <w:color w:val="auto"/>
              </w:rPr>
            </w:pPr>
          </w:p>
        </w:tc>
        <w:tc>
          <w:tcPr>
            <w:tcW w:w="1100" w:type="dxa"/>
            <w:vAlign w:val="bottom"/>
            <w:tcBorders>
              <w:bottom w:val="single" w:sz="8" w:color="D9DDE1"/>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2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40" w:type="dxa"/>
            <w:vAlign w:val="bottom"/>
            <w:tcBorders>
              <w:bottom w:val="single" w:sz="8" w:color="D9DDE1"/>
            </w:tcBorders>
          </w:tcPr>
          <w:p>
            <w:pPr>
              <w:spacing w:after="0"/>
              <w:rPr>
                <w:sz w:val="2"/>
                <w:szCs w:val="2"/>
                <w:color w:val="auto"/>
              </w:rPr>
            </w:pPr>
          </w:p>
        </w:tc>
        <w:tc>
          <w:tcPr>
            <w:tcW w:w="1820" w:type="dxa"/>
            <w:vAlign w:val="bottom"/>
            <w:tcBorders>
              <w:bottom w:val="single" w:sz="8" w:color="D9DDE1"/>
            </w:tcBorders>
          </w:tcPr>
          <w:p>
            <w:pPr>
              <w:spacing w:after="0"/>
              <w:rPr>
                <w:sz w:val="2"/>
                <w:szCs w:val="2"/>
                <w:color w:val="auto"/>
              </w:rPr>
            </w:pPr>
          </w:p>
        </w:tc>
        <w:tc>
          <w:tcPr>
            <w:tcW w:w="1100" w:type="dxa"/>
            <w:vAlign w:val="bottom"/>
            <w:tcBorders>
              <w:bottom w:val="single" w:sz="8" w:color="D9DDE1"/>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(Supp/Special):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2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40" w:type="dxa"/>
            <w:vAlign w:val="bottom"/>
            <w:tcBorders>
              <w:bottom w:val="single" w:sz="8" w:color="D9DDE1"/>
            </w:tcBorders>
          </w:tcPr>
          <w:p>
            <w:pPr>
              <w:spacing w:after="0"/>
              <w:rPr>
                <w:sz w:val="2"/>
                <w:szCs w:val="2"/>
                <w:color w:val="auto"/>
              </w:rPr>
            </w:pPr>
          </w:p>
        </w:tc>
        <w:tc>
          <w:tcPr>
            <w:tcW w:w="1820" w:type="dxa"/>
            <w:vAlign w:val="bottom"/>
            <w:tcBorders>
              <w:bottom w:val="single" w:sz="8" w:color="D9DDE1"/>
            </w:tcBorders>
          </w:tcPr>
          <w:p>
            <w:pPr>
              <w:spacing w:after="0"/>
              <w:rPr>
                <w:sz w:val="2"/>
                <w:szCs w:val="2"/>
                <w:color w:val="auto"/>
              </w:rPr>
            </w:pPr>
          </w:p>
        </w:tc>
        <w:tc>
          <w:tcPr>
            <w:tcW w:w="1100" w:type="dxa"/>
            <w:vAlign w:val="bottom"/>
            <w:tcBorders>
              <w:bottom w:val="single" w:sz="8" w:color="D9DDE1"/>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20" w:type="dxa"/>
            <w:vAlign w:val="bottom"/>
          </w:tcPr>
          <w:p>
            <w:pPr>
              <w:spacing w:after="0"/>
              <w:rPr>
                <w:sz w:val="20"/>
                <w:szCs w:val="20"/>
                <w:color w:val="auto"/>
              </w:rPr>
            </w:pPr>
          </w:p>
        </w:tc>
      </w:tr>
      <w:tr>
        <w:trPr>
          <w:trHeight w:val="958"/>
        </w:trPr>
        <w:tc>
          <w:tcPr>
            <w:tcW w:w="7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115"/>
        </w:trPr>
        <w:tc>
          <w:tcPr>
            <w:tcW w:w="7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For the year ended December 31, 2022, new investment commitments totaled $1,084.2 million. This compares to $1,389.1 million for the year ended December 31, 2021.</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year ended December 31, 2022, the principal amount of new investments funded was $864.0 million in 24 new portfolio companies, 22 existing portfolio companies and 41 structured credit investments. For this period, the Company had $653.8 million aggregate principal amount in exits and repayments.</w:t>
      </w:r>
    </w:p>
    <w:p>
      <w:pPr>
        <w:spacing w:after="0" w:line="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the year ended December 31, 2021, the principal amount of new investments funded was $1,117.4 million in 25 new portfolio companies and 26 existing portfolio companies. For this period, the Company had $1,004.5 million aggregate principal amount in exits and repayments.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For the quarter ended December 31, 2022, new investment commitments totaled $241.4 million. This compares to $384.6 million for the quarter ended September 30, 2022.</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quarter ended December 31, 2022, the principal amount of new investments funded was $211.9 million across 7 new portfolio companies, 5 existing portfolio companies and 1 structured credit position. For this period, the Company had $281.6 million aggregate principal amount in exits and repayments. For the quarter ended September 30, 2022, the principal amount of new investments funded was $274.4 million across 7 new portfolio companies, 6 existing portfolio companies and 18 structured credit investments. For this period, the Company had $15.8 million aggregate principal amount in exits and repayments.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and September 30, 2022, the Company had investments in 78</w:t>
      </w:r>
      <w:r>
        <w:rPr>
          <w:rFonts w:ascii="Arial" w:cs="Arial" w:eastAsia="Arial" w:hAnsi="Arial"/>
          <w:sz w:val="15"/>
          <w:szCs w:val="15"/>
          <w:color w:val="auto"/>
        </w:rPr>
        <w:t>1</w:t>
      </w:r>
      <w:r>
        <w:rPr>
          <w:rFonts w:ascii="Arial" w:cs="Arial" w:eastAsia="Arial" w:hAnsi="Arial"/>
          <w:sz w:val="18"/>
          <w:szCs w:val="18"/>
          <w:color w:val="auto"/>
        </w:rPr>
        <w:t xml:space="preserve"> and 75</w:t>
      </w:r>
      <w:r>
        <w:rPr>
          <w:rFonts w:ascii="Arial" w:cs="Arial" w:eastAsia="Arial" w:hAnsi="Arial"/>
          <w:sz w:val="15"/>
          <w:szCs w:val="15"/>
          <w:color w:val="auto"/>
        </w:rPr>
        <w:t>2</w:t>
      </w:r>
      <w:r>
        <w:rPr>
          <w:rFonts w:ascii="Arial" w:cs="Arial" w:eastAsia="Arial" w:hAnsi="Arial"/>
          <w:sz w:val="18"/>
          <w:szCs w:val="18"/>
          <w:color w:val="auto"/>
        </w:rPr>
        <w:t xml:space="preserve"> portfolio companies, respectively, with an aggregate fair value of $2,787.9 million and $2,806.1 million, respectively. As of December 31, 2022, the average investment size in each portfolio company was $35.1</w:t>
      </w:r>
      <w:r>
        <w:rPr>
          <w:rFonts w:ascii="Arial" w:cs="Arial" w:eastAsia="Arial" w:hAnsi="Arial"/>
          <w:sz w:val="15"/>
          <w:szCs w:val="15"/>
          <w:color w:val="auto"/>
        </w:rPr>
        <w:t>1</w:t>
      </w:r>
      <w:r>
        <w:rPr>
          <w:rFonts w:ascii="Arial" w:cs="Arial" w:eastAsia="Arial" w:hAnsi="Arial"/>
          <w:sz w:val="18"/>
          <w:szCs w:val="18"/>
          <w:color w:val="auto"/>
        </w:rPr>
        <w:t xml:space="preserve"> million based on fair value.</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2022, the Company’s portfolio based on fair value consisted of 90.3% first-lien debt investments, 1.5% second-lien debt investments, 1.8% structured credit investments, 0.4% mezzanine debt investments, and 6.0% equity and other investments. As of September 30, 2022, the Company’s portfolio based on fair value consisted of 90.4% first-lien debt investments, 1.5% second-lien debt investments, 1.8% structured credit investments, 0.4% mezzanine investments, and 5.9% equity and other investments.</w:t>
      </w:r>
    </w:p>
    <w:p>
      <w:pPr>
        <w:spacing w:after="0" w:line="5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As of December 31, 2022, 98.9% of debt investments 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spacing w:after="0" w:line="6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period ended December 31, 2022 and September 30, 2022, the weighted average total yield of debt and income-producing securities at fair value (which includes interest income and amortization of fees and discounts) was 13.5% and 12.3%, respectively, and the weighted average total yield of debt and income-producing securities at amortized cost (which includes interest income and amortization of fees and discounts) was 13.4% and 12.2%, respectively.</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non-accrual investments represented less than 0.01% of the portfolio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FFFFF"/>
        </w:rPr>
        <w:t>2022 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2168525"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8525" cy="214630"/>
                    </a:xfrm>
                    <a:prstGeom prst="rect">
                      <a:avLst/>
                    </a:prstGeom>
                    <a:noFill/>
                  </pic:spPr>
                </pic:pic>
              </a:graphicData>
            </a:graphic>
          </wp:anchor>
        </w:drawing>
      </w:r>
    </w:p>
    <w:p>
      <w:pPr>
        <w:spacing w:after="0" w:line="57" w:lineRule="exact"/>
        <w:rPr>
          <w:sz w:val="20"/>
          <w:szCs w:val="20"/>
          <w:color w:val="auto"/>
        </w:rPr>
      </w:pPr>
    </w:p>
    <w:p>
      <w:pPr>
        <w:ind w:left="60"/>
        <w:spacing w:after="0"/>
        <w:tabs>
          <w:tab w:leader="none" w:pos="2420" w:val="left"/>
        </w:tabs>
        <w:rPr>
          <w:sz w:val="20"/>
          <w:szCs w:val="20"/>
          <w:color w:val="auto"/>
        </w:rPr>
      </w:pPr>
      <w:r>
        <w:rPr>
          <w:rFonts w:ascii="Arial" w:cs="Arial" w:eastAsia="Arial" w:hAnsi="Arial"/>
          <w:sz w:val="18"/>
          <w:szCs w:val="18"/>
          <w:b w:val="1"/>
          <w:bCs w:val="1"/>
          <w:color w:val="auto"/>
        </w:rPr>
        <w:t>Commitments:</w:t>
      </w:r>
      <w:r>
        <w:rPr>
          <w:sz w:val="20"/>
          <w:szCs w:val="20"/>
          <w:color w:val="auto"/>
        </w:rPr>
        <w:tab/>
      </w:r>
      <w:r>
        <w:rPr>
          <w:rFonts w:ascii="Arial" w:cs="Arial" w:eastAsia="Arial" w:hAnsi="Arial"/>
          <w:sz w:val="18"/>
          <w:szCs w:val="18"/>
          <w:b w:val="1"/>
          <w:bCs w:val="1"/>
          <w:color w:val="auto"/>
        </w:rPr>
        <w:t>$1,084.2MM</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Borders>
              <w:top w:val="single" w:sz="8" w:color="E7E6E6"/>
            </w:tcBorders>
          </w:tcPr>
          <w:p>
            <w:pPr>
              <w:spacing w:after="0"/>
              <w:rPr>
                <w:sz w:val="22"/>
                <w:szCs w:val="22"/>
                <w:color w:val="auto"/>
              </w:rPr>
            </w:pPr>
          </w:p>
        </w:tc>
        <w:tc>
          <w:tcPr>
            <w:tcW w:w="1980" w:type="dxa"/>
            <w:vAlign w:val="bottom"/>
            <w:tcBorders>
              <w:top w:val="single" w:sz="8" w:color="E7E6E6"/>
            </w:tcBorders>
          </w:tcPr>
          <w:p>
            <w:pPr>
              <w:ind w:left="40"/>
              <w:spacing w:after="0"/>
              <w:rPr>
                <w:sz w:val="20"/>
                <w:szCs w:val="20"/>
                <w:color w:val="auto"/>
              </w:rPr>
            </w:pPr>
            <w:r>
              <w:rPr>
                <w:rFonts w:ascii="Arial" w:cs="Arial" w:eastAsia="Arial" w:hAnsi="Arial"/>
                <w:sz w:val="18"/>
                <w:szCs w:val="18"/>
                <w:b w:val="1"/>
                <w:bCs w:val="1"/>
                <w:color w:val="auto"/>
              </w:rPr>
              <w:t>Fundings:</w:t>
            </w:r>
          </w:p>
        </w:tc>
        <w:tc>
          <w:tcPr>
            <w:tcW w:w="1420" w:type="dxa"/>
            <w:vAlign w:val="bottom"/>
            <w:tcBorders>
              <w:top w:val="single" w:sz="8" w:color="E7E6E6"/>
            </w:tcBorders>
          </w:tcPr>
          <w:p>
            <w:pPr>
              <w:ind w:left="580"/>
              <w:spacing w:after="0"/>
              <w:rPr>
                <w:sz w:val="20"/>
                <w:szCs w:val="20"/>
                <w:color w:val="auto"/>
              </w:rPr>
            </w:pPr>
            <w:r>
              <w:rPr>
                <w:rFonts w:ascii="Arial" w:cs="Arial" w:eastAsia="Arial" w:hAnsi="Arial"/>
                <w:sz w:val="18"/>
                <w:szCs w:val="18"/>
                <w:b w:val="1"/>
                <w:bCs w:val="1"/>
                <w:color w:val="auto"/>
                <w:w w:val="96"/>
              </w:rPr>
              <w:t>$864.0MM</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E7E6E6"/>
            </w:tcBorders>
          </w:tcPr>
          <w:p>
            <w:pPr>
              <w:spacing w:after="0"/>
              <w:rPr>
                <w:sz w:val="9"/>
                <w:szCs w:val="9"/>
                <w:color w:val="auto"/>
              </w:rPr>
            </w:pPr>
          </w:p>
        </w:tc>
        <w:tc>
          <w:tcPr>
            <w:tcW w:w="1980" w:type="dxa"/>
            <w:vAlign w:val="bottom"/>
            <w:tcBorders>
              <w:bottom w:val="single" w:sz="8" w:color="E7E6E6"/>
            </w:tcBorders>
          </w:tcPr>
          <w:p>
            <w:pPr>
              <w:spacing w:after="0"/>
              <w:rPr>
                <w:sz w:val="9"/>
                <w:szCs w:val="9"/>
                <w:color w:val="auto"/>
              </w:rPr>
            </w:pPr>
          </w:p>
        </w:tc>
        <w:tc>
          <w:tcPr>
            <w:tcW w:w="1420" w:type="dxa"/>
            <w:vAlign w:val="bottom"/>
            <w:tcBorders>
              <w:bottom w:val="single" w:sz="8" w:color="E7E6E6"/>
            </w:tcBorders>
          </w:tcPr>
          <w:p>
            <w:pPr>
              <w:spacing w:after="0"/>
              <w:rPr>
                <w:sz w:val="9"/>
                <w:szCs w:val="9"/>
                <w:color w:val="auto"/>
              </w:rPr>
            </w:pP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Net Fundings:</w:t>
            </w:r>
          </w:p>
        </w:tc>
        <w:tc>
          <w:tcPr>
            <w:tcW w:w="1420" w:type="dxa"/>
            <w:vAlign w:val="bottom"/>
          </w:tcPr>
          <w:p>
            <w:pPr>
              <w:ind w:left="580"/>
              <w:spacing w:after="0"/>
              <w:rPr>
                <w:sz w:val="20"/>
                <w:szCs w:val="20"/>
                <w:color w:val="auto"/>
              </w:rPr>
            </w:pPr>
            <w:r>
              <w:rPr>
                <w:rFonts w:ascii="Arial" w:cs="Arial" w:eastAsia="Arial" w:hAnsi="Arial"/>
                <w:sz w:val="18"/>
                <w:szCs w:val="18"/>
                <w:b w:val="1"/>
                <w:bCs w:val="1"/>
                <w:color w:val="auto"/>
                <w:w w:val="96"/>
              </w:rPr>
              <w:t>$210.2MM</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0F2F50"/>
            </w:tcBorders>
            <w:gridSpan w:val="3"/>
            <w:shd w:val="clear" w:color="auto" w:fill="0F2F50"/>
          </w:tcPr>
          <w:p>
            <w:pPr>
              <w:ind w:left="620"/>
              <w:spacing w:after="0"/>
              <w:rPr>
                <w:sz w:val="20"/>
                <w:szCs w:val="20"/>
                <w:color w:val="auto"/>
              </w:rPr>
            </w:pPr>
            <w:r>
              <w:rPr>
                <w:rFonts w:ascii="Arial" w:cs="Arial" w:eastAsia="Arial" w:hAnsi="Arial"/>
                <w:sz w:val="18"/>
                <w:szCs w:val="18"/>
                <w:b w:val="1"/>
                <w:bCs w:val="1"/>
                <w:color w:val="FFFFFF"/>
              </w:rPr>
              <w:t>Q4 2022 Origination Activity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80" w:type="dxa"/>
            <w:vAlign w:val="bottom"/>
          </w:tcPr>
          <w:p>
            <w:pPr>
              <w:ind w:left="60"/>
              <w:spacing w:after="0"/>
              <w:rPr>
                <w:sz w:val="20"/>
                <w:szCs w:val="20"/>
                <w:color w:val="auto"/>
              </w:rPr>
            </w:pPr>
            <w:r>
              <w:rPr>
                <w:rFonts w:ascii="Arial" w:cs="Arial" w:eastAsia="Arial" w:hAnsi="Arial"/>
                <w:sz w:val="18"/>
                <w:szCs w:val="18"/>
                <w:b w:val="1"/>
                <w:bCs w:val="1"/>
                <w:color w:val="auto"/>
              </w:rPr>
              <w:t>Commitments: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$241.4MM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Borders>
              <w:bottom w:val="single" w:sz="8" w:color="E7E6E6"/>
            </w:tcBorders>
          </w:tcPr>
          <w:p>
            <w:pPr>
              <w:spacing w:after="0"/>
              <w:rPr>
                <w:sz w:val="2"/>
                <w:szCs w:val="2"/>
                <w:color w:val="auto"/>
              </w:rPr>
            </w:pPr>
          </w:p>
        </w:tc>
        <w:tc>
          <w:tcPr>
            <w:tcW w:w="1500" w:type="dxa"/>
            <w:vAlign w:val="bottom"/>
            <w:tcBorders>
              <w:bottom w:val="single" w:sz="8" w:color="E7E6E6"/>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60"/>
              <w:spacing w:after="0"/>
              <w:rPr>
                <w:sz w:val="20"/>
                <w:szCs w:val="20"/>
                <w:color w:val="auto"/>
              </w:rPr>
            </w:pPr>
            <w:r>
              <w:rPr>
                <w:rFonts w:ascii="Arial" w:cs="Arial" w:eastAsia="Arial" w:hAnsi="Arial"/>
                <w:sz w:val="18"/>
                <w:szCs w:val="18"/>
                <w:b w:val="1"/>
                <w:bCs w:val="1"/>
                <w:color w:val="auto"/>
              </w:rPr>
              <w:t>Fundings: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$211.9MM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Borders>
              <w:bottom w:val="single" w:sz="8" w:color="E7E6E6"/>
            </w:tcBorders>
          </w:tcPr>
          <w:p>
            <w:pPr>
              <w:spacing w:after="0"/>
              <w:rPr>
                <w:sz w:val="2"/>
                <w:szCs w:val="2"/>
                <w:color w:val="auto"/>
              </w:rPr>
            </w:pPr>
          </w:p>
        </w:tc>
        <w:tc>
          <w:tcPr>
            <w:tcW w:w="1500" w:type="dxa"/>
            <w:vAlign w:val="bottom"/>
            <w:tcBorders>
              <w:bottom w:val="single" w:sz="8" w:color="E7E6E6"/>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60"/>
              <w:spacing w:after="0"/>
              <w:rPr>
                <w:sz w:val="20"/>
                <w:szCs w:val="20"/>
                <w:color w:val="auto"/>
              </w:rPr>
            </w:pPr>
            <w:r>
              <w:rPr>
                <w:rFonts w:ascii="Arial" w:cs="Arial" w:eastAsia="Arial" w:hAnsi="Arial"/>
                <w:sz w:val="18"/>
                <w:szCs w:val="18"/>
                <w:b w:val="1"/>
                <w:bCs w:val="1"/>
                <w:color w:val="auto"/>
              </w:rPr>
              <w:t>Net Repayments: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$69.7MM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360045</wp:posOffset>
            </wp:positionV>
            <wp:extent cx="2134235"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42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Average Investment Size</w:t>
      </w:r>
      <w:r>
        <w:rPr>
          <w:rFonts w:ascii="Arial" w:cs="Arial" w:eastAsia="Arial" w:hAnsi="Arial"/>
          <w:sz w:val="15"/>
          <w:szCs w:val="15"/>
          <w:b w:val="1"/>
          <w:bCs w:val="1"/>
          <w:color w:val="FFFFFF"/>
        </w:rPr>
        <w:t>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$35.1MM</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(1.3%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382905</wp:posOffset>
            </wp:positionV>
            <wp:extent cx="213423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First Lien Debt Investments (% FV)</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188595</wp:posOffset>
            </wp:positionV>
            <wp:extent cx="2134235" cy="45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235" cy="45402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 FV)</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283210</wp:posOffset>
            </wp:positionV>
            <wp:extent cx="2168525"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8525" cy="3346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FFFFF"/>
        </w:rPr>
        <w:t>Incoming-Producing Securities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ind w:left="60"/>
              <w:spacing w:after="0"/>
              <w:rPr>
                <w:sz w:val="20"/>
                <w:szCs w:val="20"/>
                <w:color w:val="auto"/>
              </w:rPr>
            </w:pPr>
            <w:r>
              <w:rPr>
                <w:rFonts w:ascii="Arial" w:cs="Arial" w:eastAsia="Arial" w:hAnsi="Arial"/>
                <w:sz w:val="18"/>
                <w:szCs w:val="18"/>
                <w:b w:val="1"/>
                <w:bCs w:val="1"/>
                <w:color w:val="auto"/>
              </w:rPr>
              <w:t>Yield at Fair Value: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r>
        <w:trPr>
          <w:trHeight w:val="40"/>
        </w:trPr>
        <w:tc>
          <w:tcPr>
            <w:tcW w:w="2460" w:type="dxa"/>
            <w:vAlign w:val="bottom"/>
            <w:tcBorders>
              <w:bottom w:val="single" w:sz="8" w:color="E7E6E6"/>
            </w:tcBorders>
          </w:tcPr>
          <w:p>
            <w:pPr>
              <w:spacing w:after="0"/>
              <w:rPr>
                <w:sz w:val="3"/>
                <w:szCs w:val="3"/>
                <w:color w:val="auto"/>
              </w:rPr>
            </w:pPr>
          </w:p>
        </w:tc>
        <w:tc>
          <w:tcPr>
            <w:tcW w:w="960" w:type="dxa"/>
            <w:vAlign w:val="bottom"/>
            <w:tcBorders>
              <w:bottom w:val="single" w:sz="8" w:color="E7E6E6"/>
            </w:tcBorders>
          </w:tcPr>
          <w:p>
            <w:pPr>
              <w:spacing w:after="0"/>
              <w:rPr>
                <w:sz w:val="3"/>
                <w:szCs w:val="3"/>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8"/>
                <w:szCs w:val="18"/>
                <w:b w:val="1"/>
                <w:bCs w:val="1"/>
                <w:color w:val="auto"/>
              </w:rPr>
              <w:t>Yield at Amortized Cost: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r>
      <w:tr>
        <w:trPr>
          <w:trHeight w:val="54"/>
        </w:trPr>
        <w:tc>
          <w:tcPr>
            <w:tcW w:w="2460" w:type="dxa"/>
            <w:vAlign w:val="bottom"/>
            <w:tcBorders>
              <w:bottom w:val="single" w:sz="8" w:color="E7E6E6"/>
            </w:tcBorders>
          </w:tcPr>
          <w:p>
            <w:pPr>
              <w:spacing w:after="0"/>
              <w:rPr>
                <w:sz w:val="4"/>
                <w:szCs w:val="4"/>
                <w:color w:val="auto"/>
              </w:rPr>
            </w:pPr>
          </w:p>
        </w:tc>
        <w:tc>
          <w:tcPr>
            <w:tcW w:w="960" w:type="dxa"/>
            <w:vAlign w:val="bottom"/>
            <w:tcBorders>
              <w:bottom w:val="single" w:sz="8" w:color="E7E6E6"/>
            </w:tcBorders>
          </w:tcPr>
          <w:p>
            <w:pPr>
              <w:spacing w:after="0"/>
              <w:rPr>
                <w:sz w:val="4"/>
                <w:szCs w:val="4"/>
                <w:color w:val="auto"/>
              </w:rPr>
            </w:pPr>
          </w:p>
        </w:tc>
      </w:tr>
    </w:tbl>
    <w:p>
      <w:pPr>
        <w:spacing w:after="0" w:line="305" w:lineRule="exact"/>
        <w:rPr>
          <w:sz w:val="20"/>
          <w:szCs w:val="20"/>
          <w:color w:val="auto"/>
        </w:rPr>
      </w:pPr>
    </w:p>
    <w:p>
      <w:pPr>
        <w:ind w:left="400" w:right="220" w:hanging="331"/>
        <w:spacing w:after="0" w:line="227" w:lineRule="auto"/>
        <w:tabs>
          <w:tab w:leader="none" w:pos="436"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December 31, 2022, excludes 43 structured credit investments with a total fair value of $51.4 million.</w:t>
      </w:r>
    </w:p>
    <w:p>
      <w:pPr>
        <w:jc w:val="both"/>
        <w:ind w:left="400" w:right="240" w:hanging="331"/>
        <w:spacing w:after="0" w:line="221" w:lineRule="auto"/>
        <w:tabs>
          <w:tab w:leader="none" w:pos="392"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September 30, 2022, excludes 43 structured credit investments with a total fair value of $52.0 million.</w:t>
      </w:r>
    </w:p>
    <w:p>
      <w:pPr>
        <w:ind w:left="400" w:right="720" w:hanging="331"/>
        <w:spacing w:after="0" w:line="237"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Calculation includes income earning debt investments only.</w:t>
      </w:r>
    </w:p>
    <w:p>
      <w:pPr>
        <w:spacing w:after="0" w:line="379" w:lineRule="exact"/>
        <w:rPr>
          <w:sz w:val="20"/>
          <w:szCs w:val="20"/>
          <w:color w:val="auto"/>
        </w:rPr>
      </w:pPr>
    </w:p>
    <w:p>
      <w:pPr>
        <w:sectPr>
          <w:pgSz w:w="11900" w:h="16838" w:orient="portrait"/>
          <w:cols w:equalWidth="0" w:num="2">
            <w:col w:w="7640" w:space="180"/>
            <w:col w:w="3500"/>
          </w:cols>
          <w:pgMar w:left="320" w:top="1435" w:right="259" w:bottom="1440" w:gutter="0" w:footer="0" w:header="0"/>
        </w:sectPr>
      </w:pPr>
    </w:p>
    <w:p>
      <w:pPr>
        <w:spacing w:after="0" w:line="294"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20"/>
          </w:cols>
          <w:pgMar w:left="320" w:top="1435"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FULL YEAR AND THREE MONTHS ENDED DECEMBER 31, 2022</w:t>
      </w:r>
    </w:p>
    <w:p>
      <w:pPr>
        <w:sectPr>
          <w:pgSz w:w="11900" w:h="16838" w:orient="portrait"/>
          <w:cols w:equalWidth="0" w:num="1">
            <w:col w:w="11240"/>
          </w:cols>
          <w:pgMar w:left="320" w:top="1435" w:right="3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2022 and 2021, investment income totaled $309.3 million and $278.6 million, respectively. The increase in investment income was primarily the result of higher interest from investments driven by increased all-in yields.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expenses totaled $140.4 million and $135.8 million for the years ended December 31, 2022 and 2021, respectively. The increase in net expenses was primarily due to the upward movement in reference rates which increased the Company’s weighted average interest rate on average debt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December 31, 2022 and 2021, total investment income was $100.1 million and $78.3 million, respectively. The increase in total investment income was primarily the result of higher interest from investments driven by increased all-in yields.</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expenses totaled $46.4 million and $32.5 million for the three months ended December 31, 2022 and 2021, respectively. The increase in expenses was primarily driven by higher interest expense resulting from an increase in the average debt outstanding and higher incentive fees due to an increase in pre-incentive fee net investment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2022, the Company had $25.6 million in cash and cash equivalents (including $15.4 million of restricted cash), total principal value of debt outstanding of $1,516.8 million, and $865.7 million of undrawn capacity on its revolving credit facility, subject to borrowing base and other limitations. At year end, aggregate commitments under the Company’s revolving credit facility were $1.585 billion, in accordance with the accordion feature.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weighted average interest rate on debt outstanding was 5.6% and 4.3% for the three months ended December 31, 2022 and September 30, 2022, respectively. At December 31, 2022, the Company’s debt to equity ratio was 1.13x, compared to 1.16x at September 30, 2022. Average debt to equity was 1.14x and 1.15x during the three months ended December 31, 2022 and September 30, 2022,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FFFFFF"/>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2177415"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77415" cy="23177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Investment Income:</w:t>
            </w:r>
          </w:p>
        </w:tc>
        <w:tc>
          <w:tcPr>
            <w:tcW w:w="1340" w:type="dxa"/>
            <w:vAlign w:val="bottom"/>
          </w:tcPr>
          <w:p>
            <w:pPr>
              <w:ind w:left="500"/>
              <w:spacing w:after="0"/>
              <w:rPr>
                <w:sz w:val="20"/>
                <w:szCs w:val="20"/>
                <w:color w:val="auto"/>
              </w:rPr>
            </w:pPr>
            <w:r>
              <w:rPr>
                <w:rFonts w:ascii="Arial" w:cs="Arial" w:eastAsia="Arial" w:hAnsi="Arial"/>
                <w:sz w:val="18"/>
                <w:szCs w:val="18"/>
                <w:b w:val="1"/>
                <w:bCs w:val="1"/>
                <w:color w:val="auto"/>
                <w:w w:val="96"/>
              </w:rPr>
              <w:t>$309.3MM</w:t>
            </w:r>
          </w:p>
        </w:tc>
      </w:tr>
      <w:tr>
        <w:trPr>
          <w:trHeight w:val="122"/>
        </w:trPr>
        <w:tc>
          <w:tcPr>
            <w:tcW w:w="2080" w:type="dxa"/>
            <w:vAlign w:val="bottom"/>
            <w:tcBorders>
              <w:bottom w:val="single" w:sz="8" w:color="E7E6E6"/>
            </w:tcBorders>
          </w:tcPr>
          <w:p>
            <w:pPr>
              <w:spacing w:after="0"/>
              <w:rPr>
                <w:sz w:val="10"/>
                <w:szCs w:val="10"/>
                <w:color w:val="auto"/>
              </w:rPr>
            </w:pPr>
          </w:p>
        </w:tc>
        <w:tc>
          <w:tcPr>
            <w:tcW w:w="1340" w:type="dxa"/>
            <w:vAlign w:val="bottom"/>
            <w:tcBorders>
              <w:bottom w:val="single" w:sz="8" w:color="E7E6E6"/>
            </w:tcBorders>
          </w:tcPr>
          <w:p>
            <w:pPr>
              <w:spacing w:after="0"/>
              <w:rPr>
                <w:sz w:val="10"/>
                <w:szCs w:val="10"/>
                <w:color w:val="auto"/>
              </w:rPr>
            </w:pPr>
          </w:p>
        </w:tc>
      </w:tr>
      <w:tr>
        <w:trPr>
          <w:trHeight w:val="237"/>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Net Expenses:</w:t>
            </w:r>
          </w:p>
        </w:tc>
        <w:tc>
          <w:tcPr>
            <w:tcW w:w="1340" w:type="dxa"/>
            <w:vAlign w:val="bottom"/>
          </w:tcPr>
          <w:p>
            <w:pPr>
              <w:ind w:left="500"/>
              <w:spacing w:after="0"/>
              <w:rPr>
                <w:sz w:val="20"/>
                <w:szCs w:val="20"/>
                <w:color w:val="auto"/>
              </w:rPr>
            </w:pPr>
            <w:r>
              <w:rPr>
                <w:rFonts w:ascii="Arial" w:cs="Arial" w:eastAsia="Arial" w:hAnsi="Arial"/>
                <w:sz w:val="18"/>
                <w:szCs w:val="18"/>
                <w:b w:val="1"/>
                <w:bCs w:val="1"/>
                <w:color w:val="auto"/>
                <w:w w:val="96"/>
              </w:rPr>
              <w:t>$140.4MM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625475</wp:posOffset>
            </wp:positionV>
            <wp:extent cx="21685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85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FFFFFF"/>
        </w:rPr>
        <w:t>Q4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00" w:type="dxa"/>
            <w:vAlign w:val="bottom"/>
          </w:tcPr>
          <w:p>
            <w:pPr>
              <w:ind w:left="60"/>
              <w:spacing w:after="0"/>
              <w:rPr>
                <w:sz w:val="20"/>
                <w:szCs w:val="20"/>
                <w:color w:val="auto"/>
              </w:rPr>
            </w:pPr>
            <w:r>
              <w:rPr>
                <w:rFonts w:ascii="Arial" w:cs="Arial" w:eastAsia="Arial" w:hAnsi="Arial"/>
                <w:sz w:val="18"/>
                <w:szCs w:val="18"/>
                <w:b w:val="1"/>
                <w:bCs w:val="1"/>
                <w:color w:val="auto"/>
              </w:rPr>
              <w:t>Investment Income:</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$100.1MM</w:t>
            </w:r>
          </w:p>
        </w:tc>
      </w:tr>
      <w:tr>
        <w:trPr>
          <w:trHeight w:val="27"/>
        </w:trPr>
        <w:tc>
          <w:tcPr>
            <w:tcW w:w="2100" w:type="dxa"/>
            <w:vAlign w:val="bottom"/>
            <w:tcBorders>
              <w:bottom w:val="single" w:sz="8" w:color="E7E6E6"/>
            </w:tcBorders>
          </w:tcPr>
          <w:p>
            <w:pPr>
              <w:spacing w:after="0"/>
              <w:rPr>
                <w:sz w:val="2"/>
                <w:szCs w:val="2"/>
                <w:color w:val="auto"/>
              </w:rPr>
            </w:pPr>
          </w:p>
        </w:tc>
        <w:tc>
          <w:tcPr>
            <w:tcW w:w="1320" w:type="dxa"/>
            <w:vAlign w:val="bottom"/>
            <w:tcBorders>
              <w:bottom w:val="single" w:sz="8" w:color="E7E6E6"/>
            </w:tcBorders>
          </w:tcPr>
          <w:p>
            <w:pPr>
              <w:spacing w:after="0"/>
              <w:rPr>
                <w:sz w:val="2"/>
                <w:szCs w:val="2"/>
                <w:color w:val="auto"/>
              </w:rPr>
            </w:pPr>
          </w:p>
        </w:tc>
      </w:tr>
      <w:tr>
        <w:trPr>
          <w:trHeight w:val="237"/>
        </w:trPr>
        <w:tc>
          <w:tcPr>
            <w:tcW w:w="2100" w:type="dxa"/>
            <w:vAlign w:val="bottom"/>
          </w:tcPr>
          <w:p>
            <w:pPr>
              <w:ind w:left="60"/>
              <w:spacing w:after="0"/>
              <w:rPr>
                <w:sz w:val="20"/>
                <w:szCs w:val="20"/>
                <w:color w:val="auto"/>
              </w:rPr>
            </w:pPr>
            <w:r>
              <w:rPr>
                <w:rFonts w:ascii="Arial" w:cs="Arial" w:eastAsia="Arial" w:hAnsi="Arial"/>
                <w:sz w:val="18"/>
                <w:szCs w:val="18"/>
                <w:b w:val="1"/>
                <w:bCs w:val="1"/>
                <w:color w:val="auto"/>
              </w:rPr>
              <w:t>Net Expenses: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$46.4MM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17741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7415" cy="17145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$1,516.8MM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774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600075</wp:posOffset>
            </wp:positionV>
            <wp:extent cx="21685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85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FFFFFF"/>
        </w:rPr>
        <w:t>Debt-to-Equity Ratio</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2022 Quarter End:</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1.13x</w:t>
            </w:r>
          </w:p>
        </w:tc>
      </w:tr>
      <w:tr>
        <w:trPr>
          <w:trHeight w:val="27"/>
        </w:trPr>
        <w:tc>
          <w:tcPr>
            <w:tcW w:w="2400" w:type="dxa"/>
            <w:vAlign w:val="bottom"/>
            <w:tcBorders>
              <w:bottom w:val="single" w:sz="8" w:color="E7E6E6"/>
            </w:tcBorders>
            <w:gridSpan w:val="2"/>
          </w:tcPr>
          <w:p>
            <w:pPr>
              <w:spacing w:after="0"/>
              <w:rPr>
                <w:sz w:val="2"/>
                <w:szCs w:val="2"/>
                <w:color w:val="auto"/>
              </w:rPr>
            </w:pPr>
          </w:p>
        </w:tc>
        <w:tc>
          <w:tcPr>
            <w:tcW w:w="1020" w:type="dxa"/>
            <w:vAlign w:val="bottom"/>
            <w:tcBorders>
              <w:bottom w:val="single" w:sz="8" w:color="E7E6E6"/>
            </w:tcBorders>
          </w:tcPr>
          <w:p>
            <w:pPr>
              <w:spacing w:after="0"/>
              <w:rPr>
                <w:sz w:val="2"/>
                <w:szCs w:val="2"/>
                <w:color w:val="auto"/>
              </w:rPr>
            </w:pPr>
          </w:p>
        </w:tc>
      </w:tr>
      <w:tr>
        <w:trPr>
          <w:trHeight w:val="237"/>
        </w:trPr>
        <w:tc>
          <w:tcPr>
            <w:tcW w:w="24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1.03x</w:t>
            </w:r>
          </w:p>
        </w:tc>
      </w:tr>
      <w:tr>
        <w:trPr>
          <w:trHeight w:val="27"/>
        </w:trPr>
        <w:tc>
          <w:tcPr>
            <w:tcW w:w="320" w:type="dxa"/>
            <w:vAlign w:val="bottom"/>
            <w:tcBorders>
              <w:bottom w:val="single" w:sz="8" w:color="E7E6E6"/>
            </w:tcBorders>
          </w:tcPr>
          <w:p>
            <w:pPr>
              <w:spacing w:after="0"/>
              <w:rPr>
                <w:sz w:val="2"/>
                <w:szCs w:val="2"/>
                <w:color w:val="auto"/>
              </w:rPr>
            </w:pPr>
          </w:p>
        </w:tc>
        <w:tc>
          <w:tcPr>
            <w:tcW w:w="2080" w:type="dxa"/>
            <w:vAlign w:val="bottom"/>
            <w:tcBorders>
              <w:bottom w:val="single" w:sz="8" w:color="E7E6E6"/>
            </w:tcBorders>
          </w:tcPr>
          <w:p>
            <w:pPr>
              <w:spacing w:after="0"/>
              <w:rPr>
                <w:sz w:val="2"/>
                <w:szCs w:val="2"/>
                <w:color w:val="auto"/>
              </w:rPr>
            </w:pPr>
          </w:p>
        </w:tc>
        <w:tc>
          <w:tcPr>
            <w:tcW w:w="1020" w:type="dxa"/>
            <w:vAlign w:val="bottom"/>
            <w:tcBorders>
              <w:bottom w:val="single" w:sz="8" w:color="E7E6E6"/>
            </w:tcBorders>
          </w:tcPr>
          <w:p>
            <w:pPr>
              <w:spacing w:after="0"/>
              <w:rPr>
                <w:sz w:val="2"/>
                <w:szCs w:val="2"/>
                <w:color w:val="auto"/>
              </w:rPr>
            </w:pPr>
          </w:p>
        </w:tc>
      </w:tr>
      <w:tr>
        <w:trPr>
          <w:trHeight w:val="23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2022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1.14x</w:t>
            </w:r>
          </w:p>
        </w:tc>
      </w:tr>
      <w:tr>
        <w:trPr>
          <w:trHeight w:val="27"/>
        </w:trPr>
        <w:tc>
          <w:tcPr>
            <w:tcW w:w="320" w:type="dxa"/>
            <w:vAlign w:val="bottom"/>
            <w:tcBorders>
              <w:bottom w:val="single" w:sz="8" w:color="E7E6E6"/>
            </w:tcBorders>
          </w:tcPr>
          <w:p>
            <w:pPr>
              <w:spacing w:after="0"/>
              <w:rPr>
                <w:sz w:val="2"/>
                <w:szCs w:val="2"/>
                <w:color w:val="auto"/>
              </w:rPr>
            </w:pPr>
          </w:p>
        </w:tc>
        <w:tc>
          <w:tcPr>
            <w:tcW w:w="2080" w:type="dxa"/>
            <w:vAlign w:val="bottom"/>
            <w:tcBorders>
              <w:bottom w:val="single" w:sz="8" w:color="E7E6E6"/>
            </w:tcBorders>
          </w:tcPr>
          <w:p>
            <w:pPr>
              <w:spacing w:after="0"/>
              <w:rPr>
                <w:sz w:val="2"/>
                <w:szCs w:val="2"/>
                <w:color w:val="auto"/>
              </w:rPr>
            </w:pPr>
          </w:p>
        </w:tc>
        <w:tc>
          <w:tcPr>
            <w:tcW w:w="1020" w:type="dxa"/>
            <w:vAlign w:val="bottom"/>
            <w:tcBorders>
              <w:bottom w:val="single" w:sz="8" w:color="E7E6E6"/>
            </w:tcBorders>
          </w:tcPr>
          <w:p>
            <w:pPr>
              <w:spacing w:after="0"/>
              <w:rPr>
                <w:sz w:val="2"/>
                <w:szCs w:val="2"/>
                <w:color w:val="auto"/>
              </w:rPr>
            </w:pPr>
          </w:p>
        </w:tc>
      </w:tr>
    </w:tbl>
    <w:p>
      <w:pPr>
        <w:spacing w:after="0" w:line="116" w:lineRule="exact"/>
        <w:rPr>
          <w:sz w:val="20"/>
          <w:szCs w:val="20"/>
          <w:color w:val="auto"/>
        </w:rPr>
      </w:pPr>
    </w:p>
    <w:p>
      <w:pPr>
        <w:jc w:val="both"/>
        <w:ind w:left="400" w:right="60" w:hanging="331"/>
        <w:spacing w:after="0" w:line="228" w:lineRule="auto"/>
        <w:tabs>
          <w:tab w:leader="none" w:pos="465" w:val="left"/>
        </w:tabs>
        <w:numPr>
          <w:ilvl w:val="0"/>
          <w:numId w:val="3"/>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r>
        <w:rPr>
          <w:rFonts w:ascii="Arial" w:cs="Arial" w:eastAsia="Arial" w:hAnsi="Arial"/>
          <w:sz w:val="14"/>
          <w:szCs w:val="14"/>
          <w:b w:val="1"/>
          <w:bCs w:val="1"/>
          <w:color w:val="auto"/>
        </w:rPr>
        <w:t>.</w:t>
      </w:r>
    </w:p>
    <w:p>
      <w:pPr>
        <w:spacing w:after="0" w:line="200" w:lineRule="exact"/>
        <w:rPr>
          <w:sz w:val="20"/>
          <w:szCs w:val="20"/>
          <w:color w:val="auto"/>
        </w:rPr>
      </w:pPr>
    </w:p>
    <w:p>
      <w:pPr>
        <w:sectPr>
          <w:pgSz w:w="11900" w:h="16838" w:orient="portrait"/>
          <w:cols w:equalWidth="0" w:num="2">
            <w:col w:w="7620" w:space="200"/>
            <w:col w:w="342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liquidity at December 31, 2022 and changes to unfunded commitments since September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20"/>
                <w:szCs w:val="20"/>
                <w:color w:val="auto"/>
              </w:rPr>
            </w:pPr>
            <w:r>
              <w:rPr>
                <w:rFonts w:ascii="Arial" w:cs="Arial" w:eastAsia="Arial" w:hAnsi="Arial"/>
                <w:sz w:val="14"/>
                <w:szCs w:val="14"/>
                <w:color w:val="auto"/>
              </w:rPr>
              <w:t>$ Millions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4440" w:type="dxa"/>
            <w:vAlign w:val="bottom"/>
            <w:tcBorders>
              <w:bottom w:val="single" w:sz="8" w:color="0F2F50"/>
            </w:tcBorders>
            <w:shd w:val="clear" w:color="auto" w:fill="0F2F50"/>
          </w:tcPr>
          <w:p>
            <w:pPr>
              <w:ind w:left="1820"/>
              <w:spacing w:after="0"/>
              <w:rPr>
                <w:sz w:val="20"/>
                <w:szCs w:val="20"/>
                <w:color w:val="auto"/>
              </w:rPr>
            </w:pPr>
            <w:r>
              <w:rPr>
                <w:rFonts w:ascii="Arial" w:cs="Arial" w:eastAsia="Arial" w:hAnsi="Arial"/>
                <w:sz w:val="18"/>
                <w:szCs w:val="18"/>
                <w:b w:val="1"/>
                <w:bCs w:val="1"/>
                <w:color w:val="FFFFFF"/>
              </w:rPr>
              <w:t>Revolving Credit Facility</w:t>
            </w:r>
          </w:p>
        </w:tc>
        <w:tc>
          <w:tcPr>
            <w:tcW w:w="1120" w:type="dxa"/>
            <w:vAlign w:val="bottom"/>
            <w:tcBorders>
              <w:bottom w:val="single" w:sz="8" w:color="0F2F50"/>
            </w:tcBorders>
            <w:shd w:val="clear" w:color="auto" w:fill="0F2F50"/>
          </w:tcPr>
          <w:p>
            <w:pPr>
              <w:spacing w:after="0"/>
              <w:rPr>
                <w:sz w:val="21"/>
                <w:szCs w:val="21"/>
                <w:color w:val="auto"/>
              </w:rPr>
            </w:pPr>
          </w:p>
        </w:tc>
        <w:tc>
          <w:tcPr>
            <w:tcW w:w="220" w:type="dxa"/>
            <w:vAlign w:val="bottom"/>
          </w:tcPr>
          <w:p>
            <w:pPr>
              <w:spacing w:after="0"/>
              <w:rPr>
                <w:sz w:val="21"/>
                <w:szCs w:val="21"/>
                <w:color w:val="auto"/>
              </w:rPr>
            </w:pPr>
          </w:p>
        </w:tc>
        <w:tc>
          <w:tcPr>
            <w:tcW w:w="4560" w:type="dxa"/>
            <w:vAlign w:val="bottom"/>
            <w:tcBorders>
              <w:bottom w:val="single" w:sz="8" w:color="0F2F50"/>
            </w:tcBorders>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tcBorders>
              <w:bottom w:val="single" w:sz="8" w:color="0F2F50"/>
            </w:tcBorders>
            <w:shd w:val="clear" w:color="auto" w:fill="0F2F50"/>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$1,585</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9/30/22 10-Q)</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$394</w:t>
            </w:r>
          </w:p>
        </w:tc>
        <w:tc>
          <w:tcPr>
            <w:tcW w:w="2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4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2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($719)</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$10</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$876</w:t>
            </w:r>
          </w:p>
        </w:tc>
      </w:tr>
      <w:tr>
        <w:trPr>
          <w:trHeight w:val="196"/>
        </w:trPr>
        <w:tc>
          <w:tcPr>
            <w:tcW w:w="452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1</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($178)</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$698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60" w:type="dxa"/>
            <w:vAlign w:val="bottom"/>
            <w:tcBorders>
              <w:top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($50)</w:t>
            </w:r>
          </w:p>
        </w:tc>
      </w:tr>
      <w:tr>
        <w:trPr>
          <w:trHeight w:val="196"/>
        </w:trPr>
        <w:tc>
          <w:tcPr>
            <w:tcW w:w="392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$336</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7"/>
                <w:szCs w:val="17"/>
                <w:color w:val="auto"/>
              </w:rPr>
            </w:pP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35" w:right="339" w:bottom="1440" w:gutter="0" w:footer="0" w:header="0"/>
          <w:type w:val="continuous"/>
        </w:sectPr>
      </w:pPr>
    </w:p>
    <w:p>
      <w:pPr>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May not sum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the Company’s funding mix was comprised of 53% unsecured and 47% secured debt. As illustrated below, the Company’s weighted average remaining life of investments funded with debt was ~2.6 years, compared to a weighted average remaining maturity on debt of ~3.8 years***. Post quarter-end, the Company satisfied the maturity of its $150 million January 2023 unsecured notes through utilization of undrawn capacity on its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76200</wp:posOffset>
            </wp:positionV>
            <wp:extent cx="5760720" cy="3103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072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line="236" w:lineRule="auto"/>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 and $50 million of non-extending commitments with a maturity of February 4, 2026 and a revolving period ending February 4, 2025.</w:t>
      </w:r>
    </w:p>
    <w:p>
      <w:pPr>
        <w:spacing w:after="0" w:line="3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**$150 million unsecured notes with a January 22, 2023 maturity date were repaid post-quarter end. ***Adjusted for the repayment of the January 2023 unsecured notes that were repaid on January 23, 2023.</w:t>
      </w:r>
    </w:p>
    <w:p>
      <w:pPr>
        <w:spacing w:after="0" w:line="100" w:lineRule="exact"/>
        <w:rPr>
          <w:sz w:val="20"/>
          <w:szCs w:val="20"/>
          <w:color w:val="auto"/>
        </w:rPr>
      </w:pPr>
    </w:p>
    <w:p>
      <w:pPr>
        <w:ind w:left="400" w:hanging="392"/>
        <w:spacing w:after="0" w:line="292" w:lineRule="auto"/>
        <w:tabs>
          <w:tab w:leader="none" w:pos="400" w:val="left"/>
        </w:tabs>
        <w:numPr>
          <w:ilvl w:val="0"/>
          <w:numId w:val="5"/>
        </w:numPr>
        <w:rPr>
          <w:rFonts w:ascii="Arial" w:cs="Arial" w:eastAsia="Arial" w:hAnsi="Arial"/>
          <w:sz w:val="10"/>
          <w:szCs w:val="10"/>
          <w:color w:val="auto"/>
        </w:rPr>
      </w:pPr>
      <w:r>
        <w:rPr>
          <w:rFonts w:ascii="Arial" w:cs="Arial" w:eastAsia="Arial" w:hAnsi="Arial"/>
          <w:sz w:val="10"/>
          <w:szCs w:val="10"/>
          <w:color w:val="auto"/>
        </w:rPr>
        <w:t>Net of Deferred Financing Costs and Interest Rate Fair Value Hedging. Deferred Financing Costs total $19.1M at 12/31/21, $17.8M at 3/31/22, $20.6M at 6/30/22, $19.1M at 9/30/22 and $17.8M at 12/31/22. Fair value hedge on interest rate swaps related to the 2024 and 2026 notes total $2.5M at 9/30/21, ($5.9M) at 12/31/21, ($33.0M) at 3/31/22, ($41.1M) at 6/30/22, ($58.3M) at 9/30/22 and ($55.1M) at 12/31/22.</w:t>
      </w:r>
    </w:p>
    <w:p>
      <w:pPr>
        <w:jc w:val="both"/>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amortized cost of debt investments. Investments are financed by debt and equity capital. This analysis assumes longer-dated investments are currently funded by equity capital (48% of investments) and the remaining (shorter-dated) investments (52% of investments) are currently funded by debt financing. Investments for purposes of this analysis exclude unfunded commitments, and equity capital is defined as 12/31/22 net assets.</w:t>
      </w:r>
    </w:p>
    <w:p>
      <w:pPr>
        <w:spacing w:after="0" w:line="1" w:lineRule="exact"/>
        <w:rPr>
          <w:rFonts w:ascii="Arial" w:cs="Arial" w:eastAsia="Arial" w:hAnsi="Arial"/>
          <w:sz w:val="13"/>
          <w:szCs w:val="13"/>
          <w:color w:val="auto"/>
        </w:rPr>
      </w:pPr>
    </w:p>
    <w:p>
      <w:pPr>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conference call to discuss the Company’s financial results will be held at 8:30 a.m. Eastern Time on February 17, 2023.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analysts who wish to participate in the conference call must first register at https://register.vevent.com/register/BI882d24f38fa541baa631789746d23403. Upon registration, all telephone participants will receive a confirmation email detailing how to join the conference call, including the dial-in number along with a unique passcode and registrant ID that can be used to access the call.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recorded version will be available under the same webcast link (</w:t>
      </w:r>
      <w:r>
        <w:rPr>
          <w:rFonts w:ascii="Arial" w:cs="Arial" w:eastAsia="Arial" w:hAnsi="Arial"/>
          <w:sz w:val="18"/>
          <w:szCs w:val="18"/>
          <w:u w:val="single" w:color="auto"/>
          <w:color w:val="auto"/>
        </w:rPr>
        <w:t>https://sixthstreetspecialtylending.gcs-web.com/events-and-presentations</w:t>
      </w:r>
      <w:r>
        <w:rPr>
          <w:rFonts w:ascii="Arial" w:cs="Arial" w:eastAsia="Arial" w:hAnsi="Arial"/>
          <w:sz w:val="18"/>
          <w:szCs w:val="18"/>
          <w:color w:val="auto"/>
        </w:rPr>
        <w:t>) following the conclusion of the conference call.</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8"/>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 2022</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4"/>
                <w:szCs w:val="14"/>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December 31, 2021</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2,787.9</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2,806.1</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2,836.9</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2,859.7</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2,551.9</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Special Dividend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Asset Value Per Share </w:t>
            </w:r>
            <w:r>
              <w:rPr>
                <w:rFonts w:ascii="Arial" w:cs="Arial" w:eastAsia="Arial" w:hAnsi="Arial"/>
                <w:sz w:val="15"/>
                <w:szCs w:val="15"/>
                <w:color w:val="auto"/>
              </w:rPr>
              <w:t>(1)</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16.39</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16.36</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16.73</w:t>
            </w: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Investment Income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100.1</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FF0FC"/>
          </w:tcPr>
          <w:p>
            <w:pPr>
              <w:spacing w:after="0"/>
              <w:rPr>
                <w:sz w:val="19"/>
                <w:szCs w:val="19"/>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1"/>
                <w:szCs w:val="21"/>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21"/>
                <w:szCs w:val="21"/>
                <w:color w:val="auto"/>
              </w:rPr>
            </w:pPr>
          </w:p>
        </w:tc>
      </w:tr>
      <w:tr>
        <w:trPr>
          <w:trHeight w:val="26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Investment Income </w:t>
            </w:r>
            <w:r>
              <w:rPr>
                <w:rFonts w:ascii="Arial" w:cs="Arial" w:eastAsia="Arial" w:hAnsi="Arial"/>
                <w:sz w:val="15"/>
                <w:szCs w:val="15"/>
                <w:color w:val="auto"/>
              </w:rPr>
              <w:t>(2)</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21"/>
                <w:szCs w:val="21"/>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5"/>
                <w:szCs w:val="15"/>
                <w:color w:val="auto"/>
              </w:rPr>
              <w:t>(2)</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spacing w:after="0"/>
              <w:rPr>
                <w:sz w:val="20"/>
                <w:szCs w:val="20"/>
                <w:color w:val="auto"/>
              </w:rPr>
            </w:pPr>
          </w:p>
        </w:tc>
      </w:tr>
      <w:tr>
        <w:trPr>
          <w:trHeight w:val="230"/>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Pr>
          <w:p>
            <w:pPr>
              <w:spacing w:after="0"/>
              <w:rPr>
                <w:sz w:val="19"/>
                <w:szCs w:val="19"/>
                <w:color w:val="auto"/>
              </w:rPr>
            </w:pPr>
          </w:p>
        </w:tc>
      </w:tr>
      <w:tr>
        <w:trPr>
          <w:trHeight w:val="25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(0.00)</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(0.00)</w:t>
            </w: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Investment Income Per Share </w:t>
            </w:r>
            <w:r>
              <w:rPr>
                <w:rFonts w:ascii="Arial" w:cs="Arial" w:eastAsia="Arial" w:hAnsi="Arial"/>
                <w:sz w:val="15"/>
                <w:szCs w:val="15"/>
                <w:color w:val="auto"/>
              </w:rPr>
              <w:t>(2)</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0.64</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21"/>
                <w:szCs w:val="21"/>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0.63</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Income (Loss) Per Share </w:t>
            </w:r>
            <w:r>
              <w:rPr>
                <w:rFonts w:ascii="Arial" w:cs="Arial" w:eastAsia="Arial" w:hAnsi="Arial"/>
                <w:sz w:val="15"/>
                <w:szCs w:val="15"/>
                <w:color w:val="auto"/>
              </w:rPr>
              <w:t>(2)</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FF0FC"/>
          </w:tcPr>
          <w:p>
            <w:pPr>
              <w:spacing w:after="0"/>
              <w:rPr>
                <w:sz w:val="20"/>
                <w:szCs w:val="20"/>
                <w:color w:val="auto"/>
              </w:rPr>
            </w:pPr>
          </w:p>
        </w:tc>
      </w:tr>
      <w:tr>
        <w:trPr>
          <w:trHeight w:val="229"/>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(Net Income) </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15"/>
                <w:szCs w:val="15"/>
                <w:color w:val="auto"/>
              </w:rPr>
              <w:t>(2)(3)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(Adjusted Net Income) </w:t>
            </w:r>
            <w:r>
              <w:rPr>
                <w:rFonts w:ascii="Arial" w:cs="Arial" w:eastAsia="Arial" w:hAnsi="Arial"/>
                <w:sz w:val="15"/>
                <w:szCs w:val="15"/>
                <w:color w:val="auto"/>
              </w:rPr>
              <w:t>(2)(3)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57"/>
        </w:trPr>
        <w:tc>
          <w:tcPr>
            <w:tcW w:w="6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w w:val="98"/>
              </w:rPr>
              <w:t>Weighted Average Yield of Debt and Income Producing Securities at Fair Value</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w w:val="92"/>
              </w:rPr>
              <w:t>Weighted Average Yield of Debt and Income Producing Securities at Amortized Cost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r>
    </w:tbl>
    <w:p>
      <w:pPr>
        <w:ind w:left="400" w:hanging="392"/>
        <w:spacing w:after="0" w:line="22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net asset value per share gives effect to the supplemental dividend declared related to earnings or special dividend in the applicable period.</w:t>
      </w:r>
    </w:p>
    <w:p>
      <w:pPr>
        <w:ind w:left="400" w:hanging="392"/>
        <w:spacing w:after="0" w:line="22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400" w:hanging="392"/>
        <w:spacing w:after="0" w:line="22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400" w:right="20" w:hanging="392"/>
        <w:spacing w:after="0" w:line="237"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$2,707,442 and $2,354,984,</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2,717,170</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2,434,797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$0 and $12,666, respectively)</w:t>
            </w:r>
          </w:p>
        </w:tc>
        <w:tc>
          <w:tcPr>
            <w:tcW w:w="2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$67,284 and $64,362, respectively)</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$2,774,726 and $2,432,012, respectively)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2,787,925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2,521,593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$15,437 and $14,399 respectively)</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2,836,947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$17,760 and $19,147, respectively)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1,441,796</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1,185,964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30,926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1,495,378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1,276,009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2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82,053,537</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76,067,586 shares issued, respectively; and 81,389,287 and 75,771,542</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 respectively</w:t>
            </w: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1,294,751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1,189,275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664,250 and 296,044 shares held, respectively</w:t>
            </w:r>
          </w:p>
        </w:tc>
        <w:tc>
          <w:tcPr>
            <w:tcW w:w="2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(10,459)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1,275,848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2,836,947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656"/>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115"/>
        </w:trPr>
        <w:tc>
          <w:tcPr>
            <w:tcW w:w="7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21" w:right="319" w:bottom="1440" w:gutter="0" w:footer="0" w:header="0"/>
        </w:sectPr>
      </w:pPr>
    </w:p>
    <w:bookmarkStart w:id="10" w:name="page11"/>
    <w:bookmarkEnd w:id="10"/>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left="414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tbl>
      <w:tblPr>
        <w:tblLayout w:type="fixed"/>
        <w:tblInd w:w="0" w:type="dxa"/>
        <w:tblCellMar>
          <w:top w:w="0" w:type="dxa"/>
          <w:left w:w="0" w:type="dxa"/>
          <w:bottom w:w="0" w:type="dxa"/>
          <w:right w:w="0" w:type="dxa"/>
        </w:tblCellMar>
      </w:tblPr>
      <w:tr>
        <w:trPr>
          <w:trHeight w:val="160"/>
        </w:trPr>
        <w:tc>
          <w:tcPr>
            <w:tcW w:w="5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56"/>
        </w:trPr>
        <w:tc>
          <w:tcPr>
            <w:tcW w:w="5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7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292,442</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261,782</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237,260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2,159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7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9,502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7,751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304,103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272,959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261,250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7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1,578</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4,974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income</w:t>
            </w:r>
          </w:p>
        </w:tc>
        <w:tc>
          <w:tcPr>
            <w:tcW w:w="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5,069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309,305</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278,593</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270,037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Interest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62,991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38,825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39,402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37,081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Incentive fees on net investment income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33,401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33,062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31,483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capital gains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(8,864)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13,507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Professional fees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6,586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140,783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136,040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117,273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fees waived (Note 3)</w:t>
            </w: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140,356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135,850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117,273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168,949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142,743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152,764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7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166,327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142,359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147,004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(70,085)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(14,350)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8,721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(5,068)</w:t>
            </w: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(6,748)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(6,699)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Income tax provision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(1,902)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4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7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(74,969)</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40,546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33,695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line="155" w:lineRule="exact"/>
              <w:rPr>
                <w:sz w:val="20"/>
                <w:szCs w:val="20"/>
                <w:color w:val="auto"/>
              </w:rPr>
            </w:pPr>
            <w:r>
              <w:rPr>
                <w:rFonts w:ascii="Arial" w:cs="Arial" w:eastAsia="Arial" w:hAnsi="Arial"/>
                <w:sz w:val="14"/>
                <w:szCs w:val="14"/>
                <w:color w:val="auto"/>
              </w:rPr>
              <w:t>Realized gains (losses):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28,849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13,608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(36,352)</w:t>
            </w: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Extinguishment of debt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5"/>
        </w:trPr>
        <w:tc>
          <w:tcPr>
            <w:tcW w:w="54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7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16,695</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28,875</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(58,274)</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69,421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31,104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108,053</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211,780</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178,108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color w:val="auto"/>
              </w:rPr>
              <w:t>Earnings per common share—basic</w:t>
            </w:r>
          </w:p>
        </w:tc>
        <w:tc>
          <w:tcPr>
            <w:tcW w:w="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tcBorders>
              <w:bottom w:val="single" w:sz="8" w:color="CFF0FC"/>
            </w:tcBorders>
            <w:vMerge w:val="continue"/>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1.38</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78,197,826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72,169,488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67,209,078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per common share—diluted</w:t>
            </w: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78,197,826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77,702,258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67,209,078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Company’s investment activity for the years ended December 31, 2022, 2021 and 2020 is presented below (information presented herein is at par value unless otherwise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jc w:val="right"/>
              <w:ind w:right="187"/>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20" w:type="dxa"/>
            <w:vAlign w:val="bottom"/>
            <w:tcBorders>
              <w:bottom w:val="single" w:sz="8" w:color="CFF0FC"/>
            </w:tcBorders>
            <w:vMerge w:val="continue"/>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10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4,240.9</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4,269.9</w:t>
            </w:r>
          </w:p>
        </w:tc>
        <w:tc>
          <w:tcPr>
            <w:tcW w:w="3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3,156.7</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3,152.5</w:t>
            </w:r>
          </w:p>
        </w:tc>
        <w:tc>
          <w:tcPr>
            <w:tcW w:w="3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7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1,084.2</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1,117.4</w:t>
            </w:r>
          </w:p>
        </w:tc>
        <w:tc>
          <w:tcPr>
            <w:tcW w:w="3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0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761.7</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1,022.1</w:t>
            </w:r>
          </w:p>
        </w:tc>
        <w:tc>
          <w:tcPr>
            <w:tcW w:w="3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Structured credit</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864.0</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1,117.4</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w:t>
            </w:r>
          </w:p>
        </w:tc>
        <w:tc>
          <w:tcPr>
            <w:tcW w:w="10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Second-lien</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Mezzanine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Equity and 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Structured credit</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companies</w:t>
            </w: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2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 new portfolio</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40"/>
              <w:spacing w:after="0"/>
              <w:rPr>
                <w:sz w:val="20"/>
                <w:szCs w:val="20"/>
                <w:color w:val="auto"/>
              </w:rPr>
            </w:pPr>
            <w:r>
              <w:rPr>
                <w:rFonts w:ascii="Arial" w:cs="Arial" w:eastAsia="Arial" w:hAnsi="Arial"/>
                <w:sz w:val="18"/>
                <w:szCs w:val="18"/>
                <w:b w:val="1"/>
                <w:bCs w:val="1"/>
                <w:color w:val="auto"/>
              </w:rPr>
              <w:t>companies</w:t>
            </w:r>
          </w:p>
        </w:tc>
        <w:tc>
          <w:tcPr>
            <w:tcW w:w="10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 commitments in new</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portfolio companies (in years)</w:t>
            </w: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floating</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40"/>
              <w:spacing w:after="0"/>
              <w:rPr>
                <w:sz w:val="20"/>
                <w:szCs w:val="20"/>
                <w:color w:val="auto"/>
              </w:rPr>
            </w:pPr>
            <w:r>
              <w:rPr>
                <w:rFonts w:ascii="Arial" w:cs="Arial" w:eastAsia="Arial" w:hAnsi="Arial"/>
                <w:sz w:val="18"/>
                <w:szCs w:val="18"/>
                <w:b w:val="1"/>
                <w:bCs w:val="1"/>
                <w:color w:val="auto"/>
              </w:rPr>
              <w:t xml:space="preserve">rates </w:t>
            </w:r>
            <w:r>
              <w:rPr>
                <w:rFonts w:ascii="Arial" w:cs="Arial" w:eastAsia="Arial" w:hAnsi="Arial"/>
                <w:sz w:val="15"/>
                <w:szCs w:val="15"/>
                <w:b w:val="1"/>
                <w:bCs w:val="1"/>
                <w:color w:val="auto"/>
              </w:rPr>
              <w:t>(1)</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3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reference rate of new floating rate</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0" w:right="20" w:hanging="392"/>
        <w:spacing w:after="0" w:line="253"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one fixed rate investment for the year ended December 31, 2020 and two fixed rate investments for the year ended December 31, 2019 for which we entered into interest rate swap agreements to swap to floating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$65 billion in assets under management and committed capital. For more information, visit the Company’s website at https://sixthstreetspecialtylending.com.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3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Sixth Street is a global investment firm with $65 billion in assets under management and committed capital. The firm uses its long-term flexible capital, data-enabled capabilities, and One Team culture to develop themes and offer solutions to companies across all stages of growth. Founded in 2009, Sixth Street has more than 400 team members including over 180 investment professionals around the world. For more information, visit https://sixthstreet.com or follow Sixth Street on LinkedIn.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6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2023-02-16T15:17:47Z</dcterms:created>
  <dcterms:modified xsi:type="dcterms:W3CDTF">2023-02-16T15:17:47Z</dcterms:modified>
</cp:coreProperties>
</file>