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21, 2015, TPG Specialty Lending, Inc.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left="260" w:right="140"/>
        <w:spacing w:after="0" w:line="282" w:lineRule="auto"/>
        <w:rPr>
          <w:sz w:val="20"/>
          <w:szCs w:val="20"/>
          <w:color w:val="auto"/>
        </w:rPr>
      </w:pPr>
      <w:r>
        <w:rPr>
          <w:rFonts w:ascii="Arial" w:cs="Arial" w:eastAsia="Arial" w:hAnsi="Arial"/>
          <w:sz w:val="18"/>
          <w:szCs w:val="18"/>
          <w:b w:val="1"/>
          <w:bCs w:val="1"/>
          <w:color w:val="auto"/>
        </w:rPr>
        <w:t>TPG Specialty Lending, Inc. Urges Stockholders to Vote the GOLD Proxy Card AGAINST the Benefit Street Partners Transaction at the Special Meeting Scheduled for December 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TSLX Reminds TICC’s Stockholders that the Status Quo at TICC is Not the Only Option for the Future Should the BSP Transaction Fail</w:t>
      </w:r>
    </w:p>
    <w:p>
      <w:pPr>
        <w:spacing w:after="0" w:line="237"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b w:val="1"/>
          <w:bCs w:val="1"/>
          <w:i w:val="1"/>
          <w:iCs w:val="1"/>
          <w:color w:val="auto"/>
        </w:rPr>
        <w:t>TSLX Stands Ready and Willing to Provide TICC Stockholders with an Immediate, Upfront Premium and the Opportunity to Participate in an Outperforming Platform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TSLX Offer Represents a 17.6% Premium to TICC’s Closing Share Price on Friday, December 18, 2015</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The BSP Transaction Unnecessarily Rewards an Underperforming Manager and Pays Conflicted Members of the TICC Board Millions of Dollars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2015 08:09 AM Eastern Standard Time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 TSLX), a specialty finance company focused on lending to middle-market companies, today issued the following statement regarding the proposed acquisition of the external advisor of TICC Capital Corp. (“TICC”; Nasdaq: TICC) by Benefit Street Partners, L.L.C. (“BSP” and such transaction, the “BSP Transaction”) to be voted on at the Special Meeting of TICC Stockholders scheduled for December 22, 2015 (the “Special Meeting”).</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Josh Easterly, Chairman and Co-Chief Executive Officer of TSLX, commented: “With the outcome only a day away now, we want to remind stockholders that the simple facts of the BSP Transaction remain unchanged. TICC has delivered abysmal returns to its stockholders for 12 years while its manager collected $127 million in fees since its IPO. TICC has entered into a conflicted transaction that rewards this failed manager and pays certain members of the TICC board millions of dollars. Despite the conflicts and calls from stockholders, respected equity analysts and other third parties for TICC to run a complete and fair process, no such process was conducted and TICC never meaningfully engaged with any other party.</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remain confident that TICC will soon hear the overwhelming voice of its stockholders urging TICC to engage with us toward a transaction that delivers a substantial up-front premium to its stockholders along with the opportunity to participate in the upside potential of our outperforming platform. Our offer represents a 17.6% premium to TICC’s closing share price on Friday, December 18, 2015. This is clear and compelling.</w:t>
      </w:r>
    </w:p>
    <w:p>
      <w:pPr>
        <w:sectPr>
          <w:pgSz w:w="11900" w:h="16838" w:orient="portrait"/>
          <w:cols w:equalWidth="0" w:num="1">
            <w:col w:w="11420"/>
          </w:cols>
          <w:pgMar w:left="240" w:top="274" w:right="239" w:bottom="1440" w:gutter="0" w:footer="0" w:header="0"/>
        </w:sectPr>
      </w:pPr>
    </w:p>
    <w:bookmarkStart w:id="3" w:name="page4"/>
    <w:bookmarkEnd w:id="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that the BSP Transaction continues to reward a failed manager through a flawed process, we believe Institutional Shareholder Services Inc. (“ISS”) has inaccurately assessed the situation in its updated note.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“ISS’s caution that the TICC status quo would be a negative outcome for stockholders is simply no justification for rewarding a failed manager that has not meaningfully explored alternative proposals and actively misled stockholders to approve an inferior transaction. By arguing that the BSP Transaction should be approved if only to avoid potentially leaving TICC stockholders stuck indefinitely in a status quo, ISS misunderstands the options stockholders have available to them, including under the 1940 Act. Should the BSP Transaction fail, a majority of stockholders would have the ability to terminate the existing advisory agreement without the failed manager receiving any consideration. Furthermore, stockholders would, and should, expect TICC’s board to uphold its fiduciary duties and engage in a credible process to maximize stockholder value. Most importantly, ISS is also wrong to assume that approving the BSP Transaction won’t foreclose other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TSLX disagrees with ISS’s change in recommendation, for the following reasons:</w:t>
      </w:r>
    </w:p>
    <w:p>
      <w:pPr>
        <w:spacing w:after="0" w:line="131" w:lineRule="exact"/>
        <w:rPr>
          <w:sz w:val="20"/>
          <w:szCs w:val="20"/>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the time of our initial offer, TICC management has presided over an additional 9% reduction in NAV, representing a further erosion of stockholder value, in part driven by an unsustainable dividend policy that includes a return of capital;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TSLX increased its offer as a percentage of NAV from 87% of NAV to 90% of NAV;</w:t>
      </w:r>
    </w:p>
    <w:p>
      <w:pPr>
        <w:spacing w:after="0" w:line="130" w:lineRule="exact"/>
        <w:rPr>
          <w:rFonts w:ascii="Arial" w:cs="Arial" w:eastAsia="Arial" w:hAnsi="Arial"/>
          <w:sz w:val="18"/>
          <w:szCs w:val="18"/>
          <w:color w:val="auto"/>
        </w:rPr>
      </w:pPr>
    </w:p>
    <w:p>
      <w:pPr>
        <w:jc w:val="both"/>
        <w:ind w:left="900" w:right="42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 forma for the transaction with TSLX and based on TICC’s closing share price on December 18, 2015, each TICC stockholder would be entitled to a dividend of $0.17</w:t>
      </w:r>
      <w:r>
        <w:rPr>
          <w:rFonts w:ascii="Arial" w:cs="Arial" w:eastAsia="Arial" w:hAnsi="Arial"/>
          <w:sz w:val="15"/>
          <w:szCs w:val="15"/>
          <w:color w:val="auto"/>
        </w:rPr>
        <w:t>1</w:t>
      </w:r>
      <w:r>
        <w:rPr>
          <w:rFonts w:ascii="Arial" w:cs="Arial" w:eastAsia="Arial" w:hAnsi="Arial"/>
          <w:sz w:val="18"/>
          <w:szCs w:val="18"/>
          <w:color w:val="auto"/>
        </w:rPr>
        <w:t xml:space="preserve"> per TICC share, which is 30% higher than the sustainable dividend of $0.13 they would receive under TICC standalone. This is calculated as follows: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Adjusted for excess leverage, TICC’s Net Investment Income was $0.14</w:t>
      </w:r>
      <w:r>
        <w:rPr>
          <w:rFonts w:ascii="Arial" w:cs="Arial" w:eastAsia="Arial" w:hAnsi="Arial"/>
          <w:sz w:val="15"/>
          <w:szCs w:val="15"/>
          <w:color w:val="auto"/>
        </w:rPr>
        <w:t>2</w:t>
      </w:r>
      <w:r>
        <w:rPr>
          <w:rFonts w:ascii="Arial" w:cs="Arial" w:eastAsia="Arial" w:hAnsi="Arial"/>
          <w:sz w:val="18"/>
          <w:szCs w:val="18"/>
          <w:color w:val="auto"/>
        </w:rPr>
        <w:t xml:space="preserve"> per share in Q3;</w:t>
      </w:r>
    </w:p>
    <w:p>
      <w:pPr>
        <w:spacing w:after="0" w:line="130" w:lineRule="exact"/>
        <w:rPr>
          <w:rFonts w:ascii="Arial" w:cs="Arial" w:eastAsia="Arial" w:hAnsi="Arial"/>
          <w:sz w:val="18"/>
          <w:szCs w:val="18"/>
          <w:color w:val="auto"/>
        </w:rPr>
      </w:pPr>
    </w:p>
    <w:p>
      <w:pPr>
        <w:ind w:left="1480" w:right="220" w:hanging="446"/>
        <w:spacing w:after="0" w:line="34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 sustainable dividend level, as represented by 90% of Net Investment Income, would have been $0.13 per share. For reference, TICC paid out a $0.29 per share dividend, an astonishing 226% higher than what a sustainable dividend policy represents; and</w:t>
      </w:r>
    </w:p>
    <w:p>
      <w:pPr>
        <w:spacing w:after="0" w:line="29" w:lineRule="exact"/>
        <w:rPr>
          <w:rFonts w:ascii="Arial" w:cs="Arial" w:eastAsia="Arial" w:hAnsi="Arial"/>
          <w:sz w:val="16"/>
          <w:szCs w:val="16"/>
          <w:color w:val="auto"/>
        </w:rPr>
      </w:pPr>
    </w:p>
    <w:p>
      <w:pPr>
        <w:ind w:left="900" w:right="4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inception, TSLX has maintained a sustainable dividend policy based on its ability to generate earnings and not supported by returning capital to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TSLX urges TICC stockholders to vote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proposals related to the BSP Transaction and to</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visit</w:t>
      </w:r>
      <w:r>
        <w:rPr>
          <w:rFonts w:ascii="Arial" w:cs="Arial" w:eastAsia="Arial" w:hAnsi="Arial"/>
          <w:sz w:val="17"/>
          <w:szCs w:val="17"/>
          <w:u w:val="single" w:color="auto"/>
          <w:color w:val="auto"/>
        </w:rPr>
        <w:t>www.changeTICCnow.com</w:t>
      </w:r>
      <w:r>
        <w:rPr>
          <w:rFonts w:ascii="Arial" w:cs="Arial" w:eastAsia="Arial" w:hAnsi="Arial"/>
          <w:sz w:val="17"/>
          <w:szCs w:val="17"/>
          <w:color w:val="auto"/>
        </w:rPr>
        <w:t xml:space="preserve"> for more information about TSLX’s offer and the deficiencies of management’s proposals. TSLX owns approximately 3% of the outstanding shares of TICC common stock and plans to vote its shares against the proposals recommended by TICC’s board.</w:t>
      </w:r>
    </w:p>
    <w:p>
      <w:pPr>
        <w:spacing w:after="0" w:line="15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Vote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proposed BSP Transaction to stop further value destruction at TICC. Hold TICC management accountable for their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$12 billion of assets under management as of September 30, 2015, and the broader TPG platform, a global private investment firm with over $70 billion of assets under management as of September 30, 2015.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for December 22,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TSLX STRONGLY ADVISES ALL STOCKHOLDERS OF TICC TO READ THE TSLX PROXY STATEMENT AND ITS OTHER PROXY MATERIALS AS THEY BECOME AVAILABLE BECAUSE THEY CONTAIN IMPORTANT INFORMATION. SUCH TSLX PROXY MATERIALS ARE AND WILL BECOME AVAILABLE AT NO CHARGE ON THE SEC’S WEB SITE AT</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93" w:lineRule="exact"/>
        <w:rPr>
          <w:sz w:val="20"/>
          <w:szCs w:val="20"/>
          <w:color w:val="auto"/>
        </w:rPr>
      </w:pPr>
    </w:p>
    <w:p>
      <w:pPr>
        <w:jc w:val="both"/>
        <w:ind w:right="160" w:firstLine="8"/>
        <w:spacing w:after="0" w:line="264" w:lineRule="auto"/>
        <w:tabs>
          <w:tab w:leader="none" w:pos="118" w:val="left"/>
        </w:tabs>
        <w:numPr>
          <w:ilvl w:val="0"/>
          <w:numId w:val="8"/>
        </w:numPr>
        <w:rPr>
          <w:rFonts w:ascii="Arial" w:cs="Arial" w:eastAsia="Arial" w:hAnsi="Arial"/>
          <w:sz w:val="15"/>
          <w:szCs w:val="15"/>
          <w:color w:val="auto"/>
        </w:rPr>
      </w:pPr>
      <w:r>
        <w:rPr>
          <w:rFonts w:ascii="Arial" w:cs="Arial" w:eastAsia="Arial" w:hAnsi="Arial"/>
          <w:sz w:val="18"/>
          <w:szCs w:val="18"/>
          <w:color w:val="auto"/>
        </w:rPr>
        <w:t>TSLX offer price based on 90% of most recently reported NAV per share. TICC stockholders would receive 0.43 shares of TSLX per share of TICC based on December 18</w:t>
      </w:r>
      <w:r>
        <w:rPr>
          <w:rFonts w:ascii="Arial" w:cs="Arial" w:eastAsia="Arial" w:hAnsi="Arial"/>
          <w:sz w:val="15"/>
          <w:szCs w:val="15"/>
          <w:color w:val="auto"/>
        </w:rPr>
        <w:t>th</w:t>
      </w:r>
      <w:r>
        <w:rPr>
          <w:rFonts w:ascii="Arial" w:cs="Arial" w:eastAsia="Arial" w:hAnsi="Arial"/>
          <w:sz w:val="18"/>
          <w:szCs w:val="18"/>
          <w:color w:val="auto"/>
        </w:rPr>
        <w:t xml:space="preserve"> closing price of $16.37. Therefore, each TICC share would receive a dividend of $0.17 per share based on the current TSLX dividend per share of $0.39.</w:t>
      </w:r>
    </w:p>
    <w:p>
      <w:pPr>
        <w:spacing w:after="0" w:line="181" w:lineRule="exact"/>
        <w:rPr>
          <w:sz w:val="20"/>
          <w:szCs w:val="20"/>
          <w:color w:val="auto"/>
        </w:rPr>
      </w:pPr>
    </w:p>
    <w:p>
      <w:pPr>
        <w:ind w:right="80" w:firstLine="8"/>
        <w:spacing w:after="0" w:line="264" w:lineRule="auto"/>
        <w:tabs>
          <w:tab w:leader="none" w:pos="121" w:val="left"/>
        </w:tabs>
        <w:numPr>
          <w:ilvl w:val="0"/>
          <w:numId w:val="9"/>
        </w:numPr>
        <w:rPr>
          <w:rFonts w:ascii="Arial" w:cs="Arial" w:eastAsia="Arial" w:hAnsi="Arial"/>
          <w:sz w:val="15"/>
          <w:szCs w:val="15"/>
          <w:color w:val="auto"/>
        </w:rPr>
      </w:pPr>
      <w:r>
        <w:rPr>
          <w:rFonts w:ascii="Arial" w:cs="Arial" w:eastAsia="Arial" w:hAnsi="Arial"/>
          <w:sz w:val="18"/>
          <w:szCs w:val="18"/>
          <w:color w:val="auto"/>
        </w:rPr>
        <w:t>Pro forma net investment income per share calculated as if TICC had sold assets at fair value and applied the proceeds to repay outstanding indebtedness to achieve a debt-to-equity ratio at September 30, 2015 of 0.75x. Calculation assumes no change in total investment income as a percentage of portfolio fair value, interest expense as a percentage of carrying amount of debt, or the amount of non-interest expense.</w:t>
      </w:r>
    </w:p>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2019-12-20T21:24:10Z</dcterms:created>
  <dcterms:modified xsi:type="dcterms:W3CDTF">2019-12-20T21:24:10Z</dcterms:modified>
</cp:coreProperties>
</file>