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3" w:lineRule="exact"/>
        <w:rPr>
          <w:sz w:val="24"/>
          <w:szCs w:val="24"/>
          <w:color w:val="auto"/>
        </w:rPr>
      </w:pPr>
    </w:p>
    <w:p>
      <w:pPr>
        <w:ind w:left="3900" w:right="420" w:hanging="3892"/>
        <w:spacing w:after="0" w:line="267" w:lineRule="auto"/>
        <w:tabs>
          <w:tab w:leader="none" w:pos="45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2013</w:t>
      </w:r>
    </w:p>
    <w:p>
      <w:pPr>
        <w:spacing w:after="0" w:line="1" w:lineRule="exact"/>
        <w:rPr>
          <w:rFonts w:ascii="MS PGothic" w:cs="MS PGothic" w:eastAsia="MS PGothic" w:hAnsi="MS PGothic"/>
          <w:sz w:val="22"/>
          <w:szCs w:val="22"/>
          <w:color w:val="auto"/>
        </w:rPr>
      </w:pPr>
    </w:p>
    <w:p>
      <w:pPr>
        <w:ind w:left="562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or</w:t>
      </w:r>
    </w:p>
    <w:p>
      <w:pPr>
        <w:spacing w:after="0" w:line="17" w:lineRule="exact"/>
        <w:rPr>
          <w:sz w:val="24"/>
          <w:szCs w:val="24"/>
          <w:color w:val="auto"/>
        </w:rPr>
      </w:pPr>
    </w:p>
    <w:p>
      <w:pPr>
        <w:ind w:left="460" w:right="460" w:hanging="452"/>
        <w:spacing w:after="0" w:line="243"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814-00854</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0" w:lineRule="exact"/>
        <w:rPr>
          <w:sz w:val="24"/>
          <w:szCs w:val="24"/>
          <w:color w:val="auto"/>
        </w:rPr>
      </w:pPr>
    </w:p>
    <w:tbl>
      <w:tblPr>
        <w:tblLayout w:type="fixed"/>
        <w:tblInd w:w="1640" w:type="dxa"/>
        <w:tblCellMar>
          <w:top w:w="0" w:type="dxa"/>
          <w:left w:w="0" w:type="dxa"/>
          <w:bottom w:w="0" w:type="dxa"/>
          <w:right w:w="0" w:type="dxa"/>
        </w:tblCellMar>
      </w:tblPr>
      <w:tr>
        <w:trPr>
          <w:trHeight w:val="207"/>
        </w:trPr>
        <w:tc>
          <w:tcPr>
            <w:tcW w:w="6300" w:type="dxa"/>
            <w:vAlign w:val="bottom"/>
          </w:tcPr>
          <w:p>
            <w:pPr>
              <w:ind w:left="204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240" w:type="dxa"/>
            <w:vAlign w:val="bottom"/>
          </w:tcPr>
          <w:p>
            <w:pPr>
              <w:spacing w:after="0"/>
              <w:rPr>
                <w:sz w:val="17"/>
                <w:szCs w:val="17"/>
                <w:color w:val="auto"/>
              </w:rPr>
            </w:pPr>
          </w:p>
        </w:tc>
      </w:tr>
      <w:tr>
        <w:trPr>
          <w:trHeight w:val="218"/>
        </w:trPr>
        <w:tc>
          <w:tcPr>
            <w:tcW w:w="6300" w:type="dxa"/>
            <w:vAlign w:val="bottom"/>
          </w:tcPr>
          <w:p>
            <w:pPr>
              <w:jc w:val="center"/>
              <w:ind w:right="3721"/>
              <w:spacing w:after="0"/>
              <w:rPr>
                <w:sz w:val="20"/>
                <w:szCs w:val="20"/>
                <w:color w:val="auto"/>
              </w:rPr>
            </w:pPr>
            <w:r>
              <w:rPr>
                <w:rFonts w:ascii="Arial" w:cs="Arial" w:eastAsia="Arial" w:hAnsi="Arial"/>
                <w:sz w:val="18"/>
                <w:szCs w:val="18"/>
                <w:b w:val="1"/>
                <w:bCs w:val="1"/>
                <w:color w:val="auto"/>
                <w:w w:val="88"/>
              </w:rPr>
              <w:t>Delaware</w:t>
            </w:r>
          </w:p>
        </w:tc>
        <w:tc>
          <w:tcPr>
            <w:tcW w:w="124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6300" w:type="dxa"/>
            <w:vAlign w:val="bottom"/>
          </w:tcPr>
          <w:p>
            <w:pPr>
              <w:jc w:val="center"/>
              <w:ind w:right="372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240" w:type="dxa"/>
            <w:vAlign w:val="bottom"/>
          </w:tcPr>
          <w:p>
            <w:pPr>
              <w:jc w:val="center"/>
              <w:ind w:left="1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00" w:type="dxa"/>
            <w:vAlign w:val="bottom"/>
          </w:tcPr>
          <w:p>
            <w:pPr>
              <w:jc w:val="center"/>
              <w:ind w:right="3721"/>
              <w:spacing w:after="0"/>
              <w:rPr>
                <w:sz w:val="20"/>
                <w:szCs w:val="20"/>
                <w:color w:val="auto"/>
              </w:rPr>
            </w:pPr>
            <w:r>
              <w:rPr>
                <w:rFonts w:ascii="Arial" w:cs="Arial" w:eastAsia="Arial" w:hAnsi="Arial"/>
                <w:sz w:val="14"/>
                <w:szCs w:val="14"/>
                <w:b w:val="1"/>
                <w:bCs w:val="1"/>
                <w:color w:val="auto"/>
                <w:w w:val="89"/>
              </w:rPr>
              <w:t>Incorporation or Organization)</w:t>
            </w:r>
          </w:p>
        </w:tc>
        <w:tc>
          <w:tcPr>
            <w:tcW w:w="1240" w:type="dxa"/>
            <w:vAlign w:val="bottom"/>
          </w:tcPr>
          <w:p>
            <w:pPr>
              <w:jc w:val="center"/>
              <w:ind w:left="1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300" w:type="dxa"/>
            <w:vAlign w:val="bottom"/>
          </w:tcPr>
          <w:p>
            <w:pPr>
              <w:jc w:val="center"/>
              <w:ind w:right="3701"/>
              <w:spacing w:after="0"/>
              <w:rPr>
                <w:sz w:val="20"/>
                <w:szCs w:val="20"/>
                <w:color w:val="auto"/>
              </w:rPr>
            </w:pPr>
            <w:r>
              <w:rPr>
                <w:rFonts w:ascii="Arial" w:cs="Arial" w:eastAsia="Arial" w:hAnsi="Arial"/>
                <w:sz w:val="18"/>
                <w:szCs w:val="18"/>
                <w:b w:val="1"/>
                <w:bCs w:val="1"/>
                <w:color w:val="auto"/>
                <w:w w:val="87"/>
              </w:rPr>
              <w:t>301 Commerce Street, Suite 3300,</w:t>
            </w:r>
          </w:p>
        </w:tc>
        <w:tc>
          <w:tcPr>
            <w:tcW w:w="1240" w:type="dxa"/>
            <w:vAlign w:val="bottom"/>
          </w:tcPr>
          <w:p>
            <w:pPr>
              <w:spacing w:after="0"/>
              <w:rPr>
                <w:sz w:val="24"/>
                <w:szCs w:val="24"/>
                <w:color w:val="auto"/>
              </w:rPr>
            </w:pPr>
          </w:p>
        </w:tc>
      </w:tr>
      <w:tr>
        <w:trPr>
          <w:trHeight w:val="231"/>
        </w:trPr>
        <w:tc>
          <w:tcPr>
            <w:tcW w:w="6300" w:type="dxa"/>
            <w:vAlign w:val="bottom"/>
          </w:tcPr>
          <w:p>
            <w:pPr>
              <w:jc w:val="center"/>
              <w:ind w:right="3721"/>
              <w:spacing w:after="0"/>
              <w:rPr>
                <w:sz w:val="20"/>
                <w:szCs w:val="20"/>
                <w:color w:val="auto"/>
              </w:rPr>
            </w:pPr>
            <w:r>
              <w:rPr>
                <w:rFonts w:ascii="Arial" w:cs="Arial" w:eastAsia="Arial" w:hAnsi="Arial"/>
                <w:sz w:val="18"/>
                <w:szCs w:val="18"/>
                <w:b w:val="1"/>
                <w:bCs w:val="1"/>
                <w:color w:val="auto"/>
                <w:w w:val="94"/>
              </w:rPr>
              <w:t>Fort Worth, TX</w:t>
            </w:r>
          </w:p>
        </w:tc>
        <w:tc>
          <w:tcPr>
            <w:tcW w:w="124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6300" w:type="dxa"/>
            <w:vAlign w:val="bottom"/>
          </w:tcPr>
          <w:p>
            <w:pPr>
              <w:jc w:val="center"/>
              <w:ind w:right="3721"/>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240" w:type="dxa"/>
            <w:vAlign w:val="bottom"/>
          </w:tcPr>
          <w:p>
            <w:pPr>
              <w:jc w:val="center"/>
              <w:ind w:left="104"/>
              <w:spacing w:after="0"/>
              <w:rPr>
                <w:sz w:val="20"/>
                <w:szCs w:val="20"/>
                <w:color w:val="auto"/>
              </w:rPr>
            </w:pPr>
            <w:r>
              <w:rPr>
                <w:rFonts w:ascii="Arial" w:cs="Arial" w:eastAsia="Arial" w:hAnsi="Arial"/>
                <w:sz w:val="14"/>
                <w:szCs w:val="14"/>
                <w:b w:val="1"/>
                <w:bCs w:val="1"/>
                <w:color w:val="auto"/>
                <w:w w:val="89"/>
              </w:rPr>
              <w:t>(Zip Code)</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$0.01 per share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w:t>
      </w:r>
    </w:p>
    <w:p>
      <w:pPr>
        <w:sectPr>
          <w:pgSz w:w="11900" w:h="16838" w:orient="portrait"/>
          <w:cols w:equalWidth="0" w:num="1">
            <w:col w:w="11420"/>
          </w:cols>
          <w:pgMar w:left="240" w:top="230" w:right="239" w:bottom="1440" w:gutter="0" w:footer="0" w:header="0"/>
        </w:sectPr>
      </w:pPr>
    </w:p>
    <w:p>
      <w:pPr>
        <w:spacing w:after="0" w:line="164"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-129540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0" w:lineRule="exact"/>
        <w:rPr>
          <w:sz w:val="24"/>
          <w:szCs w:val="24"/>
          <w:color w:val="auto"/>
        </w:rPr>
      </w:pPr>
    </w:p>
    <w:p>
      <w:pPr>
        <w:sectPr>
          <w:pgSz w:w="11900" w:h="16838" w:orient="portrait"/>
          <w:cols w:equalWidth="0" w:num="4">
            <w:col w:w="8240" w:space="160"/>
            <w:col w:w="340" w:space="80"/>
            <w:col w:w="160" w:space="180"/>
            <w:col w:w="2260"/>
          </w:cols>
          <w:pgMar w:left="240" w:top="230" w:right="239" w:bottom="1440" w:gutter="0" w:footer="0" w:header="0"/>
          <w:type w:val="continuous"/>
        </w:sectPr>
      </w:pP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7" w:lineRule="exact"/>
        <w:rPr>
          <w:sz w:val="24"/>
          <w:szCs w:val="24"/>
          <w:color w:val="auto"/>
        </w:rPr>
      </w:pPr>
    </w:p>
    <w:p>
      <w:pPr>
        <w:sectPr>
          <w:pgSz w:w="11900" w:h="16838" w:orient="portrait"/>
          <w:cols w:equalWidth="0" w:num="4">
            <w:col w:w="8400" w:space="180"/>
            <w:col w:w="320" w:space="100"/>
            <w:col w:w="160" w:space="180"/>
            <w:col w:w="2080"/>
          </w:cols>
          <w:pgMar w:left="240" w:top="230" w:right="239" w:bottom="1440" w:gutter="0" w:footer="0" w:header="0"/>
          <w:type w:val="continuous"/>
        </w:sect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10-K/A or any amendment to this Form 10-K/A.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right="700"/>
        <w:spacing w:after="0" w:line="31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Securities Exchange Act. (Check one):</w:t>
      </w:r>
    </w:p>
    <w:p>
      <w:pPr>
        <w:sectPr>
          <w:pgSz w:w="11900" w:h="16838" w:orient="portrait"/>
          <w:cols w:equalWidth="0" w:num="1">
            <w:col w:w="1142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40" w:space="520"/>
            <w:col w:w="5780" w:space="720"/>
            <w:col w:w="18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1540" w:space="620"/>
            <w:col w:w="160" w:space="80"/>
            <w:col w:w="5540" w:space="720"/>
            <w:col w:w="1960" w:space="640"/>
            <w:col w:w="160"/>
          </w:cols>
          <w:pgMar w:left="240" w:top="230" w:right="239" w:bottom="1440" w:gutter="0" w:footer="0" w:header="0"/>
          <w:type w:val="continuous"/>
        </w:sectPr>
      </w:pP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5">
            <w:col w:w="7240" w:space="160"/>
            <w:col w:w="340" w:space="80"/>
            <w:col w:w="160" w:space="180"/>
            <w:col w:w="260" w:space="80"/>
            <w:col w:w="292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As of December 31, 2013, there was no established public market for the registrant’s common stock.</w:t>
      </w:r>
    </w:p>
    <w:p>
      <w:pPr>
        <w:sectPr>
          <w:pgSz w:w="11900" w:h="16838" w:orient="portrait"/>
          <w:cols w:equalWidth="0" w:num="1">
            <w:col w:w="11420"/>
          </w:cols>
          <w:pgMar w:left="240" w:top="230" w:right="239" w:bottom="1440" w:gutter="0" w:footer="0" w:header="0"/>
          <w:type w:val="continuous"/>
        </w:sectPr>
      </w:pP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$.01 par value per share, outstanding at March 4, 2014 was 41,762,724.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8"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spacing w:after="0"/>
        <w:rPr>
          <w:sz w:val="20"/>
          <w:szCs w:val="20"/>
          <w:color w:val="auto"/>
        </w:rPr>
      </w:pPr>
      <w:r>
        <w:rPr>
          <w:rFonts w:ascii="Arial" w:cs="Arial" w:eastAsia="Arial" w:hAnsi="Arial"/>
          <w:sz w:val="15"/>
          <w:szCs w:val="15"/>
          <w:color w:val="auto"/>
        </w:rPr>
        <w:t>Portions of the Registrant’s proxy statement for the 2014 annual meeting of stockholders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This Amendment No. 1 on Form 10-K/A (this “Amendment”) amends our Annual Report on Form 10-K for the fiscal year ended December 31, 2013 that was filed with the Securities and Exchange Commission on March 4, 2014 (“Form 10-K”).</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This Amendment amends Part IV, Item 15, “Exhibits and Financial Statement Schedules,” of our Form 10-K. We made the following amendments in response to comments received from the staff of the Securities and Exchange Commission: (i) revised Note 1 to add disclosure regarding the Company’s filing of a registration statement on Form N-2 related to an initial public offering of the Company’s common stock; and (ii) revised Note 8 to add disclosure stating that unfunded commitments of our existing investors will no longer remain in effect following the completion of an initial public offering. This Amendment does not amend any other item of our Form 10-K.</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There are no other changes to the Form 10-K other than as set forth above. This Amendment does not reflect events occurring after the March 4, 2014 filing of our Form 10-K or modify or update the disclosures set forth in the Form 10-K in any way. As a result, this Amendment contains forward-looking information that has not been updated for events subsequent to the March 4, 2014 filing of our Form 10-K, and we direct you to our SEC filings made subsequent to March 4, 2014 for additional information.</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TPG SPECIALTY LENDING,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Amendment No. 1 to Annual Report on Form 10-K/A for</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 Ended December 31, 2013</w:t>
      </w:r>
    </w:p>
    <w:p>
      <w:pPr>
        <w:spacing w:after="0" w:line="201" w:lineRule="exact"/>
        <w:rPr>
          <w:sz w:val="20"/>
          <w:szCs w:val="20"/>
          <w:color w:val="auto"/>
        </w:rPr>
      </w:pPr>
    </w:p>
    <w:p>
      <w:pPr>
        <w:ind w:left="10960"/>
        <w:spacing w:after="0"/>
        <w:rPr>
          <w:sz w:val="20"/>
          <w:szCs w:val="20"/>
          <w:color w:val="auto"/>
        </w:rPr>
      </w:pPr>
      <w:r>
        <w:rPr>
          <w:rFonts w:ascii="Arial" w:cs="Arial" w:eastAsia="Arial" w:hAnsi="Arial"/>
          <w:sz w:val="12"/>
          <w:szCs w:val="12"/>
          <w:b w:val="1"/>
          <w:bCs w:val="1"/>
          <w:u w:val="single" w:color="auto"/>
          <w:color w:val="auto"/>
        </w:rPr>
        <w:t>PAGE</w:t>
      </w:r>
    </w:p>
    <w:p>
      <w:pPr>
        <w:spacing w:after="0" w:line="2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IV</w:t>
        </w:r>
      </w:hyperlink>
    </w:p>
    <w:p>
      <w:pPr>
        <w:spacing w:after="0" w:line="1" w:lineRule="exact"/>
        <w:rPr>
          <w:sz w:val="20"/>
          <w:szCs w:val="20"/>
          <w:color w:val="auto"/>
        </w:rPr>
      </w:pPr>
    </w:p>
    <w:p>
      <w:pPr>
        <w:spacing w:after="0"/>
        <w:tabs>
          <w:tab w:leader="none" w:pos="1200" w:val="left"/>
          <w:tab w:leader="none" w:pos="11220" w:val="left"/>
        </w:tabs>
        <w:rPr>
          <w:rFonts w:ascii="Arial" w:cs="Arial" w:eastAsia="Arial" w:hAnsi="Arial"/>
          <w:sz w:val="18"/>
          <w:szCs w:val="18"/>
          <w:u w:val="single" w:color="auto"/>
          <w:color w:val="0000EE"/>
        </w:rPr>
      </w:pPr>
      <w:r>
        <w:rPr>
          <w:rFonts w:ascii="Arial" w:cs="Arial" w:eastAsia="Arial" w:hAnsi="Arial"/>
          <w:sz w:val="18"/>
          <w:szCs w:val="18"/>
          <w:color w:val="auto"/>
        </w:rPr>
        <w:t>ITEM 15.</w:t>
      </w:r>
      <w:r>
        <w:rPr>
          <w:sz w:val="20"/>
          <w:szCs w:val="20"/>
          <w:color w:val="auto"/>
        </w:rPr>
        <w:tab/>
      </w:r>
      <w:hyperlink w:anchor="page4">
        <w:r>
          <w:rPr>
            <w:rFonts w:ascii="Arial" w:cs="Arial" w:eastAsia="Arial" w:hAnsi="Arial"/>
            <w:sz w:val="18"/>
            <w:szCs w:val="18"/>
            <w:u w:val="single" w:color="auto"/>
            <w:color w:val="0000EE"/>
          </w:rPr>
          <w:t>Exhibits and Financial Statement Schedules</w:t>
        </w:r>
      </w:hyperlink>
      <w:r>
        <w:rPr>
          <w:rFonts w:ascii="Arial" w:cs="Arial" w:eastAsia="Arial" w:hAnsi="Arial"/>
          <w:sz w:val="18"/>
          <w:szCs w:val="18"/>
          <w:u w:val="single" w:color="auto"/>
          <w:color w:val="0000EE"/>
        </w:rPr>
        <w:tab/>
      </w:r>
      <w:r>
        <w:rPr>
          <w:rFonts w:ascii="Arial" w:cs="Arial" w:eastAsia="Arial" w:hAnsi="Arial"/>
          <w:sz w:val="14"/>
          <w:szCs w:val="14"/>
          <w:u w:val="single" w:color="auto"/>
          <w:color w:val="0000EE"/>
        </w:rPr>
        <w:t>1</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90" w:lineRule="exact"/>
        <w:rPr>
          <w:sz w:val="20"/>
          <w:szCs w:val="20"/>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Statements—Financial statements are included in Item 8. See the Index to the Consolidated Financial Statements on page F-1 of this annual report on Form 10-K/A.</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10-K/A.</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Exhibits—The following is a list of all exhibits filed as a part of this annual report on Form 10-K/A, including those incorporated by reference.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980" w:type="dxa"/>
            <w:vAlign w:val="bottom"/>
          </w:tcPr>
          <w:p>
            <w:pPr>
              <w:spacing w:after="0"/>
              <w:rPr>
                <w:sz w:val="14"/>
                <w:szCs w:val="14"/>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Exhibits</w:t>
            </w:r>
          </w:p>
        </w:tc>
      </w:tr>
      <w:tr>
        <w:trPr>
          <w:trHeight w:val="302"/>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3"/>
              </w:rPr>
              <w:t>Amended and Restated Certificate of Incorporation (incorporated by reference to Exhibit 3.1 to Amendment No. 1 to the Company’s</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Registration Statement on Form 10 filed on March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3"/>
              </w:rPr>
              <w:t>Bylaws (incorporated by reference to Exhibit 3.2 to Amendment No. 1 to the Company’s Registration Statement on Form 10 filed on</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March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3"/>
              </w:rPr>
              <w:t>Form of Subscription Agreement in connection with the Private Offerings (incorporated by reference to Exhibit 4.1 to the Company’s</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Registration Statement on Form 10 filed on January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3"/>
              </w:rPr>
              <w:t>Form of Common Stock Certificate (incorporated by reference to Exhibit 4.2 to the Company’s Annual Report on Form 10-K filed on</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March 22,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89"/>
              </w:rPr>
              <w:t>Form of Indemnification Agreement between the Company and certain officers and directors (incorporated by reference to Exhibit 10.3 to</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Amendment No. 1 to the Company’s Registration Statement on Form 10 filed on March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89"/>
              </w:rPr>
              <w:t>Administration Agreement, dated as of March 15, 2011, between the Company and the Adviser (incorporated by reference to Exhibit 10.1</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to the Company’s Current Report on Form 8-K filed on March 15,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1"/>
              </w:rPr>
              <w:t>Amended and Restated Investment Advisory and Management Agreement, dated December 13, 2011, between the Company and the</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7"/>
              </w:rPr>
              <w:t>Adviser (incorporated by reference to Exhibit 10.1 to the Company’s Current Report on Form 8-K filed on December 13,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88"/>
              </w:rPr>
              <w:t>Revolving Credit Agreement, dated September 28, 2011, among TPG Specialty Lending Inc., as Borrower, Deutsche Bank Trust Company</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2"/>
              </w:rPr>
              <w:t>Americas, as Administrative Agent, and Lenders Party Thereto (incorporated by reference to Exhibit 10.1 to the Company’s Quarterly</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Report on Form 10-Q for the quarter ended September 30, 2011, filed on November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89"/>
              </w:rPr>
              <w:t>First Amendment to Revolving Credit Agreement, dated September 28, 2011, among TPG Specialty Lending, Inc., as Borrower, Deutsche</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2"/>
              </w:rPr>
              <w:t>Bank Trust Company Americas, as Administrative Agent, and Lenders Party Thereto (incorporated by reference to Exhibit 10.2 to the</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Company’s Quarterly Report on Form 10-Q for the quarter ended September 30, 2011, filed on November 14, 2011).</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10.6</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3"/>
              </w:rPr>
              <w:t>Amended and Restated Revolving Credit Agreement, dated December 22, 2011, among TPG. Specialty Lending, Inc., as Borrower,</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1"/>
              </w:rPr>
              <w:t>Deutsche Bank Trust Company Americas, as Administrative Agent, and Lenders Party (incorporated by reference to Exhibit 10.6 to the</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Company’s Annual Report on Form 10-K filed on March 22,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w w:val="91"/>
              </w:rPr>
              <w:t>Dividend Reinvestment Plan of TPG Specialty Lending, Inc. (incorporated by reference to Exhibit 10.7 to the Company’s Annual Report</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980"/>
              <w:spacing w:after="0"/>
              <w:rPr>
                <w:sz w:val="20"/>
                <w:szCs w:val="20"/>
                <w:color w:val="auto"/>
              </w:rPr>
            </w:pPr>
            <w:r>
              <w:rPr>
                <w:rFonts w:ascii="Arial" w:cs="Arial" w:eastAsia="Arial" w:hAnsi="Arial"/>
                <w:sz w:val="18"/>
                <w:szCs w:val="18"/>
                <w:color w:val="auto"/>
              </w:rPr>
              <w:t>on Form 10-K filed on March 22, 2012).</w:t>
            </w:r>
          </w:p>
        </w:tc>
      </w:tr>
      <w:tr>
        <w:trPr>
          <w:trHeight w:val="365"/>
        </w:trPr>
        <w:tc>
          <w:tcPr>
            <w:tcW w:w="640" w:type="dxa"/>
            <w:vAlign w:val="bottom"/>
          </w:tcPr>
          <w:p>
            <w:pPr>
              <w:spacing w:after="0"/>
              <w:rPr>
                <w:sz w:val="24"/>
                <w:szCs w:val="24"/>
                <w:color w:val="auto"/>
              </w:rPr>
            </w:pPr>
          </w:p>
        </w:tc>
        <w:tc>
          <w:tcPr>
            <w:tcW w:w="10780" w:type="dxa"/>
            <w:vAlign w:val="bottom"/>
            <w:gridSpan w:val="2"/>
          </w:tcPr>
          <w:p>
            <w:pPr>
              <w:jc w:val="right"/>
              <w:ind w:right="5592"/>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880" w:type="dxa"/>
            <w:vAlign w:val="bottom"/>
          </w:tcPr>
          <w:p>
            <w:pPr>
              <w:spacing w:after="0"/>
              <w:rPr>
                <w:sz w:val="14"/>
                <w:szCs w:val="14"/>
                <w:color w:val="auto"/>
              </w:rPr>
            </w:pPr>
          </w:p>
        </w:tc>
        <w:tc>
          <w:tcPr>
            <w:tcW w:w="9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Exhibits</w:t>
            </w:r>
          </w:p>
        </w:tc>
      </w:tr>
      <w:tr>
        <w:trPr>
          <w:trHeight w:val="302"/>
        </w:trPr>
        <w:tc>
          <w:tcPr>
            <w:tcW w:w="640" w:type="dxa"/>
            <w:vAlign w:val="bottom"/>
          </w:tcPr>
          <w:p>
            <w:pPr>
              <w:spacing w:after="0"/>
              <w:rPr>
                <w:sz w:val="20"/>
                <w:szCs w:val="20"/>
                <w:color w:val="auto"/>
              </w:rPr>
            </w:pPr>
            <w:r>
              <w:rPr>
                <w:rFonts w:ascii="Arial" w:cs="Arial" w:eastAsia="Arial" w:hAnsi="Arial"/>
                <w:sz w:val="18"/>
                <w:szCs w:val="18"/>
                <w:color w:val="auto"/>
              </w:rPr>
              <w:t>10.8</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2"/>
              </w:rPr>
              <w:t>Revolving Credit and Security Agreement, dated May 8, 2012, among TPG SL SPV, LLC, as Borrower, the Lenders from Time to Time</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1"/>
              </w:rPr>
              <w:t>Parties Hereto, Natixis, New York Branch, as Facility Agent and The Bank of New York Mellon Trust Company, N.A., as Collateral Agent</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(incorporated by reference to Exhibit 10.1 to the Company’s Quarterly Report on Form 10-Q filed on August 13,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10.9</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1"/>
              </w:rPr>
              <w:t>Master Sale and Contribution Agreement by and between TPG Specialty Lending, Inc., as the Originator and TPG SL SPV, LLC, as the</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4"/>
              </w:rPr>
              <w:t>Buyer, dated as of May 8, 2012 (incorporated by reference to Exhibit 10.2 to the Company’s Quarterly Report on Form 10-Q filed on</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August 13,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10.10</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Senior Secured Revolving Credit Agreement, dated as of August 23, 2012, among TPG Specialty Lending, Inc., as Borrower, the Lenders</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8"/>
              </w:rPr>
              <w:t>Party Hereto and SunTrust Bank, as Administrative Agent, JPMorgan Chase Bank, N.A., as Syndication Agent (incorporated by reference to</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Exhibit 10.1 to the Company’s Quarterly Report on Form 10-Q filed on November 14,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10.11</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First Amendment to Amended and Restated Revolving Credit Agreement, dated October 31, 2012, among TPG. Specialty Lending, Inc., as</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1"/>
              </w:rPr>
              <w:t>Borrower, Deutsche Bank Trust Company Americas, as Administrative Agent, and Lenders Named Herein (incorporated by reference to</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Exhibit 10.2 to the Company’s Quarterly Report on Form 10-Q filed on November 14,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10.12</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Custodian Agreement dated November 29, 2012 (incorporated by reference to Exhibit 10.1 to the Company’s Current Report on Form 8-K</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filed on December 4, 2012).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10.13</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8"/>
              </w:rPr>
              <w:t>Instrument of Removal, Appointment and Acceptance, dated November 29, 2012, among State Street Bank and Trust Company and TPG SL</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SPV, LLC, TPG Specialty Lending, Inc. and the Bank of New York Mellon Trust Company, N.A. (incorporated by reference to Exhibit 10.1</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to the Company’s Current Report on Form 8-K filed on January 2, 2013).</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10.14</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Second Amendment to Amended and Restated Revolving Credit Agreement, dated May 7, 2013, among TPG Specialty Lending, Inc., as</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1"/>
              </w:rPr>
              <w:t>Borrower, Deutsche Bank Trust Company Americas, as Administrative Agent, and Lenders Named Herein (incorporated by reference to</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Exhibit 10.1 to the Company’s Quarterly Report on Form 10-Q filed on May 10, 2013)</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10.15</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1"/>
              </w:rPr>
              <w:t>Amended and Restated Senior Secured Revolving Credit Agreement, dated as of July 2, 2013, among TPG Specialty Lending, Inc., the</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3"/>
              </w:rPr>
              <w:t>lenders party thereto, SunTrust Bank as administrative agent and JPMorgan Chase Bank N.A. as syndication agent (incorporated by</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reference to Exhibit 10.1 to the Company’s Current Report on Form 8-K filed on July 9, 2013)</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10.16</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2"/>
              </w:rPr>
              <w:t>Amendment No. 1 dated July 17, 2013 to Revolving Credit and Security Agreement, dated May 8, 2012, among TPG SL SPV, LLC, as</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1"/>
              </w:rPr>
              <w:t>Borrower, the Lenders from Time to Time Parties Hereto, Natixis, New York Branch, as Facility Agent and The Bank of New York Mellon</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Trust Company, N.A., as Collateral Agent (incorporated by reference to Exhibit 10.1 to the Company’s Quarterly Report on Form 10-Q filed</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on August 9, 2013)</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10.17</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Third Amendment to Amended and Restated Revolving Credit Agreement, dated November 5, 2013, among TPG Specialty Lending, Inc.,</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as Borrower, Deutsche Bank Trust Company Americas, as Administrative Agent, and Lenders Named Herein (incorporated by reference to</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Exhibit 10.1 to the Company’s Current Report on Form 8-K filed on November 7, 2013)</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10.18</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Amended and Restated Revolving Credit and Security Agreement, dated as of January 21, 2014, among TPG SL SPV, LLC, as Borrower,</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the Lenders from Time to Time Parties Hereto, Natixis, New York Branch, as Facility Agent and State Street Bank and Trust Company, as</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4"/>
              </w:rPr>
              <w:t>Collateral Agent (incorporated by reference to Exhibit 10.18 to the Company’s Annual Report on Form 10-K filed on March 4, 2014)</w:t>
            </w:r>
          </w:p>
        </w:tc>
      </w:tr>
      <w:tr>
        <w:trPr>
          <w:trHeight w:val="365"/>
        </w:trPr>
        <w:tc>
          <w:tcPr>
            <w:tcW w:w="640" w:type="dxa"/>
            <w:vAlign w:val="bottom"/>
          </w:tcPr>
          <w:p>
            <w:pPr>
              <w:spacing w:after="0"/>
              <w:rPr>
                <w:sz w:val="24"/>
                <w:szCs w:val="24"/>
                <w:color w:val="auto"/>
              </w:rPr>
            </w:pPr>
          </w:p>
        </w:tc>
        <w:tc>
          <w:tcPr>
            <w:tcW w:w="10780" w:type="dxa"/>
            <w:vAlign w:val="bottom"/>
            <w:gridSpan w:val="2"/>
          </w:tcPr>
          <w:p>
            <w:pPr>
              <w:jc w:val="right"/>
              <w:ind w:right="559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880" w:type="dxa"/>
            <w:vAlign w:val="bottom"/>
          </w:tcPr>
          <w:p>
            <w:pPr>
              <w:spacing w:after="0"/>
              <w:rPr>
                <w:sz w:val="14"/>
                <w:szCs w:val="14"/>
                <w:color w:val="auto"/>
              </w:rPr>
            </w:pPr>
          </w:p>
        </w:tc>
        <w:tc>
          <w:tcPr>
            <w:tcW w:w="9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Exhibits</w:t>
            </w:r>
          </w:p>
        </w:tc>
      </w:tr>
      <w:tr>
        <w:trPr>
          <w:trHeight w:val="302"/>
        </w:trPr>
        <w:tc>
          <w:tcPr>
            <w:tcW w:w="640" w:type="dxa"/>
            <w:vAlign w:val="bottom"/>
          </w:tcPr>
          <w:p>
            <w:pPr>
              <w:spacing w:after="0"/>
              <w:rPr>
                <w:sz w:val="20"/>
                <w:szCs w:val="20"/>
                <w:color w:val="auto"/>
              </w:rPr>
            </w:pPr>
            <w:r>
              <w:rPr>
                <w:rFonts w:ascii="Arial" w:cs="Arial" w:eastAsia="Arial" w:hAnsi="Arial"/>
                <w:sz w:val="18"/>
                <w:szCs w:val="18"/>
                <w:color w:val="auto"/>
              </w:rPr>
              <w:t>10.19</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Amended and Restated Master Sale and Contribution Agreement by and between TPG Specialty Lending, Inc., as the Originator and TPG</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SL SPV, LLC, as the Buyer, dated as of January 21, 2014 (incorporated by reference to Exhibit 10.19 to the Company’s Annual Report on</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Form 10-K filed on March 4, 2014).</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10.20</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3"/>
              </w:rPr>
              <w:t>Second Amended and Restated Senior Secured Credit Agreement, dated February 27, 2014, among TPG Specialty Lending, Inc., as</w:t>
            </w:r>
          </w:p>
        </w:tc>
      </w:tr>
      <w:tr>
        <w:trPr>
          <w:trHeight w:val="216"/>
        </w:trPr>
        <w:tc>
          <w:tcPr>
            <w:tcW w:w="640" w:type="dxa"/>
            <w:vAlign w:val="bottom"/>
          </w:tcPr>
          <w:p>
            <w:pPr>
              <w:spacing w:after="0"/>
              <w:rPr>
                <w:sz w:val="18"/>
                <w:szCs w:val="18"/>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90"/>
              </w:rPr>
              <w:t>Borrower, the Lenders Party Hereto and SunTrust Bank, as Administrative Agent, and JPMorgan Chase Bank, N.A., as Syndication Agent</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(incorporated by reference to Exhibit 10.20 to the Company’s Annual Report on Form 10-K filed on March 4, 2014).</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21.1</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Subsidiaries of TPG Specialty Lending, Inc. (incorporated by reference to Exhibit 21.1 to the Company’s Annual Report on Form 10-K filed</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on March 4, 2014).</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Certification of Co-Chief Executive Officer Pursuant to 18 U.S.C. Section 1350, as Adopted Pursuant to Section 302 of the Sarbanes-Oxley</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Act of 2002.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Certification of Co-Chief Executive Officer Pursuant to 18 U.S.C. Section 1350, as Adopted Pursuant to Section 302 of the Sarbanes-Oxley</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Act of 2002.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31.3</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302 of the Sarbanes-Oxley Act</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of 2002.</w:t>
            </w: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w w:val="89"/>
              </w:rPr>
              <w:t>Certification of Co-CEOs and CFO Pursuant to 18 U.S.C. Section 1350, as Adopted Pursuant to Section 906 of the Sarbanes-Oxley Act of</w:t>
            </w:r>
          </w:p>
        </w:tc>
      </w:tr>
      <w:tr>
        <w:trPr>
          <w:trHeight w:val="222"/>
        </w:trPr>
        <w:tc>
          <w:tcPr>
            <w:tcW w:w="640" w:type="dxa"/>
            <w:vAlign w:val="bottom"/>
          </w:tcPr>
          <w:p>
            <w:pPr>
              <w:spacing w:after="0"/>
              <w:rPr>
                <w:sz w:val="19"/>
                <w:szCs w:val="19"/>
                <w:color w:val="auto"/>
              </w:rPr>
            </w:pPr>
          </w:p>
        </w:tc>
        <w:tc>
          <w:tcPr>
            <w:tcW w:w="10780" w:type="dxa"/>
            <w:vAlign w:val="bottom"/>
            <w:gridSpan w:val="2"/>
          </w:tcPr>
          <w:p>
            <w:pPr>
              <w:ind w:left="880"/>
              <w:spacing w:after="0"/>
              <w:rPr>
                <w:sz w:val="20"/>
                <w:szCs w:val="20"/>
                <w:color w:val="auto"/>
              </w:rPr>
            </w:pPr>
            <w:r>
              <w:rPr>
                <w:rFonts w:ascii="Arial" w:cs="Arial" w:eastAsia="Arial" w:hAnsi="Arial"/>
                <w:sz w:val="18"/>
                <w:szCs w:val="18"/>
                <w:color w:val="auto"/>
              </w:rPr>
              <w:t>2002.</w:t>
            </w:r>
          </w:p>
        </w:tc>
      </w:tr>
      <w:tr>
        <w:trPr>
          <w:trHeight w:val="365"/>
        </w:trPr>
        <w:tc>
          <w:tcPr>
            <w:tcW w:w="640" w:type="dxa"/>
            <w:vAlign w:val="bottom"/>
          </w:tcPr>
          <w:p>
            <w:pPr>
              <w:spacing w:after="0"/>
              <w:rPr>
                <w:sz w:val="24"/>
                <w:szCs w:val="24"/>
                <w:color w:val="auto"/>
              </w:rPr>
            </w:pPr>
          </w:p>
        </w:tc>
        <w:tc>
          <w:tcPr>
            <w:tcW w:w="10780" w:type="dxa"/>
            <w:vAlign w:val="bottom"/>
            <w:gridSpan w:val="2"/>
          </w:tcPr>
          <w:p>
            <w:pPr>
              <w:jc w:val="right"/>
              <w:ind w:right="5592"/>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March 14, 2014</w:t>
      </w:r>
      <w:r>
        <w:rPr>
          <w:sz w:val="20"/>
          <w:szCs w:val="20"/>
          <w:color w:val="auto"/>
        </w:rPr>
        <w:tab/>
      </w:r>
      <w:r>
        <w:rPr>
          <w:rFonts w:ascii="Arial" w:cs="Arial" w:eastAsia="Arial" w:hAnsi="Arial"/>
          <w:sz w:val="16"/>
          <w:szCs w:val="16"/>
          <w:b w:val="1"/>
          <w:bCs w:val="1"/>
          <w:color w:val="auto"/>
        </w:rPr>
        <w:t>TPG SPECIALTY LENDING, INC.</w:t>
      </w:r>
    </w:p>
    <w:p>
      <w:pPr>
        <w:spacing w:after="0" w:line="23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Co-Chief Executive Officer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Co-Chief Executive Officer</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14, 2014.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40" w:type="dxa"/>
            <w:vAlign w:val="bottom"/>
            <w:tcBorders>
              <w:bottom w:val="single" w:sz="8" w:color="auto"/>
            </w:tcBorders>
          </w:tcPr>
          <w:p>
            <w:pPr>
              <w:ind w:left="2640"/>
              <w:spacing w:after="0"/>
              <w:rPr>
                <w:sz w:val="20"/>
                <w:szCs w:val="20"/>
                <w:color w:val="auto"/>
              </w:rPr>
            </w:pPr>
            <w:r>
              <w:rPr>
                <w:rFonts w:ascii="Arial" w:cs="Arial" w:eastAsia="Arial" w:hAnsi="Arial"/>
                <w:sz w:val="14"/>
                <w:szCs w:val="14"/>
                <w:b w:val="1"/>
                <w:bCs w:val="1"/>
                <w:color w:val="auto"/>
              </w:rPr>
              <w:t>Signature</w:t>
            </w:r>
          </w:p>
        </w:tc>
        <w:tc>
          <w:tcPr>
            <w:tcW w:w="1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36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Title</w:t>
            </w:r>
          </w:p>
        </w:tc>
      </w:tr>
      <w:tr>
        <w:trPr>
          <w:trHeight w:val="411"/>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Fishman</w:t>
            </w:r>
          </w:p>
        </w:tc>
        <w:tc>
          <w:tcPr>
            <w:tcW w:w="1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5"/>
              </w:rPr>
              <w:t>Co-Chief Executive Officer and a Director (Principal Executive Officer)</w:t>
            </w:r>
          </w:p>
        </w:tc>
      </w:tr>
      <w:tr>
        <w:trPr>
          <w:trHeight w:val="438"/>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Easterly</w:t>
            </w:r>
          </w:p>
        </w:tc>
        <w:tc>
          <w:tcPr>
            <w:tcW w:w="1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5"/>
              </w:rPr>
              <w:t>Co-Chief Executive Officer and Director and Chairman of the Board of</w:t>
            </w:r>
          </w:p>
        </w:tc>
      </w:tr>
      <w:tr>
        <w:trPr>
          <w:trHeight w:val="202"/>
        </w:trPr>
        <w:tc>
          <w:tcPr>
            <w:tcW w:w="4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60" w:type="dxa"/>
            <w:vAlign w:val="bottom"/>
          </w:tcPr>
          <w:p>
            <w:pPr>
              <w:ind w:left="220"/>
              <w:spacing w:after="0" w:line="202" w:lineRule="exact"/>
              <w:rPr>
                <w:sz w:val="20"/>
                <w:szCs w:val="20"/>
                <w:color w:val="auto"/>
              </w:rPr>
            </w:pPr>
            <w:r>
              <w:rPr>
                <w:rFonts w:ascii="Arial" w:cs="Arial" w:eastAsia="Arial" w:hAnsi="Arial"/>
                <w:sz w:val="18"/>
                <w:szCs w:val="18"/>
                <w:color w:val="auto"/>
              </w:rPr>
              <w:t>Directors</w:t>
            </w:r>
          </w:p>
        </w:tc>
      </w:tr>
      <w:tr>
        <w:trPr>
          <w:trHeight w:val="427"/>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Kirshenbaum</w:t>
            </w:r>
          </w:p>
        </w:tc>
        <w:tc>
          <w:tcPr>
            <w:tcW w:w="1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439"/>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John A. Ross</w:t>
            </w:r>
          </w:p>
        </w:tc>
        <w:tc>
          <w:tcPr>
            <w:tcW w:w="1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and Chairman of the Audit Committee</w:t>
            </w:r>
          </w:p>
        </w:tc>
      </w:tr>
      <w:tr>
        <w:trPr>
          <w:trHeight w:val="439"/>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Richard A. Higginbotham</w:t>
            </w:r>
          </w:p>
        </w:tc>
        <w:tc>
          <w:tcPr>
            <w:tcW w:w="1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439"/>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Ronald K. Tanemura</w:t>
            </w:r>
          </w:p>
        </w:tc>
        <w:tc>
          <w:tcPr>
            <w:tcW w:w="1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r>
      <w:tr>
        <w:trPr>
          <w:trHeight w:val="426"/>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/s/ Michael Fishman</w:t>
            </w:r>
          </w:p>
        </w:tc>
        <w:tc>
          <w:tcPr>
            <w:tcW w:w="1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By:  Michael Fishman</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22"/>
        </w:trPr>
        <w:tc>
          <w:tcPr>
            <w:tcW w:w="4440" w:type="dxa"/>
            <w:vAlign w:val="bottom"/>
          </w:tcPr>
          <w:p>
            <w:pPr>
              <w:ind w:left="420"/>
              <w:spacing w:after="0"/>
              <w:rPr>
                <w:sz w:val="20"/>
                <w:szCs w:val="20"/>
                <w:color w:val="auto"/>
              </w:rPr>
            </w:pPr>
            <w:r>
              <w:rPr>
                <w:rFonts w:ascii="Arial" w:cs="Arial" w:eastAsia="Arial" w:hAnsi="Arial"/>
                <w:sz w:val="18"/>
                <w:szCs w:val="18"/>
                <w:color w:val="auto"/>
              </w:rPr>
              <w:t>Attorney-in-Fact</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365"/>
        </w:trPr>
        <w:tc>
          <w:tcPr>
            <w:tcW w:w="44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8"/>
            <w:vMerge w:val="restart"/>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Report of Independent Registered Public Accounting Firm</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940" w:type="dxa"/>
            <w:vAlign w:val="bottom"/>
            <w:gridSpan w:val="8"/>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940" w:type="dxa"/>
            <w:vAlign w:val="bottom"/>
            <w:gridSpan w:val="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Consolidated Balance Sheets as of December 31, 2013 and 2012</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11">
              <w:r>
                <w:rPr>
                  <w:rFonts w:ascii="Arial" w:cs="Arial" w:eastAsia="Arial" w:hAnsi="Arial"/>
                  <w:sz w:val="18"/>
                  <w:szCs w:val="18"/>
                  <w:color w:val="0000EE"/>
                  <w:w w:val="86"/>
                </w:rPr>
                <w:t>Consolidated Statements of Operations for the Years Ended December 31, 2013, 2012 and 2011</w:t>
              </w:r>
            </w:hyperlink>
          </w:p>
        </w:tc>
        <w:tc>
          <w:tcPr>
            <w:tcW w:w="4200" w:type="dxa"/>
            <w:vAlign w:val="bottom"/>
            <w:gridSpan w:val="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10940" w:type="dxa"/>
            <w:vAlign w:val="bottom"/>
            <w:gridSpan w:val="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Consolidated Schedules of Investments as of December 31, 2013 and 2012</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56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19">
              <w:r>
                <w:rPr>
                  <w:rFonts w:ascii="Arial" w:cs="Arial" w:eastAsia="Arial" w:hAnsi="Arial"/>
                  <w:sz w:val="18"/>
                  <w:szCs w:val="18"/>
                  <w:color w:val="0000EE"/>
                  <w:w w:val="86"/>
                </w:rPr>
                <w:t>Consolidated Statements of Changes in Net Assets for the Years Ended December 31, 2013, 2012 and 2011</w:t>
              </w:r>
            </w:hyperlink>
          </w:p>
        </w:tc>
        <w:tc>
          <w:tcPr>
            <w:tcW w:w="338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F-12</w:t>
            </w:r>
          </w:p>
        </w:tc>
        <w:tc>
          <w:tcPr>
            <w:tcW w:w="0" w:type="dxa"/>
            <w:vAlign w:val="bottom"/>
          </w:tcPr>
          <w:p>
            <w:pPr>
              <w:spacing w:after="0"/>
              <w:rPr>
                <w:sz w:val="1"/>
                <w:szCs w:val="1"/>
                <w:color w:val="auto"/>
              </w:rPr>
            </w:pPr>
          </w:p>
        </w:tc>
      </w:tr>
      <w:tr>
        <w:trPr>
          <w:trHeight w:val="304"/>
        </w:trPr>
        <w:tc>
          <w:tcPr>
            <w:tcW w:w="68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Consolidated Statements of Cash Flows for the Years Ended December 31, 2013, 2012 and 2011</w:t>
              </w:r>
            </w:hyperlink>
          </w:p>
        </w:tc>
        <w:tc>
          <w:tcPr>
            <w:tcW w:w="4140" w:type="dxa"/>
            <w:vAlign w:val="bottom"/>
            <w:gridSpan w:val="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F-13</w:t>
            </w:r>
          </w:p>
        </w:tc>
        <w:tc>
          <w:tcPr>
            <w:tcW w:w="0" w:type="dxa"/>
            <w:vAlign w:val="bottom"/>
          </w:tcPr>
          <w:p>
            <w:pPr>
              <w:spacing w:after="0"/>
              <w:rPr>
                <w:sz w:val="1"/>
                <w:szCs w:val="1"/>
                <w:color w:val="auto"/>
              </w:rPr>
            </w:pPr>
          </w:p>
        </w:tc>
      </w:tr>
      <w:tr>
        <w:trPr>
          <w:trHeight w:val="304"/>
        </w:trPr>
        <w:tc>
          <w:tcPr>
            <w:tcW w:w="10940" w:type="dxa"/>
            <w:vAlign w:val="bottom"/>
            <w:gridSpan w:val="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Notes to Consolidated Financial Statements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F-14</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80" w:type="dxa"/>
            <w:vAlign w:val="bottom"/>
            <w:gridSpan w:val="4"/>
          </w:tcPr>
          <w:p>
            <w:pPr>
              <w:ind w:left="34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6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TPG Specialty Lending, Inc. (and subsidiaries) (the Company), including the consolidated schedules of investments, as of December 31, 2013 and 2012, and the related consolidated statements of operations, changes in net assets, and cash flows for each of the years in the three-year period ended December 31, 2013. These consolidated financial statements are the responsibility of the Company’s management. Our responsibility is to express an opinion on these financial statements based on our audits.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securities owned as of December 31, 2013 and 2012, by correspondence with custodians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TPG Specialty Lending, Inc. (and subsidiaries) as of December 31, 2013 and 2012, the results of their operations and their cash flows, and the changes in net assets for each of the years in the three-year period ended December 31, 2013 in conformity with U.S. generally accepted accounting principles.</w:t>
      </w:r>
    </w:p>
    <w:p>
      <w:pPr>
        <w:spacing w:after="0" w:line="10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$997,298 and $644,421,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1,016,451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653,944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14,295</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1,039,150</w:t>
            </w:r>
          </w:p>
        </w:tc>
        <w:tc>
          <w:tcPr>
            <w:tcW w:w="5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833,149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432,267</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1,974</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464,454</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w w:val="94"/>
              </w:rPr>
              <w:t>Common stock, $0.01 par value; 100,000,000 shares authorized, 37,027,022 and 31,583,953 shares issued, respectively;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and 37,026,023 and 31,582,954 shares outstanding, respectively (1)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 (1)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552,436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469,398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Treasury stock at cost; 999 shares</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Net unrealized gains on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17,910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realized gains on investments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479,803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1,039,150</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833,149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14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15.52</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0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further described in Note 9, the amounts as of December 31, 2012 have been retroactively adjusted for the stock split which was effected in the form of a stock dividend.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90,374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2,233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non-affiliated</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1060"/>
              <w:spacing w:after="0"/>
              <w:rPr>
                <w:sz w:val="20"/>
                <w:szCs w:val="20"/>
                <w:color w:val="auto"/>
              </w:rPr>
            </w:pPr>
            <w:r>
              <w:rPr>
                <w:rFonts w:ascii="Arial" w:cs="Arial" w:eastAsia="Arial" w:hAnsi="Arial"/>
                <w:sz w:val="18"/>
                <w:szCs w:val="18"/>
                <w:color w:val="auto"/>
              </w:rPr>
              <w:t>investments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92,610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47,046</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2,724</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income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investment income from non-controlled, affiliated</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investments</w:t>
            </w:r>
          </w:p>
        </w:tc>
        <w:tc>
          <w:tcPr>
            <w:tcW w:w="4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92,610</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51,011</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10,469</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Initial organization</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Management fees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13,376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8,892</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11,790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Professional fees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3,691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2,881</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42,045</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26,640</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Management fees waived (Note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(7,135)</w:t>
            </w:r>
          </w:p>
        </w:tc>
        <w:tc>
          <w:tcPr>
            <w:tcW w:w="140" w:type="dxa"/>
            <w:vAlign w:val="bottom"/>
          </w:tcPr>
          <w:p>
            <w:pPr>
              <w:spacing w:after="0"/>
              <w:rPr>
                <w:sz w:val="20"/>
                <w:szCs w:val="20"/>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(3,704)</w:t>
            </w:r>
          </w:p>
        </w:tc>
        <w:tc>
          <w:tcPr>
            <w:tcW w:w="1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Net Expenses</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22,936</w:t>
            </w: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(Loss) Before Income Taxes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57,700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28,075</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(Loss)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57,501</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28,029</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9,630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(1,244)</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280"/>
              <w:spacing w:after="0"/>
              <w:rPr>
                <w:sz w:val="20"/>
                <w:szCs w:val="20"/>
                <w:color w:val="auto"/>
              </w:rPr>
            </w:pPr>
            <w:r>
              <w:rPr>
                <w:rFonts w:ascii="Arial" w:cs="Arial" w:eastAsia="Arial" w:hAnsi="Arial"/>
                <w:sz w:val="18"/>
                <w:szCs w:val="18"/>
                <w:color w:val="auto"/>
              </w:rPr>
              <w:t>Total net change in unrealized gains</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8,386</w:t>
            </w: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7,211</w:t>
            </w: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4,255</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affiliated investments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Foreign currency forward contracts</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realized gains</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280"/>
              <w:spacing w:after="0"/>
              <w:rPr>
                <w:sz w:val="20"/>
                <w:szCs w:val="20"/>
                <w:color w:val="auto"/>
              </w:rPr>
            </w:pPr>
            <w:r>
              <w:rPr>
                <w:rFonts w:ascii="Arial" w:cs="Arial" w:eastAsia="Arial" w:hAnsi="Arial"/>
                <w:sz w:val="18"/>
                <w:szCs w:val="18"/>
                <w:b w:val="1"/>
                <w:bCs w:val="1"/>
                <w:color w:val="auto"/>
              </w:rPr>
              <w:t>Total Unrealized and Realized Gains</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9,482</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11,566</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66,983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11"/>
                <w:szCs w:val="11"/>
                <w:color w:val="auto"/>
              </w:rPr>
              <w:t>(1)</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gridSpan w:val="2"/>
            <w:vMerge w:val="continue"/>
          </w:tcPr>
          <w:p>
            <w:pPr>
              <w:spacing w:after="0"/>
              <w:rPr>
                <w:sz w:val="18"/>
                <w:szCs w:val="18"/>
                <w:color w:val="auto"/>
              </w:rPr>
            </w:pP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w:t>
            </w:r>
          </w:p>
        </w:tc>
        <w:tc>
          <w:tcPr>
            <w:tcW w:w="9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4"/>
              </w:rPr>
              <w:t>Weighted average shares of common stock outstanding—basic and diluted</w:t>
            </w:r>
          </w:p>
        </w:tc>
        <w:tc>
          <w:tcPr>
            <w:tcW w:w="4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34,635,208</w:t>
            </w:r>
          </w:p>
        </w:tc>
        <w:tc>
          <w:tcPr>
            <w:tcW w:w="940" w:type="dxa"/>
            <w:vAlign w:val="bottom"/>
            <w:vMerge w:val="restart"/>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20,541,475</w:t>
            </w:r>
          </w:p>
        </w:tc>
        <w:tc>
          <w:tcPr>
            <w:tcW w:w="9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3,347,602</w:t>
            </w:r>
          </w:p>
        </w:tc>
        <w:tc>
          <w:tcPr>
            <w:tcW w:w="100" w:type="dxa"/>
            <w:vAlign w:val="bottom"/>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(1)</w:t>
            </w:r>
          </w:p>
        </w:tc>
        <w:tc>
          <w:tcPr>
            <w:tcW w:w="4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14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the years ended December 31, 2012 and 2011 have been retroactively adjusted for the stock split which was effected in the form of a stock dividend.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Schedule of Investments as of December 31,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Initial</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0"/>
              </w:rPr>
              <w:t>Amortized</w:t>
            </w:r>
          </w:p>
        </w:tc>
        <w:tc>
          <w:tcPr>
            <w:tcW w:w="280" w:type="dxa"/>
            <w:vAlign w:val="bottom"/>
          </w:tcPr>
          <w:p>
            <w:pPr>
              <w:spacing w:after="0"/>
              <w:rPr>
                <w:sz w:val="11"/>
                <w:szCs w:val="11"/>
                <w:color w:val="auto"/>
              </w:rPr>
            </w:pPr>
          </w:p>
        </w:tc>
        <w:tc>
          <w:tcPr>
            <w:tcW w:w="680" w:type="dxa"/>
            <w:vAlign w:val="bottom"/>
          </w:tcPr>
          <w:p>
            <w:pPr>
              <w:jc w:val="right"/>
              <w:ind w:right="139"/>
              <w:spacing w:after="0" w:line="135"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4440" w:type="dxa"/>
            <w:vAlign w:val="bottom"/>
            <w:gridSpan w:val="3"/>
            <w:vMerge w:val="continue"/>
          </w:tcPr>
          <w:p>
            <w:pPr>
              <w:spacing w:after="0"/>
              <w:rPr>
                <w:sz w:val="14"/>
                <w:szCs w:val="14"/>
                <w:color w:val="auto"/>
              </w:rPr>
            </w:pPr>
          </w:p>
        </w:tc>
        <w:tc>
          <w:tcPr>
            <w:tcW w:w="1680" w:type="dxa"/>
            <w:vAlign w:val="bottom"/>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Interest</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Date</w:t>
            </w:r>
          </w:p>
        </w:tc>
        <w:tc>
          <w:tcPr>
            <w:tcW w:w="680" w:type="dxa"/>
            <w:vAlign w:val="bottom"/>
          </w:tcPr>
          <w:p>
            <w:pPr>
              <w:jc w:val="right"/>
              <w:ind w:right="15"/>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8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Debt Investments</w:t>
            </w: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b w:val="1"/>
                <w:bCs w:val="1"/>
                <w:color w:val="auto"/>
              </w:rPr>
              <w:t>Aerospace and defense</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MSC Software Corporation </w:t>
            </w:r>
            <w:r>
              <w:rPr>
                <w:rFonts w:ascii="Arial" w:cs="Arial" w:eastAsia="Arial" w:hAnsi="Arial"/>
                <w:sz w:val="11"/>
                <w:szCs w:val="11"/>
                <w:color w:val="auto"/>
              </w:rPr>
              <w:t>(3)(4)(6)</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($53,452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12/23/2011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$ 52,828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$ 53,720</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b w:val="1"/>
                <w:bCs w:val="1"/>
                <w:color w:val="auto"/>
              </w:rPr>
              <w:t>Automotive</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1"/>
                <w:szCs w:val="11"/>
                <w:color w:val="auto"/>
              </w:rPr>
              <w:t>(3)(4)</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($36,733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36,182</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revolving</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loan ($4,611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6/2017)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10.75%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8/28/2012</w:t>
            </w:r>
          </w:p>
        </w:tc>
        <w:tc>
          <w:tcPr>
            <w:tcW w:w="680" w:type="dxa"/>
            <w:vAlign w:val="bottom"/>
          </w:tcPr>
          <w:p>
            <w:pPr>
              <w:jc w:val="right"/>
              <w:spacing w:after="0"/>
              <w:rPr>
                <w:sz w:val="20"/>
                <w:szCs w:val="20"/>
                <w:color w:val="auto"/>
              </w:rPr>
            </w:pPr>
            <w:r>
              <w:rPr>
                <w:rFonts w:ascii="Arial" w:cs="Arial" w:eastAsia="Arial" w:hAnsi="Arial"/>
                <w:sz w:val="18"/>
                <w:szCs w:val="18"/>
                <w:color w:val="auto"/>
              </w:rPr>
              <w:t>4,500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4,528</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Sage Automotive Interiors, Inc. </w:t>
            </w:r>
            <w:r>
              <w:rPr>
                <w:rFonts w:ascii="Arial" w:cs="Arial" w:eastAsia="Arial" w:hAnsi="Arial"/>
                <w:sz w:val="11"/>
                <w:szCs w:val="11"/>
                <w:color w:val="auto"/>
              </w:rPr>
              <w:t>(3)(4)(6)</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($21,553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12/2016)</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12/31/2012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61,838</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62,155</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Beverage, food and tobacco</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($44,394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8/2015)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7.75%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8/31/2011</w:t>
            </w:r>
          </w:p>
        </w:tc>
        <w:tc>
          <w:tcPr>
            <w:tcW w:w="680" w:type="dxa"/>
            <w:vAlign w:val="bottom"/>
          </w:tcPr>
          <w:p>
            <w:pPr>
              <w:jc w:val="right"/>
              <w:spacing w:after="0"/>
              <w:rPr>
                <w:sz w:val="20"/>
                <w:szCs w:val="20"/>
                <w:color w:val="auto"/>
              </w:rPr>
            </w:pPr>
            <w:r>
              <w:rPr>
                <w:rFonts w:ascii="Arial" w:cs="Arial" w:eastAsia="Arial" w:hAnsi="Arial"/>
                <w:sz w:val="18"/>
                <w:szCs w:val="18"/>
                <w:color w:val="auto"/>
              </w:rPr>
              <w:t>43,837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45,837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Business services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($67,933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4/2018)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4/11/2013</w:t>
            </w:r>
          </w:p>
        </w:tc>
        <w:tc>
          <w:tcPr>
            <w:tcW w:w="680" w:type="dxa"/>
            <w:vAlign w:val="bottom"/>
          </w:tcPr>
          <w:p>
            <w:pPr>
              <w:jc w:val="right"/>
              <w:spacing w:after="0"/>
              <w:rPr>
                <w:sz w:val="20"/>
                <w:szCs w:val="20"/>
                <w:color w:val="auto"/>
              </w:rPr>
            </w:pPr>
            <w:r>
              <w:rPr>
                <w:rFonts w:ascii="Arial" w:cs="Arial" w:eastAsia="Arial" w:hAnsi="Arial"/>
                <w:sz w:val="18"/>
                <w:szCs w:val="18"/>
                <w:color w:val="auto"/>
              </w:rPr>
              <w:t>65,762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66,405</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Aptean Holdings, Inc. f/k/a Consona Holdings, Inc. </w:t>
            </w:r>
            <w:r>
              <w:rPr>
                <w:rFonts w:ascii="Arial" w:cs="Arial" w:eastAsia="Arial" w:hAnsi="Arial"/>
                <w:sz w:val="11"/>
                <w:szCs w:val="11"/>
                <w:color w:val="auto"/>
              </w:rPr>
              <w:t>(3)(4)</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($29,625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8/2018)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8/13/2012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29,477</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16"/>
        </w:trPr>
        <w:tc>
          <w:tcPr>
            <w:tcW w:w="4440" w:type="dxa"/>
            <w:vAlign w:val="bottom"/>
            <w:gridSpan w:val="3"/>
          </w:tcPr>
          <w:p>
            <w:pPr>
              <w:spacing w:after="0"/>
              <w:rPr>
                <w:sz w:val="20"/>
                <w:szCs w:val="20"/>
                <w:color w:val="auto"/>
              </w:rPr>
            </w:pPr>
            <w:r>
              <w:rPr>
                <w:rFonts w:ascii="Arial" w:cs="Arial" w:eastAsia="Arial" w:hAnsi="Arial"/>
                <w:sz w:val="18"/>
                <w:szCs w:val="18"/>
                <w:color w:val="auto"/>
              </w:rPr>
              <w:t>Beyond Trust Software Holding</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 xml:space="preserve">Group, Inc. </w:t>
            </w:r>
            <w:r>
              <w:rPr>
                <w:rFonts w:ascii="Arial" w:cs="Arial" w:eastAsia="Arial" w:hAnsi="Arial"/>
                <w:sz w:val="11"/>
                <w:szCs w:val="11"/>
                <w:color w:val="auto"/>
              </w:rPr>
              <w:t>(3)(6)</w:t>
            </w:r>
          </w:p>
        </w:tc>
        <w:tc>
          <w:tcPr>
            <w:tcW w:w="1680" w:type="dxa"/>
            <w:vAlign w:val="bottom"/>
            <w:gridSpan w:val="2"/>
          </w:tcPr>
          <w:p>
            <w:pPr>
              <w:spacing w:after="0"/>
              <w:rPr>
                <w:sz w:val="20"/>
                <w:szCs w:val="20"/>
                <w:color w:val="auto"/>
              </w:rPr>
            </w:pPr>
            <w:r>
              <w:rPr>
                <w:rFonts w:ascii="Arial" w:cs="Arial" w:eastAsia="Arial" w:hAnsi="Arial"/>
                <w:sz w:val="18"/>
                <w:szCs w:val="18"/>
                <w:color w:val="auto"/>
              </w:rPr>
              <w:t>($42,500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12/2019)</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7.25%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12/18/2013</w:t>
            </w:r>
          </w:p>
        </w:tc>
        <w:tc>
          <w:tcPr>
            <w:tcW w:w="680" w:type="dxa"/>
            <w:vAlign w:val="bottom"/>
          </w:tcPr>
          <w:p>
            <w:pPr>
              <w:jc w:val="right"/>
              <w:spacing w:after="0"/>
              <w:rPr>
                <w:sz w:val="20"/>
                <w:szCs w:val="20"/>
                <w:color w:val="auto"/>
              </w:rPr>
            </w:pPr>
            <w:r>
              <w:rPr>
                <w:rFonts w:ascii="Arial" w:cs="Arial" w:eastAsia="Arial" w:hAnsi="Arial"/>
                <w:sz w:val="18"/>
                <w:szCs w:val="18"/>
                <w:color w:val="auto"/>
              </w:rPr>
              <w:t>41,462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41,437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1"/>
                <w:szCs w:val="11"/>
                <w:color w:val="auto"/>
              </w:rPr>
              <w:t>(3)(4)</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($29,659 par,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9/2018)</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9/12/2013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29,105</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165,608</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166,521</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Construction and building</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Mannington Mills, Inc.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14.00%</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($47,430 par,</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(incl. 2.00%</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3/2017)</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PIK)</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3/2/2012</w:t>
            </w:r>
          </w:p>
        </w:tc>
        <w:tc>
          <w:tcPr>
            <w:tcW w:w="680" w:type="dxa"/>
            <w:vAlign w:val="bottom"/>
          </w:tcPr>
          <w:p>
            <w:pPr>
              <w:jc w:val="right"/>
              <w:spacing w:after="0"/>
              <w:rPr>
                <w:sz w:val="20"/>
                <w:szCs w:val="20"/>
                <w:color w:val="auto"/>
              </w:rPr>
            </w:pPr>
            <w:r>
              <w:rPr>
                <w:rFonts w:ascii="Arial" w:cs="Arial" w:eastAsia="Arial" w:hAnsi="Arial"/>
                <w:sz w:val="18"/>
                <w:szCs w:val="18"/>
                <w:color w:val="auto"/>
              </w:rPr>
              <w:t>46,545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51,817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Containers and packaging</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 xml:space="preserve">The Newark Group, Inc.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($46,560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2/2018)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2/8/2013</w:t>
            </w:r>
          </w:p>
        </w:tc>
        <w:tc>
          <w:tcPr>
            <w:tcW w:w="680" w:type="dxa"/>
            <w:vAlign w:val="bottom"/>
          </w:tcPr>
          <w:p>
            <w:pPr>
              <w:jc w:val="right"/>
              <w:spacing w:after="0"/>
              <w:rPr>
                <w:sz w:val="20"/>
                <w:szCs w:val="20"/>
                <w:color w:val="auto"/>
              </w:rPr>
            </w:pPr>
            <w:r>
              <w:rPr>
                <w:rFonts w:ascii="Arial" w:cs="Arial" w:eastAsia="Arial" w:hAnsi="Arial"/>
                <w:sz w:val="18"/>
                <w:szCs w:val="18"/>
                <w:color w:val="auto"/>
              </w:rPr>
              <w:t>46,164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47,142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Education</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Campus Management,</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($29,625 par,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9/2018)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8.75%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9/30/2013</w:t>
            </w:r>
          </w:p>
        </w:tc>
        <w:tc>
          <w:tcPr>
            <w:tcW w:w="680" w:type="dxa"/>
            <w:vAlign w:val="bottom"/>
          </w:tcPr>
          <w:p>
            <w:pPr>
              <w:jc w:val="right"/>
              <w:spacing w:after="0"/>
              <w:rPr>
                <w:sz w:val="20"/>
                <w:szCs w:val="20"/>
                <w:color w:val="auto"/>
              </w:rPr>
            </w:pPr>
            <w:r>
              <w:rPr>
                <w:rFonts w:ascii="Arial" w:cs="Arial" w:eastAsia="Arial" w:hAnsi="Arial"/>
                <w:sz w:val="18"/>
                <w:szCs w:val="18"/>
                <w:color w:val="auto"/>
              </w:rPr>
              <w:t>28,931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29,032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F-5</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Initial</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6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Amortized</w:t>
            </w:r>
          </w:p>
        </w:tc>
        <w:tc>
          <w:tcPr>
            <w:tcW w:w="300" w:type="dxa"/>
            <w:vAlign w:val="bottom"/>
          </w:tcPr>
          <w:p>
            <w:pPr>
              <w:spacing w:after="0"/>
              <w:rPr>
                <w:sz w:val="11"/>
                <w:szCs w:val="11"/>
                <w:color w:val="auto"/>
              </w:rPr>
            </w:pPr>
          </w:p>
        </w:tc>
        <w:tc>
          <w:tcPr>
            <w:tcW w:w="96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rPr>
              <w:t>Fair</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366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780" w:type="dxa"/>
            <w:vAlign w:val="bottom"/>
            <w:gridSpan w:val="2"/>
          </w:tcPr>
          <w:p>
            <w:pPr>
              <w:ind w:left="460"/>
              <w:spacing w:after="0"/>
              <w:rPr>
                <w:sz w:val="20"/>
                <w:szCs w:val="20"/>
                <w:color w:val="auto"/>
              </w:rPr>
            </w:pPr>
            <w:r>
              <w:rPr>
                <w:rFonts w:ascii="Arial" w:cs="Arial" w:eastAsia="Arial" w:hAnsi="Arial"/>
                <w:sz w:val="14"/>
                <w:szCs w:val="14"/>
                <w:b w:val="1"/>
                <w:bCs w:val="1"/>
                <w:color w:val="auto"/>
              </w:rPr>
              <w:t>Investment</w:t>
            </w: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Interest</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right"/>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3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64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b w:val="1"/>
                <w:bCs w:val="1"/>
                <w:color w:val="auto"/>
              </w:rPr>
              <w:t>Financial services</w:t>
            </w:r>
          </w:p>
        </w:tc>
        <w:tc>
          <w:tcPr>
            <w:tcW w:w="6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 xml:space="preserve">Embarcadero Technologies, Inc. </w:t>
            </w:r>
            <w:r>
              <w:rPr>
                <w:rFonts w:ascii="Arial" w:cs="Arial" w:eastAsia="Arial" w:hAnsi="Arial"/>
                <w:sz w:val="11"/>
                <w:szCs w:val="11"/>
                <w:color w:val="auto"/>
              </w:rPr>
              <w:t>(3)(4)(6)</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($42,479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12/2017)</w:t>
            </w:r>
          </w:p>
        </w:tc>
        <w:tc>
          <w:tcPr>
            <w:tcW w:w="114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41,597</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42,372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1"/>
                <w:szCs w:val="11"/>
                <w:color w:val="auto"/>
              </w:rPr>
              <w:t>(3)(4)(6)</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($76,337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12/2018)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11/21/2012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74,752</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75,764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116,349</w:t>
            </w:r>
          </w:p>
        </w:tc>
        <w:tc>
          <w:tcPr>
            <w:tcW w:w="3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118,136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Healthcare and pharmaceuticals</w:t>
            </w: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 xml:space="preserve">Mediware Information Systems, Inc. </w:t>
            </w:r>
            <w:r>
              <w:rPr>
                <w:rFonts w:ascii="Arial" w:cs="Arial" w:eastAsia="Arial" w:hAnsi="Arial"/>
                <w:sz w:val="11"/>
                <w:szCs w:val="11"/>
                <w:color w:val="auto"/>
              </w:rPr>
              <w:t>(3)(4)(6)</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($71,634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5/2018)</w:t>
            </w:r>
          </w:p>
        </w:tc>
        <w:tc>
          <w:tcPr>
            <w:tcW w:w="114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11/9/2012</w:t>
            </w:r>
          </w:p>
        </w:tc>
        <w:tc>
          <w:tcPr>
            <w:tcW w:w="640" w:type="dxa"/>
            <w:vAlign w:val="bottom"/>
          </w:tcPr>
          <w:p>
            <w:pPr>
              <w:jc w:val="right"/>
              <w:spacing w:after="0"/>
              <w:rPr>
                <w:sz w:val="20"/>
                <w:szCs w:val="20"/>
                <w:color w:val="auto"/>
              </w:rPr>
            </w:pPr>
            <w:r>
              <w:rPr>
                <w:rFonts w:ascii="Arial" w:cs="Arial" w:eastAsia="Arial" w:hAnsi="Arial"/>
                <w:sz w:val="18"/>
                <w:szCs w:val="18"/>
                <w:color w:val="auto"/>
              </w:rPr>
              <w:t>70,120</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71,097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($35,625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12/2017)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12/28/2012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34,782</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35,625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revolving</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loan ($2,000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12/2017)</w:t>
            </w:r>
          </w:p>
        </w:tc>
        <w:tc>
          <w:tcPr>
            <w:tcW w:w="1140" w:type="dxa"/>
            <w:vAlign w:val="bottom"/>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106,902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108,722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gridSpan w:val="2"/>
          </w:tcPr>
          <w:p>
            <w:pPr>
              <w:ind w:left="420"/>
              <w:spacing w:after="0"/>
              <w:rPr>
                <w:sz w:val="20"/>
                <w:szCs w:val="20"/>
                <w:color w:val="auto"/>
              </w:rPr>
            </w:pPr>
            <w:r>
              <w:rPr>
                <w:rFonts w:ascii="Arial" w:cs="Arial" w:eastAsia="Arial" w:hAnsi="Arial"/>
                <w:sz w:val="18"/>
                <w:szCs w:val="18"/>
                <w:b w:val="1"/>
                <w:bCs w:val="1"/>
                <w:color w:val="auto"/>
              </w:rPr>
              <w:t>Hotel, gaming, and leisure</w:t>
            </w:r>
          </w:p>
        </w:tc>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AMF Bowling Worldwide,</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($14,813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6/2018)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13,687</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14,821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 xml:space="preserve">Centaur, LLC </w:t>
            </w:r>
            <w:r>
              <w:rPr>
                <w:rFonts w:ascii="Arial" w:cs="Arial" w:eastAsia="Arial" w:hAnsi="Arial"/>
                <w:sz w:val="11"/>
                <w:szCs w:val="11"/>
                <w:color w:val="auto"/>
              </w:rPr>
              <w:t>(3)</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Second-lien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($10,000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2/2020)</w:t>
            </w:r>
          </w:p>
        </w:tc>
        <w:tc>
          <w:tcPr>
            <w:tcW w:w="1140" w:type="dxa"/>
            <w:vAlign w:val="bottom"/>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2/15/2013</w:t>
            </w:r>
          </w:p>
        </w:tc>
        <w:tc>
          <w:tcPr>
            <w:tcW w:w="640" w:type="dxa"/>
            <w:vAlign w:val="bottom"/>
          </w:tcPr>
          <w:p>
            <w:pPr>
              <w:jc w:val="right"/>
              <w:spacing w:after="0"/>
              <w:rPr>
                <w:sz w:val="20"/>
                <w:szCs w:val="20"/>
                <w:color w:val="auto"/>
              </w:rPr>
            </w:pPr>
            <w:r>
              <w:rPr>
                <w:rFonts w:ascii="Arial" w:cs="Arial" w:eastAsia="Arial" w:hAnsi="Arial"/>
                <w:sz w:val="18"/>
                <w:szCs w:val="18"/>
                <w:color w:val="auto"/>
              </w:rPr>
              <w:t>9,923</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10,250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Mandalay Baseball Properties, LLC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($34,886 par,</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(incl. 4.50%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3/2017)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PIK)</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4/12/2012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35,758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1"/>
                <w:szCs w:val="11"/>
                <w:color w:val="auto"/>
              </w:rPr>
              <w:t>(5)</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Second-lien bond</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(GBP 7,000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10/2018)</w:t>
            </w:r>
          </w:p>
        </w:tc>
        <w:tc>
          <w:tcPr>
            <w:tcW w:w="1140" w:type="dxa"/>
            <w:vAlign w:val="bottom"/>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9/20/2013</w:t>
            </w:r>
          </w:p>
        </w:tc>
        <w:tc>
          <w:tcPr>
            <w:tcW w:w="640" w:type="dxa"/>
            <w:vAlign w:val="bottom"/>
          </w:tcPr>
          <w:p>
            <w:pPr>
              <w:jc w:val="right"/>
              <w:spacing w:after="0"/>
              <w:rPr>
                <w:sz w:val="20"/>
                <w:szCs w:val="20"/>
                <w:color w:val="auto"/>
              </w:rPr>
            </w:pPr>
            <w:r>
              <w:rPr>
                <w:rFonts w:ascii="Arial" w:cs="Arial" w:eastAsia="Arial" w:hAnsi="Arial"/>
                <w:sz w:val="18"/>
                <w:szCs w:val="18"/>
                <w:color w:val="auto"/>
              </w:rPr>
              <w:t>11,200</w:t>
            </w:r>
          </w:p>
        </w:tc>
        <w:tc>
          <w:tcPr>
            <w:tcW w:w="3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11,913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72,742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gridSpan w:val="2"/>
          </w:tcPr>
          <w:p>
            <w:pPr>
              <w:ind w:left="420"/>
              <w:spacing w:after="0"/>
              <w:rPr>
                <w:sz w:val="20"/>
                <w:szCs w:val="20"/>
                <w:color w:val="auto"/>
              </w:rPr>
            </w:pPr>
            <w:r>
              <w:rPr>
                <w:rFonts w:ascii="Arial" w:cs="Arial" w:eastAsia="Arial" w:hAnsi="Arial"/>
                <w:sz w:val="18"/>
                <w:szCs w:val="18"/>
                <w:b w:val="1"/>
                <w:bCs w:val="1"/>
                <w:color w:val="auto"/>
              </w:rPr>
              <w:t>Human resource support services</w:t>
            </w:r>
          </w:p>
        </w:tc>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Pai Group, Inc. </w:t>
            </w:r>
            <w:r>
              <w:rPr>
                <w:rFonts w:ascii="Arial" w:cs="Arial" w:eastAsia="Arial" w:hAnsi="Arial"/>
                <w:sz w:val="11"/>
                <w:szCs w:val="11"/>
                <w:color w:val="auto"/>
              </w:rPr>
              <w:t>(3)(4)</w:t>
            </w: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($34,737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5/2018)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33,979</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34,141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 xml:space="preserve">SumTotal Systems, LLC </w:t>
            </w:r>
            <w:r>
              <w:rPr>
                <w:rFonts w:ascii="Arial" w:cs="Arial" w:eastAsia="Arial" w:hAnsi="Arial"/>
                <w:sz w:val="11"/>
                <w:szCs w:val="11"/>
                <w:color w:val="auto"/>
              </w:rPr>
              <w:t>(3)(4)</w:t>
            </w: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First-lien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($7,483 par,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00" w:type="dxa"/>
            <w:vAlign w:val="bottom"/>
            <w:gridSpan w:val="3"/>
          </w:tcPr>
          <w:p>
            <w:pPr>
              <w:ind w:left="620"/>
              <w:spacing w:after="0"/>
              <w:rPr>
                <w:sz w:val="20"/>
                <w:szCs w:val="20"/>
                <w:color w:val="auto"/>
              </w:rPr>
            </w:pPr>
            <w:r>
              <w:rPr>
                <w:rFonts w:ascii="Arial" w:cs="Arial" w:eastAsia="Arial" w:hAnsi="Arial"/>
                <w:sz w:val="18"/>
                <w:szCs w:val="18"/>
                <w:color w:val="auto"/>
              </w:rPr>
              <w:t>due 11/2018)</w:t>
            </w:r>
          </w:p>
        </w:tc>
        <w:tc>
          <w:tcPr>
            <w:tcW w:w="114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11/16/2012</w:t>
            </w:r>
          </w:p>
        </w:tc>
        <w:tc>
          <w:tcPr>
            <w:tcW w:w="640" w:type="dxa"/>
            <w:vAlign w:val="bottom"/>
          </w:tcPr>
          <w:p>
            <w:pPr>
              <w:jc w:val="right"/>
              <w:spacing w:after="0"/>
              <w:rPr>
                <w:sz w:val="20"/>
                <w:szCs w:val="20"/>
                <w:color w:val="auto"/>
              </w:rPr>
            </w:pPr>
            <w:r>
              <w:rPr>
                <w:rFonts w:ascii="Arial" w:cs="Arial" w:eastAsia="Arial" w:hAnsi="Arial"/>
                <w:sz w:val="18"/>
                <w:szCs w:val="18"/>
                <w:color w:val="auto"/>
              </w:rPr>
              <w:t>7,405</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7,371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Second-lien loan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($12,000 par,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due 5/2019)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11/16/2012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11,790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53,316</w:t>
            </w:r>
          </w:p>
        </w:tc>
        <w:tc>
          <w:tcPr>
            <w:tcW w:w="3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53,302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80" w:type="dxa"/>
            <w:vAlign w:val="bottom"/>
            <w:gridSpan w:val="2"/>
          </w:tcPr>
          <w:p>
            <w:pPr>
              <w:ind w:left="1320"/>
              <w:spacing w:after="0"/>
              <w:rPr>
                <w:sz w:val="20"/>
                <w:szCs w:val="20"/>
                <w:color w:val="auto"/>
              </w:rPr>
            </w:pPr>
            <w:r>
              <w:rPr>
                <w:rFonts w:ascii="Arial" w:cs="Arial" w:eastAsia="Arial" w:hAnsi="Arial"/>
                <w:sz w:val="18"/>
                <w:szCs w:val="18"/>
                <w:color w:val="auto"/>
              </w:rPr>
              <w:t>F-6</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2"/>
              </w:rPr>
              <w:t>Initial</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3060" w:type="dxa"/>
            <w:vAlign w:val="bottom"/>
            <w:vMerge w:val="restart"/>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20" w:type="dxa"/>
            <w:vAlign w:val="bottom"/>
            <w:gridSpan w:val="2"/>
          </w:tcPr>
          <w:p>
            <w:pPr>
              <w:jc w:val="center"/>
              <w:ind w:right="126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0"/>
              </w:rPr>
              <w:t>Amortized</w:t>
            </w:r>
          </w:p>
        </w:tc>
        <w:tc>
          <w:tcPr>
            <w:tcW w:w="240" w:type="dxa"/>
            <w:vAlign w:val="bottom"/>
          </w:tcPr>
          <w:p>
            <w:pPr>
              <w:spacing w:after="0"/>
              <w:rPr>
                <w:sz w:val="11"/>
                <w:szCs w:val="11"/>
                <w:color w:val="auto"/>
              </w:rPr>
            </w:pPr>
          </w:p>
        </w:tc>
        <w:tc>
          <w:tcPr>
            <w:tcW w:w="800" w:type="dxa"/>
            <w:vAlign w:val="bottom"/>
          </w:tcPr>
          <w:p>
            <w:pPr>
              <w:jc w:val="right"/>
              <w:ind w:right="196"/>
              <w:spacing w:after="0" w:line="135"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1"/>
                <w:szCs w:val="11"/>
                <w:color w:val="auto"/>
              </w:rPr>
            </w:pP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1680" w:type="dxa"/>
            <w:vAlign w:val="bottom"/>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212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5"/>
              </w:rPr>
              <w:t>Date</w:t>
            </w:r>
          </w:p>
        </w:tc>
        <w:tc>
          <w:tcPr>
            <w:tcW w:w="700" w:type="dxa"/>
            <w:vAlign w:val="bottom"/>
            <w:gridSpan w:val="2"/>
          </w:tcPr>
          <w:p>
            <w:pPr>
              <w:jc w:val="center"/>
              <w:ind w:right="40"/>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40" w:type="dxa"/>
            <w:vAlign w:val="bottom"/>
          </w:tcPr>
          <w:p>
            <w:pPr>
              <w:spacing w:after="0"/>
              <w:rPr>
                <w:sz w:val="15"/>
                <w:szCs w:val="15"/>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3820" w:type="dxa"/>
            <w:vAlign w:val="bottom"/>
            <w:tcBorders>
              <w:top w:val="single" w:sz="8" w:color="CCEEFF"/>
            </w:tcBorders>
            <w:gridSpan w:val="2"/>
            <w:shd w:val="clear" w:color="auto" w:fill="CCEEFF"/>
          </w:tcPr>
          <w:p>
            <w:pPr>
              <w:ind w:left="440"/>
              <w:spacing w:after="0" w:line="189" w:lineRule="exact"/>
              <w:rPr>
                <w:sz w:val="20"/>
                <w:szCs w:val="20"/>
                <w:color w:val="auto"/>
              </w:rPr>
            </w:pPr>
            <w:r>
              <w:rPr>
                <w:rFonts w:ascii="Arial" w:cs="Arial" w:eastAsia="Arial" w:hAnsi="Arial"/>
                <w:sz w:val="18"/>
                <w:szCs w:val="18"/>
                <w:b w:val="1"/>
                <w:bCs w:val="1"/>
                <w:color w:val="auto"/>
              </w:rPr>
              <w:t>Insurance</w:t>
            </w:r>
          </w:p>
        </w:tc>
        <w:tc>
          <w:tcPr>
            <w:tcW w:w="15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($31,888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6/2017)</w:t>
            </w: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6/1/2012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31,433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31,808</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revolving</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($850 par,</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6/1/2012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32,215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32,646</w:t>
            </w:r>
          </w:p>
        </w:tc>
        <w:tc>
          <w:tcPr>
            <w:tcW w:w="2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Manufacturing</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Jeeves Information</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 (SEK</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220"/>
              <w:spacing w:after="0"/>
              <w:rPr>
                <w:sz w:val="20"/>
                <w:szCs w:val="20"/>
                <w:color w:val="auto"/>
              </w:rPr>
            </w:pPr>
            <w:r>
              <w:rPr>
                <w:rFonts w:ascii="Arial" w:cs="Arial" w:eastAsia="Arial" w:hAnsi="Arial"/>
                <w:sz w:val="18"/>
                <w:szCs w:val="18"/>
                <w:color w:val="auto"/>
              </w:rPr>
              <w:t xml:space="preserve">Systems AB </w:t>
            </w:r>
            <w:r>
              <w:rPr>
                <w:rFonts w:ascii="Arial" w:cs="Arial" w:eastAsia="Arial" w:hAnsi="Arial"/>
                <w:sz w:val="11"/>
                <w:szCs w:val="11"/>
                <w:color w:val="auto"/>
              </w:rPr>
              <w:t>(3)(5)</w:t>
            </w:r>
          </w:p>
        </w:tc>
        <w:tc>
          <w:tcPr>
            <w:tcW w:w="1680" w:type="dxa"/>
            <w:vAlign w:val="bottom"/>
            <w:gridSpan w:val="2"/>
          </w:tcPr>
          <w:p>
            <w:pPr>
              <w:spacing w:after="0"/>
              <w:rPr>
                <w:sz w:val="20"/>
                <w:szCs w:val="20"/>
                <w:color w:val="auto"/>
              </w:rPr>
            </w:pPr>
            <w:r>
              <w:rPr>
                <w:rFonts w:ascii="Arial" w:cs="Arial" w:eastAsia="Arial" w:hAnsi="Arial"/>
                <w:sz w:val="18"/>
                <w:szCs w:val="18"/>
                <w:color w:val="auto"/>
              </w:rPr>
              <w:t>177,161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6/2018)</w:t>
            </w:r>
          </w:p>
        </w:tc>
        <w:tc>
          <w:tcPr>
            <w:tcW w:w="640" w:type="dxa"/>
            <w:vAlign w:val="bottom"/>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6/5/2013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26,486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27,170</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Metals and mining</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Metalico, Inc. </w:t>
            </w:r>
            <w:r>
              <w:rPr>
                <w:rFonts w:ascii="Arial" w:cs="Arial" w:eastAsia="Arial" w:hAnsi="Arial"/>
                <w:sz w:val="11"/>
                <w:szCs w:val="11"/>
                <w:color w:val="auto"/>
              </w:rPr>
              <w:t>(3)(6)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($35,650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11/2019)</w:t>
            </w:r>
          </w:p>
        </w:tc>
        <w:tc>
          <w:tcPr>
            <w:tcW w:w="640" w:type="dxa"/>
            <w:vAlign w:val="bottom"/>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11/21/2013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33,523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33,841</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Office products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1"/>
                <w:szCs w:val="11"/>
                <w:color w:val="auto"/>
              </w:rPr>
              <w:t>(3)(4)(6)</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($19,936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10/2016)</w:t>
            </w:r>
          </w:p>
        </w:tc>
        <w:tc>
          <w:tcPr>
            <w:tcW w:w="64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10/17/2011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19,764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20,086</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Oil, gas and consumable fuels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Global Geophysical </w:t>
            </w:r>
            <w:r>
              <w:rPr>
                <w:rFonts w:ascii="Arial" w:cs="Arial" w:eastAsia="Arial" w:hAnsi="Arial"/>
                <w:sz w:val="11"/>
                <w:szCs w:val="11"/>
                <w:color w:val="auto"/>
              </w:rPr>
              <w:t>(3)(4)</w:t>
            </w:r>
          </w:p>
        </w:tc>
        <w:tc>
          <w:tcPr>
            <w:tcW w:w="168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($40,883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9/2016)</w:t>
            </w:r>
          </w:p>
        </w:tc>
        <w:tc>
          <w:tcPr>
            <w:tcW w:w="64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9/30/2013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39,617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40,065</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Transportation</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Kewill, Ltd. </w:t>
            </w:r>
            <w:r>
              <w:rPr>
                <w:rFonts w:ascii="Arial" w:cs="Arial" w:eastAsia="Arial" w:hAnsi="Arial"/>
                <w:sz w:val="11"/>
                <w:szCs w:val="11"/>
                <w:color w:val="auto"/>
              </w:rPr>
              <w:t>(3)(5)</w:t>
            </w:r>
          </w:p>
        </w:tc>
        <w:tc>
          <w:tcPr>
            <w:tcW w:w="168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($52,500 par,</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due 10/2019)</w:t>
            </w:r>
          </w:p>
        </w:tc>
        <w:tc>
          <w:tcPr>
            <w:tcW w:w="640" w:type="dxa"/>
            <w:vAlign w:val="bottom"/>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10/2/2013</w:t>
            </w:r>
          </w:p>
        </w:tc>
        <w:tc>
          <w:tcPr>
            <w:tcW w:w="680" w:type="dxa"/>
            <w:vAlign w:val="bottom"/>
          </w:tcPr>
          <w:p>
            <w:pPr>
              <w:jc w:val="right"/>
              <w:spacing w:after="0"/>
              <w:rPr>
                <w:sz w:val="20"/>
                <w:szCs w:val="20"/>
                <w:color w:val="auto"/>
              </w:rPr>
            </w:pPr>
            <w:r>
              <w:rPr>
                <w:rFonts w:ascii="Arial" w:cs="Arial" w:eastAsia="Arial" w:hAnsi="Arial"/>
                <w:sz w:val="18"/>
                <w:szCs w:val="18"/>
                <w:color w:val="auto"/>
              </w:rPr>
              <w:t>51,482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51,713</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Debt Investments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994,518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1,014,647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330"/>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Equity Investments</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Business services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Network Merchants, Inc</w:t>
            </w:r>
          </w:p>
        </w:tc>
        <w:tc>
          <w:tcPr>
            <w:tcW w:w="1680" w:type="dxa"/>
            <w:vAlign w:val="bottom"/>
            <w:gridSpan w:val="2"/>
          </w:tcPr>
          <w:p>
            <w:pPr>
              <w:spacing w:after="0"/>
              <w:rPr>
                <w:sz w:val="20"/>
                <w:szCs w:val="20"/>
                <w:color w:val="auto"/>
              </w:rPr>
            </w:pPr>
            <w:r>
              <w:rPr>
                <w:rFonts w:ascii="Arial" w:cs="Arial" w:eastAsia="Arial" w:hAnsi="Arial"/>
                <w:sz w:val="18"/>
                <w:szCs w:val="18"/>
                <w:color w:val="auto"/>
              </w:rPr>
              <w:t>Non-Voting</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Preferred Units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(774,099 units)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9/12/2013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7"/>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Healthcare and pharmaceuticals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SRS Parent Corp.</w:t>
            </w:r>
          </w:p>
        </w:tc>
        <w:tc>
          <w:tcPr>
            <w:tcW w:w="168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Class A</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(1,980 shares)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12/28/2012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1,980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(2,953,020 shares)</w:t>
            </w: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Equity Investments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997,298</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1,016,451</w:t>
            </w:r>
          </w:p>
        </w:tc>
        <w:tc>
          <w:tcPr>
            <w:tcW w:w="260" w:type="dxa"/>
            <w:vAlign w:val="bottom"/>
            <w:vMerge w:val="continue"/>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176.9%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8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460" w:right="50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jc w:val="both"/>
        <w:ind w:left="460" w:right="260" w:hanging="452"/>
        <w:spacing w:after="0" w:line="300"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10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jc w:val="right"/>
        <w:ind w:right="3300"/>
        <w:spacing w:after="0"/>
        <w:rPr>
          <w:sz w:val="20"/>
          <w:szCs w:val="20"/>
          <w:color w:val="auto"/>
        </w:rPr>
      </w:pPr>
      <w:r>
        <w:rPr>
          <w:rFonts w:ascii="Arial" w:cs="Arial" w:eastAsia="Arial" w:hAnsi="Arial"/>
          <w:sz w:val="18"/>
          <w:szCs w:val="18"/>
          <w:b w:val="1"/>
          <w:bCs w:val="1"/>
          <w:color w:val="auto"/>
        </w:rPr>
        <w:t>Consolidated Schedule of Investments as of December 31, 2012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in thousands, except share amounts)</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xml:space="preserve">Company </w:t>
      </w:r>
      <w:r>
        <w:rPr>
          <w:rFonts w:ascii="Arial" w:cs="Arial" w:eastAsia="Arial" w:hAnsi="Arial"/>
          <w:sz w:val="22"/>
          <w:szCs w:val="22"/>
          <w:b w:val="1"/>
          <w:bCs w:val="1"/>
          <w:u w:val="single" w:color="auto"/>
          <w:color w:val="auto"/>
          <w:vertAlign w:val="superscript"/>
        </w:rPr>
        <w:t>(1)</w:t>
      </w:r>
    </w:p>
    <w:p>
      <w:pPr>
        <w:spacing w:after="0"/>
        <w:rPr>
          <w:sz w:val="20"/>
          <w:szCs w:val="20"/>
          <w:color w:val="auto"/>
        </w:rPr>
      </w:pPr>
      <w:r>
        <w:rPr>
          <w:rFonts w:ascii="Arial" w:cs="Arial" w:eastAsia="Arial" w:hAnsi="Arial"/>
          <w:sz w:val="18"/>
          <w:szCs w:val="18"/>
          <w:b w:val="1"/>
          <w:bCs w:val="1"/>
          <w:color w:val="auto"/>
        </w:rPr>
        <w:t>Debt Investments</w:t>
      </w:r>
    </w:p>
    <w:p>
      <w:pPr>
        <w:spacing w:after="0" w:line="97" w:lineRule="exact"/>
        <w:rPr>
          <w:sz w:val="20"/>
          <w:szCs w:val="20"/>
          <w:color w:val="auto"/>
        </w:rPr>
      </w:pPr>
    </w:p>
    <w:p>
      <w:pPr>
        <w:ind w:right="1440" w:firstLine="432"/>
        <w:spacing w:after="0" w:line="339" w:lineRule="auto"/>
        <w:rPr>
          <w:sz w:val="20"/>
          <w:szCs w:val="20"/>
          <w:color w:val="auto"/>
        </w:rPr>
      </w:pPr>
      <w:r>
        <w:rPr>
          <w:rFonts w:ascii="Arial" w:cs="Arial" w:eastAsia="Arial" w:hAnsi="Arial"/>
          <w:sz w:val="16"/>
          <w:szCs w:val="16"/>
          <w:b w:val="1"/>
          <w:bCs w:val="1"/>
          <w:color w:val="auto"/>
        </w:rPr>
        <w:t xml:space="preserve">Aerospace and defense </w:t>
      </w:r>
      <w:r>
        <w:rPr>
          <w:rFonts w:ascii="Arial" w:cs="Arial" w:eastAsia="Arial" w:hAnsi="Arial"/>
          <w:sz w:val="16"/>
          <w:szCs w:val="16"/>
          <w:color w:val="auto"/>
        </w:rPr>
        <w:t xml:space="preserve">MSC.Software Corporation </w:t>
      </w:r>
      <w:r>
        <w:rPr>
          <w:rFonts w:ascii="Arial" w:cs="Arial" w:eastAsia="Arial" w:hAnsi="Arial"/>
          <w:sz w:val="10"/>
          <w:szCs w:val="10"/>
          <w:color w:val="auto"/>
        </w:rPr>
        <w:t>(3)(4)(5)</w:t>
      </w:r>
    </w:p>
    <w:p>
      <w:pPr>
        <w:spacing w:after="0" w:line="200" w:lineRule="exact"/>
        <w:rPr>
          <w:sz w:val="20"/>
          <w:szCs w:val="20"/>
          <w:color w:val="auto"/>
        </w:rPr>
      </w:pPr>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Automotive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Heartland Automotive Holdings, LLC </w:t>
      </w:r>
      <w:r>
        <w:rPr>
          <w:rFonts w:ascii="Arial" w:cs="Arial" w:eastAsia="Arial" w:hAnsi="Arial"/>
          <w:sz w:val="10"/>
          <w:szCs w:val="10"/>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Sage Automotive Interiors, Inc. </w:t>
      </w:r>
      <w:r>
        <w:rPr>
          <w:rFonts w:ascii="Arial" w:cs="Arial" w:eastAsia="Arial" w:hAnsi="Arial"/>
          <w:sz w:val="11"/>
          <w:szCs w:val="11"/>
          <w:color w:val="auto"/>
        </w:rPr>
        <w:t>(3)(4)(5)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320" w:firstLine="432"/>
        <w:spacing w:after="0" w:line="378" w:lineRule="auto"/>
        <w:rPr>
          <w:sz w:val="20"/>
          <w:szCs w:val="20"/>
          <w:color w:val="auto"/>
        </w:rPr>
      </w:pPr>
      <w:r>
        <w:rPr>
          <w:rFonts w:ascii="Arial" w:cs="Arial" w:eastAsia="Arial" w:hAnsi="Arial"/>
          <w:sz w:val="15"/>
          <w:szCs w:val="15"/>
          <w:b w:val="1"/>
          <w:bCs w:val="1"/>
          <w:color w:val="auto"/>
        </w:rPr>
        <w:t xml:space="preserve">Beverage, food and tobacco </w:t>
      </w:r>
      <w:r>
        <w:rPr>
          <w:rFonts w:ascii="Arial" w:cs="Arial" w:eastAsia="Arial" w:hAnsi="Arial"/>
          <w:sz w:val="15"/>
          <w:szCs w:val="15"/>
          <w:color w:val="auto"/>
        </w:rPr>
        <w:t xml:space="preserve">AFS Technologies, Inc. </w:t>
      </w:r>
      <w:r>
        <w:rPr>
          <w:rFonts w:ascii="Arial" w:cs="Arial" w:eastAsia="Arial" w:hAnsi="Arial"/>
          <w:sz w:val="10"/>
          <w:szCs w:val="10"/>
          <w:color w:val="auto"/>
        </w:rPr>
        <w:t>(3)(4)(5)</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Checkers Drive-In Restaurants, Inc. </w:t>
      </w: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Business services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Consona Holdings, Inc. </w:t>
      </w:r>
      <w:r>
        <w:rPr>
          <w:rFonts w:ascii="Arial" w:cs="Arial" w:eastAsia="Arial" w:hAnsi="Arial"/>
          <w:sz w:val="11"/>
          <w:szCs w:val="11"/>
          <w:color w:val="auto"/>
        </w:rPr>
        <w:t>(3)(5)</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Attachmate Corporation </w:t>
      </w:r>
      <w:r>
        <w:rPr>
          <w:rFonts w:ascii="Arial" w:cs="Arial" w:eastAsia="Arial" w:hAnsi="Arial"/>
          <w:sz w:val="11"/>
          <w:szCs w:val="11"/>
          <w:color w:val="auto"/>
        </w:rPr>
        <w:t>(3)(5)</w:t>
      </w:r>
    </w:p>
    <w:p>
      <w:pPr>
        <w:spacing w:after="0" w:line="200" w:lineRule="exact"/>
        <w:rPr>
          <w:sz w:val="20"/>
          <w:szCs w:val="20"/>
          <w:color w:val="auto"/>
        </w:rPr>
      </w:pP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Capital equipment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Federal Signal Corporation </w:t>
      </w:r>
      <w:r>
        <w:rPr>
          <w:rFonts w:ascii="Arial" w:cs="Arial" w:eastAsia="Arial" w:hAnsi="Arial"/>
          <w:sz w:val="11"/>
          <w:szCs w:val="11"/>
          <w:color w:val="auto"/>
        </w:rPr>
        <w:t>(3)(5)</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International Equipment Solutions, Inc. </w:t>
      </w:r>
      <w:r>
        <w:rPr>
          <w:rFonts w:ascii="Arial" w:cs="Arial" w:eastAsia="Arial" w:hAnsi="Arial"/>
          <w:sz w:val="10"/>
          <w:szCs w:val="10"/>
          <w:color w:val="auto"/>
        </w:rPr>
        <w:t>(3)(5)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400" w:firstLine="432"/>
        <w:spacing w:after="0" w:line="378" w:lineRule="auto"/>
        <w:rPr>
          <w:sz w:val="20"/>
          <w:szCs w:val="20"/>
          <w:color w:val="auto"/>
        </w:rPr>
      </w:pPr>
      <w:r>
        <w:rPr>
          <w:rFonts w:ascii="Arial" w:cs="Arial" w:eastAsia="Arial" w:hAnsi="Arial"/>
          <w:sz w:val="15"/>
          <w:szCs w:val="15"/>
          <w:b w:val="1"/>
          <w:bCs w:val="1"/>
          <w:color w:val="auto"/>
        </w:rPr>
        <w:t xml:space="preserve">Construction and building </w:t>
      </w:r>
      <w:r>
        <w:rPr>
          <w:rFonts w:ascii="Arial" w:cs="Arial" w:eastAsia="Arial" w:hAnsi="Arial"/>
          <w:sz w:val="15"/>
          <w:szCs w:val="15"/>
          <w:color w:val="auto"/>
        </w:rPr>
        <w:t xml:space="preserve">Mannington Mills, Inc. </w:t>
      </w:r>
      <w:r>
        <w:rPr>
          <w:rFonts w:ascii="Arial" w:cs="Arial" w:eastAsia="Arial" w:hAnsi="Arial"/>
          <w:sz w:val="10"/>
          <w:szCs w:val="10"/>
          <w:color w:val="auto"/>
        </w:rPr>
        <w:t>(3)(5)</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Initial</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4"/>
        </w:trPr>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9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Amortized</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r>
      <w:tr>
        <w:trPr>
          <w:trHeight w:val="176"/>
        </w:trPr>
        <w:tc>
          <w:tcPr>
            <w:tcW w:w="15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5"/>
                <w:szCs w:val="15"/>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320" w:type="dxa"/>
            <w:vAlign w:val="bottom"/>
          </w:tcPr>
          <w:p>
            <w:pPr>
              <w:spacing w:after="0"/>
              <w:rPr>
                <w:sz w:val="15"/>
                <w:szCs w:val="15"/>
                <w:color w:val="auto"/>
              </w:rPr>
            </w:pPr>
          </w:p>
        </w:tc>
        <w:tc>
          <w:tcPr>
            <w:tcW w:w="6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4"/>
              </w:rPr>
              <w:t xml:space="preserve">Cost </w:t>
            </w:r>
            <w:r>
              <w:rPr>
                <w:rFonts w:ascii="Arial" w:cs="Arial" w:eastAsia="Arial" w:hAnsi="Arial"/>
                <w:sz w:val="20"/>
                <w:szCs w:val="20"/>
                <w:b w:val="1"/>
                <w:bCs w:val="1"/>
                <w:color w:val="auto"/>
                <w:w w:val="94"/>
                <w:vertAlign w:val="superscript"/>
              </w:rPr>
              <w:t>(2)</w:t>
            </w:r>
          </w:p>
        </w:tc>
        <w:tc>
          <w:tcPr>
            <w:tcW w:w="300" w:type="dxa"/>
            <w:vAlign w:val="bottom"/>
          </w:tcPr>
          <w:p>
            <w:pPr>
              <w:spacing w:after="0"/>
              <w:rPr>
                <w:sz w:val="15"/>
                <w:szCs w:val="15"/>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Fair Value</w:t>
            </w:r>
          </w:p>
        </w:tc>
        <w:tc>
          <w:tcPr>
            <w:tcW w:w="3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of Net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-8255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($56,266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11/2017)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7.75%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12/23/2011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$ 55,423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$ 55,984</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11.7%</w:t>
            </w:r>
          </w:p>
        </w:tc>
      </w:tr>
      <w:tr>
        <w:trPr>
          <w:trHeight w:val="534"/>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($38,951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6/2017)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8/28/2012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37,998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38,075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7.9%</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9"/>
              </w:rPr>
              <w:t>revolving loan ($555</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par, due 6/2017)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8/28/2012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0.1%</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($19,878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due 12/2016)</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9.50%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12/31/2012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19,717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19,679</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58,128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58,185</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12.1%</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($46,884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8/2015)</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7.75%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8/31/2011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45,987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46,532</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9.7%</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Second-lien bond</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($10,000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due 12/2017)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11.00%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11/16/2012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10,017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10,025</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56,004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56,557</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($29,925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8/2018)</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7.25%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8/13/2012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29,514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29,925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6.2%</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 loan ($926</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par, due 11/2017)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7.25%</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6/25/2012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30,458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30,819</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($41,608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2/2017)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12.00%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2/22/2012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40,897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43,064</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9.0%</w:t>
            </w:r>
          </w:p>
        </w:tc>
      </w:tr>
      <w:tr>
        <w:trPr>
          <w:trHeight w:val="318"/>
        </w:trPr>
        <w:tc>
          <w:tcPr>
            <w:tcW w:w="1640" w:type="dxa"/>
            <w:vAlign w:val="bottom"/>
          </w:tcPr>
          <w:p>
            <w:pPr>
              <w:spacing w:after="0"/>
              <w:rPr>
                <w:sz w:val="20"/>
                <w:szCs w:val="20"/>
                <w:color w:val="auto"/>
              </w:rPr>
            </w:pPr>
            <w:r>
              <w:rPr>
                <w:rFonts w:ascii="Arial" w:cs="Arial" w:eastAsia="Arial" w:hAnsi="Arial"/>
                <w:sz w:val="18"/>
                <w:szCs w:val="18"/>
                <w:color w:val="auto"/>
              </w:rPr>
              <w:t>First-lien loan</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($29,391 par,</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due 9/2016)</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8.50%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9/18/2012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28,732</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28,876</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69,629</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71,940</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433"/>
        </w:trPr>
        <w:tc>
          <w:tcPr>
            <w:tcW w:w="1640" w:type="dxa"/>
            <w:vAlign w:val="bottom"/>
          </w:tcPr>
          <w:p>
            <w:pPr>
              <w:spacing w:after="0"/>
              <w:rPr>
                <w:sz w:val="20"/>
                <w:szCs w:val="20"/>
                <w:color w:val="auto"/>
              </w:rPr>
            </w:pPr>
            <w:r>
              <w:rPr>
                <w:rFonts w:ascii="Arial" w:cs="Arial" w:eastAsia="Arial" w:hAnsi="Arial"/>
                <w:sz w:val="18"/>
                <w:szCs w:val="18"/>
                <w:color w:val="auto"/>
              </w:rPr>
              <w:t>Second-lien loan</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14.00%</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($50,537 par,</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(incl. 2.00%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due 3/2017)</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PIK)</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3/2/2012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49,551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53,190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11.1%</w:t>
            </w:r>
          </w:p>
        </w:tc>
      </w:tr>
      <w:tr>
        <w:trPr>
          <w:trHeight w:val="365"/>
        </w:trPr>
        <w:tc>
          <w:tcPr>
            <w:tcW w:w="1640" w:type="dxa"/>
            <w:vAlign w:val="bottom"/>
          </w:tcPr>
          <w:p>
            <w:pPr>
              <w:ind w:left="1060"/>
              <w:spacing w:after="0"/>
              <w:rPr>
                <w:sz w:val="20"/>
                <w:szCs w:val="20"/>
                <w:color w:val="auto"/>
              </w:rPr>
            </w:pPr>
            <w:r>
              <w:rPr>
                <w:rFonts w:ascii="Arial" w:cs="Arial" w:eastAsia="Arial" w:hAnsi="Arial"/>
                <w:sz w:val="18"/>
                <w:szCs w:val="18"/>
                <w:color w:val="auto"/>
              </w:rPr>
              <w:t>F-9</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-6403975</wp:posOffset>
            </wp:positionV>
            <wp:extent cx="724662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-5786755</wp:posOffset>
            </wp:positionV>
            <wp:extent cx="724662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-4826000</wp:posOffset>
            </wp:positionV>
            <wp:extent cx="724662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-4243070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-3625850</wp:posOffset>
            </wp:positionV>
            <wp:extent cx="7246620"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-3042285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-2425065</wp:posOffset>
            </wp:positionV>
            <wp:extent cx="72466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-1979295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-1361440</wp:posOffset>
            </wp:positionV>
            <wp:extent cx="7246620"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-778510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3820" w:space="720"/>
            <w:col w:w="6820"/>
          </w:cols>
          <w:pgMar w:left="240" w:top="459" w:right="2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8"/>
              </w:rPr>
              <w:t>Initial</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22"/>
                <w:szCs w:val="22"/>
                <w:b w:val="1"/>
                <w:bCs w:val="1"/>
                <w:color w:val="auto"/>
                <w:vertAlign w:val="superscript"/>
              </w:rPr>
              <w:t>(1)</w:t>
            </w: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2"/>
          </w:tcPr>
          <w:p>
            <w:pPr>
              <w:jc w:val="center"/>
              <w:ind w:right="126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7"/>
              </w:rPr>
              <w:t>Amortized</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3920" w:type="dxa"/>
            <w:vAlign w:val="bottom"/>
            <w:gridSpan w:val="3"/>
            <w:vMerge w:val="continue"/>
          </w:tcPr>
          <w:p>
            <w:pPr>
              <w:spacing w:after="0"/>
              <w:rPr>
                <w:sz w:val="14"/>
                <w:szCs w:val="14"/>
                <w:color w:val="auto"/>
              </w:rPr>
            </w:pPr>
          </w:p>
        </w:tc>
        <w:tc>
          <w:tcPr>
            <w:tcW w:w="1620" w:type="dxa"/>
            <w:vAlign w:val="bottom"/>
            <w:gridSpan w:val="2"/>
          </w:tcPr>
          <w:p>
            <w:pPr>
              <w:ind w:left="400"/>
              <w:spacing w:after="0"/>
              <w:rPr>
                <w:sz w:val="20"/>
                <w:szCs w:val="20"/>
                <w:color w:val="auto"/>
              </w:rPr>
            </w:pPr>
            <w:r>
              <w:rPr>
                <w:rFonts w:ascii="Arial" w:cs="Arial" w:eastAsia="Arial" w:hAnsi="Arial"/>
                <w:sz w:val="14"/>
                <w:szCs w:val="14"/>
                <w:b w:val="1"/>
                <w:bCs w:val="1"/>
                <w:color w:val="auto"/>
              </w:rPr>
              <w:t>Investment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Interest</w:t>
            </w:r>
          </w:p>
        </w:tc>
        <w:tc>
          <w:tcPr>
            <w:tcW w:w="212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2"/>
              </w:rPr>
              <w:t>Date</w:t>
            </w:r>
          </w:p>
        </w:tc>
        <w:tc>
          <w:tcPr>
            <w:tcW w:w="620" w:type="dxa"/>
            <w:vAlign w:val="bottom"/>
          </w:tcPr>
          <w:p>
            <w:pPr>
              <w:jc w:val="right"/>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2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90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b w:val="1"/>
                <w:bCs w:val="1"/>
                <w:color w:val="auto"/>
              </w:rPr>
              <w:t>Environmental Services</w:t>
            </w:r>
          </w:p>
        </w:tc>
        <w:tc>
          <w:tcPr>
            <w:tcW w:w="1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 xml:space="preserve">Synagro Technologies, Inc. </w:t>
            </w:r>
            <w:r>
              <w:rPr>
                <w:rFonts w:ascii="Arial" w:cs="Arial" w:eastAsia="Arial" w:hAnsi="Arial"/>
                <w:sz w:val="11"/>
                <w:szCs w:val="11"/>
                <w:color w:val="auto"/>
              </w:rPr>
              <w:t>(3)</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($3,134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10/2014)</w:t>
            </w:r>
          </w:p>
        </w:tc>
        <w:tc>
          <w:tcPr>
            <w:tcW w:w="88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11/8/2012</w:t>
            </w:r>
          </w:p>
        </w:tc>
        <w:tc>
          <w:tcPr>
            <w:tcW w:w="620" w:type="dxa"/>
            <w:vAlign w:val="bottom"/>
          </w:tcPr>
          <w:p>
            <w:pPr>
              <w:jc w:val="right"/>
              <w:spacing w:after="0"/>
              <w:rPr>
                <w:sz w:val="20"/>
                <w:szCs w:val="20"/>
                <w:color w:val="auto"/>
              </w:rPr>
            </w:pPr>
            <w:r>
              <w:rPr>
                <w:rFonts w:ascii="Arial" w:cs="Arial" w:eastAsia="Arial" w:hAnsi="Arial"/>
                <w:sz w:val="18"/>
                <w:szCs w:val="18"/>
                <w:color w:val="auto"/>
              </w:rPr>
              <w:t>2,759</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2,813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($5,670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9/14/2012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5,573</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4,330</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Financial services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 xml:space="preserve">Embarcadero Technologies, Inc. </w:t>
            </w:r>
            <w:r>
              <w:rPr>
                <w:rFonts w:ascii="Arial" w:cs="Arial" w:eastAsia="Arial" w:hAnsi="Arial"/>
                <w:sz w:val="11"/>
                <w:szCs w:val="11"/>
                <w:color w:val="auto"/>
              </w:rPr>
              <w:t>(3)(4)(5)</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($59,714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12/28/2012</w:t>
            </w:r>
          </w:p>
        </w:tc>
        <w:tc>
          <w:tcPr>
            <w:tcW w:w="620" w:type="dxa"/>
            <w:vAlign w:val="bottom"/>
          </w:tcPr>
          <w:p>
            <w:pPr>
              <w:jc w:val="right"/>
              <w:spacing w:after="0"/>
              <w:rPr>
                <w:sz w:val="20"/>
                <w:szCs w:val="20"/>
                <w:color w:val="auto"/>
              </w:rPr>
            </w:pPr>
            <w:r>
              <w:rPr>
                <w:rFonts w:ascii="Arial" w:cs="Arial" w:eastAsia="Arial" w:hAnsi="Arial"/>
                <w:sz w:val="18"/>
                <w:szCs w:val="18"/>
                <w:color w:val="auto"/>
              </w:rPr>
              <w:t>58,223</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58,221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Rogue Wave Holdings,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($40,000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11/21/2012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38,947</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39,600</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97,170</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97,821</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Healthcare and pharmaceuticals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 xml:space="preserve">eResearch Technology, Inc. </w:t>
            </w:r>
            <w:r>
              <w:rPr>
                <w:rFonts w:ascii="Arial" w:cs="Arial" w:eastAsia="Arial" w:hAnsi="Arial"/>
                <w:sz w:val="11"/>
                <w:szCs w:val="11"/>
                <w:color w:val="auto"/>
              </w:rPr>
              <w:t>(3)(5)</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($24,937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5/2018)</w:t>
            </w: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rPr>
              <w:t>7/3/2012</w:t>
            </w:r>
          </w:p>
        </w:tc>
        <w:tc>
          <w:tcPr>
            <w:tcW w:w="620" w:type="dxa"/>
            <w:vAlign w:val="bottom"/>
          </w:tcPr>
          <w:p>
            <w:pPr>
              <w:jc w:val="right"/>
              <w:spacing w:after="0"/>
              <w:rPr>
                <w:sz w:val="20"/>
                <w:szCs w:val="20"/>
                <w:color w:val="auto"/>
              </w:rPr>
            </w:pPr>
            <w:r>
              <w:rPr>
                <w:rFonts w:ascii="Arial" w:cs="Arial" w:eastAsia="Arial" w:hAnsi="Arial"/>
                <w:sz w:val="18"/>
                <w:szCs w:val="18"/>
                <w:color w:val="auto"/>
              </w:rPr>
              <w:t>24,006</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24,626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Mediware Information Systems,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($50,500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5/2018)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11/9/2012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49,218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16"/>
        </w:trPr>
        <w:tc>
          <w:tcPr>
            <w:tcW w:w="3920" w:type="dxa"/>
            <w:vAlign w:val="bottom"/>
            <w:gridSpan w:val="3"/>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1"/>
                <w:szCs w:val="11"/>
                <w:color w:val="auto"/>
              </w:rPr>
              <w:t>(3)(5)</w:t>
            </w:r>
          </w:p>
        </w:tc>
        <w:tc>
          <w:tcPr>
            <w:tcW w:w="162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($37,500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880" w:type="dxa"/>
            <w:vAlign w:val="bottom"/>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12/28/2012</w:t>
            </w:r>
          </w:p>
        </w:tc>
        <w:tc>
          <w:tcPr>
            <w:tcW w:w="620" w:type="dxa"/>
            <w:vAlign w:val="bottom"/>
          </w:tcPr>
          <w:p>
            <w:pPr>
              <w:jc w:val="right"/>
              <w:spacing w:after="0"/>
              <w:rPr>
                <w:sz w:val="20"/>
                <w:szCs w:val="20"/>
                <w:color w:val="auto"/>
              </w:rPr>
            </w:pPr>
            <w:r>
              <w:rPr>
                <w:rFonts w:ascii="Arial" w:cs="Arial" w:eastAsia="Arial" w:hAnsi="Arial"/>
                <w:sz w:val="18"/>
                <w:szCs w:val="18"/>
                <w:color w:val="auto"/>
              </w:rPr>
              <w:t>36,439</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36,563</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109,675</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110,407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Hotel, gaming, and leisure</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Mandalay Baseball Properties, LLC </w:t>
            </w:r>
            <w:r>
              <w:rPr>
                <w:rFonts w:ascii="Arial" w:cs="Arial" w:eastAsia="Arial" w:hAnsi="Arial"/>
                <w:sz w:val="11"/>
                <w:szCs w:val="11"/>
                <w:color w:val="auto"/>
              </w:rPr>
              <w:t>(3)(5)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($28,414 par,</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(incl. 4.00%</w:t>
            </w: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3/2017)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PIK)</w:t>
            </w: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4/12/2012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27,684</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28,556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Human resource support services</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SumTotal Systems, LLC </w:t>
            </w:r>
            <w:r>
              <w:rPr>
                <w:rFonts w:ascii="Arial" w:cs="Arial" w:eastAsia="Arial" w:hAnsi="Arial"/>
                <w:sz w:val="11"/>
                <w:szCs w:val="11"/>
                <w:color w:val="auto"/>
              </w:rPr>
              <w:t>(3)</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($10,000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11/16/2012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9,925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($5,000 par,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due 5/2018)</w:t>
            </w:r>
          </w:p>
        </w:tc>
        <w:tc>
          <w:tcPr>
            <w:tcW w:w="880" w:type="dxa"/>
            <w:vAlign w:val="bottom"/>
          </w:tcPr>
          <w:p>
            <w:pPr>
              <w:jc w:val="right"/>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19"/>
                <w:szCs w:val="19"/>
                <w:color w:val="auto"/>
              </w:rPr>
            </w:pPr>
          </w:p>
        </w:tc>
        <w:tc>
          <w:tcPr>
            <w:tcW w:w="2120" w:type="dxa"/>
            <w:vAlign w:val="bottom"/>
            <w:gridSpan w:val="2"/>
          </w:tcPr>
          <w:p>
            <w:pPr>
              <w:jc w:val="right"/>
              <w:ind w:right="1260"/>
              <w:spacing w:after="0"/>
              <w:rPr>
                <w:sz w:val="20"/>
                <w:szCs w:val="20"/>
                <w:color w:val="auto"/>
              </w:rPr>
            </w:pPr>
            <w:r>
              <w:rPr>
                <w:rFonts w:ascii="Arial" w:cs="Arial" w:eastAsia="Arial" w:hAnsi="Arial"/>
                <w:sz w:val="18"/>
                <w:szCs w:val="18"/>
                <w:color w:val="auto"/>
                <w:w w:val="93"/>
              </w:rPr>
              <w:t>11/16/2012</w:t>
            </w:r>
          </w:p>
        </w:tc>
        <w:tc>
          <w:tcPr>
            <w:tcW w:w="620" w:type="dxa"/>
            <w:vAlign w:val="bottom"/>
          </w:tcPr>
          <w:p>
            <w:pPr>
              <w:jc w:val="right"/>
              <w:spacing w:after="0"/>
              <w:rPr>
                <w:sz w:val="20"/>
                <w:szCs w:val="20"/>
                <w:color w:val="auto"/>
              </w:rPr>
            </w:pPr>
            <w:r>
              <w:rPr>
                <w:rFonts w:ascii="Arial" w:cs="Arial" w:eastAsia="Arial" w:hAnsi="Arial"/>
                <w:sz w:val="18"/>
                <w:szCs w:val="18"/>
                <w:color w:val="auto"/>
              </w:rPr>
              <w:t>4,950</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4,925</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Insurance</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Infogix, Inc. </w:t>
            </w:r>
            <w:r>
              <w:rPr>
                <w:rFonts w:ascii="Arial" w:cs="Arial" w:eastAsia="Arial" w:hAnsi="Arial"/>
                <w:sz w:val="11"/>
                <w:szCs w:val="11"/>
                <w:color w:val="auto"/>
              </w:rPr>
              <w:t>(3)(5)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($30,613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6/1/2012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29,974</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30,346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Office products</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($21,562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10/2016)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w w:val="93"/>
              </w:rPr>
              <w:t>10/17/2011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21,286</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21,808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b w:val="1"/>
                <w:bCs w:val="1"/>
                <w:color w:val="auto"/>
              </w:rPr>
              <w:t>Transportation</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Teletrac, Inc. </w:t>
            </w:r>
            <w:r>
              <w:rPr>
                <w:rFonts w:ascii="Arial" w:cs="Arial" w:eastAsia="Arial" w:hAnsi="Arial"/>
                <w:sz w:val="11"/>
                <w:szCs w:val="11"/>
                <w:color w:val="auto"/>
              </w:rPr>
              <w:t>(3)(4)(5)</w:t>
            </w: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($17,413 par,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7/2017)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7/23/2012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17,151</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Total Debt Investments</w:t>
            </w: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16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642,421</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651,944</w:t>
            </w:r>
          </w:p>
        </w:tc>
        <w:tc>
          <w:tcPr>
            <w:tcW w:w="2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F-10</w:t>
            </w: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Initial</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86"/>
              </w:rPr>
              <w:t xml:space="preserve">Company </w:t>
            </w:r>
            <w:r>
              <w:rPr>
                <w:rFonts w:ascii="Arial" w:cs="Arial" w:eastAsia="Arial" w:hAnsi="Arial"/>
                <w:sz w:val="22"/>
                <w:szCs w:val="22"/>
                <w:b w:val="1"/>
                <w:bCs w:val="1"/>
                <w:color w:val="auto"/>
                <w:w w:val="86"/>
                <w:vertAlign w:val="superscript"/>
              </w:rPr>
              <w:t>(1)</w:t>
            </w:r>
          </w:p>
        </w:tc>
        <w:tc>
          <w:tcPr>
            <w:tcW w:w="2640" w:type="dxa"/>
            <w:vAlign w:val="bottom"/>
            <w:vMerge w:val="restart"/>
          </w:tcPr>
          <w:p>
            <w:pPr>
              <w:spacing w:after="0"/>
              <w:rPr>
                <w:sz w:val="11"/>
                <w:szCs w:val="11"/>
                <w:color w:val="auto"/>
              </w:rPr>
            </w:pPr>
          </w:p>
        </w:tc>
        <w:tc>
          <w:tcPr>
            <w:tcW w:w="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spacing w:after="0"/>
              <w:rPr>
                <w:sz w:val="11"/>
                <w:szCs w:val="11"/>
                <w:color w:val="auto"/>
              </w:rPr>
            </w:pP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0"/>
              </w:rPr>
              <w:t>Amortized</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Interest</w:t>
            </w: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spacing w:after="0"/>
              <w:rPr>
                <w:sz w:val="15"/>
                <w:szCs w:val="15"/>
                <w:color w:val="auto"/>
              </w:rPr>
            </w:pPr>
          </w:p>
        </w:tc>
        <w:tc>
          <w:tcPr>
            <w:tcW w:w="920" w:type="dxa"/>
            <w:vAlign w:val="bottom"/>
            <w:gridSpan w:val="2"/>
          </w:tcPr>
          <w:p>
            <w:pPr>
              <w:jc w:val="right"/>
              <w:ind w:right="360"/>
              <w:spacing w:after="0" w:line="162" w:lineRule="exact"/>
              <w:rPr>
                <w:sz w:val="20"/>
                <w:szCs w:val="20"/>
                <w:color w:val="auto"/>
              </w:rPr>
            </w:pPr>
            <w:r>
              <w:rPr>
                <w:rFonts w:ascii="Arial" w:cs="Arial" w:eastAsia="Arial" w:hAnsi="Arial"/>
                <w:sz w:val="12"/>
                <w:szCs w:val="12"/>
                <w:b w:val="1"/>
                <w:bCs w:val="1"/>
                <w:color w:val="auto"/>
              </w:rPr>
              <w:t xml:space="preserve">Cost </w:t>
            </w:r>
            <w:r>
              <w:rPr>
                <w:rFonts w:ascii="Arial" w:cs="Arial" w:eastAsia="Arial" w:hAnsi="Arial"/>
                <w:sz w:val="18"/>
                <w:szCs w:val="18"/>
                <w:b w:val="1"/>
                <w:bCs w:val="1"/>
                <w:color w:val="auto"/>
                <w:vertAlign w:val="superscript"/>
              </w:rPr>
              <w:t>(2)</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3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Equity Investments</w:t>
            </w:r>
          </w:p>
        </w:tc>
        <w:tc>
          <w:tcPr>
            <w:tcW w:w="54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440"/>
              <w:spacing w:after="0"/>
              <w:rPr>
                <w:sz w:val="20"/>
                <w:szCs w:val="20"/>
                <w:color w:val="auto"/>
              </w:rPr>
            </w:pPr>
            <w:r>
              <w:rPr>
                <w:rFonts w:ascii="Arial" w:cs="Arial" w:eastAsia="Arial" w:hAnsi="Arial"/>
                <w:sz w:val="18"/>
                <w:szCs w:val="18"/>
                <w:b w:val="1"/>
                <w:bCs w:val="1"/>
                <w:color w:val="auto"/>
              </w:rPr>
              <w:t>Healthcare and pharmaceuticals</w:t>
            </w: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SRS Parent Corp.</w:t>
            </w:r>
          </w:p>
        </w:tc>
        <w:tc>
          <w:tcPr>
            <w:tcW w:w="2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Common Shares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Class A</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(1,980 shares)</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12/28/2012</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1,980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316"/>
        </w:trPr>
        <w:tc>
          <w:tcPr>
            <w:tcW w:w="7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0" w:type="dxa"/>
            <w:vAlign w:val="bottom"/>
            <w:gridSpan w:val="3"/>
          </w:tcPr>
          <w:p>
            <w:pPr>
              <w:ind w:left="540"/>
              <w:spacing w:after="0"/>
              <w:rPr>
                <w:sz w:val="20"/>
                <w:szCs w:val="20"/>
                <w:color w:val="auto"/>
              </w:rPr>
            </w:pPr>
            <w:r>
              <w:rPr>
                <w:rFonts w:ascii="Arial" w:cs="Arial" w:eastAsia="Arial" w:hAnsi="Arial"/>
                <w:sz w:val="18"/>
                <w:szCs w:val="18"/>
                <w:color w:val="auto"/>
              </w:rPr>
              <w:t>Common Shares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0" w:type="dxa"/>
            <w:vAlign w:val="bottom"/>
            <w:gridSpan w:val="3"/>
          </w:tcPr>
          <w:p>
            <w:pPr>
              <w:ind w:left="540"/>
              <w:spacing w:after="0"/>
              <w:rPr>
                <w:sz w:val="20"/>
                <w:szCs w:val="20"/>
                <w:color w:val="auto"/>
              </w:rPr>
            </w:pPr>
            <w:r>
              <w:rPr>
                <w:rFonts w:ascii="Arial" w:cs="Arial" w:eastAsia="Arial" w:hAnsi="Arial"/>
                <w:sz w:val="18"/>
                <w:szCs w:val="18"/>
                <w:color w:val="auto"/>
              </w:rPr>
              <w:t>Class B</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0" w:type="dxa"/>
            <w:vAlign w:val="bottom"/>
            <w:gridSpan w:val="3"/>
          </w:tcPr>
          <w:p>
            <w:pPr>
              <w:ind w:left="540"/>
              <w:spacing w:after="0"/>
              <w:rPr>
                <w:sz w:val="20"/>
                <w:szCs w:val="20"/>
                <w:color w:val="auto"/>
              </w:rPr>
            </w:pPr>
            <w:r>
              <w:rPr>
                <w:rFonts w:ascii="Arial" w:cs="Arial" w:eastAsia="Arial" w:hAnsi="Arial"/>
                <w:sz w:val="18"/>
                <w:szCs w:val="18"/>
                <w:color w:val="auto"/>
              </w:rPr>
              <w:t>(2,953,020 shares)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12/28/2012</w:t>
            </w:r>
          </w:p>
        </w:tc>
        <w:tc>
          <w:tcPr>
            <w:tcW w:w="6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Total Equity Investments</w:t>
            </w: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 w:type="dxa"/>
            <w:vAlign w:val="bottom"/>
          </w:tcPr>
          <w:p>
            <w:pPr>
              <w:spacing w:after="0"/>
              <w:rPr>
                <w:sz w:val="19"/>
                <w:szCs w:val="19"/>
                <w:color w:val="auto"/>
              </w:rPr>
            </w:pPr>
          </w:p>
        </w:tc>
        <w:tc>
          <w:tcPr>
            <w:tcW w:w="26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644,421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653,944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52"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2012, the Company does not “control” any of the portfolio companies nor were any of the portfolio companies deemed to be “affiliates”. Certain portfolio company investments are subject to contractual restrictions on sales.</w:t>
      </w:r>
    </w:p>
    <w:p>
      <w:pPr>
        <w:ind w:left="460" w:right="5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16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addition to the interest earned based on the stated interest rate of this loan, which is the amount reflected in this schedule, the Company may be entitled to receive additional amounts as a result of an arrangement between the Company and other lenders in any syndication.</w:t>
      </w:r>
    </w:p>
    <w:p>
      <w:pPr>
        <w:spacing w:after="0" w:line="1" w:lineRule="exact"/>
        <w:rPr>
          <w:rFonts w:ascii="Arial" w:cs="Arial" w:eastAsia="Arial" w:hAnsi="Arial"/>
          <w:sz w:val="16"/>
          <w:szCs w:val="16"/>
          <w:color w:val="auto"/>
        </w:rPr>
      </w:pPr>
    </w:p>
    <w:p>
      <w:pPr>
        <w:ind w:left="460" w:right="6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57,501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28,029</w:t>
            </w:r>
          </w:p>
        </w:tc>
        <w:tc>
          <w:tcPr>
            <w:tcW w:w="9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on investments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8,386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realized gains on investments</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66,983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1"/>
        </w:trPr>
        <w:tc>
          <w:tcPr>
            <w:tcW w:w="5580" w:type="dxa"/>
            <w:vAlign w:val="bottom"/>
          </w:tcPr>
          <w:p>
            <w:pPr>
              <w:spacing w:after="0"/>
              <w:rPr>
                <w:sz w:val="20"/>
                <w:szCs w:val="20"/>
                <w:color w:val="auto"/>
              </w:rPr>
            </w:pPr>
            <w:r>
              <w:rPr>
                <w:rFonts w:ascii="Arial" w:cs="Arial" w:eastAsia="Arial" w:hAnsi="Arial"/>
                <w:sz w:val="18"/>
                <w:szCs w:val="18"/>
                <w:b w:val="1"/>
                <w:bCs w:val="1"/>
                <w:color w:val="auto"/>
                <w:w w:val="99"/>
              </w:rPr>
              <w:t>Increase in Net Assets Resulting from Capital Share Transactions</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56,857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287,692</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172,928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9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26,438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(48,301)</w:t>
            </w:r>
          </w:p>
        </w:tc>
        <w:tc>
          <w:tcPr>
            <w:tcW w:w="1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(26,997)</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realized gains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(7,084)</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(2,773)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80" w:type="dxa"/>
            <w:vAlign w:val="bottom"/>
          </w:tcPr>
          <w:p>
            <w:pPr>
              <w:ind w:left="440"/>
              <w:spacing w:after="0"/>
              <w:rPr>
                <w:sz w:val="20"/>
                <w:szCs w:val="20"/>
                <w:color w:val="auto"/>
              </w:rPr>
            </w:pPr>
            <w:r>
              <w:rPr>
                <w:rFonts w:ascii="Arial" w:cs="Arial" w:eastAsia="Arial" w:hAnsi="Arial"/>
                <w:sz w:val="18"/>
                <w:szCs w:val="18"/>
                <w:b w:val="1"/>
                <w:bCs w:val="1"/>
                <w:color w:val="auto"/>
              </w:rPr>
              <w:t>Increase in Net Assets Resulting from Capital Share</w:t>
            </w: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660"/>
              <w:spacing w:after="0"/>
              <w:rPr>
                <w:sz w:val="20"/>
                <w:szCs w:val="20"/>
                <w:color w:val="auto"/>
              </w:rPr>
            </w:pPr>
            <w:r>
              <w:rPr>
                <w:rFonts w:ascii="Arial" w:cs="Arial" w:eastAsia="Arial" w:hAnsi="Arial"/>
                <w:sz w:val="18"/>
                <w:szCs w:val="18"/>
                <w:b w:val="1"/>
                <w:bCs w:val="1"/>
                <w:color w:val="auto"/>
              </w:rPr>
              <w:t>Transactions</w:t>
            </w: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27,910</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267,116</w:t>
            </w: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94,893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306,711</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173,091</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173,092</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Assets, End of Period</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574,696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479,803</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173,092</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w w:val="97"/>
              </w:rPr>
              <w:t>Undistributed Net Investment Income Included in Net Assets at the</w:t>
            </w: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580" w:type="dxa"/>
            <w:vAlign w:val="bottom"/>
          </w:tcPr>
          <w:p>
            <w:pPr>
              <w:ind w:left="220"/>
              <w:spacing w:after="0"/>
              <w:rPr>
                <w:sz w:val="20"/>
                <w:szCs w:val="20"/>
                <w:color w:val="auto"/>
              </w:rPr>
            </w:pPr>
            <w:r>
              <w:rPr>
                <w:rFonts w:ascii="Arial" w:cs="Arial" w:eastAsia="Arial" w:hAnsi="Arial"/>
                <w:sz w:val="18"/>
                <w:szCs w:val="18"/>
                <w:b w:val="1"/>
                <w:bCs w:val="1"/>
                <w:color w:val="auto"/>
              </w:rPr>
              <w:t>End of the Period</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3,981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8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86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66,983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39,595</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increase in net assets resulting from operations to</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Net change in unrealized gains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(9,630)</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(7,211)</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loss on foreign currency forward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contracts</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1,244</w:t>
            </w: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Net realized gains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(4,355)</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gains on foreign currency forward contracts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Net amortization of discount on securities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(6,728)</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(4,489)</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debt issuance costs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1,903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Purchases of investments, net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(602,988)</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(760,668)</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(184,196)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investments, net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46,390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Repayments on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214,293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190,594</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Paid-in-kind interest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(2,749)</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(1,808)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receivable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(2,579)</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(1,071)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(6,292)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Management fees payable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Incentive fees payable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2,083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3,706</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 to affiliate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2,188</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(577)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Other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1,324</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Used in Operating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(289,631)</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(430,099)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(182,128)</w:t>
            </w:r>
          </w:p>
        </w:tc>
        <w:tc>
          <w:tcPr>
            <w:tcW w:w="0" w:type="dxa"/>
            <w:vAlign w:val="bottom"/>
          </w:tcPr>
          <w:p>
            <w:pPr>
              <w:spacing w:after="0"/>
              <w:rPr>
                <w:sz w:val="1"/>
                <w:szCs w:val="1"/>
                <w:color w:val="auto"/>
              </w:rPr>
            </w:pPr>
          </w:p>
        </w:tc>
      </w:tr>
      <w:tr>
        <w:trPr>
          <w:trHeight w:val="221"/>
        </w:trPr>
        <w:tc>
          <w:tcPr>
            <w:tcW w:w="5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credit facilities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902,000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1,332,688</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304,000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Payments on revolving credit facilities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(801,569)</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(1,155,852)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(149,000)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(1,615)</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(5,328)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56,857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287,692</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172,928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(24,396)</w:t>
            </w: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(10,968)</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Provided by Financing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131,277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448,232</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325,819</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(158,354)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18,133</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143,691</w:t>
            </w: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161,825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143,692</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Cash and Cash Equivalents, End of Period</w:t>
            </w: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3,471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161,825</w:t>
            </w:r>
          </w:p>
        </w:tc>
        <w:tc>
          <w:tcPr>
            <w:tcW w:w="9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143,692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Interest paid during the period</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8,792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3,580</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Excise taxes paid during the period</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Dividends declared during the period</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55,385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29,770</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Reinvestment of dividends during the period</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26,438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740" w:type="dxa"/>
            <w:vAlign w:val="bottom"/>
          </w:tcPr>
          <w:p>
            <w:pPr>
              <w:ind w:left="880"/>
              <w:spacing w:after="0"/>
              <w:rPr>
                <w:sz w:val="20"/>
                <w:szCs w:val="20"/>
                <w:color w:val="auto"/>
              </w:rPr>
            </w:pPr>
            <w:r>
              <w:rPr>
                <w:rFonts w:ascii="Arial" w:cs="Arial" w:eastAsia="Arial" w:hAnsi="Arial"/>
                <w:sz w:val="18"/>
                <w:szCs w:val="18"/>
                <w:color w:val="auto"/>
              </w:rPr>
              <w:t>Subscription receivable from common stockholders</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1,870</w:t>
            </w:r>
          </w:p>
        </w:tc>
        <w:tc>
          <w:tcPr>
            <w:tcW w:w="9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78" w:lineRule="exact"/>
        <w:rPr>
          <w:sz w:val="20"/>
          <w:szCs w:val="20"/>
          <w:color w:val="auto"/>
        </w:rPr>
      </w:pPr>
    </w:p>
    <w:p>
      <w:pPr>
        <w:ind w:right="8220" w:firstLine="8"/>
        <w:spacing w:after="0" w:line="347" w:lineRule="auto"/>
        <w:tabs>
          <w:tab w:leader="none" w:pos="17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During the six months ended June 30, 2011, the Company was a development stage company as defined in ASC 915-10-05, </w:t>
      </w:r>
      <w:r>
        <w:rPr>
          <w:rFonts w:ascii="Arial" w:cs="Arial" w:eastAsia="Arial" w:hAnsi="Arial"/>
          <w:sz w:val="16"/>
          <w:szCs w:val="16"/>
          <w:i w:val="1"/>
          <w:iCs w:val="1"/>
          <w:color w:val="auto"/>
        </w:rPr>
        <w:t>Development Stage Entity</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this time the Company was devoting substantially all of its efforts to establishing the business and its planned principal operations had not commenced.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losses accumulated during the six months ended June 30, 2011, have been considered a part of the Company’s development stage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intercompany balances and transactions have been eliminated in consolidation.</w:t>
      </w:r>
    </w:p>
    <w:p>
      <w:pPr>
        <w:spacing w:after="0" w:line="14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on December 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February 18, 2014, we filed a registration statement on Form N-2 (File No. 333-193986) with the Securities and Exchange Commission related to an initial public offering of the Company’s common stock. The timing of the Company’s initial public offering is uncertain. The SEC has not declared this registration statement effective and securities may not be sold, nor may offers to buy the securities be accepted, prior to the time this registration statement becomes effective.</w:t>
      </w:r>
    </w:p>
    <w:p>
      <w:pPr>
        <w:spacing w:after="0" w:line="218" w:lineRule="exact"/>
        <w:rPr>
          <w:sz w:val="20"/>
          <w:szCs w:val="20"/>
          <w:color w:val="auto"/>
        </w:rPr>
      </w:pPr>
    </w:p>
    <w:p>
      <w:pPr>
        <w:ind w:right="8840" w:firstLine="8"/>
        <w:spacing w:after="0" w:line="347" w:lineRule="auto"/>
        <w:tabs>
          <w:tab w:leader="none" w:pos="17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90" w:lineRule="exact"/>
        <w:rPr>
          <w:sz w:val="20"/>
          <w:szCs w:val="20"/>
          <w:color w:val="auto"/>
        </w:rPr>
      </w:pPr>
    </w:p>
    <w:p>
      <w:pPr>
        <w:ind w:left="900" w:right="1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jc w:val="right"/>
        <w:ind w:right="5580"/>
        <w:spacing w:after="0"/>
        <w:rPr>
          <w:sz w:val="20"/>
          <w:szCs w:val="20"/>
          <w:color w:val="auto"/>
        </w:rPr>
      </w:pPr>
      <w:r>
        <w:rPr>
          <w:rFonts w:ascii="Arial" w:cs="Arial" w:eastAsia="Arial" w:hAnsi="Arial"/>
          <w:sz w:val="16"/>
          <w:szCs w:val="16"/>
          <w:color w:val="auto"/>
        </w:rPr>
        <w:t>The Company currently conducts this valuation process on a quarterly basis.</w:t>
      </w:r>
    </w:p>
    <w:p>
      <w:pPr>
        <w:spacing w:after="0" w:line="181" w:lineRule="exact"/>
        <w:rPr>
          <w:sz w:val="20"/>
          <w:szCs w:val="20"/>
          <w:color w:val="auto"/>
        </w:rPr>
      </w:pPr>
    </w:p>
    <w:p>
      <w:pPr>
        <w:jc w:val="right"/>
        <w:ind w:right="554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December 31, 2013,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0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9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62" w:lineRule="exact"/>
        <w:rPr>
          <w:sz w:val="20"/>
          <w:szCs w:val="20"/>
          <w:color w:val="auto"/>
        </w:rPr>
      </w:pPr>
    </w:p>
    <w:p>
      <w:pPr>
        <w:jc w:val="both"/>
        <w:ind w:right="200" w:firstLine="456"/>
        <w:spacing w:after="0" w:line="318" w:lineRule="auto"/>
        <w:rPr>
          <w:sz w:val="20"/>
          <w:szCs w:val="20"/>
          <w:color w:val="auto"/>
        </w:rPr>
      </w:pPr>
      <w:r>
        <w:rPr>
          <w:rFonts w:ascii="Arial" w:cs="Arial" w:eastAsia="Arial" w:hAnsi="Arial"/>
          <w:sz w:val="15"/>
          <w:szCs w:val="15"/>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value of investments, other assets and liabilities: at the spot exchange rate on the last business day of the period; and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and sales of investments, income and expenses: at the rates of exchange prevailing on the respective dates of such transactions, income or expenses.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issuance costs for revolving credit facilities are amortized over the life of the related debt instrument using the straight line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contractual life of the respective security using the effective yield method. The amortized cost of investments represents the original cost adjusted for the amortization of discounts and premiums, if any.</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structuring or diligence fees, and fees for providing managerial assistance to our portfolio companies.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Code for the taxable year ended March 31, 2013.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4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2013- 08”). ASU 2013-08 amends the criteria that define</w:t>
      </w:r>
      <w:r>
        <w:rPr>
          <w:rFonts w:ascii="Arial" w:cs="Arial" w:eastAsia="Arial" w:hAnsi="Arial"/>
          <w:sz w:val="18"/>
          <w:szCs w:val="18"/>
          <w:i w:val="1"/>
          <w:iCs w:val="1"/>
          <w:color w:val="auto"/>
        </w:rPr>
        <w:t xml:space="preserve"> </w:t>
      </w:r>
      <w:r>
        <w:rPr>
          <w:rFonts w:ascii="Arial" w:cs="Arial" w:eastAsia="Arial" w:hAnsi="Arial"/>
          <w:sz w:val="18"/>
          <w:szCs w:val="18"/>
          <w:color w:val="auto"/>
        </w:rPr>
        <w:t>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will not have a material effect on the Company’s financial condition and results of operations.</w:t>
      </w:r>
    </w:p>
    <w:p>
      <w:pPr>
        <w:spacing w:after="0" w:line="14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December 2011, the Financial Accounting Standards Board (“FASB”) issued Accounting Standards Update No. 2011-11 (“ASU 2011-11”), “</w:t>
      </w:r>
      <w:r>
        <w:rPr>
          <w:rFonts w:ascii="Arial" w:cs="Arial" w:eastAsia="Arial" w:hAnsi="Arial"/>
          <w:sz w:val="18"/>
          <w:szCs w:val="18"/>
          <w:i w:val="1"/>
          <w:iCs w:val="1"/>
          <w:color w:val="auto"/>
        </w:rPr>
        <w:t>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Offsetting Assets and Liabilities</w:t>
      </w:r>
      <w:r>
        <w:rPr>
          <w:rFonts w:ascii="Arial" w:cs="Arial" w:eastAsia="Arial" w:hAnsi="Arial"/>
          <w:sz w:val="18"/>
          <w:szCs w:val="18"/>
          <w:color w:val="auto"/>
        </w:rPr>
        <w:t>,” which requires entities to disclose information about offsetting and related arrangements to enable users of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to understand the effect of those arrangements on the statement of assets and liabilities. In January 2013, the FASB issued Accounting Standards Update No. 2013-01 (“ASU 2013-01”),“</w:t>
      </w:r>
      <w:r>
        <w:rPr>
          <w:rFonts w:ascii="Arial" w:cs="Arial" w:eastAsia="Arial" w:hAnsi="Arial"/>
          <w:sz w:val="18"/>
          <w:szCs w:val="18"/>
          <w:i w:val="1"/>
          <w:iCs w:val="1"/>
          <w:color w:val="auto"/>
        </w:rPr>
        <w:t>Clarifying the Scope of Disclosures about Offsetting Assets and Liabilities,</w:t>
      </w:r>
      <w:r>
        <w:rPr>
          <w:rFonts w:ascii="Arial" w:cs="Arial" w:eastAsia="Arial" w:hAnsi="Arial"/>
          <w:sz w:val="18"/>
          <w:szCs w:val="18"/>
          <w:color w:val="auto"/>
        </w:rPr>
        <w:t>” which clarified the types of instruments and transactions that are subject to the disclosure requirements established by ASU 2011-11. The Company’s adoption of ASU 2011-11 and ASU 2013-01 did not have a significant impact on the Company’s financial statements. See Note 5 for additional disclosure resulting from the adoption of ASU 2011-11 and ASU 2013-01.</w:t>
      </w:r>
    </w:p>
    <w:p>
      <w:pPr>
        <w:spacing w:after="0" w:line="222" w:lineRule="exact"/>
        <w:rPr>
          <w:sz w:val="20"/>
          <w:szCs w:val="20"/>
          <w:color w:val="auto"/>
        </w:rPr>
      </w:pPr>
    </w:p>
    <w:p>
      <w:pPr>
        <w:ind w:right="7900" w:firstLine="8"/>
        <w:spacing w:after="0" w:line="347" w:lineRule="auto"/>
        <w:tabs>
          <w:tab w:leader="none" w:pos="17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the years ended December 31, 2013, 2012 and 2011, the Company incurred expenses of $1.4 million, $1.0 million and $0.3 million, respectively, for administrative services payable to the Adviser under the terms of the Administration Agreement.</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For the quarterly periods ended September 30, 2011, and June 30, 2011, the Management Fee was calculated at an annual rate of 1.5% based on the value of the Company’s gross assets, which equals total assets before deduction of any liabilities, at the end of such calendar quarter, adjusted for share issuances and repurchases during that period. Beginning October 1, 2011, the Management Fee has been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2013, 2012 and 2011, Management Fees were $13.4 million, $8.9 million, and $1.6 million, respectively.</w:t>
      </w:r>
    </w:p>
    <w:p>
      <w:pPr>
        <w:spacing w:after="0" w:line="19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Until such time that the Company completes an initial public offering of its Common Stock, or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the years ended December 31, 2013, 2012, and 2011, Management Fees of $7.1 million, $3.7 million, and $7 thousand, respectively, were waived. Any waived Management Fees are not subject to recoupment by the Adviser.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right="18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the calculation of which is further explained below, until the Adviser has received 15% of the total pre-Incentive Fee net investment income for that quarter (17.5% subsequent to an IPO) and, for pre-Incentive Fee net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80"/>
        <w:spacing w:after="0" w:line="294" w:lineRule="auto"/>
        <w:rPr>
          <w:sz w:val="20"/>
          <w:szCs w:val="20"/>
          <w:color w:val="auto"/>
        </w:rPr>
      </w:pPr>
      <w:r>
        <w:rPr>
          <w:rFonts w:ascii="Arial" w:cs="Arial" w:eastAsia="Arial" w:hAnsi="Arial"/>
          <w:sz w:val="16"/>
          <w:szCs w:val="16"/>
          <w:color w:val="auto"/>
        </w:rPr>
        <w:t>investment income in excess of 1.82% quarterly, 15% of all remaining pre-Incentive Fee net investment income for that quarter (17.5% subsequent to an IPO). The 100% “catch-up” provision for pre-Incentive Fee net investment income in excess of the 1.5% “hurdle rate” is intended to provide the Adviser with an incentive fee of 15% on all pre-Incentive Fee net investment income when that amount equals 1.82% in a quarter (7.28% annualized), which is the rate at which catch-up is achieved. Once the “hurdle rate” is reached and catch-up is achieved, 15% of any pre-Incentive Fee net investment income in excess of 1.82% in any quarter is payable to the Adviser.</w:t>
      </w:r>
    </w:p>
    <w:p>
      <w:pPr>
        <w:spacing w:after="0" w:line="35" w:lineRule="exact"/>
        <w:rPr>
          <w:sz w:val="20"/>
          <w:szCs w:val="20"/>
          <w:color w:val="auto"/>
        </w:rPr>
      </w:pPr>
    </w:p>
    <w:p>
      <w:pPr>
        <w:ind w:left="920" w:right="200"/>
        <w:spacing w:after="0" w:line="253"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66" w:lineRule="exact"/>
        <w:rPr>
          <w:sz w:val="20"/>
          <w:szCs w:val="20"/>
          <w:color w:val="auto"/>
        </w:rPr>
      </w:pPr>
    </w:p>
    <w:p>
      <w:pPr>
        <w:ind w:left="900" w:right="20" w:hanging="446"/>
        <w:spacing w:after="0" w:line="287"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prior to the end of the quarter in which an IPO is completed, equals 15%, and following the completion of an IPO,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an IPO is completed, the Incentive Fee rate will be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an IPO, the portion of the Company’s realized capital gains that accrued prior to an IPO will be subject to an incentive fee rate of 15% and the portion of the Company’s realized capital gains that accrued following the end of the quarter in which an IPO is completed will be subject to an incentive fee rate of 17.5%.</w:t>
      </w:r>
    </w:p>
    <w:p>
      <w:pPr>
        <w:spacing w:after="0" w:line="12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Prior to the completion of an IPO, if cumulative net realized losses from the Company’s inception exceeded the aggregate dollar amount of dividends paid by the Company through that date, the Adviser would forgo the right to receive its quarterly Incentive Fee payments with respect to pre-Incentive Fee net investment income until the time that cumulative net realized losses were less than or equal to the aggregate amount of dividend payments.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 For the year ended December 31, 2013, Incentive Fees were $11.8 million of which $10.5 million were realized and payable to the Adviser. For the year ended December 31, 2012, Incentive Fees were $7.0 million of which $5.7 million were realized and payable to the Adviser. For the year ended December 31, 2011, Incentive Fees were $0.3 million none of which were realized and payable to the Adviser.</w:t>
      </w:r>
    </w:p>
    <w:p>
      <w:pPr>
        <w:spacing w:after="0" w:line="11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years ended December 31, 2013, 2012 and 2011, were $5.0 million, $3.8 million and $2.3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2013 and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2013</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89"/>
              </w:rPr>
              <w:t>Fair Value</w:t>
            </w:r>
          </w:p>
        </w:tc>
        <w:tc>
          <w:tcPr>
            <w:tcW w:w="38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17"/>
              <w:spacing w:after="0"/>
              <w:rPr>
                <w:sz w:val="20"/>
                <w:szCs w:val="20"/>
                <w:color w:val="auto"/>
              </w:rPr>
            </w:pPr>
            <w:r>
              <w:rPr>
                <w:rFonts w:ascii="Arial" w:cs="Arial" w:eastAsia="Arial" w:hAnsi="Arial"/>
                <w:sz w:val="11"/>
                <w:szCs w:val="11"/>
                <w:b w:val="1"/>
                <w:bCs w:val="1"/>
                <w:color w:val="auto"/>
              </w:rPr>
              <w:t>(1)</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877,164</w:t>
            </w:r>
          </w:p>
        </w:tc>
        <w:tc>
          <w:tcPr>
            <w:tcW w:w="54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131,082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137,482</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Equity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2,780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1,805</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997,298</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1,016,451</w:t>
            </w:r>
          </w:p>
        </w:tc>
        <w:tc>
          <w:tcPr>
            <w:tcW w:w="54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December 31, 2012</w:t>
            </w: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2"/>
              </w:rPr>
              <w:t>Fair Value</w:t>
            </w:r>
          </w:p>
        </w:tc>
        <w:tc>
          <w:tcPr>
            <w:tcW w:w="38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Net Unrealized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17"/>
              <w:spacing w:after="0"/>
              <w:rPr>
                <w:sz w:val="20"/>
                <w:szCs w:val="20"/>
                <w:color w:val="auto"/>
              </w:rPr>
            </w:pPr>
            <w:r>
              <w:rPr>
                <w:rFonts w:ascii="Arial" w:cs="Arial" w:eastAsia="Arial" w:hAnsi="Arial"/>
                <w:sz w:val="11"/>
                <w:szCs w:val="11"/>
                <w:b w:val="1"/>
                <w:bCs w:val="1"/>
                <w:color w:val="auto"/>
              </w:rPr>
              <w:t>(1)</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575,089</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$582,287</w:t>
            </w:r>
          </w:p>
        </w:tc>
        <w:tc>
          <w:tcPr>
            <w:tcW w:w="54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67,332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69,657</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Equity investments</w:t>
            </w: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2,000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644,421</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54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right="180" w:hanging="567"/>
        <w:spacing w:after="0" w:line="268"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2013 and 2012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8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December 31, 2013</w:t>
            </w:r>
          </w:p>
        </w:tc>
        <w:tc>
          <w:tcPr>
            <w:tcW w:w="13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 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Aerospace and defense</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Automotive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4.5%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Business services</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16.5%</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44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5.1%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4.6%</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Education</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2.9%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44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Financial services</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11.6%</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10.8%</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7.2%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5.2%</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Insurance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3.2%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2.7%</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Metals and mining</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3.3%</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000000"/>
          </w:tcPr>
          <w:p>
            <w:pPr>
              <w:spacing w:after="0" w:line="20" w:lineRule="exact"/>
              <w:rPr>
                <w:sz w:val="1"/>
                <w:szCs w:val="1"/>
                <w:color w:val="auto"/>
              </w:rPr>
            </w:pPr>
          </w:p>
        </w:tc>
        <w:tc>
          <w:tcPr>
            <w:tcW w:w="1380" w:type="dxa"/>
            <w:vAlign w:val="bottom"/>
            <w:tcBorders>
              <w:lef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100.0%</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30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740" w:type="dxa"/>
            <w:vAlign w:val="bottom"/>
            <w:gridSpan w:val="4"/>
          </w:tcPr>
          <w:p>
            <w:pPr>
              <w:jc w:val="right"/>
              <w:ind w:right="1500"/>
              <w:spacing w:after="0"/>
              <w:rPr>
                <w:sz w:val="20"/>
                <w:szCs w:val="20"/>
                <w:color w:val="auto"/>
              </w:rPr>
            </w:pPr>
            <w:r>
              <w:rPr>
                <w:rFonts w:ascii="Arial" w:cs="Arial" w:eastAsia="Arial" w:hAnsi="Arial"/>
                <w:sz w:val="18"/>
                <w:szCs w:val="18"/>
                <w:color w:val="auto"/>
                <w:w w:val="88"/>
              </w:rPr>
              <w:t>The geographic composition of Investments at fair value at December 31, 2013 and 2012 is as follows: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44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w w:val="82"/>
              </w:rPr>
              <w:t>December 31, 2013</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84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CCEEFF"/>
              <w:left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Midwest</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14.2%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21.7%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ind w:left="440"/>
              <w:spacing w:after="0"/>
              <w:rPr>
                <w:sz w:val="20"/>
                <w:szCs w:val="20"/>
                <w:color w:val="auto"/>
              </w:rPr>
            </w:pPr>
            <w:r>
              <w:rPr>
                <w:rFonts w:ascii="Arial" w:cs="Arial" w:eastAsia="Arial" w:hAnsi="Arial"/>
                <w:sz w:val="18"/>
                <w:szCs w:val="18"/>
                <w:color w:val="auto"/>
              </w:rPr>
              <w:t>South</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19.7%</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35.5%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Europe</w:t>
            </w:r>
          </w:p>
        </w:tc>
        <w:tc>
          <w:tcPr>
            <w:tcW w:w="2440" w:type="dxa"/>
            <w:vAlign w:val="bottom"/>
            <w:gridSpan w:val="2"/>
          </w:tcPr>
          <w:p>
            <w:pPr>
              <w:jc w:val="right"/>
              <w:ind w:right="1220"/>
              <w:spacing w:after="0"/>
              <w:rPr>
                <w:sz w:val="20"/>
                <w:szCs w:val="20"/>
                <w:color w:val="auto"/>
              </w:rPr>
            </w:pPr>
            <w:r>
              <w:rPr>
                <w:rFonts w:ascii="Arial" w:cs="Arial" w:eastAsia="Arial" w:hAnsi="Arial"/>
                <w:sz w:val="18"/>
                <w:szCs w:val="18"/>
                <w:color w:val="auto"/>
              </w:rPr>
              <w:t>8.9%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840" w:type="dxa"/>
            <w:vAlign w:val="bottom"/>
            <w:tcBorders>
              <w:right w:val="single" w:sz="8" w:color="auto"/>
            </w:tcBorders>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44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9980" w:firstLine="8"/>
        <w:spacing w:after="0" w:line="391" w:lineRule="auto"/>
        <w:tabs>
          <w:tab w:leader="none" w:pos="176"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Derivatives </w:t>
      </w:r>
      <w:r>
        <w:rPr>
          <w:rFonts w:ascii="Arial" w:cs="Arial" w:eastAsia="Arial" w:hAnsi="Arial"/>
          <w:sz w:val="16"/>
          <w:szCs w:val="16"/>
          <w:i w:val="1"/>
          <w:iCs w:val="1"/>
          <w:color w:val="auto"/>
        </w:rPr>
        <w:t>Foreign Currency</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year ended December 31, 2013 had terms of approximately one to two months. 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year ended December 31, 2013, we entered into foreign currency forward contracts related to our investments in Jeeves Information Systems AB (SEK) and Soho House Bond Ltd. (GBP).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presented in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w w:val="91"/>
              </w:rPr>
              <w:t>Foreign Currency Forward Contracts</w:t>
            </w:r>
          </w:p>
        </w:tc>
        <w:tc>
          <w:tcPr>
            <w:tcW w:w="2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Amount (in ‘000s)</w:t>
            </w:r>
          </w:p>
        </w:tc>
        <w:tc>
          <w:tcPr>
            <w:tcW w:w="14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USD Value at</w:t>
            </w:r>
          </w:p>
        </w:tc>
        <w:tc>
          <w:tcPr>
            <w:tcW w:w="120" w:type="dxa"/>
            <w:vAlign w:val="bottom"/>
          </w:tcPr>
          <w:p>
            <w:pPr>
              <w:spacing w:after="0"/>
              <w:rPr>
                <w:sz w:val="12"/>
                <w:szCs w:val="12"/>
                <w:color w:val="auto"/>
              </w:rPr>
            </w:pPr>
          </w:p>
        </w:tc>
        <w:tc>
          <w:tcPr>
            <w:tcW w:w="14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USD Value at</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Financial</w:t>
            </w:r>
          </w:p>
        </w:tc>
        <w:tc>
          <w:tcPr>
            <w:tcW w:w="0" w:type="dxa"/>
            <w:vAlign w:val="bottom"/>
          </w:tcPr>
          <w:p>
            <w:pPr>
              <w:spacing w:after="0"/>
              <w:rPr>
                <w:sz w:val="1"/>
                <w:szCs w:val="1"/>
                <w:color w:val="auto"/>
              </w:rPr>
            </w:pPr>
          </w:p>
        </w:tc>
      </w:tr>
      <w:tr>
        <w:trPr>
          <w:trHeight w:val="168"/>
        </w:trPr>
        <w:tc>
          <w:tcPr>
            <w:tcW w:w="2260" w:type="dxa"/>
            <w:vAlign w:val="bottom"/>
            <w:tcBorders>
              <w:bottom w:val="single" w:sz="8" w:color="auto"/>
            </w:tcBorders>
            <w:vMerge w:val="continue"/>
          </w:tcPr>
          <w:p>
            <w:pPr>
              <w:spacing w:after="0"/>
              <w:rPr>
                <w:sz w:val="14"/>
                <w:szCs w:val="14"/>
                <w:color w:val="auto"/>
              </w:rPr>
            </w:pPr>
          </w:p>
        </w:tc>
        <w:tc>
          <w:tcPr>
            <w:tcW w:w="2060" w:type="dxa"/>
            <w:vAlign w:val="bottom"/>
          </w:tcPr>
          <w:p>
            <w:pPr>
              <w:spacing w:after="0"/>
              <w:rPr>
                <w:sz w:val="14"/>
                <w:szCs w:val="14"/>
                <w:color w:val="auto"/>
              </w:rPr>
            </w:pPr>
          </w:p>
        </w:tc>
        <w:tc>
          <w:tcPr>
            <w:tcW w:w="174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Settlement Date</w:t>
            </w:r>
          </w:p>
        </w:tc>
        <w:tc>
          <w:tcPr>
            <w:tcW w:w="15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and Transaction</w:t>
            </w:r>
          </w:p>
        </w:tc>
        <w:tc>
          <w:tcPr>
            <w:tcW w:w="14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Settlement Date</w:t>
            </w:r>
          </w:p>
        </w:tc>
        <w:tc>
          <w:tcPr>
            <w:tcW w:w="15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December 31, 2013</w:t>
            </w:r>
          </w:p>
        </w:tc>
        <w:tc>
          <w:tcPr>
            <w:tcW w:w="88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84"/>
              </w:rPr>
              <w:t>Statements</w:t>
            </w:r>
          </w:p>
        </w:tc>
        <w:tc>
          <w:tcPr>
            <w:tcW w:w="0" w:type="dxa"/>
            <w:vAlign w:val="bottom"/>
          </w:tcPr>
          <w:p>
            <w:pPr>
              <w:spacing w:after="0"/>
              <w:rPr>
                <w:sz w:val="1"/>
                <w:szCs w:val="1"/>
                <w:color w:val="auto"/>
              </w:rPr>
            </w:pPr>
          </w:p>
        </w:tc>
      </w:tr>
      <w:tr>
        <w:trPr>
          <w:trHeight w:val="203"/>
        </w:trPr>
        <w:tc>
          <w:tcPr>
            <w:tcW w:w="2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Swedish Kronor (SEK)</w:t>
            </w:r>
          </w:p>
        </w:tc>
        <w:tc>
          <w:tcPr>
            <w:tcW w:w="20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January 24, 2014</w:t>
            </w:r>
          </w:p>
        </w:tc>
        <w:tc>
          <w:tcPr>
            <w:tcW w:w="4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188,672 sold</w:t>
            </w: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77"/>
              </w:rPr>
              <w:t>(28,440)</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77"/>
              </w:rPr>
              <w:t>(29,366)</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British Pound (GBP)</w:t>
            </w:r>
          </w:p>
        </w:tc>
        <w:tc>
          <w:tcPr>
            <w:tcW w:w="20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color w:val="auto"/>
              </w:rPr>
              <w:t>January 24, 2014</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7,000 sold</w:t>
            </w: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18"/>
                <w:szCs w:val="18"/>
                <w:color w:val="auto"/>
              </w:rPr>
            </w:pPr>
          </w:p>
        </w:tc>
        <w:tc>
          <w:tcPr>
            <w:tcW w:w="1440" w:type="dxa"/>
            <w:vAlign w:val="bottom"/>
            <w:gridSpan w:val="2"/>
          </w:tcPr>
          <w:p>
            <w:pPr>
              <w:ind w:left="440"/>
              <w:spacing w:after="0"/>
              <w:rPr>
                <w:sz w:val="20"/>
                <w:szCs w:val="20"/>
                <w:color w:val="auto"/>
              </w:rPr>
            </w:pPr>
            <w:r>
              <w:rPr>
                <w:rFonts w:ascii="Arial" w:cs="Arial" w:eastAsia="Arial" w:hAnsi="Arial"/>
                <w:sz w:val="18"/>
                <w:szCs w:val="18"/>
                <w:color w:val="auto"/>
              </w:rPr>
              <w:t>(11,592)</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(39,714)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(40,958)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open foreign currency forward contracts as of December 31, 2012.</w:t>
      </w:r>
    </w:p>
    <w:p>
      <w:pPr>
        <w:spacing w:after="0" w:line="171"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All realized and unrealized gains and losses on forward foreign currency contracts are included in earnings (changes in net assets) and are reported as separate line items within the Company’s consolidated statements of operations. Unrealized gains and losses on forward foreign currency contracts are also reported as a separate line item within the Company’s consolidated balance sheets.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may enter into other derivative instruments and incur other exposures with other counterparties in the future. The Company is not required to post cash collateral related to its foreign currency forward contracts, but may be required to do so in the future.</w:t>
      </w:r>
    </w:p>
    <w:p>
      <w:pPr>
        <w:spacing w:after="0" w:line="207" w:lineRule="exact"/>
        <w:rPr>
          <w:sz w:val="20"/>
          <w:szCs w:val="20"/>
          <w:color w:val="auto"/>
        </w:rPr>
      </w:pPr>
    </w:p>
    <w:p>
      <w:pPr>
        <w:ind w:right="8560" w:firstLine="8"/>
        <w:spacing w:after="0" w:line="347" w:lineRule="auto"/>
        <w:tabs>
          <w:tab w:leader="none" w:pos="17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fair value measurements of investments as of December 31, 2013 and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60" w:type="dxa"/>
            <w:vAlign w:val="bottom"/>
            <w:gridSpan w:val="11"/>
          </w:tcPr>
          <w:p>
            <w:pPr>
              <w:ind w:left="360"/>
              <w:spacing w:after="0"/>
              <w:rPr>
                <w:sz w:val="20"/>
                <w:szCs w:val="20"/>
                <w:color w:val="auto"/>
              </w:rPr>
            </w:pPr>
            <w:r>
              <w:rPr>
                <w:rFonts w:ascii="Arial" w:cs="Arial" w:eastAsia="Arial" w:hAnsi="Arial"/>
                <w:sz w:val="14"/>
                <w:szCs w:val="14"/>
                <w:b w:val="1"/>
                <w:bCs w:val="1"/>
                <w:color w:val="auto"/>
              </w:rPr>
              <w:t>Fair Value Hierarchy at December 31, 2013</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Level 2</w:t>
            </w:r>
          </w:p>
        </w:tc>
        <w:tc>
          <w:tcPr>
            <w:tcW w:w="114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 —</w:t>
            </w: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$22,192</w:t>
            </w: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$854,972</w:t>
            </w: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877,164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720" w:type="dxa"/>
            <w:vAlign w:val="bottom"/>
            <w:gridSpan w:val="4"/>
          </w:tcPr>
          <w:p>
            <w:pPr>
              <w:jc w:val="right"/>
              <w:ind w:right="560"/>
              <w:spacing w:after="0"/>
              <w:rPr>
                <w:sz w:val="20"/>
                <w:szCs w:val="20"/>
                <w:color w:val="auto"/>
              </w:rPr>
            </w:pPr>
            <w:r>
              <w:rPr>
                <w:rFonts w:ascii="Arial" w:cs="Arial" w:eastAsia="Arial" w:hAnsi="Arial"/>
                <w:sz w:val="18"/>
                <w:szCs w:val="18"/>
                <w:color w:val="auto"/>
              </w:rPr>
              <w:t>33,952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103,530</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137,482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 investments</w:t>
            </w: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56,144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960,307</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1,016,451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Foreign currency forward contracts</w:t>
            </w: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4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(1,244)</w:t>
            </w:r>
          </w:p>
        </w:tc>
        <w:tc>
          <w:tcPr>
            <w:tcW w:w="11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 —</w:t>
            </w:r>
          </w:p>
        </w:tc>
        <w:tc>
          <w:tcPr>
            <w:tcW w:w="580" w:type="dxa"/>
            <w:vAlign w:val="bottom"/>
            <w:gridSpan w:val="2"/>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54,900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960,307</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1,015,207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w w:val="88"/>
              </w:rPr>
              <w:t>Fair Value Hierarchy at December 31, 2012</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2"/>
              </w:rPr>
              <w:t>Level 2</w:t>
            </w:r>
          </w:p>
        </w:tc>
        <w:tc>
          <w:tcPr>
            <w:tcW w:w="114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6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2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w w:val="90"/>
              </w:rPr>
              <w:t>$ —</w:t>
            </w: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$68,183</w:t>
            </w: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$514,104</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$582,287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16,467</w:t>
            </w:r>
          </w:p>
        </w:tc>
        <w:tc>
          <w:tcPr>
            <w:tcW w:w="56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53,190</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69,657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2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Equity investments</w:t>
            </w:r>
          </w:p>
        </w:tc>
        <w:tc>
          <w:tcPr>
            <w:tcW w:w="2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800" w:type="dxa"/>
            <w:vAlign w:val="bottom"/>
            <w:tcBorders>
              <w:right w:val="single" w:sz="8" w:color="CCEEFF"/>
            </w:tcBorders>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 —</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84,650</w:t>
            </w:r>
          </w:p>
        </w:tc>
        <w:tc>
          <w:tcPr>
            <w:tcW w:w="56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569,294</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40" w:type="dxa"/>
            <w:vAlign w:val="bottom"/>
          </w:tcPr>
          <w:p>
            <w:pPr>
              <w:spacing w:after="0"/>
              <w:rPr>
                <w:sz w:val="24"/>
                <w:szCs w:val="24"/>
                <w:color w:val="auto"/>
              </w:rPr>
            </w:pPr>
          </w:p>
        </w:tc>
        <w:tc>
          <w:tcPr>
            <w:tcW w:w="2800" w:type="dxa"/>
            <w:vAlign w:val="bottom"/>
            <w:gridSpan w:val="3"/>
          </w:tcPr>
          <w:p>
            <w:pPr>
              <w:jc w:val="right"/>
              <w:ind w:right="1234"/>
              <w:spacing w:after="0"/>
              <w:rPr>
                <w:sz w:val="20"/>
                <w:szCs w:val="20"/>
                <w:color w:val="auto"/>
              </w:rPr>
            </w:pPr>
            <w:r>
              <w:rPr>
                <w:rFonts w:ascii="Arial" w:cs="Arial" w:eastAsia="Arial" w:hAnsi="Arial"/>
                <w:sz w:val="18"/>
                <w:szCs w:val="18"/>
                <w:color w:val="auto"/>
              </w:rPr>
              <w:t>F-24</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2013 and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December 31, 2013</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1"/>
              </w:rPr>
              <w:t>First-lien</w:t>
            </w: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Second-lien</w:t>
            </w:r>
          </w:p>
        </w:tc>
        <w:tc>
          <w:tcPr>
            <w:tcW w:w="380" w:type="dxa"/>
            <w:vAlign w:val="bottom"/>
          </w:tcPr>
          <w:p>
            <w:pPr>
              <w:spacing w:after="0"/>
              <w:rPr>
                <w:sz w:val="11"/>
                <w:szCs w:val="11"/>
                <w:color w:val="auto"/>
              </w:rPr>
            </w:pPr>
          </w:p>
        </w:tc>
        <w:tc>
          <w:tcPr>
            <w:tcW w:w="106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Mezzanine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debt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3"/>
              </w:rPr>
              <w:t>investments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38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investments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$ 514,104</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53,190</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507,056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51,270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780</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559,106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(30,615)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4"/>
          </w:tcPr>
          <w:p>
            <w:pPr>
              <w:jc w:val="right"/>
              <w:ind w:right="520"/>
              <w:spacing w:after="0"/>
              <w:rPr>
                <w:sz w:val="20"/>
                <w:szCs w:val="20"/>
                <w:color w:val="auto"/>
              </w:rPr>
            </w:pPr>
            <w:r>
              <w:rPr>
                <w:rFonts w:ascii="Arial" w:cs="Arial" w:eastAsia="Arial" w:hAnsi="Arial"/>
                <w:sz w:val="18"/>
                <w:szCs w:val="18"/>
                <w:color w:val="auto"/>
              </w:rPr>
              <w:t>(178,831)</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(4,086)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(182,917)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6,054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1,865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(975)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5,367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$ 854,972</w:t>
            </w:r>
          </w:p>
        </w:tc>
        <w:tc>
          <w:tcPr>
            <w:tcW w:w="56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w w:val="84"/>
              </w:rPr>
              <w:t>$ 103,530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1,805</w:t>
            </w:r>
          </w:p>
        </w:tc>
        <w:tc>
          <w:tcPr>
            <w:tcW w:w="3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$ 960,307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December 31, 2012</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1"/>
              </w:rPr>
              <w:t>First-lien</w:t>
            </w:r>
          </w:p>
        </w:tc>
        <w:tc>
          <w:tcPr>
            <w:tcW w:w="9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Second-lien</w:t>
            </w:r>
          </w:p>
        </w:tc>
        <w:tc>
          <w:tcPr>
            <w:tcW w:w="380" w:type="dxa"/>
            <w:vAlign w:val="bottom"/>
          </w:tcPr>
          <w:p>
            <w:pPr>
              <w:spacing w:after="0"/>
              <w:rPr>
                <w:sz w:val="11"/>
                <w:szCs w:val="11"/>
                <w:color w:val="auto"/>
              </w:rPr>
            </w:pPr>
          </w:p>
        </w:tc>
        <w:tc>
          <w:tcPr>
            <w:tcW w:w="106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Mezzanine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debt</w:t>
            </w:r>
          </w:p>
        </w:tc>
        <w:tc>
          <w:tcPr>
            <w:tcW w:w="12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debt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Equity</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3"/>
              </w:rPr>
              <w:t>investments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38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3"/>
              </w:rPr>
              <w:t>investments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$ 160,178</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14,170</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575,936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94,608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672,544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(51,185)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(45,905)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(97,090)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4"/>
          </w:tcPr>
          <w:p>
            <w:pPr>
              <w:jc w:val="right"/>
              <w:ind w:right="520"/>
              <w:spacing w:after="0"/>
              <w:rPr>
                <w:sz w:val="20"/>
                <w:szCs w:val="20"/>
                <w:color w:val="auto"/>
              </w:rPr>
            </w:pPr>
            <w:r>
              <w:rPr>
                <w:rFonts w:ascii="Arial" w:cs="Arial" w:eastAsia="Arial" w:hAnsi="Arial"/>
                <w:sz w:val="18"/>
                <w:szCs w:val="18"/>
                <w:color w:val="auto"/>
              </w:rPr>
              <w:t>(179,800)</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(543)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(10,000)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(190,343)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3,795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3,639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100</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3,807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(14,170)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Year</w:t>
            </w: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$ 514,104</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53,190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$ 569,294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Aptean Holdings, Inc., formerly known as Consona Holdings, Inc., transferred into Level 3 during the year ended December 31, 2013, as a result of changes in the observability of inputs into its valuation.</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Rare Restaurant Group, LLC transferred out of Level 3 during the year ended December 31, 2012, as a result of changes in the observability of inputs into its valuation.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2013 and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87"/>
              </w:rPr>
              <w:t>Net Change in Unrealized</w:t>
            </w:r>
          </w:p>
        </w:tc>
        <w:tc>
          <w:tcPr>
            <w:tcW w:w="1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Net Change in Unrealized</w:t>
            </w:r>
          </w:p>
        </w:tc>
      </w:tr>
      <w:tr>
        <w:trPr>
          <w:trHeight w:val="149"/>
        </w:trPr>
        <w:tc>
          <w:tcPr>
            <w:tcW w:w="4440" w:type="dxa"/>
            <w:vAlign w:val="bottom"/>
          </w:tcPr>
          <w:p>
            <w:pPr>
              <w:spacing w:after="0"/>
              <w:rPr>
                <w:sz w:val="12"/>
                <w:szCs w:val="12"/>
                <w:color w:val="auto"/>
              </w:rPr>
            </w:pPr>
          </w:p>
        </w:tc>
        <w:tc>
          <w:tcPr>
            <w:tcW w:w="3360" w:type="dxa"/>
            <w:vAlign w:val="bottom"/>
            <w:gridSpan w:val="3"/>
          </w:tcPr>
          <w:p>
            <w:pPr>
              <w:jc w:val="center"/>
              <w:ind w:right="1680"/>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c>
          <w:tcPr>
            <w:tcW w:w="1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2"/>
          </w:tcPr>
          <w:p>
            <w:pPr>
              <w:jc w:val="center"/>
              <w:ind w:right="1780"/>
              <w:spacing w:after="0" w:line="149" w:lineRule="exact"/>
              <w:rPr>
                <w:sz w:val="20"/>
                <w:szCs w:val="20"/>
                <w:color w:val="auto"/>
              </w:rPr>
            </w:pPr>
            <w:r>
              <w:rPr>
                <w:rFonts w:ascii="Arial" w:cs="Arial" w:eastAsia="Arial" w:hAnsi="Arial"/>
                <w:sz w:val="14"/>
                <w:szCs w:val="14"/>
                <w:b w:val="1"/>
                <w:bCs w:val="1"/>
                <w:color w:val="auto"/>
                <w:w w:val="86"/>
              </w:rPr>
              <w:t>for the Year Ended</w:t>
            </w:r>
          </w:p>
        </w:tc>
        <w:tc>
          <w:tcPr>
            <w:tcW w:w="100" w:type="dxa"/>
            <w:vAlign w:val="bottom"/>
          </w:tcPr>
          <w:p>
            <w:pPr>
              <w:spacing w:after="0"/>
              <w:rPr>
                <w:sz w:val="12"/>
                <w:szCs w:val="12"/>
                <w:color w:val="auto"/>
              </w:rPr>
            </w:pP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for the Year Ended</w:t>
            </w: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2"/>
          </w:tcPr>
          <w:p>
            <w:pPr>
              <w:jc w:val="center"/>
              <w:ind w:right="1780"/>
              <w:spacing w:after="0" w:line="149" w:lineRule="exact"/>
              <w:rPr>
                <w:sz w:val="20"/>
                <w:szCs w:val="20"/>
                <w:color w:val="auto"/>
              </w:rPr>
            </w:pPr>
            <w:r>
              <w:rPr>
                <w:rFonts w:ascii="Arial" w:cs="Arial" w:eastAsia="Arial" w:hAnsi="Arial"/>
                <w:sz w:val="14"/>
                <w:szCs w:val="14"/>
                <w:b w:val="1"/>
                <w:bCs w:val="1"/>
                <w:color w:val="auto"/>
                <w:w w:val="87"/>
              </w:rPr>
              <w:t>December 31, 2013 on</w:t>
            </w:r>
          </w:p>
        </w:tc>
        <w:tc>
          <w:tcPr>
            <w:tcW w:w="10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December 31, 2012 on</w:t>
            </w: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2"/>
          </w:tcPr>
          <w:p>
            <w:pPr>
              <w:jc w:val="center"/>
              <w:ind w:right="1780"/>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10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Investments Held at</w:t>
            </w:r>
          </w:p>
        </w:tc>
      </w:t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85"/>
              </w:rPr>
              <w:t>December 31, 2013</w:t>
            </w:r>
          </w:p>
        </w:tc>
        <w:tc>
          <w:tcPr>
            <w:tcW w:w="1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 2012</w:t>
            </w:r>
          </w:p>
        </w:tc>
      </w:tr>
      <w:tr>
        <w:trPr>
          <w:trHeight w:val="210"/>
        </w:trPr>
        <w:tc>
          <w:tcPr>
            <w:tcW w:w="4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1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1,865</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ind w:right="1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9"/>
                <w:szCs w:val="19"/>
                <w:color w:val="auto"/>
              </w:rPr>
            </w:pPr>
          </w:p>
        </w:tc>
        <w:tc>
          <w:tcPr>
            <w:tcW w:w="3260" w:type="dxa"/>
            <w:vAlign w:val="bottom"/>
            <w:gridSpan w:val="2"/>
          </w:tcPr>
          <w:p>
            <w:pPr>
              <w:jc w:val="right"/>
              <w:ind w:right="1620"/>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100" w:type="dxa"/>
            <w:vAlign w:val="bottom"/>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fair value of Level 3 Investments at fair value and the significant unobservable inputs used in the valuations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5"/>
              </w:rPr>
              <w:t>December 31, 2013</w:t>
            </w:r>
          </w:p>
        </w:tc>
        <w:tc>
          <w:tcPr>
            <w:tcW w:w="1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86"/>
              </w:rPr>
              <w:t>Unobservable</w:t>
            </w:r>
          </w:p>
        </w:tc>
        <w:tc>
          <w:tcPr>
            <w:tcW w:w="1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 Valuation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5"/>
              </w:rPr>
              <w:t>Valuation</w:t>
            </w:r>
          </w:p>
        </w:tc>
        <w:tc>
          <w:tcPr>
            <w:tcW w:w="1940" w:type="dxa"/>
            <w:vAlign w:val="bottom"/>
            <w:gridSpan w:val="3"/>
            <w:vMerge w:val="continue"/>
          </w:tcPr>
          <w:p>
            <w:pPr>
              <w:spacing w:after="0"/>
              <w:rPr>
                <w:sz w:val="11"/>
                <w:szCs w:val="11"/>
                <w:color w:val="auto"/>
              </w:rPr>
            </w:pPr>
          </w:p>
        </w:tc>
        <w:tc>
          <w:tcPr>
            <w:tcW w:w="1980" w:type="dxa"/>
            <w:vAlign w:val="bottom"/>
            <w:gridSpan w:val="2"/>
          </w:tcPr>
          <w:p>
            <w:pPr>
              <w:jc w:val="center"/>
              <w:ind w:right="472"/>
              <w:spacing w:after="0" w:line="135" w:lineRule="exact"/>
              <w:rPr>
                <w:sz w:val="20"/>
                <w:szCs w:val="20"/>
                <w:color w:val="auto"/>
              </w:rPr>
            </w:pPr>
            <w:r>
              <w:rPr>
                <w:rFonts w:ascii="Arial" w:cs="Arial" w:eastAsia="Arial" w:hAnsi="Arial"/>
                <w:sz w:val="14"/>
                <w:szCs w:val="14"/>
                <w:b w:val="1"/>
                <w:bCs w:val="1"/>
                <w:color w:val="auto"/>
                <w:w w:val="87"/>
              </w:rPr>
              <w:t>Range (Weighted</w:t>
            </w:r>
          </w:p>
        </w:tc>
        <w:tc>
          <w:tcPr>
            <w:tcW w:w="14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6"/>
              </w:rPr>
              <w:t>from an Increase to</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9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2"/>
              </w:rPr>
              <w:t>Technique</w:t>
            </w:r>
          </w:p>
        </w:tc>
        <w:tc>
          <w:tcPr>
            <w:tcW w:w="19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Input</w:t>
            </w:r>
          </w:p>
        </w:tc>
        <w:tc>
          <w:tcPr>
            <w:tcW w:w="1980" w:type="dxa"/>
            <w:vAlign w:val="bottom"/>
            <w:gridSpan w:val="2"/>
          </w:tcPr>
          <w:p>
            <w:pPr>
              <w:jc w:val="center"/>
              <w:ind w:right="472"/>
              <w:spacing w:after="0"/>
              <w:rPr>
                <w:sz w:val="20"/>
                <w:szCs w:val="20"/>
                <w:color w:val="auto"/>
              </w:rPr>
            </w:pPr>
            <w:r>
              <w:rPr>
                <w:rFonts w:ascii="Arial" w:cs="Arial" w:eastAsia="Arial" w:hAnsi="Arial"/>
                <w:sz w:val="14"/>
                <w:szCs w:val="14"/>
                <w:b w:val="1"/>
                <w:bCs w:val="1"/>
                <w:color w:val="auto"/>
                <w:w w:val="86"/>
              </w:rPr>
              <w:t>Average)</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Input</w:t>
            </w:r>
          </w:p>
        </w:tc>
        <w:tc>
          <w:tcPr>
            <w:tcW w:w="0" w:type="dxa"/>
            <w:vAlign w:val="bottom"/>
          </w:tcPr>
          <w:p>
            <w:pPr>
              <w:spacing w:after="0"/>
              <w:rPr>
                <w:sz w:val="1"/>
                <w:szCs w:val="1"/>
                <w:color w:val="auto"/>
              </w:rPr>
            </w:pPr>
          </w:p>
        </w:tc>
      </w:tr>
      <w:tr>
        <w:trPr>
          <w:trHeight w:val="142"/>
        </w:trPr>
        <w:tc>
          <w:tcPr>
            <w:tcW w:w="3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First-lien debt investments</w:t>
            </w:r>
          </w:p>
        </w:tc>
        <w:tc>
          <w:tcPr>
            <w:tcW w:w="1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854,972</w:t>
            </w:r>
          </w:p>
        </w:tc>
        <w:tc>
          <w:tcPr>
            <w:tcW w:w="18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rPr>
              <w:t>Income Approach</w:t>
            </w:r>
          </w:p>
        </w:tc>
        <w:tc>
          <w:tcPr>
            <w:tcW w:w="5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Market Yield</w:t>
            </w:r>
          </w:p>
        </w:tc>
        <w:tc>
          <w:tcPr>
            <w:tcW w:w="3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5.50% — 13.12% (9.81%</w:t>
            </w:r>
          </w:p>
        </w:tc>
        <w:tc>
          <w:tcPr>
            <w:tcW w:w="420" w:type="dxa"/>
            <w:vAlign w:val="bottom"/>
            <w:tcBorders>
              <w:top w:val="single" w:sz="8" w:color="CCEEFF"/>
            </w:tcBorders>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w w:val="84"/>
              </w:rPr>
              <w:t>)</w:t>
            </w:r>
          </w:p>
        </w:tc>
        <w:tc>
          <w:tcPr>
            <w:tcW w:w="1360" w:type="dxa"/>
            <w:vAlign w:val="bottom"/>
            <w:tcBorders>
              <w:top w:val="single" w:sz="8" w:color="auto"/>
            </w:tcBorders>
            <w:shd w:val="clear" w:color="auto" w:fill="CCEEFF"/>
          </w:tcPr>
          <w:p>
            <w:pPr>
              <w:ind w:left="860"/>
              <w:spacing w:after="0" w:line="142" w:lineRule="exact"/>
              <w:rPr>
                <w:sz w:val="20"/>
                <w:szCs w:val="20"/>
                <w:color w:val="auto"/>
              </w:rPr>
            </w:pPr>
            <w:r>
              <w:rPr>
                <w:rFonts w:ascii="Arial" w:cs="Arial" w:eastAsia="Arial" w:hAnsi="Arial"/>
                <w:sz w:val="14"/>
                <w:szCs w:val="14"/>
                <w:color w:val="auto"/>
                <w:w w:val="80"/>
              </w:rPr>
              <w:t>Decrease</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Second-lien debt investments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103,530</w:t>
            </w:r>
          </w:p>
        </w:tc>
        <w:tc>
          <w:tcPr>
            <w:tcW w:w="19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Income Approach</w:t>
            </w: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Market Yield</w:t>
            </w:r>
          </w:p>
        </w:tc>
        <w:tc>
          <w:tcPr>
            <w:tcW w:w="198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9.32% —9.87% (9.59%)</w:t>
            </w:r>
          </w:p>
        </w:tc>
        <w:tc>
          <w:tcPr>
            <w:tcW w:w="1440" w:type="dxa"/>
            <w:vAlign w:val="bottom"/>
            <w:gridSpan w:val="2"/>
          </w:tcPr>
          <w:p>
            <w:pPr>
              <w:ind w:left="860"/>
              <w:spacing w:after="0" w:line="149" w:lineRule="exact"/>
              <w:rPr>
                <w:sz w:val="20"/>
                <w:szCs w:val="20"/>
                <w:color w:val="auto"/>
              </w:rPr>
            </w:pPr>
            <w:r>
              <w:rPr>
                <w:rFonts w:ascii="Arial" w:cs="Arial" w:eastAsia="Arial" w:hAnsi="Arial"/>
                <w:sz w:val="14"/>
                <w:szCs w:val="14"/>
                <w:color w:val="auto"/>
                <w:w w:val="93"/>
              </w:rPr>
              <w:t>Decrease</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Mezzanine debt investments</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00" w:type="dxa"/>
            <w:vAlign w:val="bottom"/>
          </w:tcPr>
          <w:p>
            <w:pPr>
              <w:spacing w:after="0" w:line="138" w:lineRule="exact"/>
              <w:rPr>
                <w:sz w:val="20"/>
                <w:szCs w:val="20"/>
                <w:color w:val="auto"/>
              </w:rPr>
            </w:pPr>
            <w:r>
              <w:rPr>
                <w:rFonts w:ascii="Arial" w:cs="Arial" w:eastAsia="Arial" w:hAnsi="Arial"/>
                <w:sz w:val="14"/>
                <w:szCs w:val="14"/>
                <w:color w:val="auto"/>
              </w:rPr>
              <w:t>Equity investments</w:t>
            </w:r>
          </w:p>
        </w:tc>
        <w:tc>
          <w:tcPr>
            <w:tcW w:w="1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1,805</w:t>
            </w:r>
          </w:p>
        </w:tc>
        <w:tc>
          <w:tcPr>
            <w:tcW w:w="190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Income Approach</w:t>
            </w:r>
          </w:p>
        </w:tc>
        <w:tc>
          <w:tcPr>
            <w:tcW w:w="1940" w:type="dxa"/>
            <w:vAlign w:val="bottom"/>
            <w:gridSpan w:val="3"/>
          </w:tcPr>
          <w:p>
            <w:pPr>
              <w:spacing w:after="0" w:line="138" w:lineRule="exact"/>
              <w:rPr>
                <w:sz w:val="20"/>
                <w:szCs w:val="20"/>
                <w:color w:val="auto"/>
              </w:rPr>
            </w:pPr>
            <w:r>
              <w:rPr>
                <w:rFonts w:ascii="Arial" w:cs="Arial" w:eastAsia="Arial" w:hAnsi="Arial"/>
                <w:sz w:val="14"/>
                <w:szCs w:val="14"/>
                <w:color w:val="auto"/>
              </w:rPr>
              <w:t>Weighted Average Cost of</w:t>
            </w:r>
          </w:p>
        </w:tc>
        <w:tc>
          <w:tcPr>
            <w:tcW w:w="1980" w:type="dxa"/>
            <w:vAlign w:val="bottom"/>
            <w:gridSpan w:val="2"/>
          </w:tcPr>
          <w:p>
            <w:pPr>
              <w:jc w:val="right"/>
              <w:ind w:right="352"/>
              <w:spacing w:after="0" w:line="138" w:lineRule="exact"/>
              <w:rPr>
                <w:sz w:val="20"/>
                <w:szCs w:val="20"/>
                <w:color w:val="auto"/>
              </w:rPr>
            </w:pPr>
            <w:r>
              <w:rPr>
                <w:rFonts w:ascii="Arial" w:cs="Arial" w:eastAsia="Arial" w:hAnsi="Arial"/>
                <w:sz w:val="14"/>
                <w:szCs w:val="14"/>
                <w:color w:val="auto"/>
                <w:w w:val="99"/>
              </w:rPr>
              <w:t>12.1% — 15.3% (14.0%)</w:t>
            </w:r>
          </w:p>
        </w:tc>
        <w:tc>
          <w:tcPr>
            <w:tcW w:w="1440" w:type="dxa"/>
            <w:vAlign w:val="bottom"/>
            <w:gridSpan w:val="2"/>
          </w:tcPr>
          <w:p>
            <w:pPr>
              <w:ind w:left="860"/>
              <w:spacing w:after="0" w:line="138" w:lineRule="exact"/>
              <w:rPr>
                <w:sz w:val="20"/>
                <w:szCs w:val="20"/>
                <w:color w:val="auto"/>
              </w:rPr>
            </w:pPr>
            <w:r>
              <w:rPr>
                <w:rFonts w:ascii="Arial" w:cs="Arial" w:eastAsia="Arial" w:hAnsi="Arial"/>
                <w:sz w:val="14"/>
                <w:szCs w:val="14"/>
                <w:color w:val="auto"/>
                <w:w w:val="93"/>
              </w:rPr>
              <w:t>Decrease</w:t>
            </w:r>
          </w:p>
        </w:tc>
        <w:tc>
          <w:tcPr>
            <w:tcW w:w="0" w:type="dxa"/>
            <w:vAlign w:val="bottom"/>
          </w:tcPr>
          <w:p>
            <w:pPr>
              <w:spacing w:after="0"/>
              <w:rPr>
                <w:sz w:val="1"/>
                <w:szCs w:val="1"/>
                <w:color w:val="auto"/>
              </w:rPr>
            </w:pPr>
          </w:p>
        </w:tc>
      </w:tr>
      <w:tr>
        <w:trPr>
          <w:trHeight w:val="172"/>
        </w:trPr>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color w:val="auto"/>
              </w:rPr>
              <w:t>Capital (WACC)</w:t>
            </w:r>
          </w:p>
        </w:tc>
        <w:tc>
          <w:tcPr>
            <w:tcW w:w="1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940" w:type="dxa"/>
            <w:vAlign w:val="bottom"/>
            <w:tcBorders>
              <w:bottom w:val="single" w:sz="8" w:color="auto"/>
            </w:tcBorders>
            <w:gridSpan w:val="3"/>
            <w:shd w:val="clear" w:color="auto" w:fill="CCEEFF"/>
          </w:tcPr>
          <w:p>
            <w:pPr>
              <w:ind w:left="760"/>
              <w:spacing w:after="0" w:line="149" w:lineRule="exact"/>
              <w:rPr>
                <w:sz w:val="20"/>
                <w:szCs w:val="20"/>
                <w:color w:val="auto"/>
              </w:rPr>
            </w:pPr>
            <w:r>
              <w:rPr>
                <w:rFonts w:ascii="Arial" w:cs="Arial" w:eastAsia="Arial" w:hAnsi="Arial"/>
                <w:sz w:val="14"/>
                <w:szCs w:val="14"/>
                <w:b w:val="1"/>
                <w:bCs w:val="1"/>
                <w:color w:val="auto"/>
                <w:w w:val="91"/>
              </w:rPr>
              <w:t>December 31, 2012</w:t>
            </w:r>
          </w:p>
        </w:tc>
        <w:tc>
          <w:tcPr>
            <w:tcW w:w="15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86"/>
              </w:rPr>
              <w:t>Unobservable</w:t>
            </w:r>
          </w:p>
        </w:tc>
        <w:tc>
          <w:tcPr>
            <w:tcW w:w="1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Impact to Valuation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5"/>
              </w:rPr>
              <w:t>Valuation</w:t>
            </w:r>
          </w:p>
        </w:tc>
        <w:tc>
          <w:tcPr>
            <w:tcW w:w="1940" w:type="dxa"/>
            <w:vAlign w:val="bottom"/>
            <w:gridSpan w:val="3"/>
            <w:vMerge w:val="continue"/>
          </w:tcPr>
          <w:p>
            <w:pPr>
              <w:spacing w:after="0"/>
              <w:rPr>
                <w:sz w:val="11"/>
                <w:szCs w:val="11"/>
                <w:color w:val="auto"/>
              </w:rPr>
            </w:pPr>
          </w:p>
        </w:tc>
        <w:tc>
          <w:tcPr>
            <w:tcW w:w="1980" w:type="dxa"/>
            <w:vAlign w:val="bottom"/>
            <w:gridSpan w:val="2"/>
          </w:tcPr>
          <w:p>
            <w:pPr>
              <w:jc w:val="center"/>
              <w:ind w:right="472"/>
              <w:spacing w:after="0" w:line="135" w:lineRule="exact"/>
              <w:rPr>
                <w:sz w:val="20"/>
                <w:szCs w:val="20"/>
                <w:color w:val="auto"/>
              </w:rPr>
            </w:pPr>
            <w:r>
              <w:rPr>
                <w:rFonts w:ascii="Arial" w:cs="Arial" w:eastAsia="Arial" w:hAnsi="Arial"/>
                <w:sz w:val="14"/>
                <w:szCs w:val="14"/>
                <w:b w:val="1"/>
                <w:bCs w:val="1"/>
                <w:color w:val="auto"/>
                <w:w w:val="87"/>
              </w:rPr>
              <w:t>Range (Weighted</w:t>
            </w:r>
          </w:p>
        </w:tc>
        <w:tc>
          <w:tcPr>
            <w:tcW w:w="14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6"/>
              </w:rPr>
              <w:t>from an Increase to</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9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2"/>
              </w:rPr>
              <w:t>Technique</w:t>
            </w:r>
          </w:p>
        </w:tc>
        <w:tc>
          <w:tcPr>
            <w:tcW w:w="19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Input</w:t>
            </w:r>
          </w:p>
        </w:tc>
        <w:tc>
          <w:tcPr>
            <w:tcW w:w="1980" w:type="dxa"/>
            <w:vAlign w:val="bottom"/>
            <w:gridSpan w:val="2"/>
          </w:tcPr>
          <w:p>
            <w:pPr>
              <w:jc w:val="center"/>
              <w:ind w:right="472"/>
              <w:spacing w:after="0"/>
              <w:rPr>
                <w:sz w:val="20"/>
                <w:szCs w:val="20"/>
                <w:color w:val="auto"/>
              </w:rPr>
            </w:pPr>
            <w:r>
              <w:rPr>
                <w:rFonts w:ascii="Arial" w:cs="Arial" w:eastAsia="Arial" w:hAnsi="Arial"/>
                <w:sz w:val="14"/>
                <w:szCs w:val="14"/>
                <w:b w:val="1"/>
                <w:bCs w:val="1"/>
                <w:color w:val="auto"/>
                <w:w w:val="86"/>
              </w:rPr>
              <w:t>Average)</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Input</w:t>
            </w:r>
          </w:p>
        </w:tc>
        <w:tc>
          <w:tcPr>
            <w:tcW w:w="0" w:type="dxa"/>
            <w:vAlign w:val="bottom"/>
          </w:tcPr>
          <w:p>
            <w:pPr>
              <w:spacing w:after="0"/>
              <w:rPr>
                <w:sz w:val="1"/>
                <w:szCs w:val="1"/>
                <w:color w:val="auto"/>
              </w:rPr>
            </w:pPr>
          </w:p>
        </w:tc>
      </w:tr>
      <w:tr>
        <w:trPr>
          <w:trHeight w:val="142"/>
        </w:trPr>
        <w:tc>
          <w:tcPr>
            <w:tcW w:w="3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First-lien debt investments</w:t>
            </w:r>
          </w:p>
        </w:tc>
        <w:tc>
          <w:tcPr>
            <w:tcW w:w="1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514,104</w:t>
            </w:r>
          </w:p>
        </w:tc>
        <w:tc>
          <w:tcPr>
            <w:tcW w:w="18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97"/>
              </w:rPr>
              <w:t>Income Approach (1)</w:t>
            </w:r>
          </w:p>
        </w:tc>
        <w:tc>
          <w:tcPr>
            <w:tcW w:w="5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ind w:left="760"/>
              <w:spacing w:after="0" w:line="142" w:lineRule="exact"/>
              <w:rPr>
                <w:sz w:val="20"/>
                <w:szCs w:val="20"/>
                <w:color w:val="auto"/>
              </w:rPr>
            </w:pPr>
            <w:r>
              <w:rPr>
                <w:rFonts w:ascii="Arial" w:cs="Arial" w:eastAsia="Arial" w:hAnsi="Arial"/>
                <w:sz w:val="14"/>
                <w:szCs w:val="14"/>
                <w:color w:val="auto"/>
                <w:w w:val="89"/>
              </w:rPr>
              <w:t>Market Yield</w:t>
            </w:r>
          </w:p>
        </w:tc>
        <w:tc>
          <w:tcPr>
            <w:tcW w:w="3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7.00% - 11.29% (9.71%)</w:t>
            </w:r>
          </w:p>
        </w:tc>
        <w:tc>
          <w:tcPr>
            <w:tcW w:w="4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ind w:left="860"/>
              <w:spacing w:after="0" w:line="142" w:lineRule="exact"/>
              <w:rPr>
                <w:sz w:val="20"/>
                <w:szCs w:val="20"/>
                <w:color w:val="auto"/>
              </w:rPr>
            </w:pPr>
            <w:r>
              <w:rPr>
                <w:rFonts w:ascii="Arial" w:cs="Arial" w:eastAsia="Arial" w:hAnsi="Arial"/>
                <w:sz w:val="14"/>
                <w:szCs w:val="14"/>
                <w:color w:val="auto"/>
                <w:w w:val="80"/>
              </w:rPr>
              <w:t>Decrease</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line="149" w:lineRule="exact"/>
              <w:rPr>
                <w:sz w:val="20"/>
                <w:szCs w:val="20"/>
                <w:color w:val="auto"/>
              </w:rPr>
            </w:pPr>
            <w:r>
              <w:rPr>
                <w:rFonts w:ascii="Arial" w:cs="Arial" w:eastAsia="Arial" w:hAnsi="Arial"/>
                <w:sz w:val="14"/>
                <w:szCs w:val="14"/>
                <w:color w:val="auto"/>
              </w:rPr>
              <w:t>Second-lien debt investments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53,190</w:t>
            </w:r>
          </w:p>
        </w:tc>
        <w:tc>
          <w:tcPr>
            <w:tcW w:w="19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Income Approach</w:t>
            </w:r>
          </w:p>
        </w:tc>
        <w:tc>
          <w:tcPr>
            <w:tcW w:w="1940" w:type="dxa"/>
            <w:vAlign w:val="bottom"/>
            <w:gridSpan w:val="3"/>
          </w:tcPr>
          <w:p>
            <w:pPr>
              <w:ind w:left="760"/>
              <w:spacing w:after="0" w:line="149" w:lineRule="exact"/>
              <w:rPr>
                <w:sz w:val="20"/>
                <w:szCs w:val="20"/>
                <w:color w:val="auto"/>
              </w:rPr>
            </w:pPr>
            <w:r>
              <w:rPr>
                <w:rFonts w:ascii="Arial" w:cs="Arial" w:eastAsia="Arial" w:hAnsi="Arial"/>
                <w:sz w:val="14"/>
                <w:szCs w:val="14"/>
                <w:color w:val="auto"/>
              </w:rPr>
              <w:t>Market Yield</w:t>
            </w:r>
          </w:p>
        </w:tc>
        <w:tc>
          <w:tcPr>
            <w:tcW w:w="1980" w:type="dxa"/>
            <w:vAlign w:val="bottom"/>
            <w:gridSpan w:val="2"/>
          </w:tcPr>
          <w:p>
            <w:pPr>
              <w:jc w:val="right"/>
              <w:ind w:right="352"/>
              <w:spacing w:after="0" w:line="149" w:lineRule="exact"/>
              <w:rPr>
                <w:sz w:val="20"/>
                <w:szCs w:val="20"/>
                <w:color w:val="auto"/>
              </w:rPr>
            </w:pPr>
            <w:r>
              <w:rPr>
                <w:rFonts w:ascii="Arial" w:cs="Arial" w:eastAsia="Arial" w:hAnsi="Arial"/>
                <w:sz w:val="14"/>
                <w:szCs w:val="14"/>
                <w:color w:val="auto"/>
                <w:w w:val="93"/>
              </w:rPr>
              <w:t>10.78% -10.78% (10.78%)</w:t>
            </w:r>
          </w:p>
        </w:tc>
        <w:tc>
          <w:tcPr>
            <w:tcW w:w="1440" w:type="dxa"/>
            <w:vAlign w:val="bottom"/>
            <w:gridSpan w:val="2"/>
          </w:tcPr>
          <w:p>
            <w:pPr>
              <w:ind w:left="860"/>
              <w:spacing w:after="0" w:line="149" w:lineRule="exact"/>
              <w:rPr>
                <w:sz w:val="20"/>
                <w:szCs w:val="20"/>
                <w:color w:val="auto"/>
              </w:rPr>
            </w:pPr>
            <w:r>
              <w:rPr>
                <w:rFonts w:ascii="Arial" w:cs="Arial" w:eastAsia="Arial" w:hAnsi="Arial"/>
                <w:sz w:val="14"/>
                <w:szCs w:val="14"/>
                <w:color w:val="auto"/>
                <w:w w:val="93"/>
              </w:rPr>
              <w:t>Decrease</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Mezzanine debt investments</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300" w:type="dxa"/>
            <w:vAlign w:val="bottom"/>
          </w:tcPr>
          <w:p>
            <w:pPr>
              <w:spacing w:after="0" w:line="154" w:lineRule="exact"/>
              <w:rPr>
                <w:sz w:val="20"/>
                <w:szCs w:val="20"/>
                <w:color w:val="auto"/>
              </w:rPr>
            </w:pPr>
            <w:r>
              <w:rPr>
                <w:rFonts w:ascii="Arial" w:cs="Arial" w:eastAsia="Arial" w:hAnsi="Arial"/>
                <w:sz w:val="14"/>
                <w:szCs w:val="14"/>
                <w:color w:val="auto"/>
              </w:rPr>
              <w:t>Equity investments</w:t>
            </w:r>
          </w:p>
        </w:tc>
        <w:tc>
          <w:tcPr>
            <w:tcW w:w="160" w:type="dxa"/>
            <w:vAlign w:val="bottom"/>
          </w:tcPr>
          <w:p>
            <w:pPr>
              <w:jc w:val="right"/>
              <w:ind w:right="12"/>
              <w:spacing w:after="0" w:line="154"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80"/>
              <w:spacing w:after="0" w:line="154" w:lineRule="exact"/>
              <w:rPr>
                <w:sz w:val="20"/>
                <w:szCs w:val="20"/>
                <w:color w:val="auto"/>
              </w:rPr>
            </w:pPr>
            <w:r>
              <w:rPr>
                <w:rFonts w:ascii="Arial" w:cs="Arial" w:eastAsia="Arial" w:hAnsi="Arial"/>
                <w:sz w:val="14"/>
                <w:szCs w:val="14"/>
                <w:color w:val="auto"/>
              </w:rPr>
              <w:t>2,000</w:t>
            </w:r>
          </w:p>
        </w:tc>
        <w:tc>
          <w:tcPr>
            <w:tcW w:w="1900" w:type="dxa"/>
            <w:vAlign w:val="bottom"/>
            <w:gridSpan w:val="2"/>
          </w:tcPr>
          <w:p>
            <w:pPr>
              <w:ind w:left="240"/>
              <w:spacing w:after="0" w:line="154" w:lineRule="exact"/>
              <w:rPr>
                <w:sz w:val="20"/>
                <w:szCs w:val="20"/>
                <w:color w:val="auto"/>
              </w:rPr>
            </w:pPr>
            <w:r>
              <w:rPr>
                <w:rFonts w:ascii="Arial" w:cs="Arial" w:eastAsia="Arial" w:hAnsi="Arial"/>
                <w:sz w:val="14"/>
                <w:szCs w:val="14"/>
                <w:color w:val="auto"/>
              </w:rPr>
              <w:t>Market Approach (2)</w:t>
            </w:r>
          </w:p>
        </w:tc>
        <w:tc>
          <w:tcPr>
            <w:tcW w:w="1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60" w:right="220" w:hanging="452"/>
        <w:spacing w:after="0" w:line="246"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$114.5 million of first-lien debt investments which, due to the proximity of the transactions relative to the measurement date, were valued using the cost of the investment.</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Valued at cost due to the proximity of the transaction relative to the measurement date.</w:t>
      </w:r>
    </w:p>
    <w:p>
      <w:pPr>
        <w:spacing w:after="0" w:line="16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December 31, 2013 and 2012, approximates its carrying value as the outstanding balances are callable at carrying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Liabilities</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2013 and 2012, the Company’s asset coverage was 232.9% and 244.6%,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2013 and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 2013</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4"/>
              </w:rPr>
              <w:t>Borrowings</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57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8"/>
              </w:rPr>
              <w:t>Total Facility</w:t>
            </w:r>
          </w:p>
        </w:tc>
        <w:tc>
          <w:tcPr>
            <w:tcW w:w="72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5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32,000</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100,000</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77,767</w:t>
            </w:r>
          </w:p>
        </w:tc>
        <w:tc>
          <w:tcPr>
            <w:tcW w:w="1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400,000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322,500</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100" w:type="dxa"/>
            <w:vAlign w:val="bottom"/>
            <w:shd w:val="clear" w:color="auto" w:fill="CCEEFF"/>
          </w:tcPr>
          <w:p>
            <w:pPr>
              <w:spacing w:after="0"/>
              <w:rPr>
                <w:sz w:val="18"/>
                <w:szCs w:val="18"/>
                <w:color w:val="auto"/>
              </w:rPr>
            </w:pPr>
          </w:p>
        </w:tc>
      </w:tr>
      <w:tr>
        <w:trPr>
          <w:trHeight w:val="222"/>
        </w:trPr>
        <w:tc>
          <w:tcPr>
            <w:tcW w:w="578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600,000</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$ 432,267</w:t>
            </w:r>
          </w:p>
        </w:tc>
        <w:tc>
          <w:tcPr>
            <w:tcW w:w="74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$ 145,500</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5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 2012</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4"/>
              </w:rPr>
              <w:t>Borrowings</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57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8"/>
              </w:rPr>
              <w:t>Total Facility</w:t>
            </w:r>
          </w:p>
        </w:tc>
        <w:tc>
          <w:tcPr>
            <w:tcW w:w="72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r>
      <w:tr>
        <w:trPr>
          <w:trHeight w:val="210"/>
        </w:trPr>
        <w:tc>
          <w:tcPr>
            <w:tcW w:w="5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$ 165,000</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100,000</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66,836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200,000</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100" w:type="dxa"/>
            <w:vAlign w:val="bottom"/>
            <w:shd w:val="clear" w:color="auto" w:fill="CCEEFF"/>
          </w:tcPr>
          <w:p>
            <w:pPr>
              <w:spacing w:after="0"/>
              <w:rPr>
                <w:sz w:val="18"/>
                <w:szCs w:val="18"/>
                <w:color w:val="auto"/>
              </w:rPr>
            </w:pPr>
          </w:p>
        </w:tc>
      </w:tr>
      <w:tr>
        <w:trPr>
          <w:trHeight w:val="222"/>
        </w:trPr>
        <w:tc>
          <w:tcPr>
            <w:tcW w:w="578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550,000</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$ 331,836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$ 189,808</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5540" w:right="2500" w:hanging="4627"/>
        <w:spacing w:after="0" w:line="440" w:lineRule="auto"/>
        <w:tabs>
          <w:tab w:leader="none" w:pos="14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available considers any limitations related to the respective debt facilities’ borrowing bases. F-27</w:t>
      </w:r>
    </w:p>
    <w:p>
      <w:pPr>
        <w:sectPr>
          <w:pgSz w:w="11900" w:h="16838" w:orient="portrait"/>
          <w:cols w:equalWidth="0" w:num="1">
            <w:col w:w="11320"/>
          </w:cols>
          <w:pgMar w:left="24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2013, 2012 and 2011, the components of interest expense were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0"/>
              </w:rPr>
              <w:t>Year Ended</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Year Ended</w:t>
            </w:r>
          </w:p>
        </w:tc>
      </w:tr>
      <w:tr>
        <w:trPr>
          <w:trHeight w:val="161"/>
        </w:trPr>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46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2011</w:t>
            </w:r>
          </w:p>
        </w:tc>
      </w:tr>
      <w:tr>
        <w:trPr>
          <w:trHeight w:val="210"/>
        </w:trPr>
        <w:tc>
          <w:tcPr>
            <w:tcW w:w="3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Commitment fees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1,398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r>
      <w:tr>
        <w:trPr>
          <w:trHeight w:val="222"/>
        </w:trPr>
        <w:tc>
          <w:tcPr>
            <w:tcW w:w="334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10,469</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6,020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266.1</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111.2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2"/>
          </w:tcPr>
          <w:p>
            <w:pPr>
              <w:jc w:val="right"/>
              <w:ind w:right="92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August 23, 2012, the Company entered into a senior secured revolving credit agreement with SunTrust Bank, as administrative agent, and certain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4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February 27, 2014, the Company further amended and restated the Revolving Credit Facility (SunTrust). The second amended and restated agreement (the Revolving Credit Facility (SunTrust)), among other things:</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17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may borrow amounts in U.S. dollars or certain other permitted currencies. Amounts drawn under the Revolving Credit Facility (SunTrust),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Revolving Credit Facility (SunTrust) is guaranteed by TC Lending, LLC and certain domestic subsidiaries that are formed or acquired by the Company in the future. The Revolving Credit Facility (SunTrust)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Revolving Credit Facility (SunTrust) includes customary events of default, as well as customary covenants, including restrictions on certain distributions and financial covenants requiring:</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right="20" w:hanging="325"/>
        <w:spacing w:after="0" w:line="357"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stockholders’ equity of at least $205,000,000 plus 25% of the net proceeds of the sale of equity interests after August 23,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May 8, 2012, the “Natixis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Revolving Credit Facility (Natixis)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Natixis Closing Date, or the Natixis Commitment Termination Date. The Natixis Commitment Termination Date was November 8, 2013, at which point the reinvestment period of the Revolving Credit Facility (Natixis)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Natixis Commitment Termination Date, proceeds received from principal on assets could be used to pay down borrowings or make additional investments. Following the Natixis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(as amended, Revolving Credit Facility (Natixis)). The amended and restated facility, among other things:</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Amounts drawn under the amended and restated Revolving Credit Facility (Natixis) and the original credit and security agreement bear interest at LIBOR plus a margin or base rate plus a margin or, in the case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amended and restated Revolving Credit Facility (Natixis), the lenders’ cost of funds plus a margin, in each case at TPG SL SPV’s option. TPG SL SPV’s ability to borrow at lenders’ cost of funds plus a margin lowers our interest rate currently applicable on the Company’s borrowings under the Revolving Credit Facility (Natixis). The undrawn portion of the commitment bears an unutilized commitment fee of 0.75%. The Revolving Credit Facility (Natixis) contains customary covenants, including covenants relating to separateness from the Adviser and its affiliates and long-term credit ratings with respect to the underlying collateral obligations, and events of default. The Revolving Credit Facility (Natixis) is secured by a perfected first priority security interest in the assets of TPG SL SPV and on any payments received by TPG SL SPV in respect of such assets, which accordingly are not available to pay the Company’s other debt obligations.</w:t>
      </w:r>
    </w:p>
    <w:p>
      <w:pPr>
        <w:spacing w:after="0" w:line="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As of December 31, 2013 and 2012, TPG SL SPV had $184.3 million and $154.4 million, respectively, in investments at fair value, and $78.3 million and $67.3 million, respectively, in liabilities, including the outstanding borrowings, on its balance sheet. As of December 31, 2013 and 2012, TPG SL SPV had $6.3 million and $4.3 million, respectively, in restricted cash, a component of prepaid expenses and other assets, in the accompanying consolidated financial statements.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September 28, 2011, the Company entered into a revolving credit facility with Deutsche Bank Trust Company Americas, or DBTCA. At closing, the maximum principal amount of the revolving credit facility was $150 million, subject to availability under the borrowing base. On December 22, 2011, the revolving credit facility was amended and restated (as amended the Revolving Credit Facility (DBTCA)). Under the Revolving Credit Facility (DBTCA), the maximum principal amount was increased from $150 million to $250 million subject to availability under a borrowing base. Proceeds from the Revolving Credit Facility (DBTCA) could have been used for investment activities, expenses, working capital requirements and general corporate purposes.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July 2013, the Company reduced the capacity of the Revolving Credit Facility (DBTCA) from $250 million to $100 million. The elective reduction did not have a significant effect on the Company’s liquidity as (i) the Company’s borrowings are limited by the 1940 Act’s asset coverage requirement; and (ii) there was adequate availability under the Company’s other credit facilities.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November 5, 2013, the Company entered into an agreement to amend the Revolving Credit Facility (DBTCA) by extending the stated maturity date from December 22, 2013 to June 30, 2014. The Revolving Credit Facility (DBTCA) would have matured upon the earlier of June 30, 2014 and 25 days prior to a qualifying initial public offering of the Company. On February 27, 2014, The Company terminated the Revolving Credit Facility (DBTCA), effective March 4, 2014. The outstanding balance under the Revolving Credit Facility (DBTCA) was paid down prior to terminating the facility. The Company did not incur any fees or penalties in conjunction with the termination.</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Revolving Credit Facility (DBTCA) was secured by a perfected first priority security interest in the unfunded capital commitments of the Company’s existing investors.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Interest rates on obligations under the Revolving Credit Facility (DBTCA) were based on prevailing LIBOR or prime lending rate plus an applicable margin. The Company could have elected either the LIBOR or prime rate at the time of draw-down, and loans could have been converted from one rate to another at any time, subject to certain conditions. The Company also paid a fee of 0.375% on undrawn amounts of the Revolving Credit Facility (DBTCA). In respect of each letter of credit, the Company paid a fee and a fixed rate while the letter of credit was outstanding.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Revolving Credit Facility (DBTCA) contained customary covenants on the Company and its subsidiaries, including requirements to deposit all capital call proceeds into a collateral account, restrictions on certain distributions, and restrictions on certain types and amounts of indebtedness. The Revolving Credit Facility (DBTCA) also included customary events of default.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and December 31, 2012, the Company was in compliance with the terms of its debt obligations.</w:t>
      </w:r>
    </w:p>
    <w:p>
      <w:pPr>
        <w:spacing w:after="0" w:line="246" w:lineRule="exact"/>
        <w:rPr>
          <w:sz w:val="20"/>
          <w:szCs w:val="20"/>
          <w:color w:val="auto"/>
        </w:rPr>
      </w:pPr>
    </w:p>
    <w:p>
      <w:pPr>
        <w:ind w:right="8720" w:firstLine="8"/>
        <w:spacing w:after="0" w:line="417" w:lineRule="auto"/>
        <w:tabs>
          <w:tab w:leader="none" w:pos="176"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December 31, 2013 and 2012, the Company had the following commitments to fund investments: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0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w w:val="84"/>
              </w:rPr>
              <w:t>December 31, 2013</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2012</w:t>
            </w:r>
          </w:p>
        </w:tc>
      </w:tr>
      <w:tr>
        <w:trPr>
          <w:trHeight w:val="210"/>
        </w:trPr>
        <w:tc>
          <w:tcPr>
            <w:tcW w:w="4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36,600</w:t>
            </w:r>
          </w:p>
        </w:tc>
        <w:tc>
          <w:tcPr>
            <w:tcW w:w="1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9"/>
                <w:szCs w:val="19"/>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6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54,974</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December 31, 2013 and 2012, the Company had $1.5 billion and $1.4 billion, respectively, in total capital commitments from investors ($1.0 billion and $0.9 billion unfunded, respectively). Of these amounts, $117.1 million and $114.1 million, respectively, is from the Adviser and its affiliates ($76.7 million and $76.6 million unfunded, respectively). These unfunded commitments will no longer remain in effect following the completion of an initial public offering of the Company’s common stock. See Note 1.</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2013,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years ended December 31 2013 and 2012, the Company entered into subscription agreements (collectively, the “Subscription Agreements”) with several investors, including the Adviser and its affiliates, providing for the private placement of the Company’s Common Stock. Under the terms of the Subscription Agreements, investors are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years ended December 31, 2013 and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gridSpan w:val="2"/>
          </w:tcPr>
          <w:p>
            <w:pPr>
              <w:jc w:val="right"/>
              <w:ind w:right="363"/>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163"/>
              <w:spacing w:after="0"/>
              <w:rPr>
                <w:sz w:val="20"/>
                <w:szCs w:val="20"/>
                <w:color w:val="auto"/>
              </w:rPr>
            </w:pPr>
            <w:r>
              <w:rPr>
                <w:rFonts w:ascii="Arial" w:cs="Arial" w:eastAsia="Arial" w:hAnsi="Arial"/>
                <w:sz w:val="14"/>
                <w:szCs w:val="14"/>
                <w:b w:val="1"/>
                <w:bCs w:val="1"/>
                <w:color w:val="auto"/>
                <w:w w:val="91"/>
              </w:rPr>
              <w:t>December 31, 2013</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2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20" w:type="dxa"/>
            <w:vAlign w:val="bottom"/>
          </w:tcPr>
          <w:p>
            <w:pPr>
              <w:jc w:val="right"/>
              <w:spacing w:after="0" w:line="115" w:lineRule="exact"/>
              <w:rPr>
                <w:sz w:val="20"/>
                <w:szCs w:val="20"/>
                <w:color w:val="auto"/>
              </w:rPr>
            </w:pPr>
            <w:r>
              <w:rPr>
                <w:rFonts w:ascii="Arial" w:cs="Arial" w:eastAsia="Arial" w:hAnsi="Arial"/>
                <w:sz w:val="12"/>
                <w:szCs w:val="12"/>
                <w:b w:val="1"/>
                <w:bCs w:val="1"/>
                <w:color w:val="auto"/>
                <w:w w:val="93"/>
              </w:rPr>
              <w:t>Shares Issued</w:t>
            </w:r>
          </w:p>
        </w:tc>
        <w:tc>
          <w:tcPr>
            <w:tcW w:w="222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Proceeds Received</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200" w:type="dxa"/>
            <w:vAlign w:val="bottom"/>
            <w:gridSpan w:val="2"/>
          </w:tcPr>
          <w:p>
            <w:pPr>
              <w:jc w:val="right"/>
              <w:ind w:right="279"/>
              <w:spacing w:after="0"/>
              <w:rPr>
                <w:sz w:val="20"/>
                <w:szCs w:val="20"/>
                <w:color w:val="auto"/>
              </w:rPr>
            </w:pPr>
            <w:r>
              <w:rPr>
                <w:rFonts w:ascii="Arial" w:cs="Arial" w:eastAsia="Arial" w:hAnsi="Arial"/>
                <w:sz w:val="11"/>
                <w:szCs w:val="11"/>
                <w:b w:val="1"/>
                <w:bCs w:val="1"/>
                <w:color w:val="auto"/>
              </w:rPr>
              <w:t>(1)</w:t>
            </w:r>
          </w:p>
        </w:tc>
        <w:tc>
          <w:tcPr>
            <w:tcW w:w="2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20, 2013</w:t>
            </w:r>
          </w:p>
        </w:tc>
        <w:tc>
          <w:tcPr>
            <w:tcW w:w="2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2,079,224</w:t>
            </w:r>
          </w:p>
        </w:tc>
        <w:tc>
          <w:tcPr>
            <w:tcW w:w="10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September 26, 2013</w:t>
            </w:r>
          </w:p>
        </w:tc>
        <w:tc>
          <w:tcPr>
            <w:tcW w:w="2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1,633,829</w:t>
            </w:r>
          </w:p>
        </w:tc>
        <w:tc>
          <w:tcPr>
            <w:tcW w:w="10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3,713,053</w:t>
            </w:r>
          </w:p>
        </w:tc>
        <w:tc>
          <w:tcPr>
            <w:tcW w:w="1420" w:type="dxa"/>
            <w:vAlign w:val="bottom"/>
            <w:gridSpan w:val="2"/>
            <w:shd w:val="clear" w:color="auto" w:fill="CCEEFF"/>
          </w:tcPr>
          <w:p>
            <w:pPr>
              <w:jc w:val="right"/>
              <w:ind w:right="20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60" w:type="dxa"/>
            <w:vAlign w:val="bottom"/>
          </w:tcPr>
          <w:p>
            <w:pPr>
              <w:spacing w:after="0"/>
              <w:rPr>
                <w:sz w:val="24"/>
                <w:szCs w:val="24"/>
                <w:color w:val="auto"/>
              </w:rPr>
            </w:pPr>
          </w:p>
        </w:tc>
        <w:tc>
          <w:tcPr>
            <w:tcW w:w="3200" w:type="dxa"/>
            <w:vAlign w:val="bottom"/>
            <w:gridSpan w:val="2"/>
          </w:tcPr>
          <w:p>
            <w:pPr>
              <w:jc w:val="right"/>
              <w:ind w:right="1879"/>
              <w:spacing w:after="0"/>
              <w:rPr>
                <w:sz w:val="20"/>
                <w:szCs w:val="20"/>
                <w:color w:val="auto"/>
              </w:rPr>
            </w:pPr>
            <w:r>
              <w:rPr>
                <w:rFonts w:ascii="Arial" w:cs="Arial" w:eastAsia="Arial" w:hAnsi="Arial"/>
                <w:sz w:val="18"/>
                <w:szCs w:val="18"/>
                <w:color w:val="auto"/>
              </w:rPr>
              <w:t>F-31</w:t>
            </w: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gridSpan w:val="2"/>
          </w:tcPr>
          <w:p>
            <w:pPr>
              <w:jc w:val="right"/>
              <w:ind w:right="283"/>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7"/>
              </w:rPr>
              <w:t>December 31, 2012</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740" w:type="dxa"/>
            <w:vAlign w:val="bottom"/>
          </w:tcPr>
          <w:p>
            <w:pPr>
              <w:spacing w:after="0"/>
              <w:rPr>
                <w:sz w:val="10"/>
                <w:szCs w:val="10"/>
                <w:color w:val="auto"/>
              </w:rPr>
            </w:pPr>
          </w:p>
        </w:tc>
        <w:tc>
          <w:tcPr>
            <w:tcW w:w="840" w:type="dxa"/>
            <w:vAlign w:val="bottom"/>
          </w:tcPr>
          <w:p>
            <w:pPr>
              <w:jc w:val="right"/>
              <w:spacing w:after="0" w:line="115" w:lineRule="exact"/>
              <w:rPr>
                <w:sz w:val="20"/>
                <w:szCs w:val="20"/>
                <w:color w:val="auto"/>
              </w:rPr>
            </w:pPr>
            <w:r>
              <w:rPr>
                <w:rFonts w:ascii="Arial" w:cs="Arial" w:eastAsia="Arial" w:hAnsi="Arial"/>
                <w:sz w:val="12"/>
                <w:szCs w:val="12"/>
                <w:b w:val="1"/>
                <w:bCs w:val="1"/>
                <w:color w:val="auto"/>
                <w:w w:val="93"/>
              </w:rPr>
              <w:t>Shares Issued</w:t>
            </w:r>
          </w:p>
        </w:tc>
        <w:tc>
          <w:tcPr>
            <w:tcW w:w="2100" w:type="dxa"/>
            <w:vAlign w:val="bottom"/>
            <w:gridSpan w:val="4"/>
            <w:vMerge w:val="restart"/>
          </w:tcPr>
          <w:p>
            <w:pPr>
              <w:ind w:left="920"/>
              <w:spacing w:after="0"/>
              <w:rPr>
                <w:sz w:val="20"/>
                <w:szCs w:val="20"/>
                <w:color w:val="auto"/>
              </w:rPr>
            </w:pPr>
            <w:r>
              <w:rPr>
                <w:rFonts w:ascii="Arial" w:cs="Arial" w:eastAsia="Arial" w:hAnsi="Arial"/>
                <w:sz w:val="14"/>
                <w:szCs w:val="14"/>
                <w:b w:val="1"/>
                <w:bCs w:val="1"/>
                <w:color w:val="auto"/>
                <w:w w:val="90"/>
              </w:rPr>
              <w:t>Proceeds Received</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840" w:type="dxa"/>
            <w:vAlign w:val="bottom"/>
          </w:tcPr>
          <w:p>
            <w:pPr>
              <w:jc w:val="right"/>
              <w:ind w:right="278"/>
              <w:spacing w:after="0"/>
              <w:rPr>
                <w:sz w:val="20"/>
                <w:szCs w:val="20"/>
                <w:color w:val="auto"/>
              </w:rPr>
            </w:pPr>
            <w:r>
              <w:rPr>
                <w:rFonts w:ascii="Arial" w:cs="Arial" w:eastAsia="Arial" w:hAnsi="Arial"/>
                <w:sz w:val="11"/>
                <w:szCs w:val="11"/>
                <w:b w:val="1"/>
                <w:bCs w:val="1"/>
                <w:color w:val="auto"/>
              </w:rPr>
              <w:t>(1)</w:t>
            </w:r>
          </w:p>
        </w:tc>
        <w:tc>
          <w:tcPr>
            <w:tcW w:w="2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15, 2012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435,061</w:t>
            </w:r>
          </w:p>
        </w:tc>
        <w:tc>
          <w:tcPr>
            <w:tcW w:w="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February 22, 2012</w:t>
            </w:r>
          </w:p>
        </w:tc>
        <w:tc>
          <w:tcPr>
            <w:tcW w:w="840" w:type="dxa"/>
            <w:vAlign w:val="bottom"/>
          </w:tcPr>
          <w:p>
            <w:pPr>
              <w:jc w:val="right"/>
              <w:spacing w:after="0"/>
              <w:rPr>
                <w:sz w:val="20"/>
                <w:szCs w:val="20"/>
                <w:color w:val="auto"/>
              </w:rPr>
            </w:pPr>
            <w:r>
              <w:rPr>
                <w:rFonts w:ascii="Arial" w:cs="Arial" w:eastAsia="Arial" w:hAnsi="Arial"/>
                <w:sz w:val="18"/>
                <w:szCs w:val="18"/>
                <w:color w:val="auto"/>
              </w:rPr>
              <w:t>2,368,398</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5,076,511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May 31, 2012</w:t>
            </w:r>
          </w:p>
        </w:tc>
        <w:tc>
          <w:tcPr>
            <w:tcW w:w="840" w:type="dxa"/>
            <w:vAlign w:val="bottom"/>
          </w:tcPr>
          <w:p>
            <w:pPr>
              <w:jc w:val="right"/>
              <w:spacing w:after="0"/>
              <w:rPr>
                <w:sz w:val="20"/>
                <w:szCs w:val="20"/>
                <w:color w:val="auto"/>
              </w:rPr>
            </w:pPr>
            <w:r>
              <w:rPr>
                <w:rFonts w:ascii="Arial" w:cs="Arial" w:eastAsia="Arial" w:hAnsi="Arial"/>
                <w:sz w:val="18"/>
                <w:szCs w:val="18"/>
                <w:color w:val="auto"/>
              </w:rPr>
              <w:t>892,058</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June 29,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2,319,591</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September 26, 2012</w:t>
            </w:r>
          </w:p>
        </w:tc>
        <w:tc>
          <w:tcPr>
            <w:tcW w:w="840" w:type="dxa"/>
            <w:vAlign w:val="bottom"/>
          </w:tcPr>
          <w:p>
            <w:pPr>
              <w:jc w:val="right"/>
              <w:spacing w:after="0"/>
              <w:rPr>
                <w:sz w:val="20"/>
                <w:szCs w:val="20"/>
                <w:color w:val="auto"/>
              </w:rPr>
            </w:pPr>
            <w:r>
              <w:rPr>
                <w:rFonts w:ascii="Arial" w:cs="Arial" w:eastAsia="Arial" w:hAnsi="Arial"/>
                <w:sz w:val="18"/>
                <w:szCs w:val="18"/>
                <w:color w:val="auto"/>
              </w:rPr>
              <w:t>1,496,143</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December 21, 2012 </w:t>
            </w:r>
            <w:r>
              <w:rPr>
                <w:rFonts w:ascii="Arial" w:cs="Arial" w:eastAsia="Arial" w:hAnsi="Arial"/>
                <w:sz w:val="11"/>
                <w:szCs w:val="11"/>
                <w:color w:val="auto"/>
              </w:rPr>
              <w:t>(2)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6,611,659</w:t>
            </w:r>
          </w:p>
        </w:tc>
        <w:tc>
          <w:tcPr>
            <w:tcW w:w="9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4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19,199,421</w:t>
            </w:r>
          </w:p>
        </w:tc>
        <w:tc>
          <w:tcPr>
            <w:tcW w:w="126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287,586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920" w:right="280" w:hanging="440"/>
        <w:spacing w:after="0" w:line="254" w:lineRule="auto"/>
        <w:tabs>
          <w:tab w:leader="none" w:pos="1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ind w:left="1920" w:right="720" w:hanging="440"/>
        <w:spacing w:after="0" w:line="261" w:lineRule="auto"/>
        <w:tabs>
          <w:tab w:leader="none" w:pos="19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December 31, 2012, there were $1.9 million in capital drawdowns outstanding from investors. On January 4, 2013, all outstanding amounts had been received by the Company.</w:t>
      </w:r>
    </w:p>
    <w:p>
      <w:pPr>
        <w:spacing w:after="0" w:line="138"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On December 31, 2013, the Company delivered a capital drawdown notice to its investors relating to the sale of 4,234,501 shares of the Company’s common stock, par value $0.01 per share for an aggregate offering price of $65.0 million. The sale closed on January 15, 2014.</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investors who have not opted out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8"/>
              </w:rPr>
              <w:t>Year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jc w:val="center"/>
              <w:ind w:right="1040"/>
              <w:spacing w:after="0"/>
              <w:rPr>
                <w:sz w:val="20"/>
                <w:szCs w:val="20"/>
                <w:color w:val="auto"/>
              </w:rPr>
            </w:pPr>
            <w:r>
              <w:rPr>
                <w:rFonts w:ascii="Arial" w:cs="Arial" w:eastAsia="Arial" w:hAnsi="Arial"/>
                <w:sz w:val="14"/>
                <w:szCs w:val="14"/>
                <w:b w:val="1"/>
                <w:bCs w:val="1"/>
                <w:color w:val="auto"/>
                <w:w w:val="87"/>
              </w:rPr>
              <w:t>December 31, 2013</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940" w:type="dxa"/>
            <w:vAlign w:val="bottom"/>
            <w:vMerge w:val="restart"/>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40" w:type="dxa"/>
            <w:vAlign w:val="bottom"/>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92"/>
              </w:rPr>
              <w:t>Date</w:t>
            </w: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 xml:space="preserve">Shares Issued </w:t>
            </w:r>
            <w:r>
              <w:rPr>
                <w:rFonts w:ascii="Arial" w:cs="Arial" w:eastAsia="Arial" w:hAnsi="Arial"/>
                <w:sz w:val="22"/>
                <w:szCs w:val="22"/>
                <w:b w:val="1"/>
                <w:bCs w:val="1"/>
                <w:color w:val="auto"/>
                <w:w w:val="94"/>
                <w:vertAlign w:val="superscript"/>
              </w:rPr>
              <w:t>(1)</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2080" w:type="dxa"/>
            <w:vAlign w:val="bottom"/>
            <w:gridSpan w:val="2"/>
          </w:tcPr>
          <w:p>
            <w:pPr>
              <w:jc w:val="right"/>
              <w:ind w:right="960"/>
              <w:spacing w:after="0" w:line="148" w:lineRule="exact"/>
              <w:rPr>
                <w:sz w:val="20"/>
                <w:szCs w:val="20"/>
                <w:color w:val="auto"/>
              </w:rPr>
            </w:pPr>
            <w:r>
              <w:rPr>
                <w:rFonts w:ascii="Arial" w:cs="Arial" w:eastAsia="Arial" w:hAnsi="Arial"/>
                <w:sz w:val="14"/>
                <w:szCs w:val="14"/>
                <w:b w:val="1"/>
                <w:bCs w:val="1"/>
                <w:color w:val="auto"/>
              </w:rPr>
              <w:t>Record Date</w:t>
            </w:r>
          </w:p>
        </w:tc>
        <w:tc>
          <w:tcPr>
            <w:tcW w:w="2540" w:type="dxa"/>
            <w:vAlign w:val="bottom"/>
            <w:gridSpan w:val="2"/>
          </w:tcPr>
          <w:p>
            <w:pPr>
              <w:jc w:val="center"/>
              <w:ind w:right="1140"/>
              <w:spacing w:after="0" w:line="148" w:lineRule="exact"/>
              <w:rPr>
                <w:sz w:val="20"/>
                <w:szCs w:val="20"/>
                <w:color w:val="auto"/>
              </w:rPr>
            </w:pPr>
            <w:r>
              <w:rPr>
                <w:rFonts w:ascii="Arial" w:cs="Arial" w:eastAsia="Arial" w:hAnsi="Arial"/>
                <w:sz w:val="14"/>
                <w:szCs w:val="14"/>
                <w:b w:val="1"/>
                <w:bCs w:val="1"/>
                <w:color w:val="auto"/>
                <w:w w:val="84"/>
              </w:rPr>
              <w:t>Shares Issued</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December 31, 2012</w:t>
            </w:r>
          </w:p>
        </w:tc>
        <w:tc>
          <w:tcPr>
            <w:tcW w:w="5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12, 2013</w:t>
            </w:r>
          </w:p>
        </w:tc>
        <w:tc>
          <w:tcPr>
            <w:tcW w:w="1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343,981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12, 2013</w:t>
            </w: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rPr>
              <w:t>March 31, 2013</w:t>
            </w:r>
          </w:p>
        </w:tc>
        <w:tc>
          <w:tcPr>
            <w:tcW w:w="2540" w:type="dxa"/>
            <w:vAlign w:val="bottom"/>
            <w:gridSpan w:val="2"/>
          </w:tcPr>
          <w:p>
            <w:pPr>
              <w:jc w:val="right"/>
              <w:ind w:right="1120"/>
              <w:spacing w:after="0"/>
              <w:rPr>
                <w:sz w:val="20"/>
                <w:szCs w:val="20"/>
                <w:color w:val="auto"/>
              </w:rPr>
            </w:pPr>
            <w:r>
              <w:rPr>
                <w:rFonts w:ascii="Arial" w:cs="Arial" w:eastAsia="Arial" w:hAnsi="Arial"/>
                <w:sz w:val="18"/>
                <w:szCs w:val="18"/>
                <w:color w:val="auto"/>
              </w:rPr>
              <w:t>May 7, 2013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436,728</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2013</w:t>
            </w:r>
          </w:p>
        </w:tc>
        <w:tc>
          <w:tcPr>
            <w:tcW w:w="2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June 30, 2013</w:t>
            </w:r>
          </w:p>
        </w:tc>
        <w:tc>
          <w:tcPr>
            <w:tcW w:w="25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August 6, 2013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469,799</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208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September 30, 2013</w:t>
            </w:r>
          </w:p>
        </w:tc>
        <w:tc>
          <w:tcPr>
            <w:tcW w:w="2540" w:type="dxa"/>
            <w:vAlign w:val="bottom"/>
            <w:gridSpan w:val="2"/>
          </w:tcPr>
          <w:p>
            <w:pPr>
              <w:jc w:val="right"/>
              <w:ind w:right="1120"/>
              <w:spacing w:after="0"/>
              <w:rPr>
                <w:sz w:val="20"/>
                <w:szCs w:val="20"/>
                <w:color w:val="auto"/>
              </w:rPr>
            </w:pPr>
            <w:r>
              <w:rPr>
                <w:rFonts w:ascii="Arial" w:cs="Arial" w:eastAsia="Arial" w:hAnsi="Arial"/>
                <w:sz w:val="18"/>
                <w:szCs w:val="18"/>
                <w:color w:val="auto"/>
                <w:w w:val="94"/>
              </w:rPr>
              <w:t>November 5, 2013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1,730,042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line="268"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2"/>
          </w:tcPr>
          <w:p>
            <w:pPr>
              <w:jc w:val="right"/>
              <w:ind w:right="1460"/>
              <w:spacing w:after="0"/>
              <w:rPr>
                <w:sz w:val="20"/>
                <w:szCs w:val="20"/>
                <w:color w:val="auto"/>
              </w:rPr>
            </w:pPr>
            <w:r>
              <w:rPr>
                <w:rFonts w:ascii="Arial" w:cs="Arial" w:eastAsia="Arial" w:hAnsi="Arial"/>
                <w:sz w:val="14"/>
                <w:szCs w:val="14"/>
                <w:b w:val="1"/>
                <w:bCs w:val="1"/>
                <w:color w:val="auto"/>
              </w:rPr>
              <w:t>Year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940" w:type="dxa"/>
            <w:vAlign w:val="bottom"/>
            <w:vMerge w:val="restart"/>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2"/>
          </w:tcPr>
          <w:p>
            <w:pPr>
              <w:jc w:val="right"/>
              <w:ind w:right="1260"/>
              <w:spacing w:after="0"/>
              <w:rPr>
                <w:sz w:val="20"/>
                <w:szCs w:val="20"/>
                <w:color w:val="auto"/>
              </w:rPr>
            </w:pPr>
            <w:r>
              <w:rPr>
                <w:rFonts w:ascii="Arial" w:cs="Arial" w:eastAsia="Arial" w:hAnsi="Arial"/>
                <w:sz w:val="14"/>
                <w:szCs w:val="14"/>
                <w:b w:val="1"/>
                <w:bCs w:val="1"/>
                <w:color w:val="auto"/>
              </w:rPr>
              <w:t>December 31, 2012</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2940" w:type="dxa"/>
            <w:vAlign w:val="bottom"/>
            <w:vMerge w:val="continue"/>
          </w:tcPr>
          <w:p>
            <w:pPr>
              <w:spacing w:after="0"/>
              <w:rPr>
                <w:sz w:val="12"/>
                <w:szCs w:val="12"/>
                <w:color w:val="auto"/>
              </w:rPr>
            </w:pPr>
          </w:p>
        </w:tc>
        <w:tc>
          <w:tcPr>
            <w:tcW w:w="2040" w:type="dxa"/>
            <w:vAlign w:val="bottom"/>
            <w:gridSpan w:val="2"/>
          </w:tcPr>
          <w:p>
            <w:pPr>
              <w:jc w:val="right"/>
              <w:ind w:right="940"/>
              <w:spacing w:after="0" w:line="129" w:lineRule="exact"/>
              <w:rPr>
                <w:sz w:val="20"/>
                <w:szCs w:val="20"/>
                <w:color w:val="auto"/>
              </w:rPr>
            </w:pPr>
            <w:r>
              <w:rPr>
                <w:rFonts w:ascii="Arial" w:cs="Arial" w:eastAsia="Arial" w:hAnsi="Arial"/>
                <w:sz w:val="14"/>
                <w:szCs w:val="14"/>
                <w:b w:val="1"/>
                <w:bCs w:val="1"/>
                <w:color w:val="auto"/>
              </w:rPr>
              <w:t>Record Date</w:t>
            </w:r>
          </w:p>
        </w:tc>
        <w:tc>
          <w:tcPr>
            <w:tcW w:w="2600" w:type="dxa"/>
            <w:vAlign w:val="bottom"/>
            <w:gridSpan w:val="2"/>
          </w:tcPr>
          <w:p>
            <w:pPr>
              <w:jc w:val="right"/>
              <w:ind w:right="1300"/>
              <w:spacing w:after="0" w:line="129" w:lineRule="exact"/>
              <w:rPr>
                <w:sz w:val="20"/>
                <w:szCs w:val="20"/>
                <w:color w:val="auto"/>
              </w:rPr>
            </w:pPr>
            <w:r>
              <w:rPr>
                <w:rFonts w:ascii="Arial" w:cs="Arial" w:eastAsia="Arial" w:hAnsi="Arial"/>
                <w:sz w:val="14"/>
                <w:szCs w:val="14"/>
                <w:b w:val="1"/>
                <w:bCs w:val="1"/>
                <w:color w:val="auto"/>
                <w:w w:val="99"/>
              </w:rPr>
              <w:t>Date Shares Issued</w:t>
            </w:r>
          </w:p>
        </w:tc>
        <w:tc>
          <w:tcPr>
            <w:tcW w:w="1020" w:type="dxa"/>
            <w:vAlign w:val="bottom"/>
          </w:tcPr>
          <w:p>
            <w:pPr>
              <w:jc w:val="right"/>
              <w:spacing w:after="0" w:line="129" w:lineRule="exact"/>
              <w:rPr>
                <w:sz w:val="20"/>
                <w:szCs w:val="20"/>
                <w:color w:val="auto"/>
              </w:rPr>
            </w:pPr>
            <w:r>
              <w:rPr>
                <w:rFonts w:ascii="Arial" w:cs="Arial" w:eastAsia="Arial" w:hAnsi="Arial"/>
                <w:sz w:val="10"/>
                <w:szCs w:val="10"/>
                <w:b w:val="1"/>
                <w:bCs w:val="1"/>
                <w:color w:val="auto"/>
              </w:rPr>
              <w:t xml:space="preserve">Shares Issued </w:t>
            </w:r>
            <w:r>
              <w:rPr>
                <w:rFonts w:ascii="Arial" w:cs="Arial" w:eastAsia="Arial" w:hAnsi="Arial"/>
                <w:sz w:val="14"/>
                <w:szCs w:val="14"/>
                <w:b w:val="1"/>
                <w:bCs w:val="1"/>
                <w:color w:val="auto"/>
                <w:vertAlign w:val="superscript"/>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December 31, 2011 </w:t>
            </w:r>
            <w:r>
              <w:rPr>
                <w:rFonts w:ascii="Arial" w:cs="Arial" w:eastAsia="Arial" w:hAnsi="Arial"/>
                <w:sz w:val="11"/>
                <w:szCs w:val="11"/>
                <w:color w:val="auto"/>
              </w:rPr>
              <w:t>(1)</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December 31, 2011</w:t>
            </w:r>
          </w:p>
        </w:tc>
        <w:tc>
          <w:tcPr>
            <w:tcW w:w="5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20, 2012</w:t>
            </w:r>
          </w:p>
        </w:tc>
        <w:tc>
          <w:tcPr>
            <w:tcW w:w="1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22,870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March 20, 2012</w:t>
            </w:r>
          </w:p>
        </w:tc>
        <w:tc>
          <w:tcPr>
            <w:tcW w:w="2040" w:type="dxa"/>
            <w:vAlign w:val="bottom"/>
            <w:gridSpan w:val="2"/>
          </w:tcPr>
          <w:p>
            <w:pPr>
              <w:jc w:val="right"/>
              <w:ind w:right="560"/>
              <w:spacing w:after="0"/>
              <w:rPr>
                <w:sz w:val="20"/>
                <w:szCs w:val="20"/>
                <w:color w:val="auto"/>
              </w:rPr>
            </w:pPr>
            <w:r>
              <w:rPr>
                <w:rFonts w:ascii="Arial" w:cs="Arial" w:eastAsia="Arial" w:hAnsi="Arial"/>
                <w:sz w:val="18"/>
                <w:szCs w:val="18"/>
                <w:color w:val="auto"/>
              </w:rPr>
              <w:t>March 31, 2012</w:t>
            </w:r>
          </w:p>
        </w:tc>
        <w:tc>
          <w:tcPr>
            <w:tcW w:w="2600" w:type="dxa"/>
            <w:vAlign w:val="bottom"/>
            <w:gridSpan w:val="2"/>
          </w:tcPr>
          <w:p>
            <w:pPr>
              <w:jc w:val="right"/>
              <w:ind w:right="1120"/>
              <w:spacing w:after="0"/>
              <w:rPr>
                <w:sz w:val="20"/>
                <w:szCs w:val="20"/>
                <w:color w:val="auto"/>
              </w:rPr>
            </w:pPr>
            <w:r>
              <w:rPr>
                <w:rFonts w:ascii="Arial" w:cs="Arial" w:eastAsia="Arial" w:hAnsi="Arial"/>
                <w:sz w:val="18"/>
                <w:szCs w:val="18"/>
                <w:color w:val="auto"/>
              </w:rPr>
              <w:t>May 16, 2012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97,214</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9, 2012</w:t>
            </w:r>
          </w:p>
        </w:tc>
        <w:tc>
          <w:tcPr>
            <w:tcW w:w="2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June 30, 2012</w:t>
            </w:r>
          </w:p>
        </w:tc>
        <w:tc>
          <w:tcPr>
            <w:tcW w:w="26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August 7, 2012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221,098</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September 30, 2012</w:t>
            </w:r>
          </w:p>
        </w:tc>
        <w:tc>
          <w:tcPr>
            <w:tcW w:w="204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September 30, 2012</w:t>
            </w:r>
          </w:p>
        </w:tc>
        <w:tc>
          <w:tcPr>
            <w:tcW w:w="2600" w:type="dxa"/>
            <w:vAlign w:val="bottom"/>
            <w:gridSpan w:val="2"/>
          </w:tcPr>
          <w:p>
            <w:pPr>
              <w:jc w:val="right"/>
              <w:ind w:right="1120"/>
              <w:spacing w:after="0"/>
              <w:rPr>
                <w:sz w:val="20"/>
                <w:szCs w:val="20"/>
                <w:color w:val="auto"/>
              </w:rPr>
            </w:pPr>
            <w:r>
              <w:rPr>
                <w:rFonts w:ascii="Arial" w:cs="Arial" w:eastAsia="Arial" w:hAnsi="Arial"/>
                <w:sz w:val="18"/>
                <w:szCs w:val="18"/>
                <w:color w:val="auto"/>
                <w:w w:val="92"/>
              </w:rPr>
              <w:t>November 13, 2012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March 20, 2012, 1,934 shares were issued to the Adviser in connection with its then participation in the dividend reinvestment plan.</w:t>
      </w:r>
    </w:p>
    <w:p>
      <w:pPr>
        <w:spacing w:after="0" w:line="38" w:lineRule="exact"/>
        <w:rPr>
          <w:rFonts w:ascii="Arial" w:cs="Arial" w:eastAsia="Arial" w:hAnsi="Arial"/>
          <w:sz w:val="16"/>
          <w:szCs w:val="16"/>
          <w:color w:val="auto"/>
        </w:rPr>
      </w:pPr>
    </w:p>
    <w:p>
      <w:pPr>
        <w:ind w:left="1480" w:right="40" w:hanging="567"/>
        <w:spacing w:after="0" w:line="261"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3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number of shares issued through the dividend reinvestment plan was determined by dividing the total dollar amount of the dividend payable to such investor by the net asset value per share of the Common Stock 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record date of the dividend. The Common Stock issued through the dividend reinvestment plan was rounded down to the nearest whole share to avoid the issuance of fractional shares, and fractional shares were paid in cash.</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 As of December 31, 2013, the Company’s issued and outstanding shares totaled 37,026,023, as adjusted for the stock split.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December 31, 2013</w:t>
            </w:r>
          </w:p>
        </w:tc>
        <w:tc>
          <w:tcPr>
            <w:tcW w:w="2340" w:type="dxa"/>
            <w:vAlign w:val="bottom"/>
            <w:gridSpan w:val="3"/>
          </w:tcPr>
          <w:p>
            <w:pPr>
              <w:ind w:left="1240"/>
              <w:spacing w:after="0" w:line="142" w:lineRule="exact"/>
              <w:rPr>
                <w:sz w:val="20"/>
                <w:szCs w:val="20"/>
                <w:color w:val="auto"/>
              </w:rPr>
            </w:pPr>
            <w:r>
              <w:rPr>
                <w:rFonts w:ascii="Arial" w:cs="Arial" w:eastAsia="Arial" w:hAnsi="Arial"/>
                <w:sz w:val="14"/>
                <w:szCs w:val="14"/>
                <w:b w:val="1"/>
                <w:bCs w:val="1"/>
                <w:color w:val="auto"/>
                <w:w w:val="85"/>
              </w:rPr>
              <w:t>December 31, 2012</w:t>
            </w:r>
          </w:p>
        </w:tc>
        <w:tc>
          <w:tcPr>
            <w:tcW w:w="100" w:type="dxa"/>
            <w:vAlign w:val="bottom"/>
          </w:tcPr>
          <w:p>
            <w:pPr>
              <w:spacing w:after="0"/>
              <w:rPr>
                <w:sz w:val="12"/>
                <w:szCs w:val="12"/>
                <w:color w:val="auto"/>
              </w:rPr>
            </w:pP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500" w:type="dxa"/>
            <w:vAlign w:val="bottom"/>
          </w:tcPr>
          <w:p>
            <w:pPr>
              <w:ind w:left="220"/>
              <w:spacing w:after="0"/>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11"/>
                <w:szCs w:val="11"/>
                <w:color w:val="auto"/>
              </w:rPr>
              <w:t>(1)</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34,635,208</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20,541,475</w:t>
            </w:r>
          </w:p>
        </w:tc>
        <w:tc>
          <w:tcPr>
            <w:tcW w:w="100" w:type="dxa"/>
            <w:vAlign w:val="bottom"/>
          </w:tcPr>
          <w:p>
            <w:pPr>
              <w:spacing w:after="0"/>
              <w:rPr>
                <w:sz w:val="19"/>
                <w:szCs w:val="19"/>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common share—basic and diluted </w:t>
            </w:r>
            <w:r>
              <w:rPr>
                <w:rFonts w:ascii="Arial" w:cs="Arial" w:eastAsia="Arial" w:hAnsi="Arial"/>
                <w:sz w:val="11"/>
                <w:szCs w:val="11"/>
                <w:color w:val="auto"/>
              </w:rPr>
              <w:t>(1)</w:t>
            </w:r>
          </w:p>
        </w:tc>
        <w:tc>
          <w:tcPr>
            <w:tcW w:w="8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1920" w:right="160" w:hanging="440"/>
        <w:spacing w:after="0" w:line="268" w:lineRule="auto"/>
        <w:tabs>
          <w:tab w:leader="none" w:pos="1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2013 and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6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520" w:type="dxa"/>
            <w:vAlign w:val="bottom"/>
            <w:vMerge w:val="restart"/>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
          </w:tcPr>
          <w:p>
            <w:pPr>
              <w:jc w:val="right"/>
              <w:ind w:right="1180"/>
              <w:spacing w:after="0"/>
              <w:rPr>
                <w:sz w:val="20"/>
                <w:szCs w:val="20"/>
                <w:color w:val="auto"/>
              </w:rPr>
            </w:pPr>
            <w:r>
              <w:rPr>
                <w:rFonts w:ascii="Arial" w:cs="Arial" w:eastAsia="Arial" w:hAnsi="Arial"/>
                <w:sz w:val="14"/>
                <w:szCs w:val="14"/>
                <w:b w:val="1"/>
                <w:bCs w:val="1"/>
                <w:color w:val="auto"/>
              </w:rPr>
              <w:t>December 31, 2013</w:t>
            </w: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2520" w:type="dxa"/>
            <w:vAlign w:val="bottom"/>
            <w:vMerge w:val="continue"/>
          </w:tcPr>
          <w:p>
            <w:pPr>
              <w:spacing w:after="0"/>
              <w:rPr>
                <w:sz w:val="12"/>
                <w:szCs w:val="12"/>
                <w:color w:val="auto"/>
              </w:rPr>
            </w:pPr>
          </w:p>
        </w:tc>
        <w:tc>
          <w:tcPr>
            <w:tcW w:w="220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rPr>
              <w:t>Record Date</w:t>
            </w:r>
          </w:p>
        </w:tc>
        <w:tc>
          <w:tcPr>
            <w:tcW w:w="2560" w:type="dxa"/>
            <w:vAlign w:val="bottom"/>
            <w:gridSpan w:val="2"/>
          </w:tcPr>
          <w:p>
            <w:pPr>
              <w:jc w:val="right"/>
              <w:ind w:right="1520"/>
              <w:spacing w:after="0" w:line="129" w:lineRule="exact"/>
              <w:rPr>
                <w:sz w:val="20"/>
                <w:szCs w:val="20"/>
                <w:color w:val="auto"/>
              </w:rPr>
            </w:pPr>
            <w:r>
              <w:rPr>
                <w:rFonts w:ascii="Arial" w:cs="Arial" w:eastAsia="Arial" w:hAnsi="Arial"/>
                <w:sz w:val="14"/>
                <w:szCs w:val="14"/>
                <w:b w:val="1"/>
                <w:bCs w:val="1"/>
                <w:color w:val="auto"/>
              </w:rPr>
              <w:t>Payment Date</w:t>
            </w:r>
          </w:p>
        </w:tc>
        <w:tc>
          <w:tcPr>
            <w:tcW w:w="1320" w:type="dxa"/>
            <w:vAlign w:val="bottom"/>
            <w:gridSpan w:val="2"/>
          </w:tcPr>
          <w:p>
            <w:pPr>
              <w:jc w:val="right"/>
              <w:spacing w:after="0" w:line="129" w:lineRule="exact"/>
              <w:rPr>
                <w:sz w:val="20"/>
                <w:szCs w:val="20"/>
                <w:color w:val="auto"/>
              </w:rPr>
            </w:pPr>
            <w:r>
              <w:rPr>
                <w:rFonts w:ascii="Arial" w:cs="Arial" w:eastAsia="Arial" w:hAnsi="Arial"/>
                <w:sz w:val="10"/>
                <w:szCs w:val="10"/>
                <w:b w:val="1"/>
                <w:bCs w:val="1"/>
                <w:color w:val="auto"/>
              </w:rPr>
              <w:t xml:space="preserve">Dividend per Share </w:t>
            </w:r>
            <w:r>
              <w:rPr>
                <w:rFonts w:ascii="Arial" w:cs="Arial" w:eastAsia="Arial" w:hAnsi="Arial"/>
                <w:sz w:val="14"/>
                <w:szCs w:val="14"/>
                <w:b w:val="1"/>
                <w:bCs w:val="1"/>
                <w:color w:val="auto"/>
                <w:vertAlign w:val="superscript"/>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12, 2013</w:t>
            </w:r>
          </w:p>
        </w:tc>
        <w:tc>
          <w:tcPr>
            <w:tcW w:w="146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w w:val="86"/>
              </w:rPr>
              <w:t>March 31, 2013</w:t>
            </w:r>
          </w:p>
        </w:tc>
        <w:tc>
          <w:tcPr>
            <w:tcW w:w="7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6, 2013</w:t>
            </w:r>
          </w:p>
        </w:tc>
        <w:tc>
          <w:tcPr>
            <w:tcW w:w="1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86"/>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rPr>
              <w:t>June 30, 2013</w:t>
            </w:r>
          </w:p>
        </w:tc>
        <w:tc>
          <w:tcPr>
            <w:tcW w:w="2560" w:type="dxa"/>
            <w:vAlign w:val="bottom"/>
            <w:gridSpan w:val="2"/>
          </w:tcPr>
          <w:p>
            <w:pPr>
              <w:jc w:val="right"/>
              <w:ind w:right="1280"/>
              <w:spacing w:after="0"/>
              <w:rPr>
                <w:sz w:val="20"/>
                <w:szCs w:val="20"/>
                <w:color w:val="auto"/>
              </w:rPr>
            </w:pPr>
            <w:r>
              <w:rPr>
                <w:rFonts w:ascii="Arial" w:cs="Arial" w:eastAsia="Arial" w:hAnsi="Arial"/>
                <w:sz w:val="18"/>
                <w:szCs w:val="18"/>
                <w:color w:val="auto"/>
              </w:rPr>
              <w:t>July 31, 2013</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2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September 30, 2013</w:t>
            </w:r>
          </w:p>
        </w:tc>
        <w:tc>
          <w:tcPr>
            <w:tcW w:w="256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w w:val="90"/>
              </w:rPr>
              <w:t>October 31, 2013</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color w:val="auto"/>
              </w:rPr>
              <w:t xml:space="preserve">December 31, 2013 </w:t>
            </w:r>
            <w:r>
              <w:rPr>
                <w:rFonts w:ascii="Arial" w:cs="Arial" w:eastAsia="Arial" w:hAnsi="Arial"/>
                <w:sz w:val="11"/>
                <w:szCs w:val="11"/>
                <w:color w:val="auto"/>
              </w:rPr>
              <w:t>(1)</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w w:val="91"/>
              </w:rPr>
              <w:t>December 31, 2013</w:t>
            </w:r>
          </w:p>
        </w:tc>
        <w:tc>
          <w:tcPr>
            <w:tcW w:w="2560" w:type="dxa"/>
            <w:vAlign w:val="bottom"/>
            <w:gridSpan w:val="2"/>
          </w:tcPr>
          <w:p>
            <w:pPr>
              <w:jc w:val="right"/>
              <w:ind w:right="1280"/>
              <w:spacing w:after="0"/>
              <w:rPr>
                <w:sz w:val="20"/>
                <w:szCs w:val="20"/>
                <w:color w:val="auto"/>
              </w:rPr>
            </w:pPr>
            <w:r>
              <w:rPr>
                <w:rFonts w:ascii="Arial" w:cs="Arial" w:eastAsia="Arial" w:hAnsi="Arial"/>
                <w:sz w:val="18"/>
                <w:szCs w:val="18"/>
                <w:color w:val="auto"/>
                <w:w w:val="90"/>
              </w:rPr>
              <w:t>January 30, 2014</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December 31, 2013 declared dividend includes a special dividend of $0.03 per share.</w:t>
      </w:r>
    </w:p>
    <w:p>
      <w:pPr>
        <w:spacing w:after="0" w:line="15" w:lineRule="exact"/>
        <w:rPr>
          <w:rFonts w:ascii="Arial" w:cs="Arial" w:eastAsia="Arial" w:hAnsi="Arial"/>
          <w:sz w:val="18"/>
          <w:szCs w:val="18"/>
          <w:color w:val="auto"/>
        </w:rPr>
      </w:pPr>
    </w:p>
    <w:p>
      <w:pPr>
        <w:ind w:left="1480" w:hanging="567"/>
        <w:spacing w:after="0" w:line="261"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rPr>
              <w:t>December 31, 2012</w:t>
            </w: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660" w:type="dxa"/>
            <w:vAlign w:val="bottom"/>
            <w:vMerge w:val="restart"/>
          </w:tcPr>
          <w:p>
            <w:pPr>
              <w:spacing w:after="0"/>
              <w:rPr>
                <w:sz w:val="10"/>
                <w:szCs w:val="10"/>
                <w:color w:val="auto"/>
              </w:rPr>
            </w:pPr>
          </w:p>
        </w:tc>
        <w:tc>
          <w:tcPr>
            <w:tcW w:w="2200" w:type="dxa"/>
            <w:vAlign w:val="bottom"/>
            <w:gridSpan w:val="2"/>
            <w:vMerge w:val="restart"/>
          </w:tcPr>
          <w:p>
            <w:pPr>
              <w:jc w:val="right"/>
              <w:ind w:right="1120"/>
              <w:spacing w:after="0"/>
              <w:rPr>
                <w:sz w:val="20"/>
                <w:szCs w:val="20"/>
                <w:color w:val="auto"/>
              </w:rPr>
            </w:pPr>
            <w:r>
              <w:rPr>
                <w:rFonts w:ascii="Arial" w:cs="Arial" w:eastAsia="Arial" w:hAnsi="Arial"/>
                <w:sz w:val="14"/>
                <w:szCs w:val="14"/>
                <w:b w:val="1"/>
                <w:bCs w:val="1"/>
                <w:color w:val="auto"/>
              </w:rPr>
              <w:t>Record Date</w:t>
            </w:r>
          </w:p>
        </w:tc>
        <w:tc>
          <w:tcPr>
            <w:tcW w:w="196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Payment Date</w:t>
            </w:r>
          </w:p>
        </w:tc>
        <w:tc>
          <w:tcPr>
            <w:tcW w:w="620" w:type="dxa"/>
            <w:vAlign w:val="bottom"/>
          </w:tcPr>
          <w:p>
            <w:pPr>
              <w:spacing w:after="0"/>
              <w:rPr>
                <w:sz w:val="10"/>
                <w:szCs w:val="10"/>
                <w:color w:val="auto"/>
              </w:rPr>
            </w:pPr>
          </w:p>
        </w:tc>
        <w:tc>
          <w:tcPr>
            <w:tcW w:w="116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rPr>
              <w:t>Dividend 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880" w:type="dxa"/>
            <w:vAlign w:val="bottom"/>
            <w:tcBorders>
              <w:bottom w:val="single" w:sz="8" w:color="auto"/>
            </w:tcBorders>
            <w:vMerge w:val="continue"/>
          </w:tcPr>
          <w:p>
            <w:pPr>
              <w:spacing w:after="0"/>
              <w:rPr>
                <w:sz w:val="13"/>
                <w:szCs w:val="13"/>
                <w:color w:val="auto"/>
              </w:rPr>
            </w:pPr>
          </w:p>
        </w:tc>
        <w:tc>
          <w:tcPr>
            <w:tcW w:w="2660" w:type="dxa"/>
            <w:vAlign w:val="bottom"/>
            <w:vMerge w:val="continue"/>
          </w:tcPr>
          <w:p>
            <w:pPr>
              <w:spacing w:after="0"/>
              <w:rPr>
                <w:sz w:val="13"/>
                <w:szCs w:val="13"/>
                <w:color w:val="auto"/>
              </w:rPr>
            </w:pPr>
          </w:p>
        </w:tc>
        <w:tc>
          <w:tcPr>
            <w:tcW w:w="2200" w:type="dxa"/>
            <w:vAlign w:val="bottom"/>
            <w:gridSpan w:val="2"/>
            <w:vMerge w:val="continue"/>
          </w:tcPr>
          <w:p>
            <w:pPr>
              <w:spacing w:after="0"/>
              <w:rPr>
                <w:sz w:val="13"/>
                <w:szCs w:val="13"/>
                <w:color w:val="auto"/>
              </w:rPr>
            </w:pPr>
          </w:p>
        </w:tc>
        <w:tc>
          <w:tcPr>
            <w:tcW w:w="196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417"/>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7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7, 2012</w:t>
            </w: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rPr>
              <w:t>June 30, 2012</w:t>
            </w: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rPr>
              <w:t>August 3, 2012</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September 30, 2012</w:t>
            </w:r>
          </w:p>
        </w:tc>
        <w:tc>
          <w:tcPr>
            <w:tcW w:w="1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October 30, 2012</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 xml:space="preserve">December 31, 2012 </w:t>
            </w:r>
            <w:r>
              <w:rPr>
                <w:rFonts w:ascii="Arial" w:cs="Arial" w:eastAsia="Arial" w:hAnsi="Arial"/>
                <w:sz w:val="11"/>
                <w:szCs w:val="11"/>
                <w:color w:val="auto"/>
              </w:rPr>
              <w:t>(1)</w:t>
            </w:r>
          </w:p>
        </w:tc>
        <w:tc>
          <w:tcPr>
            <w:tcW w:w="2200" w:type="dxa"/>
            <w:vAlign w:val="bottom"/>
            <w:gridSpan w:val="2"/>
          </w:tcPr>
          <w:p>
            <w:pPr>
              <w:jc w:val="right"/>
              <w:ind w:right="740"/>
              <w:spacing w:after="0"/>
              <w:rPr>
                <w:sz w:val="20"/>
                <w:szCs w:val="20"/>
                <w:color w:val="auto"/>
              </w:rPr>
            </w:pPr>
            <w:r>
              <w:rPr>
                <w:rFonts w:ascii="Arial" w:cs="Arial" w:eastAsia="Arial" w:hAnsi="Arial"/>
                <w:sz w:val="18"/>
                <w:szCs w:val="18"/>
                <w:color w:val="auto"/>
                <w:w w:val="91"/>
              </w:rPr>
              <w:t>December 31, 2012</w:t>
            </w:r>
          </w:p>
        </w:tc>
        <w:tc>
          <w:tcPr>
            <w:tcW w:w="196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January 31, 2013</w:t>
            </w:r>
          </w:p>
        </w:tc>
        <w:tc>
          <w:tcPr>
            <w:tcW w:w="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Declared</w:t>
            </w: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480" w:hanging="567"/>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December 31, 2012 declared dividend includes a special dividend of $0.01 per share.</w:t>
      </w:r>
    </w:p>
    <w:p>
      <w:pPr>
        <w:spacing w:after="0" w:line="15" w:lineRule="exact"/>
        <w:rPr>
          <w:rFonts w:ascii="Arial" w:cs="Arial" w:eastAsia="Arial" w:hAnsi="Arial"/>
          <w:sz w:val="18"/>
          <w:szCs w:val="18"/>
          <w:color w:val="auto"/>
        </w:rPr>
      </w:pPr>
    </w:p>
    <w:p>
      <w:pPr>
        <w:ind w:left="1480" w:hanging="567"/>
        <w:spacing w:after="0" w:line="261"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have been retroactively adjusted for the stock split which was effected in the form of a stock dividend.</w:t>
      </w:r>
    </w:p>
    <w:p>
      <w:pPr>
        <w:spacing w:after="0" w:line="13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dividends declared during the years ended December 31, 2013 and December 31, 2012, were derived from net investment income and long-term capital gains, determined on a tax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2013, 2012 and 2011, to undistributed taxable income at December 31, 2013, 2012 and 2011:</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8"/>
              </w:rPr>
              <w:t>Year Ended</w:t>
            </w: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8"/>
              </w:rPr>
              <w:t>Year Ended</w:t>
            </w:r>
          </w:p>
        </w:tc>
        <w:tc>
          <w:tcPr>
            <w:tcW w:w="11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4"/>
                <w:szCs w:val="14"/>
                <w:color w:val="auto"/>
              </w:rPr>
            </w:pP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5"/>
              </w:rPr>
              <w:t>December 31, 2013</w:t>
            </w:r>
          </w:p>
        </w:tc>
        <w:tc>
          <w:tcPr>
            <w:tcW w:w="20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5"/>
              </w:rPr>
              <w:t>December 31, 2012</w:t>
            </w: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w w:val="85"/>
              </w:rPr>
              <w:t>December 31, 2011</w:t>
            </w:r>
          </w:p>
        </w:tc>
        <w:tc>
          <w:tcPr>
            <w:tcW w:w="0" w:type="dxa"/>
            <w:vAlign w:val="bottom"/>
          </w:tcPr>
          <w:p>
            <w:pPr>
              <w:spacing w:after="0"/>
              <w:rPr>
                <w:sz w:val="1"/>
                <w:szCs w:val="1"/>
                <w:color w:val="auto"/>
              </w:rPr>
            </w:pPr>
          </w:p>
        </w:tc>
      </w:tr>
      <w:tr>
        <w:trPr>
          <w:trHeight w:val="188"/>
        </w:trPr>
        <w:tc>
          <w:tcPr>
            <w:tcW w:w="43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Increase in net assets resulting from</w:t>
            </w:r>
          </w:p>
        </w:tc>
        <w:tc>
          <w:tcPr>
            <w:tcW w:w="4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$39,595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Adjustments: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on investments</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(8,386)</w:t>
            </w:r>
          </w:p>
        </w:tc>
        <w:tc>
          <w:tcPr>
            <w:tcW w:w="10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(7,211)</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(2,312)</w:t>
            </w:r>
          </w:p>
        </w:tc>
        <w:tc>
          <w:tcPr>
            <w:tcW w:w="0" w:type="dxa"/>
            <w:vAlign w:val="bottom"/>
          </w:tcPr>
          <w:p>
            <w:pPr>
              <w:spacing w:after="0"/>
              <w:rPr>
                <w:sz w:val="1"/>
                <w:szCs w:val="1"/>
                <w:color w:val="auto"/>
              </w:rPr>
            </w:pPr>
          </w:p>
        </w:tc>
      </w:tr>
      <w:tr>
        <w:trPr>
          <w:trHeight w:val="208"/>
        </w:trPr>
        <w:tc>
          <w:tcPr>
            <w:tcW w:w="4320" w:type="dxa"/>
            <w:vAlign w:val="bottom"/>
          </w:tcPr>
          <w:p>
            <w:pPr>
              <w:ind w:left="220"/>
              <w:spacing w:after="0"/>
              <w:rPr>
                <w:sz w:val="20"/>
                <w:szCs w:val="20"/>
                <w:color w:val="auto"/>
              </w:rPr>
            </w:pPr>
            <w:r>
              <w:rPr>
                <w:rFonts w:ascii="Arial" w:cs="Arial" w:eastAsia="Arial" w:hAnsi="Arial"/>
                <w:sz w:val="18"/>
                <w:szCs w:val="18"/>
                <w:color w:val="auto"/>
              </w:rPr>
              <w:t>Other income (expense) for tax purposes,</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not book</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(670)</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organization costs</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1,425</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Other expenses not currently deductible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book-tax differences</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w:t>
            </w:r>
          </w:p>
        </w:tc>
        <w:tc>
          <w:tcPr>
            <w:tcW w:w="1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Undistributed Taxable Income</w:t>
            </w: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58,401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31,755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6"/>
          <w:szCs w:val="16"/>
          <w:color w:val="auto"/>
        </w:rPr>
        <w:t>Taxable income is an estimate and is not fully determined until the Company’s tax return is filed.</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year ended December 31, 2013, permanent differences were principally related to $0.2 million attributable to accrued U.S. federal excise taxes, $3.0 million of recharacterization of prepayment penalties for tax purposes between ordinary income and capital gains and $1.4 million on the disposition of investments with PIK earnings not previously recognized for tax purposes. During the year ended December 31, 2012, permanent differences of $46 thousand were principally attributable to accrued U.S. federal excise taxes. During the year ended December 31, 2011, permanent differences were primarily attributable to $54 thousand of nondeductible net operating losses incurred by the Company in respect of the Company’s taxable year ended March 31, 2011, and were recorded as a decrease to the Company’s additional paid-in capital and accumulated net investment income (loss) as of December 31, 2011.</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We neither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2013, 2012 and 2011,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years ended December 31, 2013, 2012, and 2011. There was no activity for the period from July 21, 2010 (inception) to December 31, 2010 other than the initial issuance of Common Stock.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July 21, 2010</w:t>
            </w:r>
          </w:p>
        </w:tc>
      </w:tr>
      <w:tr>
        <w:trPr>
          <w:trHeight w:val="149"/>
        </w:trPr>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to</w:t>
            </w:r>
          </w:p>
        </w:tc>
      </w:tr>
      <w:tr>
        <w:trPr>
          <w:trHeight w:val="149"/>
        </w:trPr>
        <w:tc>
          <w:tcPr>
            <w:tcW w:w="3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2"/>
                <w:szCs w:val="12"/>
                <w:color w:val="auto"/>
              </w:rPr>
            </w:pPr>
          </w:p>
        </w:tc>
        <w:tc>
          <w:tcPr>
            <w:tcW w:w="186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2"/>
                <w:szCs w:val="12"/>
                <w:color w:val="auto"/>
              </w:rPr>
            </w:pPr>
          </w:p>
        </w:tc>
        <w:tc>
          <w:tcPr>
            <w:tcW w:w="1920" w:type="dxa"/>
            <w:vAlign w:val="bottom"/>
            <w:gridSpan w:val="2"/>
          </w:tcPr>
          <w:p>
            <w:pPr>
              <w:jc w:val="right"/>
              <w:ind w:right="11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1"/>
        </w:trPr>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4"/>
                <w:szCs w:val="14"/>
                <w:color w:val="auto"/>
              </w:rPr>
            </w:pPr>
          </w:p>
        </w:tc>
      </w:tr>
      <w:tr>
        <w:trPr>
          <w:trHeight w:val="196"/>
        </w:trPr>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1"/>
                <w:szCs w:val="11"/>
                <w:b w:val="1"/>
                <w:bCs w:val="1"/>
                <w:color w:val="auto"/>
              </w:rPr>
              <w:t>(3)(4)</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15.19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14.71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9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0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at prices above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value</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8"/>
                <w:szCs w:val="18"/>
                <w:color w:val="auto"/>
              </w:rPr>
              <w:t>(0.44)</w:t>
            </w:r>
          </w:p>
        </w:tc>
        <w:tc>
          <w:tcPr>
            <w:tcW w:w="1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1"/>
        </w:trPr>
        <w:tc>
          <w:tcPr>
            <w:tcW w:w="3980" w:type="dxa"/>
            <w:vAlign w:val="bottom"/>
          </w:tcPr>
          <w:p>
            <w:pPr>
              <w:ind w:left="440"/>
              <w:spacing w:after="0"/>
              <w:rPr>
                <w:sz w:val="20"/>
                <w:szCs w:val="20"/>
                <w:color w:val="auto"/>
              </w:rPr>
            </w:pPr>
            <w:r>
              <w:rPr>
                <w:rFonts w:ascii="Arial" w:cs="Arial" w:eastAsia="Arial" w:hAnsi="Arial"/>
                <w:sz w:val="18"/>
                <w:szCs w:val="18"/>
                <w:color w:val="auto"/>
              </w:rPr>
              <w:t>Total from investment operations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9"/>
                <w:szCs w:val="19"/>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9"/>
                <w:szCs w:val="19"/>
                <w:color w:val="auto"/>
              </w:rPr>
            </w:pPr>
          </w:p>
        </w:tc>
        <w:tc>
          <w:tcPr>
            <w:tcW w:w="1920" w:type="dxa"/>
            <w:vAlign w:val="bottom"/>
            <w:gridSpan w:val="2"/>
          </w:tcPr>
          <w:p>
            <w:pPr>
              <w:jc w:val="right"/>
              <w:ind w:right="900"/>
              <w:spacing w:after="0"/>
              <w:rPr>
                <w:sz w:val="20"/>
                <w:szCs w:val="20"/>
                <w:color w:val="auto"/>
              </w:rPr>
            </w:pPr>
            <w:r>
              <w:rPr>
                <w:rFonts w:ascii="Arial" w:cs="Arial" w:eastAsia="Arial" w:hAnsi="Arial"/>
                <w:sz w:val="18"/>
                <w:szCs w:val="18"/>
                <w:color w:val="auto"/>
              </w:rPr>
              <w:t>(0.22)</w:t>
            </w:r>
          </w:p>
        </w:tc>
        <w:tc>
          <w:tcPr>
            <w:tcW w:w="1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Dividends declared from realized gains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19"/>
                <w:szCs w:val="19"/>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9"/>
                <w:szCs w:val="19"/>
                <w:color w:val="auto"/>
              </w:rPr>
            </w:pPr>
          </w:p>
        </w:tc>
        <w:tc>
          <w:tcPr>
            <w:tcW w:w="192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increase in net assets</w:t>
            </w: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9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9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9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r>
      <w:tr>
        <w:trPr>
          <w:trHeight w:val="222"/>
        </w:trPr>
        <w:tc>
          <w:tcPr>
            <w:tcW w:w="3980" w:type="dxa"/>
            <w:vAlign w:val="bottom"/>
          </w:tcPr>
          <w:p>
            <w:pPr>
              <w:ind w:left="440"/>
              <w:spacing w:after="0"/>
              <w:rPr>
                <w:sz w:val="20"/>
                <w:szCs w:val="20"/>
                <w:color w:val="auto"/>
              </w:rPr>
            </w:pPr>
            <w:r>
              <w:rPr>
                <w:rFonts w:ascii="Arial" w:cs="Arial" w:eastAsia="Arial" w:hAnsi="Arial"/>
                <w:sz w:val="18"/>
                <w:szCs w:val="18"/>
                <w:b w:val="1"/>
                <w:bCs w:val="1"/>
                <w:color w:val="auto"/>
              </w:rPr>
              <w:t>Net Asset Value, End of Period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15.52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15.19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14.71</w:t>
            </w:r>
          </w:p>
        </w:tc>
        <w:tc>
          <w:tcPr>
            <w:tcW w:w="9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r>
      <w:tr>
        <w:trPr>
          <w:trHeight w:val="20"/>
        </w:trPr>
        <w:tc>
          <w:tcPr>
            <w:tcW w:w="3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Shares Outstanding, End of Period </w:t>
            </w:r>
            <w:r>
              <w:rPr>
                <w:rFonts w:ascii="Arial" w:cs="Arial" w:eastAsia="Arial" w:hAnsi="Arial"/>
                <w:sz w:val="11"/>
                <w:szCs w:val="11"/>
                <w:b w:val="1"/>
                <w:bCs w:val="1"/>
                <w:color w:val="auto"/>
              </w:rPr>
              <w:t>(4)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37,026,023</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31,582,954</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11,770,514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66,676</w:t>
            </w: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1"/>
                <w:szCs w:val="11"/>
                <w:b w:val="1"/>
                <w:bCs w:val="1"/>
                <w:color w:val="auto"/>
              </w:rPr>
              <w:t>(1)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12.44%</w:t>
            </w:r>
          </w:p>
        </w:tc>
        <w:tc>
          <w:tcPr>
            <w:tcW w:w="14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Ratio of net expenses to average net assets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920" w:type="dxa"/>
            <w:vAlign w:val="bottom"/>
            <w:gridSpan w:val="2"/>
          </w:tcPr>
          <w:p>
            <w:pPr>
              <w:jc w:val="right"/>
              <w:ind w:right="82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0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(loss) to average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assets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574,696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479,803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173,092</w:t>
            </w:r>
          </w:p>
        </w:tc>
        <w:tc>
          <w:tcPr>
            <w:tcW w:w="9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34,635,208</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20,541,475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3,347,602</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4,467</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 xml:space="preserve">Total committed capital, end of period </w:t>
            </w:r>
            <w:r>
              <w:rPr>
                <w:rFonts w:ascii="Arial" w:cs="Arial" w:eastAsia="Arial" w:hAnsi="Arial"/>
                <w:sz w:val="11"/>
                <w:szCs w:val="11"/>
                <w:color w:val="auto"/>
              </w:rPr>
              <w:t>(2)</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1,500,000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1,402,970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1,211,246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r>
      <w:tr>
        <w:trPr>
          <w:trHeight w:val="20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9"/>
              </w:rPr>
              <w:t>Ratio of total contributed capital to total committed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end of period</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Year of formation</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2010</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2010</w:t>
            </w:r>
          </w:p>
        </w:tc>
      </w:tr>
    </w:tbl>
    <w:p>
      <w:pPr>
        <w:spacing w:after="0" w:line="66" w:lineRule="exact"/>
        <w:rPr>
          <w:sz w:val="20"/>
          <w:szCs w:val="20"/>
          <w:color w:val="auto"/>
        </w:rPr>
      </w:pPr>
    </w:p>
    <w:p>
      <w:pPr>
        <w:ind w:left="460" w:right="40" w:hanging="452"/>
        <w:spacing w:after="0" w:line="283"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the Company’s formation (at $1 per share) and accordingly the information is not meaningful. Excluding the effect of the initial seed funding, total return for the period July 1, 2011 through December 31, 2011 would be (1.58%).</w:t>
      </w:r>
    </w:p>
    <w:p>
      <w:pPr>
        <w:spacing w:after="0" w:line="2" w:lineRule="exact"/>
        <w:rPr>
          <w:rFonts w:ascii="Arial" w:cs="Arial" w:eastAsia="Arial" w:hAnsi="Arial"/>
          <w:sz w:val="16"/>
          <w:szCs w:val="16"/>
          <w:color w:val="auto"/>
        </w:rPr>
      </w:pPr>
    </w:p>
    <w:p>
      <w:pPr>
        <w:ind w:left="460" w:right="52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of December 31, 2013, 2012 and 2011, the amount includes commitments from the Adviser and its affiliates of $117.1, $114.1 and $70.4 million, respectively.</w:t>
      </w:r>
    </w:p>
    <w:p>
      <w:pPr>
        <w:ind w:left="460" w:right="42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actual number of shares outstanding at the end of the corresponding period or the weighted average shares outstanding for the period, unless otherwise noted.</w:t>
      </w:r>
    </w:p>
    <w:p>
      <w:pPr>
        <w:ind w:left="460" w:right="12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activity prior to December 3, 2013 have been retroactively adjusted for the stock split which was effected in the form of a stock dividend.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27,569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23,298</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20,940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20,802</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10,576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8,713</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8,123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7,696</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16,993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14,585</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12,817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13,106</w:t>
            </w:r>
          </w:p>
        </w:tc>
        <w:tc>
          <w:tcPr>
            <w:tcW w:w="18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4,063</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1,674</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1,391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2,355</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21,056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16,259</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14,208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15,461</w:t>
            </w:r>
          </w:p>
        </w:tc>
        <w:tc>
          <w:tcPr>
            <w:tcW w:w="180" w:type="dxa"/>
            <w:vAlign w:val="bottom"/>
            <w:shd w:val="clear" w:color="auto" w:fill="CCEEFF"/>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15.52</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15.35</w:t>
            </w:r>
            <w:r>
              <w:rPr>
                <w:rFonts w:ascii="Arial" w:cs="Arial" w:eastAsia="Arial" w:hAnsi="Arial"/>
                <w:sz w:val="11"/>
                <w:szCs w:val="11"/>
                <w:color w:val="auto"/>
              </w:rPr>
              <w:t>(1)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15.29</w:t>
            </w:r>
            <w:r>
              <w:rPr>
                <w:rFonts w:ascii="Arial" w:cs="Arial" w:eastAsia="Arial" w:hAnsi="Arial"/>
                <w:sz w:val="11"/>
                <w:szCs w:val="11"/>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15.27</w:t>
            </w:r>
            <w:r>
              <w:rPr>
                <w:rFonts w:ascii="Arial" w:cs="Arial" w:eastAsia="Arial" w:hAnsi="Arial"/>
                <w:sz w:val="11"/>
                <w:szCs w:val="11"/>
                <w:color w:val="auto"/>
              </w:rPr>
              <w:t>(1)</w:t>
            </w:r>
          </w:p>
        </w:tc>
      </w:tr>
      <w:tr>
        <w:trPr>
          <w:trHeight w:val="358"/>
        </w:trPr>
        <w:tc>
          <w:tcPr>
            <w:tcW w:w="6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18,169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14,554</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11,314</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7,277</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6,637</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4,711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4,357</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8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Gains on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1,568</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5,664</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3,169</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12,460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13,581</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180" w:type="dxa"/>
            <w:vAlign w:val="bottom"/>
            <w:shd w:val="clear" w:color="auto" w:fill="CCEEFF"/>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15.19</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15.12</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14.92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14.88</w:t>
            </w:r>
          </w:p>
        </w:tc>
        <w:tc>
          <w:tcPr>
            <w:tcW w:w="180" w:type="dxa"/>
            <w:vAlign w:val="bottom"/>
          </w:tcPr>
          <w:p>
            <w:pPr>
              <w:spacing w:after="0"/>
              <w:rPr>
                <w:sz w:val="19"/>
                <w:szCs w:val="19"/>
                <w:color w:val="auto"/>
              </w:rPr>
            </w:pPr>
          </w:p>
        </w:tc>
      </w:tr>
      <w:tr>
        <w:trPr>
          <w:trHeight w:val="358"/>
        </w:trPr>
        <w:tc>
          <w:tcPr>
            <w:tcW w:w="6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6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2,835</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1,789</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1,554</w:t>
            </w:r>
          </w:p>
        </w:tc>
        <w:tc>
          <w:tcPr>
            <w:tcW w:w="1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(1,554)</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Unrealized Gains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937</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1,375</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(1,554)</w:t>
            </w: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Net Asset (Liability) Value per Share as of the End of the Quarter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14.71</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14.50</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14.06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(23.31)</w:t>
            </w:r>
          </w:p>
        </w:tc>
      </w:tr>
    </w:tbl>
    <w:p>
      <w:pPr>
        <w:spacing w:after="0" w:line="66" w:lineRule="exact"/>
        <w:rPr>
          <w:sz w:val="20"/>
          <w:szCs w:val="20"/>
          <w:color w:val="auto"/>
        </w:rPr>
      </w:pPr>
    </w:p>
    <w:p>
      <w:pPr>
        <w:ind w:left="900" w:right="2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0960"/>
          </w:cols>
          <w:pgMar w:left="240" w:top="459" w:right="6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9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10-K/A for the year ended December 31, 2013,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306" w:lineRule="auto"/>
        <w:tabs>
          <w:tab w:leader="none" w:pos="14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480" w:right="440" w:hanging="567"/>
        <w:spacing w:after="0" w:line="357" w:lineRule="auto"/>
        <w:tabs>
          <w:tab w:leader="none" w:pos="1480" w:val="left"/>
        </w:tabs>
        <w:numPr>
          <w:ilvl w:val="1"/>
          <w:numId w:val="3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320" w:hanging="567"/>
        <w:spacing w:after="0" w:line="259"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F</w:t>
      </w:r>
      <w:r>
        <w:rPr>
          <w:rFonts w:ascii="Arial" w:cs="Arial" w:eastAsia="Arial" w:hAnsi="Arial"/>
          <w:sz w:val="14"/>
          <w:szCs w:val="14"/>
          <w:color w:val="auto"/>
        </w:rPr>
        <w:t>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Michael Fishman</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90"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10-K/A for the year ended December 31, 2013,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306" w:lineRule="auto"/>
        <w:tabs>
          <w:tab w:leader="none" w:pos="14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480" w:right="440" w:hanging="567"/>
        <w:spacing w:after="0" w:line="357" w:lineRule="auto"/>
        <w:tabs>
          <w:tab w:leader="none" w:pos="1480" w:val="left"/>
        </w:tabs>
        <w:numPr>
          <w:ilvl w:val="1"/>
          <w:numId w:val="3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320" w:hanging="567"/>
        <w:spacing w:after="0" w:line="259" w:lineRule="auto"/>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pacing w:after="0" w:line="320"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OSHUA</w:t>
      </w:r>
      <w:r>
        <w:rPr>
          <w:rFonts w:ascii="Arial" w:cs="Arial" w:eastAsia="Arial" w:hAnsi="Arial"/>
          <w:sz w:val="18"/>
          <w:szCs w:val="18"/>
          <w:color w:val="auto"/>
        </w:rPr>
        <w:t xml:space="preserve"> E</w:t>
      </w:r>
      <w:r>
        <w:rPr>
          <w:rFonts w:ascii="Arial" w:cs="Arial" w:eastAsia="Arial" w:hAnsi="Arial"/>
          <w:sz w:val="14"/>
          <w:szCs w:val="14"/>
          <w:color w:val="auto"/>
        </w:rPr>
        <w:t>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Joshua Easterly</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Alan Kirshenbaum, certify that:</w:t>
      </w:r>
    </w:p>
    <w:p>
      <w:pPr>
        <w:spacing w:after="0" w:line="90"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10-K/A for the year ended December 31, 2013,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306" w:lineRule="auto"/>
        <w:tabs>
          <w:tab w:leader="none" w:pos="14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480" w:right="440" w:hanging="567"/>
        <w:spacing w:after="0" w:line="357" w:lineRule="auto"/>
        <w:tabs>
          <w:tab w:leader="none" w:pos="1480" w:val="left"/>
        </w:tabs>
        <w:numPr>
          <w:ilvl w:val="1"/>
          <w:numId w:val="3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320" w:hanging="567"/>
        <w:spacing w:after="0" w:line="259"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LAN</w:t>
      </w:r>
      <w:r>
        <w:rPr>
          <w:rFonts w:ascii="Arial" w:cs="Arial" w:eastAsia="Arial" w:hAnsi="Arial"/>
          <w:sz w:val="18"/>
          <w:szCs w:val="18"/>
          <w:color w:val="auto"/>
        </w:rPr>
        <w:t xml:space="preserve"> K</w:t>
      </w:r>
      <w:r>
        <w:rPr>
          <w:rFonts w:ascii="Arial" w:cs="Arial" w:eastAsia="Arial" w:hAnsi="Arial"/>
          <w:sz w:val="14"/>
          <w:szCs w:val="14"/>
          <w:color w:val="auto"/>
        </w:rPr>
        <w:t>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Alan Kirshenbaum</w:t>
      </w:r>
    </w:p>
    <w:p>
      <w:pPr>
        <w:spacing w:after="0" w:line="15"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connection with the annual report on Form 10-K/A of TPG Specialty Lending, Inc. (the “Company”) for the annual period ended December 31, 2013, as filed with the Securities and Exchange Commission on the date hereof (the “Report”), Michael Fishman, as Co-Chief Executive Officer of the Company, Joshua Easterly, as Co-Chief Executive Officer of the Company and Alan Kirshenbaum, as Chief Financial Officer of the Company, each hereby certifies, pursuant to 18 U.S.C. § 1350, as adopted pursuant to § 906 of the Sarbanes-Oxley Act of 2002, that, to such officer’s knowledge:</w:t>
      </w:r>
    </w:p>
    <w:p>
      <w:pPr>
        <w:spacing w:after="0" w:line="153"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F</w:t>
      </w:r>
      <w:r>
        <w:rPr>
          <w:rFonts w:ascii="Arial" w:cs="Arial" w:eastAsia="Arial" w:hAnsi="Arial"/>
          <w:sz w:val="14"/>
          <w:szCs w:val="14"/>
          <w:color w:val="auto"/>
        </w:rPr>
        <w:t>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Fishman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Co-Chief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OSHUA</w:t>
      </w:r>
      <w:r>
        <w:rPr>
          <w:rFonts w:ascii="Arial" w:cs="Arial" w:eastAsia="Arial" w:hAnsi="Arial"/>
          <w:sz w:val="18"/>
          <w:szCs w:val="18"/>
          <w:color w:val="auto"/>
        </w:rPr>
        <w:t xml:space="preserve"> E</w:t>
      </w:r>
      <w:r>
        <w:rPr>
          <w:rFonts w:ascii="Arial" w:cs="Arial" w:eastAsia="Arial" w:hAnsi="Arial"/>
          <w:sz w:val="14"/>
          <w:szCs w:val="14"/>
          <w:color w:val="auto"/>
        </w:rPr>
        <w:t>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Joshua Easterly</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Co-Chief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pacing w:after="0" w:line="3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LAN</w:t>
      </w:r>
      <w:r>
        <w:rPr>
          <w:rFonts w:ascii="Arial" w:cs="Arial" w:eastAsia="Arial" w:hAnsi="Arial"/>
          <w:sz w:val="18"/>
          <w:szCs w:val="18"/>
          <w:color w:val="auto"/>
        </w:rPr>
        <w:t xml:space="preserve"> K</w:t>
      </w:r>
      <w:r>
        <w:rPr>
          <w:rFonts w:ascii="Arial" w:cs="Arial" w:eastAsia="Arial" w:hAnsi="Arial"/>
          <w:sz w:val="14"/>
          <w:szCs w:val="14"/>
          <w:color w:val="auto"/>
        </w:rPr>
        <w:t>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Alan Kirshenbaum</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2014</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3"/>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2"/>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3"/>
    </w:lvl>
  </w:abstractNum>
  <w:abstractNum w:abstractNumId="14">
    <w:nsid w:val="B03E0C6"/>
    <w:multiLevelType w:val="hybridMultilevel"/>
    <w:lvl w:ilvl="0">
      <w:lvlJc w:val="left"/>
      <w:lvlText w:val="(%1)"/>
      <w:numFmt w:val="lowerRoman"/>
      <w:start w:val="1"/>
    </w:lvl>
  </w:abstractNum>
  <w:abstractNum w:abstractNumId="15">
    <w:nsid w:val="189A769B"/>
    <w:multiLevelType w:val="hybridMultilevel"/>
    <w:lvl w:ilvl="0">
      <w:lvlJc w:val="left"/>
      <w:lvlText w:val="(%1)"/>
      <w:numFmt w:val="lowerRoman"/>
      <w:start w:val="2"/>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5"/>
    </w:lvl>
  </w:abstractNum>
  <w:abstractNum w:abstractNumId="18">
    <w:nsid w:val="2CA88611"/>
    <w:multiLevelType w:val="hybridMultilevel"/>
    <w:lvl w:ilvl="0">
      <w:lvlJc w:val="left"/>
      <w:lvlText w:val="%1."/>
      <w:numFmt w:val="decimal"/>
      <w:start w:val="6"/>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
      <w:numFmt w:val="bullet"/>
      <w:start w:val="1"/>
    </w:lvl>
    <w:lvl w:ilvl="1">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8"/>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2019-12-08T00:31:53Z</dcterms:created>
  <dcterms:modified xsi:type="dcterms:W3CDTF">2019-12-08T00:31:53Z</dcterms:modified>
</cp:coreProperties>
</file>