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right="24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 w:lineRule="exact"/>
        <w:rPr>
          <w:sz w:val="24"/>
          <w:szCs w:val="24"/>
          <w:color w:val="auto"/>
        </w:rPr>
      </w:pPr>
    </w:p>
    <w:p>
      <w:pPr>
        <w:ind w:left="34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Sixth Street Specialty Lending,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4600" w:type="dxa"/>
            <w:vAlign w:val="bottom"/>
          </w:tcPr>
          <w:p>
            <w:pPr>
              <w:jc w:val="center"/>
              <w:ind w:right="1759"/>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4600" w:type="dxa"/>
            <w:vAlign w:val="bottom"/>
          </w:tcPr>
          <w:p>
            <w:pPr>
              <w:jc w:val="center"/>
              <w:ind w:right="17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60" w:type="dxa"/>
            <w:vAlign w:val="bottom"/>
          </w:tcPr>
          <w:p>
            <w:pPr>
              <w:jc w:val="center"/>
              <w:ind w:left="17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00" w:type="dxa"/>
            <w:vAlign w:val="bottom"/>
          </w:tcPr>
          <w:p>
            <w:pPr>
              <w:jc w:val="center"/>
              <w:ind w:right="1759"/>
              <w:spacing w:after="0"/>
              <w:rPr>
                <w:sz w:val="20"/>
                <w:szCs w:val="20"/>
                <w:color w:val="auto"/>
              </w:rPr>
            </w:pPr>
            <w:r>
              <w:rPr>
                <w:rFonts w:ascii="Arial" w:cs="Arial" w:eastAsia="Arial" w:hAnsi="Arial"/>
                <w:sz w:val="14"/>
                <w:szCs w:val="14"/>
                <w:b w:val="1"/>
                <w:bCs w:val="1"/>
                <w:color w:val="auto"/>
                <w:w w:val="94"/>
              </w:rPr>
              <w:t>incorporation or organization)</w:t>
            </w:r>
          </w:p>
        </w:tc>
        <w:tc>
          <w:tcPr>
            <w:tcW w:w="2960" w:type="dxa"/>
            <w:vAlign w:val="bottom"/>
          </w:tcPr>
          <w:p>
            <w:pPr>
              <w:jc w:val="center"/>
              <w:ind w:left="174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600" w:type="dxa"/>
            <w:vAlign w:val="bottom"/>
          </w:tcPr>
          <w:p>
            <w:pPr>
              <w:jc w:val="center"/>
              <w:ind w:right="1759"/>
              <w:spacing w:after="0"/>
              <w:rPr>
                <w:sz w:val="20"/>
                <w:szCs w:val="20"/>
                <w:color w:val="auto"/>
              </w:rPr>
            </w:pPr>
            <w:r>
              <w:rPr>
                <w:rFonts w:ascii="Arial" w:cs="Arial" w:eastAsia="Arial" w:hAnsi="Arial"/>
                <w:sz w:val="18"/>
                <w:szCs w:val="18"/>
                <w:b w:val="1"/>
                <w:bCs w:val="1"/>
                <w:color w:val="auto"/>
                <w:w w:val="90"/>
              </w:rPr>
              <w:t>2100 McKinney Avenue, Suite 1500,</w:t>
            </w:r>
          </w:p>
        </w:tc>
        <w:tc>
          <w:tcPr>
            <w:tcW w:w="2960" w:type="dxa"/>
            <w:vAlign w:val="bottom"/>
          </w:tcPr>
          <w:p>
            <w:pPr>
              <w:spacing w:after="0"/>
              <w:rPr>
                <w:sz w:val="22"/>
                <w:szCs w:val="22"/>
                <w:color w:val="auto"/>
              </w:rPr>
            </w:pPr>
          </w:p>
        </w:tc>
      </w:tr>
      <w:tr>
        <w:trPr>
          <w:trHeight w:val="212"/>
        </w:trPr>
        <w:tc>
          <w:tcPr>
            <w:tcW w:w="4600" w:type="dxa"/>
            <w:vAlign w:val="bottom"/>
          </w:tcPr>
          <w:p>
            <w:pPr>
              <w:jc w:val="center"/>
              <w:ind w:right="1779"/>
              <w:spacing w:after="0"/>
              <w:rPr>
                <w:sz w:val="20"/>
                <w:szCs w:val="20"/>
                <w:color w:val="auto"/>
              </w:rPr>
            </w:pPr>
            <w:r>
              <w:rPr>
                <w:rFonts w:ascii="Arial" w:cs="Arial" w:eastAsia="Arial" w:hAnsi="Arial"/>
                <w:sz w:val="18"/>
                <w:szCs w:val="18"/>
                <w:b w:val="1"/>
                <w:bCs w:val="1"/>
                <w:color w:val="auto"/>
                <w:w w:val="95"/>
              </w:rPr>
              <w:t>Dallas, TX</w:t>
            </w:r>
          </w:p>
        </w:tc>
        <w:tc>
          <w:tcPr>
            <w:tcW w:w="296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4600" w:type="dxa"/>
            <w:vAlign w:val="bottom"/>
          </w:tcPr>
          <w:p>
            <w:pPr>
              <w:jc w:val="center"/>
              <w:ind w:right="17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jc w:val="center"/>
              <w:ind w:left="17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ind w:left="31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39"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6"/>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TSLX</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62"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47" w:right="339" w:bottom="1440" w:gutter="0" w:footer="0" w:header="0"/>
        </w:sectPr>
      </w:pPr>
    </w:p>
    <w:p>
      <w:pPr>
        <w:spacing w:after="0" w:line="92" w:lineRule="exact"/>
        <w:rPr>
          <w:sz w:val="24"/>
          <w:szCs w:val="24"/>
          <w:color w:val="auto"/>
        </w:rPr>
      </w:pPr>
    </w:p>
    <w:p>
      <w:pPr>
        <w:spacing w:after="0" w:line="161" w:lineRule="exact"/>
        <w:tabs>
          <w:tab w:leader="none" w:pos="2860" w:val="left"/>
          <w:tab w:leader="none" w:pos="78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136" w:lineRule="exact"/>
        <w:rPr>
          <w:sz w:val="24"/>
          <w:szCs w:val="24"/>
          <w:color w:val="auto"/>
        </w:rPr>
      </w:pPr>
    </w:p>
    <w:p>
      <w:pPr>
        <w:spacing w:after="0" w:line="161" w:lineRule="exact"/>
        <w:tabs>
          <w:tab w:leader="none" w:pos="2860" w:val="left"/>
          <w:tab w:leader="none" w:pos="788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65" w:lineRule="exact"/>
        <w:rPr>
          <w:sz w:val="24"/>
          <w:szCs w:val="24"/>
          <w:color w:val="auto"/>
        </w:rPr>
      </w:pPr>
    </w:p>
    <w:p>
      <w:pPr>
        <w:ind w:left="7900"/>
        <w:spacing w:after="0"/>
        <w:rPr>
          <w:sz w:val="20"/>
          <w:szCs w:val="20"/>
          <w:color w:val="auto"/>
        </w:rPr>
      </w:pPr>
      <w:r>
        <w:rPr>
          <w:rFonts w:ascii="Arial" w:cs="Arial" w:eastAsia="Arial" w:hAnsi="Arial"/>
          <w:sz w:val="14"/>
          <w:szCs w:val="14"/>
          <w:color w:val="auto"/>
        </w:rPr>
        <w:t>Emerging growth company</w:t>
      </w:r>
    </w:p>
    <w:p>
      <w:pPr>
        <w:spacing w:after="0" w:line="59"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3060"/>
        <w:spacing w:after="0" w:line="22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$.01 par value per share, outstanding at August 3, 2020 was 67,628,140.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80" w:space="80"/>
            <w:col w:w="480"/>
          </w:cols>
          <w:pgMar w:left="320" w:top="64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9200" w:type="dxa"/>
            <w:vAlign w:val="bottom"/>
            <w:vMerge w:val="restart"/>
          </w:tcPr>
          <w:p>
            <w:pPr>
              <w:ind w:left="4360"/>
              <w:spacing w:after="0"/>
              <w:rPr>
                <w:sz w:val="20"/>
                <w:szCs w:val="20"/>
                <w:color w:val="auto"/>
              </w:rPr>
            </w:pPr>
            <w:r>
              <w:rPr>
                <w:rFonts w:ascii="Arial" w:cs="Arial" w:eastAsia="Arial" w:hAnsi="Arial"/>
                <w:sz w:val="14"/>
                <w:szCs w:val="14"/>
                <w:b w:val="1"/>
                <w:bCs w:val="1"/>
                <w:color w:val="auto"/>
              </w:rPr>
              <w:t>INDEX</w:t>
            </w:r>
          </w:p>
        </w:tc>
        <w:tc>
          <w:tcPr>
            <w:tcW w:w="100" w:type="dxa"/>
            <w:vAlign w:val="bottom"/>
            <w:vMerge w:val="restart"/>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92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PART I.</w:t>
            </w:r>
          </w:p>
        </w:tc>
        <w:tc>
          <w:tcPr>
            <w:tcW w:w="930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4"/>
                <w:szCs w:val="24"/>
                <w:color w:val="auto"/>
              </w:rPr>
            </w:pPr>
          </w:p>
        </w:tc>
        <w:tc>
          <w:tcPr>
            <w:tcW w:w="930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 as of June 30, 2020 (Unaudited) and December 31, 2019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4"/>
                <w:szCs w:val="24"/>
                <w:color w:val="auto"/>
              </w:rPr>
            </w:pPr>
          </w:p>
        </w:tc>
        <w:tc>
          <w:tcPr>
            <w:tcW w:w="9300" w:type="dxa"/>
            <w:vAlign w:val="bottom"/>
            <w:gridSpan w:val="2"/>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 for the three and six months ended June 30, 2020 and 2019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4"/>
                <w:szCs w:val="24"/>
                <w:color w:val="auto"/>
              </w:rPr>
            </w:pPr>
          </w:p>
        </w:tc>
        <w:tc>
          <w:tcPr>
            <w:tcW w:w="9300" w:type="dxa"/>
            <w:vAlign w:val="bottom"/>
            <w:gridSpan w:val="2"/>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Schedules of Investments as of June 30, 2020 (Unaudited) and December 31, 2019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9300" w:type="dxa"/>
            <w:vAlign w:val="bottom"/>
            <w:gridSpan w:val="2"/>
          </w:tcPr>
          <w:p>
            <w:pPr>
              <w:spacing w:after="0"/>
              <w:rPr>
                <w:rFonts w:ascii="Arial" w:cs="Arial" w:eastAsia="Arial" w:hAnsi="Arial"/>
                <w:sz w:val="18"/>
                <w:szCs w:val="18"/>
                <w:u w:val="single" w:color="auto"/>
                <w:color w:val="0000EE"/>
                <w:w w:val="93"/>
              </w:rPr>
            </w:pPr>
            <w:hyperlink w:anchor="page20">
              <w:r>
                <w:rPr>
                  <w:rFonts w:ascii="Arial" w:cs="Arial" w:eastAsia="Arial" w:hAnsi="Arial"/>
                  <w:sz w:val="18"/>
                  <w:szCs w:val="18"/>
                  <w:u w:val="single" w:color="auto"/>
                  <w:color w:val="0000EE"/>
                  <w:w w:val="93"/>
                </w:rPr>
                <w:t>Consolidated Statements of Changes in Net Assets for the three and six months ended June 30, 2020 and 2019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4"/>
                <w:szCs w:val="24"/>
                <w:color w:val="auto"/>
              </w:rPr>
            </w:pPr>
          </w:p>
        </w:tc>
        <w:tc>
          <w:tcPr>
            <w:tcW w:w="9300" w:type="dxa"/>
            <w:vAlign w:val="bottom"/>
            <w:gridSpan w:val="2"/>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Consolidated Statements of Cash Flows for the six months ended June 30, 2020 and 2019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4"/>
                <w:szCs w:val="24"/>
                <w:color w:val="auto"/>
              </w:rPr>
            </w:pPr>
          </w:p>
        </w:tc>
        <w:tc>
          <w:tcPr>
            <w:tcW w:w="9300" w:type="dxa"/>
            <w:vAlign w:val="bottom"/>
            <w:gridSpan w:val="2"/>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Notes to Consolidated Financial Statements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2"/>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Quantitative and Qualitative Disclosures About Market Risk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2"/>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Controls and Procedures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PART II.</w:t>
            </w:r>
          </w:p>
        </w:tc>
        <w:tc>
          <w:tcPr>
            <w:tcW w:w="9300" w:type="dxa"/>
            <w:vAlign w:val="bottom"/>
            <w:gridSpan w:val="2"/>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300" w:type="dxa"/>
            <w:vAlign w:val="bottom"/>
            <w:gridSpan w:val="2"/>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2"/>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Defaults Upon Senior Securities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37"/>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2"/>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Mine Safety Disclosures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2"/>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9300" w:type="dxa"/>
            <w:vAlign w:val="bottom"/>
            <w:gridSpan w:val="2"/>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38"/>
        </w:trPr>
        <w:tc>
          <w:tcPr>
            <w:tcW w:w="10340" w:type="dxa"/>
            <w:vAlign w:val="bottom"/>
            <w:gridSpan w:val="3"/>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20" w:firstLine="255"/>
        <w:spacing w:after="0" w:line="293"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4" w:lineRule="exact"/>
        <w:rPr>
          <w:sz w:val="20"/>
          <w:szCs w:val="20"/>
          <w:color w:val="auto"/>
        </w:rPr>
      </w:pPr>
    </w:p>
    <w:p>
      <w:pPr>
        <w:ind w:right="280" w:firstLine="255"/>
        <w:spacing w:after="0" w:line="263" w:lineRule="auto"/>
        <w:rPr>
          <w:sz w:val="20"/>
          <w:szCs w:val="20"/>
          <w:color w:val="auto"/>
        </w:rPr>
      </w:pPr>
      <w:r>
        <w:rPr>
          <w:rFonts w:ascii="Arial" w:cs="Arial" w:eastAsia="Arial" w:hAnsi="Arial"/>
          <w:sz w:val="18"/>
          <w:szCs w:val="18"/>
          <w:color w:val="auto"/>
        </w:rPr>
        <w:t>In addition to factors previously identified elsewhere in the reports and other documents Sixth Street Specialty Lending, Inc. has filed with the Securities and Exchange Commission, or SEC, the following factors, among others, could cause actual results to differ materially from forward-looking statements or historical performance:</w:t>
      </w:r>
    </w:p>
    <w:p>
      <w:pPr>
        <w:spacing w:after="0" w:line="76" w:lineRule="exact"/>
        <w:rPr>
          <w:sz w:val="20"/>
          <w:szCs w:val="20"/>
          <w:color w:val="auto"/>
        </w:rPr>
      </w:pPr>
    </w:p>
    <w:p>
      <w:pPr>
        <w:ind w:left="500" w:right="540" w:hanging="249"/>
        <w:spacing w:after="0" w:line="308"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economic downturn, including the current and future economic effects of the COVID-19 pandemic, could impair our portfolio companies’ abilities to continue to operate, which could lead to the loss of some or all of our investments in those portfolio companies;</w:t>
      </w:r>
    </w:p>
    <w:p>
      <w:pPr>
        <w:spacing w:after="0" w:line="38" w:lineRule="exact"/>
        <w:rPr>
          <w:rFonts w:ascii="Arial" w:cs="Arial" w:eastAsia="Arial" w:hAnsi="Arial"/>
          <w:sz w:val="17"/>
          <w:szCs w:val="17"/>
          <w:color w:val="auto"/>
        </w:rPr>
      </w:pPr>
    </w:p>
    <w:p>
      <w:pPr>
        <w:ind w:left="500" w:right="240" w:hanging="249"/>
        <w:spacing w:after="0" w:line="342"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17" w:lineRule="exact"/>
        <w:rPr>
          <w:rFonts w:ascii="Arial" w:cs="Arial" w:eastAsia="Arial" w:hAnsi="Arial"/>
          <w:sz w:val="18"/>
          <w:szCs w:val="18"/>
          <w:color w:val="auto"/>
        </w:rPr>
      </w:pPr>
    </w:p>
    <w:p>
      <w:pPr>
        <w:ind w:left="500" w:right="120" w:hanging="249"/>
        <w:spacing w:after="0" w:line="263"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report, in our Annual Report on Form 10-K for the year ended December 31, 2019, filed with the SEC on February 19, 2020, in our Quarterly Report on Form 10-Q for the quarter ending March 31, 2020, filed with the SEC on May 5, 2020, and elsewhere in our filings with the SEC.</w:t>
      </w:r>
    </w:p>
    <w:p>
      <w:pPr>
        <w:spacing w:after="0" w:line="184"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“TSLX” and “TAO” marks are marks of Sixth Street. Sixth Street and TPG are no longer affiliates, and accordingly, TPG is not an affiliate of ours.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products and services referred to herein are managed exclusively by Sixth Street, which is entirely responsible for their nature and performance.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3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Non-controlled, non-affiliated investments (amortized cost of $1,880,904 and $2,099,781,</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1,898,241</w:t>
            </w:r>
          </w:p>
        </w:tc>
        <w:tc>
          <w:tcPr>
            <w:tcW w:w="2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2,147,876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w w:val="96"/>
              </w:rPr>
              <w:t>Non-controlled, affiliated investments (amortized cost of $48,928 and $49,445, respectively)</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52,536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$88,685 and $88,811, respectively)</w:t>
            </w: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investments at fair value (amortized cost of $2,018,517 and $2,238,037, respectively)</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1,983,844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2,245,928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$12,815 and $9,315, respectively)</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Interest receivable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2,018,596</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2,280,931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Debt (net of deferred financing costs of $19,712 and $18,471, respectively)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872,509</w:t>
            </w:r>
          </w:p>
        </w:tc>
        <w:tc>
          <w:tcPr>
            <w:tcW w:w="280" w:type="dxa"/>
            <w:vAlign w:val="bottom"/>
          </w:tcPr>
          <w:p>
            <w:pPr>
              <w:spacing w:after="0"/>
              <w:rPr>
                <w:sz w:val="19"/>
                <w:szCs w:val="19"/>
                <w:color w:val="auto"/>
              </w:rPr>
            </w:pP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1,094,467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16,829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935,995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1,161,634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and outstanding</w:t>
            </w:r>
          </w:p>
        </w:tc>
        <w:tc>
          <w:tcPr>
            <w:tcW w:w="36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rPr>
              <w:t>Common stock, $0.01 par value; 400,000,000 shares authorized, 67,638,457 and</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66,613,671 shares issued, respectively; and 67,342,413 and 66,524,591 shares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outstanding, respectively</w:t>
            </w:r>
          </w:p>
        </w:tc>
        <w:tc>
          <w:tcPr>
            <w:tcW w:w="3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1,024,045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1,009,270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Treasury stock at cost; 296,044 and 89,080 shares held, respectively</w:t>
            </w:r>
          </w:p>
        </w:tc>
        <w:tc>
          <w:tcPr>
            <w:tcW w:w="3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(4,291)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Distributable earnings</w:t>
            </w: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1,082,601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1,119,297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2,018,596</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2,280,931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40" w:type="dxa"/>
            <w:vAlign w:val="bottom"/>
            <w:gridSpan w:val="5"/>
          </w:tcPr>
          <w:p>
            <w:pPr>
              <w:jc w:val="right"/>
              <w:ind w:right="106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3"/>
                <w:szCs w:val="13"/>
                <w:color w:val="auto"/>
              </w:rPr>
            </w:pPr>
          </w:p>
        </w:tc>
        <w:tc>
          <w:tcPr>
            <w:tcW w:w="2760" w:type="dxa"/>
            <w:vAlign w:val="bottom"/>
            <w:gridSpan w:val="5"/>
          </w:tcPr>
          <w:p>
            <w:pPr>
              <w:jc w:val="right"/>
              <w:ind w:right="10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3"/>
        </w:trPr>
        <w:tc>
          <w:tcPr>
            <w:tcW w:w="4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4"/>
              </w:rPr>
              <w:t>June 30, 2020</w:t>
            </w:r>
          </w:p>
        </w:tc>
        <w:tc>
          <w:tcPr>
            <w:tcW w:w="160" w:type="dxa"/>
            <w:vAlign w:val="bottom"/>
          </w:tcPr>
          <w:p>
            <w:pPr>
              <w:spacing w:after="0"/>
              <w:rPr>
                <w:sz w:val="13"/>
                <w:szCs w:val="13"/>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4"/>
              </w:rPr>
              <w:t>June 30, 2019</w:t>
            </w:r>
          </w:p>
        </w:tc>
        <w:tc>
          <w:tcPr>
            <w:tcW w:w="160" w:type="dxa"/>
            <w:vAlign w:val="bottom"/>
          </w:tcPr>
          <w:p>
            <w:pPr>
              <w:spacing w:after="0"/>
              <w:rPr>
                <w:sz w:val="13"/>
                <w:szCs w:val="13"/>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6"/>
              </w:rPr>
              <w:t>June 30, 2020</w:t>
            </w:r>
          </w:p>
        </w:tc>
        <w:tc>
          <w:tcPr>
            <w:tcW w:w="16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6"/>
              </w:rPr>
              <w:t>June 30, 2019</w:t>
            </w:r>
          </w:p>
        </w:tc>
        <w:tc>
          <w:tcPr>
            <w:tcW w:w="0" w:type="dxa"/>
            <w:vAlign w:val="bottom"/>
          </w:tcPr>
          <w:p>
            <w:pPr>
              <w:spacing w:after="0"/>
              <w:rPr>
                <w:sz w:val="1"/>
                <w:szCs w:val="1"/>
                <w:color w:val="auto"/>
              </w:rPr>
            </w:pPr>
          </w:p>
        </w:tc>
      </w:tr>
      <w:tr>
        <w:trPr>
          <w:trHeight w:val="156"/>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Income</w:t>
            </w:r>
          </w:p>
        </w:tc>
        <w:tc>
          <w:tcPr>
            <w:tcW w:w="4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20"/>
                <w:szCs w:val="20"/>
                <w:color w:val="auto"/>
              </w:rPr>
            </w:pPr>
            <w:r>
              <w:rPr>
                <w:rFonts w:ascii="Arial" w:cs="Arial" w:eastAsia="Arial" w:hAnsi="Arial"/>
                <w:sz w:val="13"/>
                <w:szCs w:val="13"/>
                <w:color w:val="auto"/>
              </w:rPr>
              <w:t>Investment income from non-controlled, non-affiliated investments: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from investments</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61,115</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57,632</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121,881</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104,155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260"/>
              <w:spacing w:after="0"/>
              <w:rPr>
                <w:sz w:val="20"/>
                <w:szCs w:val="20"/>
                <w:color w:val="auto"/>
              </w:rPr>
            </w:pPr>
            <w:r>
              <w:rPr>
                <w:rFonts w:ascii="Arial" w:cs="Arial" w:eastAsia="Arial" w:hAnsi="Arial"/>
                <w:sz w:val="13"/>
                <w:szCs w:val="13"/>
                <w:color w:val="auto"/>
              </w:rPr>
              <w:t>Dividend income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445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876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income</w:t>
            </w:r>
          </w:p>
        </w:tc>
        <w:tc>
          <w:tcPr>
            <w:tcW w:w="4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6,439</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1,940</w:t>
            </w:r>
          </w:p>
        </w:tc>
        <w:tc>
          <w:tcPr>
            <w:tcW w:w="2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9,227</w:t>
            </w:r>
          </w:p>
        </w:tc>
        <w:tc>
          <w:tcPr>
            <w:tcW w:w="2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80" w:type="dxa"/>
            <w:vAlign w:val="bottom"/>
          </w:tcPr>
          <w:p>
            <w:pPr>
              <w:ind w:left="500"/>
              <w:spacing w:after="0"/>
              <w:rPr>
                <w:sz w:val="20"/>
                <w:szCs w:val="20"/>
                <w:color w:val="auto"/>
              </w:rPr>
            </w:pPr>
            <w:r>
              <w:rPr>
                <w:rFonts w:ascii="Arial" w:cs="Arial" w:eastAsia="Arial" w:hAnsi="Arial"/>
                <w:sz w:val="13"/>
                <w:szCs w:val="13"/>
                <w:color w:val="auto"/>
              </w:rPr>
              <w:t>Total investment income from non-controlled, non-affiliated investments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67,999</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59,572</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131,984</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108,173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spacing w:after="0"/>
              <w:rPr>
                <w:sz w:val="20"/>
                <w:szCs w:val="20"/>
                <w:color w:val="auto"/>
              </w:rPr>
            </w:pPr>
            <w:r>
              <w:rPr>
                <w:rFonts w:ascii="Arial" w:cs="Arial" w:eastAsia="Arial" w:hAnsi="Arial"/>
                <w:sz w:val="13"/>
                <w:szCs w:val="13"/>
                <w:color w:val="auto"/>
              </w:rPr>
              <w:t>Investment income from non-controlled, affiliated investments:</w:t>
            </w: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260"/>
              <w:spacing w:after="0"/>
              <w:rPr>
                <w:sz w:val="20"/>
                <w:szCs w:val="20"/>
                <w:color w:val="auto"/>
              </w:rPr>
            </w:pPr>
            <w:r>
              <w:rPr>
                <w:rFonts w:ascii="Arial" w:cs="Arial" w:eastAsia="Arial" w:hAnsi="Arial"/>
                <w:sz w:val="13"/>
                <w:szCs w:val="13"/>
                <w:color w:val="auto"/>
              </w:rPr>
              <w:t>Interest from investments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1,245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1,351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2,482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3,762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income</w:t>
            </w:r>
          </w:p>
        </w:tc>
        <w:tc>
          <w:tcPr>
            <w:tcW w:w="4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2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w:t>
            </w:r>
          </w:p>
        </w:tc>
        <w:tc>
          <w:tcPr>
            <w:tcW w:w="2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80" w:type="dxa"/>
            <w:vAlign w:val="bottom"/>
          </w:tcPr>
          <w:p>
            <w:pPr>
              <w:ind w:left="500"/>
              <w:spacing w:after="0"/>
              <w:rPr>
                <w:sz w:val="20"/>
                <w:szCs w:val="20"/>
                <w:color w:val="auto"/>
              </w:rPr>
            </w:pPr>
            <w:r>
              <w:rPr>
                <w:rFonts w:ascii="Arial" w:cs="Arial" w:eastAsia="Arial" w:hAnsi="Arial"/>
                <w:sz w:val="13"/>
                <w:szCs w:val="13"/>
                <w:color w:val="auto"/>
              </w:rPr>
              <w:t>Total investment income from non-controlled, affiliated investments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1,264</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1,370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2,519</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3,812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spacing w:after="0"/>
              <w:rPr>
                <w:sz w:val="20"/>
                <w:szCs w:val="20"/>
                <w:color w:val="auto"/>
              </w:rPr>
            </w:pPr>
            <w:r>
              <w:rPr>
                <w:rFonts w:ascii="Arial" w:cs="Arial" w:eastAsia="Arial" w:hAnsi="Arial"/>
                <w:sz w:val="13"/>
                <w:szCs w:val="13"/>
                <w:color w:val="auto"/>
              </w:rPr>
              <w:t>Investment income from controlled, affiliated investments:</w:t>
            </w: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260"/>
              <w:spacing w:after="0"/>
              <w:rPr>
                <w:sz w:val="20"/>
                <w:szCs w:val="20"/>
                <w:color w:val="auto"/>
              </w:rPr>
            </w:pPr>
            <w:r>
              <w:rPr>
                <w:rFonts w:ascii="Arial" w:cs="Arial" w:eastAsia="Arial" w:hAnsi="Arial"/>
                <w:sz w:val="13"/>
                <w:szCs w:val="13"/>
                <w:color w:val="auto"/>
              </w:rPr>
              <w:t>Interest from investments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971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1,481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1,998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2,920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income</w:t>
            </w: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80" w:type="dxa"/>
            <w:vAlign w:val="bottom"/>
            <w:tcBorders>
              <w:bottom w:val="single" w:sz="8" w:color="CFF0FC"/>
            </w:tcBorders>
          </w:tcPr>
          <w:p>
            <w:pPr>
              <w:ind w:left="500"/>
              <w:spacing w:after="0"/>
              <w:rPr>
                <w:sz w:val="20"/>
                <w:szCs w:val="20"/>
                <w:color w:val="auto"/>
              </w:rPr>
            </w:pPr>
            <w:r>
              <w:rPr>
                <w:rFonts w:ascii="Arial" w:cs="Arial" w:eastAsia="Arial" w:hAnsi="Arial"/>
                <w:sz w:val="13"/>
                <w:szCs w:val="13"/>
                <w:color w:val="auto"/>
              </w:rPr>
              <w:t>Total investment income from controlled, affiliated investments</w:t>
            </w:r>
          </w:p>
        </w:tc>
        <w:tc>
          <w:tcPr>
            <w:tcW w:w="4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971</w:t>
            </w:r>
          </w:p>
        </w:tc>
        <w:tc>
          <w:tcPr>
            <w:tcW w:w="2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1,485</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2,001</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2,928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80" w:type="dxa"/>
            <w:vAlign w:val="bottom"/>
            <w:shd w:val="clear" w:color="auto" w:fill="CFF0FC"/>
          </w:tcPr>
          <w:p>
            <w:pPr>
              <w:ind w:left="740"/>
              <w:spacing w:after="0"/>
              <w:rPr>
                <w:sz w:val="20"/>
                <w:szCs w:val="20"/>
                <w:color w:val="auto"/>
              </w:rPr>
            </w:pPr>
            <w:r>
              <w:rPr>
                <w:rFonts w:ascii="Arial" w:cs="Arial" w:eastAsia="Arial" w:hAnsi="Arial"/>
                <w:sz w:val="13"/>
                <w:szCs w:val="13"/>
                <w:b w:val="1"/>
                <w:bCs w:val="1"/>
                <w:color w:val="auto"/>
              </w:rPr>
              <w:t>Total Investment Income</w:t>
            </w:r>
          </w:p>
        </w:tc>
        <w:tc>
          <w:tcPr>
            <w:tcW w:w="44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70,234</w:t>
            </w:r>
          </w:p>
        </w:tc>
        <w:tc>
          <w:tcPr>
            <w:tcW w:w="2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62,427</w:t>
            </w:r>
          </w:p>
        </w:tc>
        <w:tc>
          <w:tcPr>
            <w:tcW w:w="24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136,504</w:t>
            </w:r>
          </w:p>
        </w:tc>
        <w:tc>
          <w:tcPr>
            <w:tcW w:w="24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114,913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80" w:type="dxa"/>
            <w:vAlign w:val="bottom"/>
          </w:tcPr>
          <w:p>
            <w:pPr>
              <w:spacing w:after="0"/>
              <w:rPr>
                <w:sz w:val="20"/>
                <w:szCs w:val="20"/>
                <w:color w:val="auto"/>
              </w:rPr>
            </w:pPr>
            <w:r>
              <w:rPr>
                <w:rFonts w:ascii="Arial" w:cs="Arial" w:eastAsia="Arial" w:hAnsi="Arial"/>
                <w:sz w:val="13"/>
                <w:szCs w:val="13"/>
                <w:b w:val="1"/>
                <w:bCs w:val="1"/>
                <w:color w:val="auto"/>
              </w:rPr>
              <w:t>Expenses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spacing w:after="0"/>
              <w:rPr>
                <w:sz w:val="20"/>
                <w:szCs w:val="20"/>
                <w:color w:val="auto"/>
              </w:rPr>
            </w:pPr>
            <w:r>
              <w:rPr>
                <w:rFonts w:ascii="Arial" w:cs="Arial" w:eastAsia="Arial" w:hAnsi="Arial"/>
                <w:sz w:val="13"/>
                <w:szCs w:val="13"/>
                <w:color w:val="auto"/>
              </w:rPr>
              <w:t>Interest</w:t>
            </w: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9,851</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12,724</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22,760</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23,094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20"/>
                <w:szCs w:val="20"/>
                <w:color w:val="auto"/>
              </w:rPr>
            </w:pPr>
            <w:r>
              <w:rPr>
                <w:rFonts w:ascii="Arial" w:cs="Arial" w:eastAsia="Arial" w:hAnsi="Arial"/>
                <w:sz w:val="13"/>
                <w:szCs w:val="13"/>
                <w:color w:val="auto"/>
              </w:rPr>
              <w:t>Management fees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7,666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7,373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15,831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13,995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spacing w:after="0"/>
              <w:rPr>
                <w:sz w:val="20"/>
                <w:szCs w:val="20"/>
                <w:color w:val="auto"/>
              </w:rPr>
            </w:pPr>
            <w:r>
              <w:rPr>
                <w:rFonts w:ascii="Arial" w:cs="Arial" w:eastAsia="Arial" w:hAnsi="Arial"/>
                <w:sz w:val="13"/>
                <w:szCs w:val="13"/>
                <w:color w:val="auto"/>
              </w:rPr>
              <w:t>Incentive fees</w:t>
            </w: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8,372</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6,606</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15,513</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12,256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20"/>
                <w:szCs w:val="20"/>
                <w:color w:val="auto"/>
              </w:rPr>
            </w:pPr>
            <w:r>
              <w:rPr>
                <w:rFonts w:ascii="Arial" w:cs="Arial" w:eastAsia="Arial" w:hAnsi="Arial"/>
                <w:sz w:val="13"/>
                <w:szCs w:val="13"/>
                <w:color w:val="auto"/>
              </w:rPr>
              <w:t>Professional fees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1,979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1,897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3,624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3,191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spacing w:after="0"/>
              <w:rPr>
                <w:sz w:val="20"/>
                <w:szCs w:val="20"/>
                <w:color w:val="auto"/>
              </w:rPr>
            </w:pPr>
            <w:r>
              <w:rPr>
                <w:rFonts w:ascii="Arial" w:cs="Arial" w:eastAsia="Arial" w:hAnsi="Arial"/>
                <w:sz w:val="13"/>
                <w:szCs w:val="13"/>
                <w:color w:val="auto"/>
              </w:rPr>
              <w:t>Directors’ fees</w:t>
            </w: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423</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Other general and administrative</w:t>
            </w:r>
          </w:p>
        </w:tc>
        <w:tc>
          <w:tcPr>
            <w:tcW w:w="4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1,702</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1,556</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3,212</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Total expenses</w:t>
            </w:r>
          </w:p>
        </w:tc>
        <w:tc>
          <w:tcPr>
            <w:tcW w:w="44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29,765</w:t>
            </w:r>
          </w:p>
        </w:tc>
        <w:tc>
          <w:tcPr>
            <w:tcW w:w="2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30,285</w:t>
            </w:r>
          </w:p>
        </w:tc>
        <w:tc>
          <w:tcPr>
            <w:tcW w:w="24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61,363</w:t>
            </w:r>
          </w:p>
        </w:tc>
        <w:tc>
          <w:tcPr>
            <w:tcW w:w="24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55,833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80" w:type="dxa"/>
            <w:vAlign w:val="bottom"/>
          </w:tcPr>
          <w:p>
            <w:pPr>
              <w:spacing w:after="0"/>
              <w:rPr>
                <w:sz w:val="20"/>
                <w:szCs w:val="20"/>
                <w:color w:val="auto"/>
              </w:rPr>
            </w:pPr>
            <w:r>
              <w:rPr>
                <w:rFonts w:ascii="Arial" w:cs="Arial" w:eastAsia="Arial" w:hAnsi="Arial"/>
                <w:sz w:val="13"/>
                <w:szCs w:val="13"/>
                <w:color w:val="auto"/>
              </w:rPr>
              <w:t>Management and incentive fees waived (Note 3)</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48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3"/>
                <w:szCs w:val="13"/>
                <w:b w:val="1"/>
                <w:bCs w:val="1"/>
                <w:color w:val="auto"/>
              </w:rPr>
              <w:t>Net Expenses</w:t>
            </w:r>
          </w:p>
        </w:tc>
        <w:tc>
          <w:tcPr>
            <w:tcW w:w="4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29,765</w:t>
            </w: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30,285</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61,363</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55,833</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80" w:type="dxa"/>
            <w:vAlign w:val="bottom"/>
          </w:tcPr>
          <w:p>
            <w:pPr>
              <w:spacing w:after="0"/>
              <w:rPr>
                <w:sz w:val="20"/>
                <w:szCs w:val="20"/>
                <w:color w:val="auto"/>
              </w:rPr>
            </w:pPr>
            <w:r>
              <w:rPr>
                <w:rFonts w:ascii="Arial" w:cs="Arial" w:eastAsia="Arial" w:hAnsi="Arial"/>
                <w:sz w:val="13"/>
                <w:szCs w:val="13"/>
                <w:b w:val="1"/>
                <w:bCs w:val="1"/>
                <w:color w:val="auto"/>
              </w:rPr>
              <w:t>Net Investment Income Before Income Taxes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40,469</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32,142</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75,141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59,080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spacing w:after="0"/>
              <w:rPr>
                <w:sz w:val="20"/>
                <w:szCs w:val="20"/>
                <w:color w:val="auto"/>
              </w:rPr>
            </w:pPr>
            <w:r>
              <w:rPr>
                <w:rFonts w:ascii="Arial" w:cs="Arial" w:eastAsia="Arial" w:hAnsi="Arial"/>
                <w:sz w:val="13"/>
                <w:szCs w:val="13"/>
                <w:color w:val="auto"/>
              </w:rPr>
              <w:t>Income taxes, including excise taxes</w:t>
            </w:r>
          </w:p>
        </w:tc>
        <w:tc>
          <w:tcPr>
            <w:tcW w:w="4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2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2,010</w:t>
            </w:r>
          </w:p>
        </w:tc>
        <w:tc>
          <w:tcPr>
            <w:tcW w:w="2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80" w:type="dxa"/>
            <w:vAlign w:val="bottom"/>
          </w:tcPr>
          <w:p>
            <w:pPr>
              <w:spacing w:after="0"/>
              <w:rPr>
                <w:sz w:val="20"/>
                <w:szCs w:val="20"/>
                <w:color w:val="auto"/>
              </w:rPr>
            </w:pPr>
            <w:r>
              <w:rPr>
                <w:rFonts w:ascii="Arial" w:cs="Arial" w:eastAsia="Arial" w:hAnsi="Arial"/>
                <w:sz w:val="13"/>
                <w:szCs w:val="13"/>
                <w:b w:val="1"/>
                <w:bCs w:val="1"/>
                <w:color w:val="auto"/>
              </w:rPr>
              <w:t>Net Investment Income</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39,469</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31,142</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73,131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57,780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Unrealized and Realized Gains (Losses)</w:t>
            </w: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20"/>
                <w:szCs w:val="20"/>
                <w:color w:val="auto"/>
              </w:rPr>
            </w:pPr>
            <w:r>
              <w:rPr>
                <w:rFonts w:ascii="Arial" w:cs="Arial" w:eastAsia="Arial" w:hAnsi="Arial"/>
                <w:sz w:val="13"/>
                <w:szCs w:val="13"/>
                <w:color w:val="auto"/>
              </w:rPr>
              <w:t>Net change in unrealized gains (losses):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Non-controlled, non-affiliated investments</w:t>
            </w: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62,002</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15,253</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(30,757)</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260"/>
              <w:spacing w:after="0"/>
              <w:rPr>
                <w:sz w:val="20"/>
                <w:szCs w:val="20"/>
                <w:color w:val="auto"/>
              </w:rPr>
            </w:pPr>
            <w:r>
              <w:rPr>
                <w:rFonts w:ascii="Arial" w:cs="Arial" w:eastAsia="Arial" w:hAnsi="Arial"/>
                <w:sz w:val="13"/>
                <w:szCs w:val="13"/>
                <w:color w:val="auto"/>
              </w:rPr>
              <w:t>Non-controlled, affiliated investments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4,310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2,916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Controlled, affiliated investments</w:t>
            </w: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(1,215)</w:t>
            </w:r>
          </w:p>
        </w:tc>
        <w:tc>
          <w:tcPr>
            <w:tcW w:w="1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(4,299)</w:t>
            </w:r>
          </w:p>
        </w:tc>
        <w:tc>
          <w:tcPr>
            <w:tcW w:w="1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(14,723)</w:t>
            </w: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(7,966)</w:t>
            </w:r>
          </w:p>
        </w:tc>
        <w:tc>
          <w:tcPr>
            <w:tcW w:w="0" w:type="dxa"/>
            <w:vAlign w:val="bottom"/>
          </w:tcPr>
          <w:p>
            <w:pPr>
              <w:spacing w:after="0"/>
              <w:rPr>
                <w:sz w:val="1"/>
                <w:szCs w:val="1"/>
                <w:color w:val="auto"/>
              </w:rPr>
            </w:pPr>
          </w:p>
        </w:tc>
      </w:tr>
      <w:tr>
        <w:trPr>
          <w:trHeight w:val="162"/>
        </w:trPr>
        <w:tc>
          <w:tcPr>
            <w:tcW w:w="4880" w:type="dxa"/>
            <w:vAlign w:val="bottom"/>
          </w:tcPr>
          <w:p>
            <w:pPr>
              <w:ind w:left="260"/>
              <w:spacing w:after="0"/>
              <w:rPr>
                <w:sz w:val="20"/>
                <w:szCs w:val="20"/>
                <w:color w:val="auto"/>
              </w:rPr>
            </w:pPr>
            <w:r>
              <w:rPr>
                <w:rFonts w:ascii="Arial" w:cs="Arial" w:eastAsia="Arial" w:hAnsi="Arial"/>
                <w:sz w:val="13"/>
                <w:szCs w:val="13"/>
                <w:color w:val="auto"/>
              </w:rPr>
              <w:t>Translation of other assets and liabilities in foreign currencies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(8,379)</w:t>
            </w:r>
          </w:p>
        </w:tc>
        <w:tc>
          <w:tcPr>
            <w:tcW w:w="16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(764)</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5,420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(2,196)</w:t>
            </w: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rate swaps</w:t>
            </w:r>
          </w:p>
        </w:tc>
        <w:tc>
          <w:tcPr>
            <w:tcW w:w="4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516</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6,124</w:t>
            </w:r>
          </w:p>
        </w:tc>
        <w:tc>
          <w:tcPr>
            <w:tcW w:w="2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9,698</w:t>
            </w:r>
          </w:p>
        </w:tc>
        <w:tc>
          <w:tcPr>
            <w:tcW w:w="2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9,443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80" w:type="dxa"/>
            <w:vAlign w:val="bottom"/>
          </w:tcPr>
          <w:p>
            <w:pPr>
              <w:ind w:left="740"/>
              <w:spacing w:after="0"/>
              <w:rPr>
                <w:sz w:val="20"/>
                <w:szCs w:val="20"/>
                <w:color w:val="auto"/>
              </w:rPr>
            </w:pPr>
            <w:r>
              <w:rPr>
                <w:rFonts w:ascii="Arial" w:cs="Arial" w:eastAsia="Arial" w:hAnsi="Arial"/>
                <w:sz w:val="13"/>
                <w:szCs w:val="13"/>
                <w:color w:val="auto"/>
              </w:rPr>
              <w:t>Total net change in unrealized gains (losses)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57,234</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16,423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(27,446)</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27,884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Realized gains (losses):</w:t>
            </w:r>
          </w:p>
        </w:tc>
        <w:tc>
          <w:tcPr>
            <w:tcW w:w="4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260"/>
              <w:spacing w:after="0"/>
              <w:rPr>
                <w:sz w:val="20"/>
                <w:szCs w:val="20"/>
                <w:color w:val="auto"/>
              </w:rPr>
            </w:pPr>
            <w:r>
              <w:rPr>
                <w:rFonts w:ascii="Arial" w:cs="Arial" w:eastAsia="Arial" w:hAnsi="Arial"/>
                <w:sz w:val="13"/>
                <w:szCs w:val="13"/>
                <w:color w:val="auto"/>
              </w:rPr>
              <w:t>Non-controlled, non-affiliated investments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Controlled, affiliated investments</w:t>
            </w: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(1,539)</w:t>
            </w:r>
          </w:p>
        </w:tc>
        <w:tc>
          <w:tcPr>
            <w:tcW w:w="1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(3,636)</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260"/>
              <w:spacing w:after="0"/>
              <w:rPr>
                <w:sz w:val="20"/>
                <w:szCs w:val="20"/>
                <w:color w:val="auto"/>
              </w:rPr>
            </w:pPr>
            <w:r>
              <w:rPr>
                <w:rFonts w:ascii="Arial" w:cs="Arial" w:eastAsia="Arial" w:hAnsi="Arial"/>
                <w:sz w:val="13"/>
                <w:szCs w:val="13"/>
                <w:color w:val="auto"/>
              </w:rPr>
              <w:t>Extinguishment of debt</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739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739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Foreign currency transactions</w:t>
            </w: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(33)</w:t>
            </w:r>
          </w:p>
        </w:tc>
        <w:tc>
          <w:tcPr>
            <w:tcW w:w="1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(46)</w:t>
            </w:r>
          </w:p>
        </w:tc>
        <w:tc>
          <w:tcPr>
            <w:tcW w:w="1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(92)</w:t>
            </w: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740"/>
              <w:spacing w:after="0"/>
              <w:rPr>
                <w:sz w:val="20"/>
                <w:szCs w:val="20"/>
                <w:color w:val="auto"/>
              </w:rPr>
            </w:pPr>
            <w:r>
              <w:rPr>
                <w:rFonts w:ascii="Arial" w:cs="Arial" w:eastAsia="Arial" w:hAnsi="Arial"/>
                <w:sz w:val="13"/>
                <w:szCs w:val="13"/>
                <w:color w:val="auto"/>
              </w:rPr>
              <w:t>Total net realized gains (losses)</w:t>
            </w: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(833)</w:t>
            </w: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(2,914)</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877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shd w:val="clear" w:color="auto" w:fill="CFF0FC"/>
          </w:tcPr>
          <w:p>
            <w:pPr>
              <w:ind w:left="1000"/>
              <w:spacing w:after="0"/>
              <w:rPr>
                <w:sz w:val="20"/>
                <w:szCs w:val="20"/>
                <w:color w:val="auto"/>
              </w:rPr>
            </w:pPr>
            <w:r>
              <w:rPr>
                <w:rFonts w:ascii="Arial" w:cs="Arial" w:eastAsia="Arial" w:hAnsi="Arial"/>
                <w:sz w:val="13"/>
                <w:szCs w:val="13"/>
                <w:b w:val="1"/>
                <w:bCs w:val="1"/>
                <w:color w:val="auto"/>
              </w:rPr>
              <w:t>Total Net Unrealized and Realized Gains (Losses)</w:t>
            </w:r>
          </w:p>
        </w:tc>
        <w:tc>
          <w:tcPr>
            <w:tcW w:w="4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80" w:type="dxa"/>
            <w:vAlign w:val="bottom"/>
            <w:vMerge w:val="continue"/>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56,401</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16,653</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(30,360)</w:t>
            </w: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28,761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ind w:left="1000"/>
              <w:spacing w:after="0"/>
              <w:rPr>
                <w:sz w:val="20"/>
                <w:szCs w:val="20"/>
                <w:color w:val="auto"/>
              </w:rPr>
            </w:pPr>
            <w:r>
              <w:rPr>
                <w:rFonts w:ascii="Arial" w:cs="Arial" w:eastAsia="Arial" w:hAnsi="Arial"/>
                <w:sz w:val="13"/>
                <w:szCs w:val="13"/>
                <w:b w:val="1"/>
                <w:bCs w:val="1"/>
                <w:color w:val="auto"/>
              </w:rPr>
              <w:t>Increase in Net Assets Resulting from Operations</w:t>
            </w: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80" w:type="dxa"/>
            <w:vAlign w:val="bottom"/>
            <w:vMerge w:val="continue"/>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95,870</w:t>
            </w:r>
          </w:p>
        </w:tc>
        <w:tc>
          <w:tcPr>
            <w:tcW w:w="260" w:type="dxa"/>
            <w:vAlign w:val="bottom"/>
          </w:tcPr>
          <w:p>
            <w:pPr>
              <w:spacing w:after="0"/>
              <w:rPr>
                <w:sz w:val="15"/>
                <w:szCs w:val="15"/>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47,795</w:t>
            </w:r>
          </w:p>
        </w:tc>
        <w:tc>
          <w:tcPr>
            <w:tcW w:w="24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42,771</w:t>
            </w:r>
          </w:p>
        </w:tc>
        <w:tc>
          <w:tcPr>
            <w:tcW w:w="240" w:type="dxa"/>
            <w:vAlign w:val="bottom"/>
          </w:tcPr>
          <w:p>
            <w:pPr>
              <w:spacing w:after="0"/>
              <w:rPr>
                <w:sz w:val="15"/>
                <w:szCs w:val="15"/>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86,541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3"/>
                <w:szCs w:val="13"/>
                <w:color w:val="auto"/>
              </w:rPr>
              <w:t>Earnings per common share—basic and diluted</w:t>
            </w: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80" w:type="dxa"/>
            <w:vAlign w:val="bottom"/>
            <w:vMerge w:val="continue"/>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1.43</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0.72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13"/>
              <w:spacing w:after="0" w:line="143" w:lineRule="exact"/>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0.64</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1.32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880" w:type="dxa"/>
            <w:vAlign w:val="bottom"/>
          </w:tcPr>
          <w:p>
            <w:pPr>
              <w:spacing w:after="0"/>
              <w:rPr>
                <w:sz w:val="20"/>
                <w:szCs w:val="20"/>
                <w:color w:val="auto"/>
              </w:rPr>
            </w:pPr>
            <w:r>
              <w:rPr>
                <w:rFonts w:ascii="Arial" w:cs="Arial" w:eastAsia="Arial" w:hAnsi="Arial"/>
                <w:sz w:val="13"/>
                <w:szCs w:val="13"/>
                <w:color w:val="auto"/>
              </w:rPr>
              <w:t>Weighted average shares of common stock outstanding—basic and diluted</w:t>
            </w:r>
          </w:p>
        </w:tc>
        <w:tc>
          <w:tcPr>
            <w:tcW w:w="4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66,957,883</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65,982,373</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66,807,081</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65,789,976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June 30,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Initial</w:t>
            </w: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Reference</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Rate and</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Amortized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79"/>
              <w:spacing w:after="0" w:line="135" w:lineRule="exact"/>
              <w:rPr>
                <w:sz w:val="20"/>
                <w:szCs w:val="20"/>
                <w:color w:val="auto"/>
              </w:rPr>
            </w:pPr>
            <w:r>
              <w:rPr>
                <w:rFonts w:ascii="Arial" w:cs="Arial" w:eastAsia="Arial" w:hAnsi="Arial"/>
                <w:sz w:val="13"/>
                <w:szCs w:val="13"/>
                <w:b w:val="1"/>
                <w:bCs w:val="1"/>
                <w:color w:val="auto"/>
                <w:w w:val="91"/>
              </w:rPr>
              <w:t>Percentage</w:t>
            </w:r>
          </w:p>
        </w:tc>
      </w:tr>
      <w:tr>
        <w:trPr>
          <w:trHeight w:val="153"/>
        </w:trPr>
        <w:tc>
          <w:tcPr>
            <w:tcW w:w="2580" w:type="dxa"/>
            <w:vAlign w:val="bottom"/>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80" w:type="dxa"/>
            <w:vAlign w:val="bottom"/>
          </w:tcPr>
          <w:p>
            <w:pPr>
              <w:spacing w:after="0"/>
              <w:rPr>
                <w:sz w:val="13"/>
                <w:szCs w:val="13"/>
                <w:color w:val="auto"/>
              </w:rPr>
            </w:pPr>
          </w:p>
        </w:tc>
        <w:tc>
          <w:tcPr>
            <w:tcW w:w="2640" w:type="dxa"/>
            <w:vAlign w:val="bottom"/>
            <w:gridSpan w:val="2"/>
          </w:tcPr>
          <w:p>
            <w:pPr>
              <w:ind w:left="960"/>
              <w:spacing w:after="0"/>
              <w:rPr>
                <w:sz w:val="20"/>
                <w:szCs w:val="20"/>
                <w:color w:val="auto"/>
              </w:rPr>
            </w:pPr>
            <w:r>
              <w:rPr>
                <w:rFonts w:ascii="Arial" w:cs="Arial" w:eastAsia="Arial" w:hAnsi="Arial"/>
                <w:sz w:val="13"/>
                <w:szCs w:val="13"/>
                <w:b w:val="1"/>
                <w:bCs w:val="1"/>
                <w:color w:val="auto"/>
              </w:rPr>
              <w:t>Investment</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Date</w:t>
            </w: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Spread</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1"/>
              </w:rPr>
              <w:t>Interest Rate</w:t>
            </w:r>
          </w:p>
        </w:tc>
        <w:tc>
          <w:tcPr>
            <w:tcW w:w="60" w:type="dxa"/>
            <w:vAlign w:val="bottom"/>
          </w:tcPr>
          <w:p>
            <w:pPr>
              <w:spacing w:after="0"/>
              <w:rPr>
                <w:sz w:val="13"/>
                <w:szCs w:val="13"/>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b w:val="1"/>
                <w:bCs w:val="1"/>
                <w:color w:val="auto"/>
              </w:rPr>
              <w:t xml:space="preserve">Cost </w:t>
            </w:r>
            <w:r>
              <w:rPr>
                <w:rFonts w:ascii="Arial" w:cs="Arial" w:eastAsia="Arial" w:hAnsi="Arial"/>
                <w:sz w:val="10"/>
                <w:szCs w:val="10"/>
                <w:b w:val="1"/>
                <w:bCs w:val="1"/>
                <w:color w:val="auto"/>
              </w:rPr>
              <w:t>(2)(8)</w:t>
            </w:r>
          </w:p>
        </w:tc>
        <w:tc>
          <w:tcPr>
            <w:tcW w:w="20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(10)</w:t>
            </w:r>
          </w:p>
        </w:tc>
        <w:tc>
          <w:tcPr>
            <w:tcW w:w="920" w:type="dxa"/>
            <w:vAlign w:val="bottom"/>
            <w:gridSpan w:val="2"/>
          </w:tcPr>
          <w:p>
            <w:pPr>
              <w:jc w:val="right"/>
              <w:ind w:right="119"/>
              <w:spacing w:after="0"/>
              <w:rPr>
                <w:sz w:val="20"/>
                <w:szCs w:val="20"/>
                <w:color w:val="auto"/>
              </w:rPr>
            </w:pPr>
            <w:r>
              <w:rPr>
                <w:rFonts w:ascii="Arial" w:cs="Arial" w:eastAsia="Arial" w:hAnsi="Arial"/>
                <w:sz w:val="13"/>
                <w:szCs w:val="13"/>
                <w:b w:val="1"/>
                <w:bCs w:val="1"/>
                <w:color w:val="auto"/>
                <w:w w:val="84"/>
              </w:rPr>
              <w:t>of Net Assets</w:t>
            </w:r>
          </w:p>
        </w:tc>
      </w:tr>
      <w:tr>
        <w:trPr>
          <w:trHeight w:val="209"/>
        </w:trPr>
        <w:tc>
          <w:tcPr>
            <w:tcW w:w="2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Debt Investments</w:t>
            </w:r>
          </w:p>
        </w:tc>
        <w:tc>
          <w:tcPr>
            <w:tcW w:w="80" w:type="dxa"/>
            <w:vAlign w:val="bottom"/>
            <w:tcBorders>
              <w:top w:val="single" w:sz="8" w:color="CFF0FC"/>
            </w:tcBorders>
            <w:shd w:val="clear" w:color="auto" w:fill="CFF0FC"/>
          </w:tcPr>
          <w:p>
            <w:pPr>
              <w:spacing w:after="0"/>
              <w:rPr>
                <w:sz w:val="18"/>
                <w:szCs w:val="18"/>
                <w:color w:val="auto"/>
              </w:rPr>
            </w:pPr>
          </w:p>
        </w:tc>
        <w:tc>
          <w:tcPr>
            <w:tcW w:w="25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b w:val="1"/>
                <w:bCs w:val="1"/>
                <w:color w:val="auto"/>
              </w:rPr>
              <w:t>Beverage, food and tobacco</w:t>
            </w: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AFS Technologies, Inc. </w:t>
            </w:r>
            <w:r>
              <w:rPr>
                <w:rFonts w:ascii="Arial" w:cs="Arial" w:eastAsia="Arial" w:hAnsi="Arial"/>
                <w:sz w:val="24"/>
                <w:szCs w:val="24"/>
                <w:color w:val="auto"/>
                <w:vertAlign w:val="superscript"/>
              </w:rPr>
              <w:t>(3)(5)(6)</w:t>
            </w: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First-lien loan ($44,972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10/16/2018</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L + 6.25%</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7.75%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44,487</w:t>
            </w:r>
          </w:p>
        </w:tc>
        <w:tc>
          <w:tcPr>
            <w:tcW w:w="3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45,197</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w:t>
            </w:r>
          </w:p>
        </w:tc>
      </w:tr>
      <w:tr>
        <w:trPr>
          <w:trHeight w:val="212"/>
        </w:trPr>
        <w:tc>
          <w:tcPr>
            <w:tcW w:w="2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10/2023)</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b w:val="1"/>
                <w:bCs w:val="1"/>
                <w:color w:val="auto"/>
              </w:rPr>
              <w:t>Business services</w:t>
            </w: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6"/>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Acceo Solutions,</w:t>
            </w: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First-lien loan (CAD 62,223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7/6/2018</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C + 4.75%</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5.75%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46,758</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45,799</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w:t>
            </w:r>
          </w:p>
        </w:tc>
      </w:tr>
      <w:tr>
        <w:trPr>
          <w:trHeight w:val="206"/>
        </w:trPr>
        <w:tc>
          <w:tcPr>
            <w:tcW w:w="2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(3)(4)(5)</w:t>
            </w:r>
          </w:p>
        </w:tc>
        <w:tc>
          <w:tcPr>
            <w:tcW w:w="26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7/2023)</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(CAD</w:t>
            </w: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2"/>
        </w:trPr>
        <w:tc>
          <w:tcPr>
            <w:tcW w:w="2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62,378)</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80" w:type="dxa"/>
            <w:vAlign w:val="bottom"/>
          </w:tcPr>
          <w:p>
            <w:pPr>
              <w:spacing w:after="0" w:line="207" w:lineRule="exact"/>
              <w:rPr>
                <w:sz w:val="20"/>
                <w:szCs w:val="20"/>
                <w:color w:val="auto"/>
              </w:rPr>
            </w:pPr>
            <w:r>
              <w:rPr>
                <w:rFonts w:ascii="Arial" w:cs="Arial" w:eastAsia="Arial" w:hAnsi="Arial"/>
                <w:sz w:val="14"/>
                <w:szCs w:val="14"/>
                <w:color w:val="auto"/>
              </w:rPr>
              <w:t xml:space="preserve">Alpha Midco, Inc. </w:t>
            </w:r>
            <w:r>
              <w:rPr>
                <w:rFonts w:ascii="Arial" w:cs="Arial" w:eastAsia="Arial" w:hAnsi="Arial"/>
                <w:sz w:val="23"/>
                <w:szCs w:val="23"/>
                <w:color w:val="auto"/>
                <w:vertAlign w:val="superscript"/>
              </w:rPr>
              <w:t>(3)(5)</w:t>
            </w: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First-lien loan ($62,009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8/15/2019</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L + 6.75%</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7.75%</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60,581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60,393</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5.6%</w:t>
            </w:r>
          </w:p>
        </w:tc>
      </w:tr>
      <w:tr>
        <w:trPr>
          <w:trHeight w:val="209"/>
        </w:trPr>
        <w:tc>
          <w:tcPr>
            <w:tcW w:w="258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Arial" w:cs="Arial" w:eastAsia="Arial" w:hAnsi="Arial"/>
                <w:sz w:val="16"/>
                <w:szCs w:val="16"/>
                <w:color w:val="auto"/>
              </w:rPr>
              <w:t>8/2025)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Dye &amp; Durham Corp. </w:t>
            </w:r>
            <w:r>
              <w:rPr>
                <w:rFonts w:ascii="Arial" w:cs="Arial" w:eastAsia="Arial" w:hAnsi="Arial"/>
                <w:sz w:val="24"/>
                <w:szCs w:val="24"/>
                <w:color w:val="auto"/>
                <w:vertAlign w:val="superscript"/>
              </w:rPr>
              <w:t>(3)(4)</w:t>
            </w: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First-lien loan (CAD 64,505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7/11/2019</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C + 7.00%</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8.00%</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48,247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47,005</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w:t>
            </w:r>
          </w:p>
        </w:tc>
      </w:tr>
      <w:tr>
        <w:trPr>
          <w:trHeight w:val="203"/>
        </w:trPr>
        <w:tc>
          <w:tcPr>
            <w:tcW w:w="2580" w:type="dxa"/>
            <w:vAlign w:val="bottom"/>
            <w:shd w:val="clear" w:color="auto" w:fill="CFF0FC"/>
          </w:tcPr>
          <w:p>
            <w:pPr>
              <w:spacing w:after="0"/>
              <w:rPr>
                <w:sz w:val="17"/>
                <w:szCs w:val="17"/>
                <w:color w:val="auto"/>
              </w:rPr>
            </w:pPr>
          </w:p>
        </w:tc>
        <w:tc>
          <w:tcPr>
            <w:tcW w:w="26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7/2024)</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(CAD</w:t>
            </w: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2"/>
        </w:trPr>
        <w:tc>
          <w:tcPr>
            <w:tcW w:w="2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64,021)</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80" w:type="dxa"/>
            <w:vAlign w:val="bottom"/>
          </w:tcPr>
          <w:p>
            <w:pPr>
              <w:spacing w:after="0"/>
              <w:rPr>
                <w:sz w:val="17"/>
                <w:szCs w:val="17"/>
                <w:color w:val="auto"/>
              </w:rPr>
            </w:pP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First-lien revolving loan (CAD 3,150</w:t>
            </w:r>
          </w:p>
        </w:tc>
        <w:tc>
          <w:tcPr>
            <w:tcW w:w="860" w:type="dxa"/>
            <w:vAlign w:val="bottom"/>
          </w:tcPr>
          <w:p>
            <w:pPr>
              <w:jc w:val="right"/>
              <w:spacing w:after="0"/>
              <w:rPr>
                <w:sz w:val="20"/>
                <w:szCs w:val="20"/>
                <w:color w:val="auto"/>
              </w:rPr>
            </w:pPr>
            <w:r>
              <w:rPr>
                <w:rFonts w:ascii="Arial" w:cs="Arial" w:eastAsia="Arial" w:hAnsi="Arial"/>
                <w:sz w:val="16"/>
                <w:szCs w:val="16"/>
                <w:color w:val="auto"/>
              </w:rPr>
              <w:t>7/11/2019</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P + 6.00%</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8.50%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2,278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2,294</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03"/>
        </w:trPr>
        <w:tc>
          <w:tcPr>
            <w:tcW w:w="2580" w:type="dxa"/>
            <w:vAlign w:val="bottom"/>
          </w:tcPr>
          <w:p>
            <w:pPr>
              <w:spacing w:after="0"/>
              <w:rPr>
                <w:sz w:val="17"/>
                <w:szCs w:val="17"/>
                <w:color w:val="auto"/>
              </w:rPr>
            </w:pP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par, due 7/2024)</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240"/>
              <w:spacing w:after="0"/>
              <w:rPr>
                <w:sz w:val="20"/>
                <w:szCs w:val="20"/>
                <w:color w:val="auto"/>
              </w:rPr>
            </w:pPr>
            <w:r>
              <w:rPr>
                <w:rFonts w:ascii="Arial" w:cs="Arial" w:eastAsia="Arial" w:hAnsi="Arial"/>
                <w:sz w:val="16"/>
                <w:szCs w:val="16"/>
                <w:color w:val="auto"/>
              </w:rPr>
              <w:t>(CAD</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3,124)</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Exela Receivables 1, LLC </w:t>
            </w:r>
            <w:r>
              <w:rPr>
                <w:rFonts w:ascii="Arial" w:cs="Arial" w:eastAsia="Arial" w:hAnsi="Arial"/>
                <w:sz w:val="24"/>
                <w:szCs w:val="24"/>
                <w:color w:val="auto"/>
                <w:vertAlign w:val="superscript"/>
              </w:rPr>
              <w:t>(3)(5)</w:t>
            </w: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w w:val="99"/>
              </w:rPr>
              <w:t>First-lien revolving loan ($40,000 par,</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5/11/2020</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L + 6.75%</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7.75%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40,000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40,400</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w:t>
            </w:r>
          </w:p>
        </w:tc>
      </w:tr>
      <w:tr>
        <w:trPr>
          <w:trHeight w:val="212"/>
        </w:trPr>
        <w:tc>
          <w:tcPr>
            <w:tcW w:w="2580" w:type="dxa"/>
            <w:vAlign w:val="bottom"/>
            <w:shd w:val="clear" w:color="auto" w:fill="CFF0FC"/>
          </w:tcPr>
          <w:p>
            <w:pPr>
              <w:spacing w:after="0"/>
              <w:rPr>
                <w:sz w:val="18"/>
                <w:szCs w:val="18"/>
                <w:color w:val="auto"/>
              </w:rPr>
            </w:pP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due 1/2025)</w:t>
            </w: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3"/>
        </w:trPr>
        <w:tc>
          <w:tcPr>
            <w:tcW w:w="2580" w:type="dxa"/>
            <w:vAlign w:val="bottom"/>
          </w:tcPr>
          <w:p>
            <w:pPr>
              <w:spacing w:after="0"/>
              <w:rPr>
                <w:sz w:val="20"/>
                <w:szCs w:val="20"/>
                <w:color w:val="auto"/>
              </w:rPr>
            </w:pPr>
            <w:r>
              <w:rPr>
                <w:rFonts w:ascii="Arial" w:cs="Arial" w:eastAsia="Arial" w:hAnsi="Arial"/>
                <w:sz w:val="16"/>
                <w:szCs w:val="16"/>
                <w:color w:val="auto"/>
              </w:rPr>
              <w:t>Integration Appliance,</w:t>
            </w: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First-lien loan ($71,500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8/13/2018</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L + 7.25%</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9.43%</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70,748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72,036</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6.7%</w:t>
            </w:r>
          </w:p>
        </w:tc>
      </w:tr>
      <w:tr>
        <w:trPr>
          <w:trHeight w:val="216"/>
        </w:trPr>
        <w:tc>
          <w:tcPr>
            <w:tcW w:w="258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Inc. </w:t>
            </w:r>
            <w:r>
              <w:rPr>
                <w:rFonts w:ascii="Arial" w:cs="Arial" w:eastAsia="Arial" w:hAnsi="Arial"/>
                <w:sz w:val="25"/>
                <w:szCs w:val="25"/>
                <w:color w:val="auto"/>
                <w:vertAlign w:val="superscript"/>
              </w:rPr>
              <w:t>(3)</w:t>
            </w:r>
          </w:p>
        </w:tc>
        <w:tc>
          <w:tcPr>
            <w:tcW w:w="2620" w:type="dxa"/>
            <w:vAlign w:val="bottom"/>
            <w:gridSpan w:val="2"/>
          </w:tcPr>
          <w:p>
            <w:pPr>
              <w:ind w:left="80"/>
              <w:spacing w:after="0"/>
              <w:rPr>
                <w:sz w:val="20"/>
                <w:szCs w:val="20"/>
                <w:color w:val="auto"/>
              </w:rPr>
            </w:pPr>
            <w:r>
              <w:rPr>
                <w:rFonts w:ascii="Arial" w:cs="Arial" w:eastAsia="Arial" w:hAnsi="Arial"/>
                <w:sz w:val="16"/>
                <w:szCs w:val="16"/>
                <w:color w:val="auto"/>
              </w:rPr>
              <w:t>8/2023)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6"/>
        </w:trPr>
        <w:tc>
          <w:tcPr>
            <w:tcW w:w="2580" w:type="dxa"/>
            <w:vAlign w:val="bottom"/>
            <w:shd w:val="clear" w:color="auto" w:fill="CFF0FC"/>
          </w:tcPr>
          <w:p>
            <w:pPr>
              <w:spacing w:after="0"/>
              <w:rPr>
                <w:sz w:val="17"/>
                <w:szCs w:val="17"/>
                <w:color w:val="auto"/>
              </w:rPr>
            </w:pP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First-lien revolving loan ($2,619 par,</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8/13/2018</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L + 7.25%</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8.25%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2,595</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2,639</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212"/>
        </w:trPr>
        <w:tc>
          <w:tcPr>
            <w:tcW w:w="2580" w:type="dxa"/>
            <w:vAlign w:val="bottom"/>
            <w:shd w:val="clear" w:color="auto" w:fill="CFF0FC"/>
          </w:tcPr>
          <w:p>
            <w:pPr>
              <w:spacing w:after="0"/>
              <w:rPr>
                <w:sz w:val="18"/>
                <w:szCs w:val="18"/>
                <w:color w:val="auto"/>
              </w:rPr>
            </w:pP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due 8/2023)</w:t>
            </w: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80" w:type="dxa"/>
            <w:vAlign w:val="bottom"/>
          </w:tcPr>
          <w:p>
            <w:pPr>
              <w:spacing w:after="0" w:line="207" w:lineRule="exact"/>
              <w:rPr>
                <w:sz w:val="20"/>
                <w:szCs w:val="20"/>
                <w:color w:val="auto"/>
              </w:rPr>
            </w:pPr>
            <w:r>
              <w:rPr>
                <w:rFonts w:ascii="Arial" w:cs="Arial" w:eastAsia="Arial" w:hAnsi="Arial"/>
                <w:sz w:val="14"/>
                <w:szCs w:val="14"/>
                <w:color w:val="auto"/>
              </w:rPr>
              <w:t xml:space="preserve">Motus, LLC </w:t>
            </w:r>
            <w:r>
              <w:rPr>
                <w:rFonts w:ascii="Arial" w:cs="Arial" w:eastAsia="Arial" w:hAnsi="Arial"/>
                <w:sz w:val="23"/>
                <w:szCs w:val="23"/>
                <w:color w:val="auto"/>
                <w:vertAlign w:val="superscript"/>
              </w:rPr>
              <w:t>(3)(5)</w:t>
            </w: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First-lien loan ($59,546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1/17/2018</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L + 5.50%</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6.50%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58,580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59,695</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5.5%</w:t>
            </w:r>
          </w:p>
        </w:tc>
      </w:tr>
      <w:tr>
        <w:trPr>
          <w:trHeight w:val="209"/>
        </w:trPr>
        <w:tc>
          <w:tcPr>
            <w:tcW w:w="258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Arial" w:cs="Arial" w:eastAsia="Arial" w:hAnsi="Arial"/>
                <w:sz w:val="16"/>
                <w:szCs w:val="16"/>
                <w:color w:val="auto"/>
              </w:rPr>
              <w:t>1/2024)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6"/>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Netwrix Corp. and Concept</w:t>
            </w: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First-lien loan ($19,950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10/17/2019</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L + 5.88%</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6.88%</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19,533</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19,601</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258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Searching, Inc. </w:t>
            </w:r>
            <w:r>
              <w:rPr>
                <w:rFonts w:ascii="Arial" w:cs="Arial" w:eastAsia="Arial" w:hAnsi="Arial"/>
                <w:sz w:val="25"/>
                <w:szCs w:val="25"/>
                <w:color w:val="auto"/>
                <w:vertAlign w:val="superscript"/>
              </w:rPr>
              <w:t>(3)(5)</w:t>
            </w:r>
          </w:p>
        </w:tc>
        <w:tc>
          <w:tcPr>
            <w:tcW w:w="26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10/2024)</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80" w:type="dxa"/>
            <w:vAlign w:val="bottom"/>
          </w:tcPr>
          <w:p>
            <w:pPr>
              <w:spacing w:after="0" w:line="207" w:lineRule="exact"/>
              <w:rPr>
                <w:sz w:val="20"/>
                <w:szCs w:val="20"/>
                <w:color w:val="auto"/>
              </w:rPr>
            </w:pPr>
            <w:r>
              <w:rPr>
                <w:rFonts w:ascii="Arial" w:cs="Arial" w:eastAsia="Arial" w:hAnsi="Arial"/>
                <w:sz w:val="14"/>
                <w:szCs w:val="14"/>
                <w:color w:val="auto"/>
              </w:rPr>
              <w:t xml:space="preserve">Nintex Global, Ltd. </w:t>
            </w:r>
            <w:r>
              <w:rPr>
                <w:rFonts w:ascii="Arial" w:cs="Arial" w:eastAsia="Arial" w:hAnsi="Arial"/>
                <w:sz w:val="23"/>
                <w:szCs w:val="23"/>
                <w:color w:val="auto"/>
                <w:vertAlign w:val="superscript"/>
              </w:rPr>
              <w:t>(3)(5)</w:t>
            </w: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First-lien loan ($73,846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3/30/2018</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L + 6.25%</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7.25%</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72,613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74,399</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6.9%</w:t>
            </w:r>
          </w:p>
        </w:tc>
      </w:tr>
      <w:tr>
        <w:trPr>
          <w:trHeight w:val="209"/>
        </w:trPr>
        <w:tc>
          <w:tcPr>
            <w:tcW w:w="258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Arial" w:cs="Arial" w:eastAsia="Arial" w:hAnsi="Arial"/>
                <w:sz w:val="16"/>
                <w:szCs w:val="16"/>
                <w:color w:val="auto"/>
              </w:rPr>
              <w:t>4/2024)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ServiceChannel Holdings, Inc. </w:t>
            </w:r>
            <w:r>
              <w:rPr>
                <w:rFonts w:ascii="Arial" w:cs="Arial" w:eastAsia="Arial" w:hAnsi="Arial"/>
                <w:sz w:val="24"/>
                <w:szCs w:val="24"/>
                <w:color w:val="auto"/>
                <w:vertAlign w:val="superscript"/>
              </w:rPr>
              <w:t>(9)</w:t>
            </w: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Second-lien loan ($5,045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6/3/2020</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12.00%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12.00%</w:t>
            </w: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4,613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4,604</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2"/>
        </w:trPr>
        <w:tc>
          <w:tcPr>
            <w:tcW w:w="2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6/2025)</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PIK</w:t>
            </w: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80" w:type="dxa"/>
            <w:vAlign w:val="bottom"/>
          </w:tcPr>
          <w:p>
            <w:pPr>
              <w:spacing w:after="0"/>
              <w:rPr>
                <w:sz w:val="20"/>
                <w:szCs w:val="20"/>
                <w:color w:val="auto"/>
              </w:rPr>
            </w:pPr>
            <w:r>
              <w:rPr>
                <w:rFonts w:ascii="Arial" w:cs="Arial" w:eastAsia="Arial" w:hAnsi="Arial"/>
                <w:sz w:val="16"/>
                <w:szCs w:val="16"/>
                <w:color w:val="auto"/>
              </w:rPr>
              <w:t>Sprinklr, Inc.</w:t>
            </w: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Convertible note ($3,750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5/20/2020</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9.88%</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9.88% PIK</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3,673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3,675</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2580" w:type="dxa"/>
            <w:vAlign w:val="bottom"/>
            <w:tcBorders>
              <w:bottom w:val="single" w:sz="8" w:color="CFF0FC"/>
            </w:tcBorders>
          </w:tcPr>
          <w:p>
            <w:pPr>
              <w:spacing w:after="0"/>
              <w:rPr>
                <w:sz w:val="18"/>
                <w:szCs w:val="18"/>
                <w:color w:val="auto"/>
              </w:rPr>
            </w:pPr>
          </w:p>
        </w:tc>
        <w:tc>
          <w:tcPr>
            <w:tcW w:w="2620" w:type="dxa"/>
            <w:vAlign w:val="bottom"/>
            <w:tcBorders>
              <w:bottom w:val="single" w:sz="8" w:color="CFF0FC"/>
            </w:tcBorders>
            <w:gridSpan w:val="2"/>
          </w:tcPr>
          <w:p>
            <w:pPr>
              <w:ind w:left="80"/>
              <w:spacing w:after="0"/>
              <w:rPr>
                <w:sz w:val="20"/>
                <w:szCs w:val="20"/>
                <w:color w:val="auto"/>
              </w:rPr>
            </w:pPr>
            <w:r>
              <w:rPr>
                <w:rFonts w:ascii="Arial" w:cs="Arial" w:eastAsia="Arial" w:hAnsi="Arial"/>
                <w:sz w:val="16"/>
                <w:szCs w:val="16"/>
                <w:color w:val="auto"/>
              </w:rPr>
              <w:t>5/2025)</w:t>
            </w: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r>
      <w:tr>
        <w:trPr>
          <w:trHeight w:val="213"/>
        </w:trPr>
        <w:tc>
          <w:tcPr>
            <w:tcW w:w="2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430,219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432,540</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4"/>
              </w:rPr>
              <w:t>%</w:t>
            </w:r>
          </w:p>
        </w:tc>
      </w:tr>
      <w:tr>
        <w:trPr>
          <w:trHeight w:val="207"/>
        </w:trPr>
        <w:tc>
          <w:tcPr>
            <w:tcW w:w="2580" w:type="dxa"/>
            <w:vAlign w:val="bottom"/>
          </w:tcPr>
          <w:p>
            <w:pPr>
              <w:spacing w:after="0"/>
              <w:rPr>
                <w:sz w:val="20"/>
                <w:szCs w:val="20"/>
                <w:color w:val="auto"/>
              </w:rPr>
            </w:pPr>
            <w:r>
              <w:rPr>
                <w:rFonts w:ascii="Arial" w:cs="Arial" w:eastAsia="Arial" w:hAnsi="Arial"/>
                <w:sz w:val="16"/>
                <w:szCs w:val="16"/>
                <w:b w:val="1"/>
                <w:bCs w:val="1"/>
                <w:color w:val="auto"/>
              </w:rPr>
              <w:t>Chemicals</w:t>
            </w:r>
          </w:p>
        </w:tc>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25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Vertellus Specialties, Inc. </w:t>
            </w:r>
            <w:r>
              <w:rPr>
                <w:rFonts w:ascii="Arial" w:cs="Arial" w:eastAsia="Arial" w:hAnsi="Arial"/>
                <w:sz w:val="24"/>
                <w:szCs w:val="24"/>
                <w:color w:val="auto"/>
                <w:vertAlign w:val="superscript"/>
              </w:rPr>
              <w:t>(3)</w:t>
            </w: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Second-lien loan ($4,357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10/31/2016</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L + 12.00%</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13.00%</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4,356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4,335</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2"/>
        </w:trPr>
        <w:tc>
          <w:tcPr>
            <w:tcW w:w="2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10/2021)</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b w:val="1"/>
                <w:bCs w:val="1"/>
                <w:color w:val="auto"/>
              </w:rPr>
              <w:t>Communications</w:t>
            </w: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6"/>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IntelePeer Holdings, Inc.</w:t>
            </w: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First-lien loan ($38,500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12/2/2019</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L + 8.25%</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9.75%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38,450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37,634</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2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ind w:left="80"/>
              <w:spacing w:after="0" w:line="216" w:lineRule="exact"/>
              <w:rPr>
                <w:sz w:val="20"/>
                <w:szCs w:val="20"/>
                <w:color w:val="auto"/>
              </w:rPr>
            </w:pPr>
            <w:r>
              <w:rPr>
                <w:rFonts w:ascii="Arial" w:cs="Arial" w:eastAsia="Arial" w:hAnsi="Arial"/>
                <w:sz w:val="15"/>
                <w:szCs w:val="15"/>
                <w:color w:val="auto"/>
              </w:rPr>
              <w:t xml:space="preserve">12/2024) </w:t>
            </w:r>
            <w:r>
              <w:rPr>
                <w:rFonts w:ascii="Arial" w:cs="Arial" w:eastAsia="Arial" w:hAnsi="Arial"/>
                <w:sz w:val="25"/>
                <w:szCs w:val="25"/>
                <w:color w:val="auto"/>
                <w:vertAlign w:val="superscript"/>
              </w:rPr>
              <w:t>(3)</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80" w:type="dxa"/>
            <w:vAlign w:val="bottom"/>
          </w:tcPr>
          <w:p>
            <w:pPr>
              <w:spacing w:after="0"/>
              <w:rPr>
                <w:sz w:val="17"/>
                <w:szCs w:val="17"/>
                <w:color w:val="auto"/>
              </w:rPr>
            </w:pP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Convertible note ($350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2/28/2020</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8.00%</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8.00% PIK</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232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245</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09"/>
        </w:trPr>
        <w:tc>
          <w:tcPr>
            <w:tcW w:w="2580" w:type="dxa"/>
            <w:vAlign w:val="bottom"/>
            <w:tcBorders>
              <w:bottom w:val="single" w:sz="8" w:color="CFF0FC"/>
            </w:tcBorders>
          </w:tcPr>
          <w:p>
            <w:pPr>
              <w:spacing w:after="0"/>
              <w:rPr>
                <w:sz w:val="18"/>
                <w:szCs w:val="18"/>
                <w:color w:val="auto"/>
              </w:rPr>
            </w:pPr>
          </w:p>
        </w:tc>
        <w:tc>
          <w:tcPr>
            <w:tcW w:w="2620" w:type="dxa"/>
            <w:vAlign w:val="bottom"/>
            <w:tcBorders>
              <w:bottom w:val="single" w:sz="8" w:color="CFF0FC"/>
            </w:tcBorders>
            <w:gridSpan w:val="2"/>
          </w:tcPr>
          <w:p>
            <w:pPr>
              <w:ind w:left="80"/>
              <w:spacing w:after="0"/>
              <w:rPr>
                <w:sz w:val="20"/>
                <w:szCs w:val="20"/>
                <w:color w:val="auto"/>
              </w:rPr>
            </w:pPr>
            <w:r>
              <w:rPr>
                <w:rFonts w:ascii="Arial" w:cs="Arial" w:eastAsia="Arial" w:hAnsi="Arial"/>
                <w:sz w:val="16"/>
                <w:szCs w:val="16"/>
                <w:color w:val="auto"/>
              </w:rPr>
              <w:t>12/2020)</w:t>
            </w: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r>
      <w:tr>
        <w:trPr>
          <w:trHeight w:val="213"/>
        </w:trPr>
        <w:tc>
          <w:tcPr>
            <w:tcW w:w="2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38,682</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37,879</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4"/>
              </w:rPr>
              <w:t>%</w:t>
            </w:r>
          </w:p>
        </w:tc>
      </w:tr>
      <w:tr>
        <w:trPr>
          <w:trHeight w:val="206"/>
        </w:trPr>
        <w:tc>
          <w:tcPr>
            <w:tcW w:w="2580" w:type="dxa"/>
            <w:vAlign w:val="bottom"/>
          </w:tcPr>
          <w:p>
            <w:pPr>
              <w:spacing w:after="0"/>
              <w:rPr>
                <w:sz w:val="20"/>
                <w:szCs w:val="20"/>
                <w:color w:val="auto"/>
              </w:rPr>
            </w:pPr>
            <w:r>
              <w:rPr>
                <w:rFonts w:ascii="Arial" w:cs="Arial" w:eastAsia="Arial" w:hAnsi="Arial"/>
                <w:sz w:val="16"/>
                <w:szCs w:val="16"/>
                <w:b w:val="1"/>
                <w:bCs w:val="1"/>
                <w:color w:val="auto"/>
              </w:rPr>
              <w:t>Education</w:t>
            </w:r>
          </w:p>
        </w:tc>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Frontline Technologies</w:t>
            </w: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First-lien loan ($65,468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9/18/2017</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L + 5.75%</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65,116</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65,141</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6.0%</w:t>
            </w:r>
          </w:p>
        </w:tc>
      </w:tr>
      <w:tr>
        <w:trPr>
          <w:trHeight w:val="216"/>
        </w:trPr>
        <w:tc>
          <w:tcPr>
            <w:tcW w:w="258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Group, LLC </w:t>
            </w:r>
            <w:r>
              <w:rPr>
                <w:rFonts w:ascii="Arial" w:cs="Arial" w:eastAsia="Arial" w:hAnsi="Arial"/>
                <w:sz w:val="25"/>
                <w:szCs w:val="25"/>
                <w:color w:val="auto"/>
                <w:vertAlign w:val="superscript"/>
              </w:rPr>
              <w:t>(3)</w:t>
            </w:r>
          </w:p>
        </w:tc>
        <w:tc>
          <w:tcPr>
            <w:tcW w:w="26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9/2023)</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3"/>
        </w:trPr>
        <w:tc>
          <w:tcPr>
            <w:tcW w:w="2580" w:type="dxa"/>
            <w:vAlign w:val="bottom"/>
          </w:tcPr>
          <w:p>
            <w:pPr>
              <w:spacing w:after="0"/>
              <w:rPr>
                <w:sz w:val="20"/>
                <w:szCs w:val="20"/>
                <w:color w:val="auto"/>
              </w:rPr>
            </w:pPr>
            <w:r>
              <w:rPr>
                <w:rFonts w:ascii="Arial" w:cs="Arial" w:eastAsia="Arial" w:hAnsi="Arial"/>
                <w:sz w:val="16"/>
                <w:szCs w:val="16"/>
                <w:color w:val="auto"/>
              </w:rPr>
              <w:t>Illuminate Education,</w:t>
            </w: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First-lien loan ($63,700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8/25/2017</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L + 7.25%</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8.25%</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63,043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63,063</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5.8%</w:t>
            </w:r>
          </w:p>
        </w:tc>
      </w:tr>
      <w:tr>
        <w:trPr>
          <w:trHeight w:val="213"/>
        </w:trPr>
        <w:tc>
          <w:tcPr>
            <w:tcW w:w="258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Inc.</w:t>
            </w:r>
            <w:r>
              <w:rPr>
                <w:rFonts w:ascii="Arial" w:cs="Arial" w:eastAsia="Arial" w:hAnsi="Arial"/>
                <w:sz w:val="13"/>
                <w:szCs w:val="13"/>
                <w:color w:val="auto"/>
              </w:rPr>
              <w:t>(3)(5)</w:t>
            </w:r>
          </w:p>
        </w:tc>
        <w:tc>
          <w:tcPr>
            <w:tcW w:w="2620" w:type="dxa"/>
            <w:vAlign w:val="bottom"/>
            <w:tcBorders>
              <w:bottom w:val="single" w:sz="8" w:color="CFF0FC"/>
            </w:tcBorders>
            <w:gridSpan w:val="2"/>
          </w:tcPr>
          <w:p>
            <w:pPr>
              <w:ind w:left="80"/>
              <w:spacing w:after="0"/>
              <w:rPr>
                <w:sz w:val="20"/>
                <w:szCs w:val="20"/>
                <w:color w:val="auto"/>
              </w:rPr>
            </w:pPr>
            <w:r>
              <w:rPr>
                <w:rFonts w:ascii="Arial" w:cs="Arial" w:eastAsia="Arial" w:hAnsi="Arial"/>
                <w:sz w:val="16"/>
                <w:szCs w:val="16"/>
                <w:color w:val="auto"/>
              </w:rPr>
              <w:t>8/2022)</w:t>
            </w: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r>
      <w:tr>
        <w:trPr>
          <w:trHeight w:val="213"/>
        </w:trPr>
        <w:tc>
          <w:tcPr>
            <w:tcW w:w="2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128,159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128,204</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11.8%</w:t>
            </w:r>
          </w:p>
        </w:tc>
      </w:tr>
      <w:tr>
        <w:trPr>
          <w:trHeight w:val="206"/>
        </w:trPr>
        <w:tc>
          <w:tcPr>
            <w:tcW w:w="2580" w:type="dxa"/>
            <w:vAlign w:val="bottom"/>
          </w:tcPr>
          <w:p>
            <w:pPr>
              <w:spacing w:after="0"/>
              <w:rPr>
                <w:sz w:val="20"/>
                <w:szCs w:val="20"/>
                <w:color w:val="auto"/>
              </w:rPr>
            </w:pPr>
            <w:r>
              <w:rPr>
                <w:rFonts w:ascii="Arial" w:cs="Arial" w:eastAsia="Arial" w:hAnsi="Arial"/>
                <w:sz w:val="16"/>
                <w:szCs w:val="16"/>
                <w:b w:val="1"/>
                <w:bCs w:val="1"/>
                <w:color w:val="auto"/>
              </w:rPr>
              <w:t>Financial services</w:t>
            </w:r>
          </w:p>
        </w:tc>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25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AvidXchange, Inc. </w:t>
            </w:r>
            <w:r>
              <w:rPr>
                <w:rFonts w:ascii="Arial" w:cs="Arial" w:eastAsia="Arial" w:hAnsi="Arial"/>
                <w:sz w:val="24"/>
                <w:szCs w:val="24"/>
                <w:color w:val="auto"/>
                <w:vertAlign w:val="superscript"/>
              </w:rPr>
              <w:t>(3)(5)</w:t>
            </w: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First-lien loan ($10,587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10/1/2019</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L + 9.00%</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10.00%</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10,451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10,448</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r>
      <w:tr>
        <w:trPr>
          <w:trHeight w:val="212"/>
        </w:trPr>
        <w:tc>
          <w:tcPr>
            <w:tcW w:w="2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4/2024)</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80" w:type="dxa"/>
            <w:vAlign w:val="bottom"/>
          </w:tcPr>
          <w:p>
            <w:pPr>
              <w:spacing w:after="0" w:line="207" w:lineRule="exact"/>
              <w:rPr>
                <w:sz w:val="20"/>
                <w:szCs w:val="20"/>
                <w:color w:val="auto"/>
              </w:rPr>
            </w:pPr>
            <w:r>
              <w:rPr>
                <w:rFonts w:ascii="Arial" w:cs="Arial" w:eastAsia="Arial" w:hAnsi="Arial"/>
                <w:sz w:val="14"/>
                <w:szCs w:val="14"/>
                <w:color w:val="auto"/>
              </w:rPr>
              <w:t xml:space="preserve">Bear OpCo, LLC </w:t>
            </w:r>
            <w:r>
              <w:rPr>
                <w:rFonts w:ascii="Arial" w:cs="Arial" w:eastAsia="Arial" w:hAnsi="Arial"/>
                <w:sz w:val="23"/>
                <w:szCs w:val="23"/>
                <w:color w:val="auto"/>
                <w:vertAlign w:val="superscript"/>
              </w:rPr>
              <w:t>(3)(5)</w:t>
            </w: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First-lien loan ($17,369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10/10/2019</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L + 5.00%</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6.00%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16,936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16,978</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1.6%</w:t>
            </w:r>
          </w:p>
        </w:tc>
      </w:tr>
      <w:tr>
        <w:trPr>
          <w:trHeight w:val="209"/>
        </w:trPr>
        <w:tc>
          <w:tcPr>
            <w:tcW w:w="258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Arial" w:cs="Arial" w:eastAsia="Arial" w:hAnsi="Arial"/>
                <w:sz w:val="16"/>
                <w:szCs w:val="16"/>
                <w:color w:val="auto"/>
              </w:rPr>
              <w:t>10/2024)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BlueSnap, Inc. </w:t>
            </w:r>
            <w:r>
              <w:rPr>
                <w:rFonts w:ascii="Arial" w:cs="Arial" w:eastAsia="Arial" w:hAnsi="Arial"/>
                <w:sz w:val="24"/>
                <w:szCs w:val="24"/>
                <w:color w:val="auto"/>
                <w:vertAlign w:val="superscript"/>
              </w:rPr>
              <w:t>(3)</w:t>
            </w: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First-lien loan ($35,000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10/25/2019</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L + 7.00%</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8.00%</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34,380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34,475</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w:t>
            </w:r>
          </w:p>
        </w:tc>
      </w:tr>
      <w:tr>
        <w:trPr>
          <w:trHeight w:val="212"/>
        </w:trPr>
        <w:tc>
          <w:tcPr>
            <w:tcW w:w="2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10/2024)</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80" w:type="dxa"/>
            <w:vAlign w:val="bottom"/>
          </w:tcPr>
          <w:p>
            <w:pPr>
              <w:spacing w:after="0"/>
              <w:rPr>
                <w:sz w:val="17"/>
                <w:szCs w:val="17"/>
                <w:color w:val="auto"/>
              </w:rPr>
            </w:pP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First-lien revolving loan ($2,500 par,</w:t>
            </w:r>
          </w:p>
        </w:tc>
        <w:tc>
          <w:tcPr>
            <w:tcW w:w="860" w:type="dxa"/>
            <w:vAlign w:val="bottom"/>
          </w:tcPr>
          <w:p>
            <w:pPr>
              <w:jc w:val="right"/>
              <w:spacing w:after="0"/>
              <w:rPr>
                <w:sz w:val="20"/>
                <w:szCs w:val="20"/>
                <w:color w:val="auto"/>
              </w:rPr>
            </w:pPr>
            <w:r>
              <w:rPr>
                <w:rFonts w:ascii="Arial" w:cs="Arial" w:eastAsia="Arial" w:hAnsi="Arial"/>
                <w:sz w:val="16"/>
                <w:szCs w:val="16"/>
                <w:color w:val="auto"/>
              </w:rPr>
              <w:t>10/25/2019</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P + 6.00%</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9.25%</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2,457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2,462</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06"/>
        </w:trPr>
        <w:tc>
          <w:tcPr>
            <w:tcW w:w="2580" w:type="dxa"/>
            <w:vAlign w:val="bottom"/>
          </w:tcPr>
          <w:p>
            <w:pPr>
              <w:spacing w:after="0"/>
              <w:rPr>
                <w:sz w:val="17"/>
                <w:szCs w:val="17"/>
                <w:color w:val="auto"/>
              </w:rPr>
            </w:pP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due 10/2024)</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310"/>
        </w:trPr>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Factor Systems, Inc. </w:t>
            </w:r>
            <w:r>
              <w:rPr>
                <w:rFonts w:ascii="Arial" w:cs="Arial" w:eastAsia="Arial" w:hAnsi="Arial"/>
                <w:sz w:val="27"/>
                <w:szCs w:val="27"/>
                <w:color w:val="auto"/>
                <w:vertAlign w:val="superscript"/>
              </w:rPr>
              <w:t>(3)(5)</w:t>
            </w: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($29,925 par, due</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1/17/2020</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+ 7.00%</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29,323</w:t>
            </w:r>
          </w:p>
        </w:tc>
        <w:tc>
          <w:tcPr>
            <w:tcW w:w="200" w:type="dxa"/>
            <w:vAlign w:val="bottom"/>
            <w:shd w:val="clear" w:color="auto" w:fill="CFF0FC"/>
          </w:tcPr>
          <w:p>
            <w:pPr>
              <w:spacing w:after="0"/>
              <w:rPr>
                <w:sz w:val="24"/>
                <w:szCs w:val="2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29,492</w:t>
            </w:r>
          </w:p>
        </w:tc>
        <w:tc>
          <w:tcPr>
            <w:tcW w:w="200" w:type="dxa"/>
            <w:vAlign w:val="bottom"/>
            <w:shd w:val="clear" w:color="auto" w:fill="CFF0FC"/>
          </w:tcPr>
          <w:p>
            <w:pPr>
              <w:spacing w:after="0"/>
              <w:rPr>
                <w:sz w:val="24"/>
                <w:szCs w:val="2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w:t>
            </w:r>
          </w:p>
        </w:tc>
      </w:tr>
      <w:tr>
        <w:trPr>
          <w:trHeight w:val="212"/>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1/2025)</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G Treasury SS, LLC </w:t>
            </w:r>
            <w:r>
              <w:rPr>
                <w:rFonts w:ascii="Arial" w:cs="Arial" w:eastAsia="Arial" w:hAnsi="Arial"/>
                <w:sz w:val="23"/>
                <w:szCs w:val="23"/>
                <w:color w:val="auto"/>
                <w:vertAlign w:val="superscript"/>
              </w:rPr>
              <w:t>(3)(5)</w:t>
            </w: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loan ($30,383 par, due</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4/9/2018</w:t>
            </w:r>
          </w:p>
        </w:tc>
        <w:tc>
          <w:tcPr>
            <w:tcW w:w="940" w:type="dxa"/>
            <w:vAlign w:val="bottom"/>
          </w:tcPr>
          <w:p>
            <w:pPr>
              <w:jc w:val="right"/>
              <w:spacing w:after="0"/>
              <w:rPr>
                <w:sz w:val="20"/>
                <w:szCs w:val="20"/>
                <w:color w:val="auto"/>
              </w:rPr>
            </w:pPr>
            <w:r>
              <w:rPr>
                <w:rFonts w:ascii="Arial" w:cs="Arial" w:eastAsia="Arial" w:hAnsi="Arial"/>
                <w:sz w:val="16"/>
                <w:szCs w:val="16"/>
                <w:color w:val="auto"/>
              </w:rPr>
              <w:t>L + 8.25%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9.25%</w:t>
            </w:r>
          </w:p>
        </w:tc>
        <w:tc>
          <w:tcPr>
            <w:tcW w:w="780" w:type="dxa"/>
            <w:vAlign w:val="bottom"/>
          </w:tcPr>
          <w:p>
            <w:pPr>
              <w:jc w:val="right"/>
              <w:spacing w:after="0"/>
              <w:rPr>
                <w:sz w:val="20"/>
                <w:szCs w:val="20"/>
                <w:color w:val="auto"/>
              </w:rPr>
            </w:pPr>
            <w:r>
              <w:rPr>
                <w:rFonts w:ascii="Arial" w:cs="Arial" w:eastAsia="Arial" w:hAnsi="Arial"/>
                <w:sz w:val="16"/>
                <w:szCs w:val="16"/>
                <w:color w:val="auto"/>
              </w:rPr>
              <w:t>30,073</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30,687</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209"/>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4/2023)</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GC Agile Holdings, Ltd. </w:t>
            </w:r>
            <w:r>
              <w:rPr>
                <w:rFonts w:ascii="Arial" w:cs="Arial" w:eastAsia="Arial" w:hAnsi="Arial"/>
                <w:sz w:val="24"/>
                <w:szCs w:val="24"/>
                <w:color w:val="auto"/>
                <w:vertAlign w:val="superscript"/>
              </w:rPr>
              <w:t>(3)(4)</w:t>
            </w: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($39,523 par, due</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1/31/2019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+ 7.00%</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38,956</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38,733</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w:t>
            </w:r>
          </w:p>
        </w:tc>
      </w:tr>
      <w:tr>
        <w:trPr>
          <w:trHeight w:val="212"/>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6/2025)</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Kyriba Corp.</w:t>
            </w:r>
            <w:r>
              <w:rPr>
                <w:rFonts w:ascii="Arial" w:cs="Arial" w:eastAsia="Arial" w:hAnsi="Arial"/>
                <w:sz w:val="23"/>
                <w:szCs w:val="23"/>
                <w:color w:val="auto"/>
                <w:vertAlign w:val="superscript"/>
              </w:rPr>
              <w:t>(3)</w:t>
            </w: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loan ($13,302 par, due</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4/9/2019</w:t>
            </w:r>
          </w:p>
        </w:tc>
        <w:tc>
          <w:tcPr>
            <w:tcW w:w="940" w:type="dxa"/>
            <w:vAlign w:val="bottom"/>
          </w:tcPr>
          <w:p>
            <w:pPr>
              <w:jc w:val="right"/>
              <w:spacing w:after="0"/>
              <w:rPr>
                <w:sz w:val="20"/>
                <w:szCs w:val="20"/>
                <w:color w:val="auto"/>
              </w:rPr>
            </w:pPr>
            <w:r>
              <w:rPr>
                <w:rFonts w:ascii="Arial" w:cs="Arial" w:eastAsia="Arial" w:hAnsi="Arial"/>
                <w:sz w:val="16"/>
                <w:szCs w:val="16"/>
                <w:color w:val="auto"/>
              </w:rPr>
              <w:t>L + 9.00%</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10.50%</w:t>
            </w:r>
          </w:p>
        </w:tc>
        <w:tc>
          <w:tcPr>
            <w:tcW w:w="780" w:type="dxa"/>
            <w:vAlign w:val="bottom"/>
          </w:tcPr>
          <w:p>
            <w:pPr>
              <w:jc w:val="right"/>
              <w:spacing w:after="0"/>
              <w:rPr>
                <w:sz w:val="20"/>
                <w:szCs w:val="20"/>
                <w:color w:val="auto"/>
              </w:rPr>
            </w:pPr>
            <w:r>
              <w:rPr>
                <w:rFonts w:ascii="Arial" w:cs="Arial" w:eastAsia="Arial" w:hAnsi="Arial"/>
                <w:sz w:val="16"/>
                <w:szCs w:val="16"/>
                <w:color w:val="auto"/>
              </w:rPr>
              <w:t>13,000</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13,775</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203"/>
        </w:trPr>
        <w:tc>
          <w:tcPr>
            <w:tcW w:w="2500" w:type="dxa"/>
            <w:vAlign w:val="bottom"/>
          </w:tcPr>
          <w:p>
            <w:pPr>
              <w:spacing w:after="0"/>
              <w:rPr>
                <w:sz w:val="17"/>
                <w:szCs w:val="17"/>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4/2025)</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9.00%</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2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(EUR 7,919 par, due</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4/9/2019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E + 9.00%</w:t>
            </w: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9.00% PIK</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8,661</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8,221</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0.8%</w:t>
            </w:r>
          </w:p>
        </w:tc>
      </w:tr>
      <w:tr>
        <w:trPr>
          <w:trHeight w:val="203"/>
        </w:trPr>
        <w:tc>
          <w:tcPr>
            <w:tcW w:w="2500" w:type="dxa"/>
            <w:vAlign w:val="bottom"/>
            <w:shd w:val="clear" w:color="auto" w:fill="CFF0FC"/>
          </w:tcPr>
          <w:p>
            <w:pPr>
              <w:spacing w:after="0"/>
              <w:rPr>
                <w:sz w:val="17"/>
                <w:szCs w:val="17"/>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4/2025)</w:t>
            </w:r>
          </w:p>
        </w:tc>
        <w:tc>
          <w:tcPr>
            <w:tcW w:w="10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(EUR</w:t>
            </w: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2"/>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7,320)</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rPr>
                <w:sz w:val="17"/>
                <w:szCs w:val="17"/>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revolving loan ($1,411 par,</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4/9/2019</w:t>
            </w:r>
          </w:p>
        </w:tc>
        <w:tc>
          <w:tcPr>
            <w:tcW w:w="940" w:type="dxa"/>
            <w:vAlign w:val="bottom"/>
          </w:tcPr>
          <w:p>
            <w:pPr>
              <w:jc w:val="right"/>
              <w:spacing w:after="0"/>
              <w:rPr>
                <w:sz w:val="20"/>
                <w:szCs w:val="20"/>
                <w:color w:val="auto"/>
              </w:rPr>
            </w:pPr>
            <w:r>
              <w:rPr>
                <w:rFonts w:ascii="Arial" w:cs="Arial" w:eastAsia="Arial" w:hAnsi="Arial"/>
                <w:sz w:val="16"/>
                <w:szCs w:val="16"/>
                <w:color w:val="auto"/>
              </w:rPr>
              <w:t>L + 7.25%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8.75%</w:t>
            </w:r>
          </w:p>
        </w:tc>
        <w:tc>
          <w:tcPr>
            <w:tcW w:w="780" w:type="dxa"/>
            <w:vAlign w:val="bottom"/>
          </w:tcPr>
          <w:p>
            <w:pPr>
              <w:jc w:val="right"/>
              <w:spacing w:after="0"/>
              <w:rPr>
                <w:sz w:val="20"/>
                <w:szCs w:val="20"/>
                <w:color w:val="auto"/>
              </w:rPr>
            </w:pPr>
            <w:r>
              <w:rPr>
                <w:rFonts w:ascii="Arial" w:cs="Arial" w:eastAsia="Arial" w:hAnsi="Arial"/>
                <w:sz w:val="16"/>
                <w:szCs w:val="16"/>
                <w:color w:val="auto"/>
              </w:rPr>
              <w:t>1,376</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1,441</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due 4/2025)</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revolving loan (EUR 336</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4/9/2019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E + 7.25%</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12"/>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par, due 4/2025)</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(EUR 296)</w:t>
            </w: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PayLease, LLC </w:t>
            </w:r>
            <w:r>
              <w:rPr>
                <w:rFonts w:ascii="Arial" w:cs="Arial" w:eastAsia="Arial" w:hAnsi="Arial"/>
                <w:sz w:val="23"/>
                <w:szCs w:val="23"/>
                <w:color w:val="auto"/>
                <w:vertAlign w:val="superscript"/>
              </w:rPr>
              <w:t>(3)</w:t>
            </w: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loan ($63,999 par, due</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7/28/2017</w:t>
            </w:r>
          </w:p>
        </w:tc>
        <w:tc>
          <w:tcPr>
            <w:tcW w:w="940" w:type="dxa"/>
            <w:vAlign w:val="bottom"/>
          </w:tcPr>
          <w:p>
            <w:pPr>
              <w:jc w:val="right"/>
              <w:spacing w:after="0"/>
              <w:rPr>
                <w:sz w:val="20"/>
                <w:szCs w:val="20"/>
                <w:color w:val="auto"/>
              </w:rPr>
            </w:pPr>
            <w:r>
              <w:rPr>
                <w:rFonts w:ascii="Arial" w:cs="Arial" w:eastAsia="Arial" w:hAnsi="Arial"/>
                <w:sz w:val="16"/>
                <w:szCs w:val="16"/>
                <w:color w:val="auto"/>
              </w:rPr>
              <w:t>L + 7.25%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8.25%</w:t>
            </w:r>
          </w:p>
        </w:tc>
        <w:tc>
          <w:tcPr>
            <w:tcW w:w="780" w:type="dxa"/>
            <w:vAlign w:val="bottom"/>
          </w:tcPr>
          <w:p>
            <w:pPr>
              <w:jc w:val="right"/>
              <w:spacing w:after="0"/>
              <w:rPr>
                <w:sz w:val="20"/>
                <w:szCs w:val="20"/>
                <w:color w:val="auto"/>
              </w:rPr>
            </w:pPr>
            <w:r>
              <w:rPr>
                <w:rFonts w:ascii="Arial" w:cs="Arial" w:eastAsia="Arial" w:hAnsi="Arial"/>
                <w:sz w:val="16"/>
                <w:szCs w:val="16"/>
                <w:color w:val="auto"/>
              </w:rPr>
              <w:t>63,365</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64,319</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5.9%</w:t>
            </w:r>
          </w:p>
        </w:tc>
      </w:tr>
      <w:tr>
        <w:trPr>
          <w:trHeight w:val="209"/>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7/2022)</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revolving loan ($3,333 par,</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7/28/2017</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+ 7.25%</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3,306</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3,350</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r>
      <w:tr>
        <w:trPr>
          <w:trHeight w:val="212"/>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due 7/2022)</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PrimeRevenue, Inc. </w:t>
            </w:r>
            <w:r>
              <w:rPr>
                <w:rFonts w:ascii="Arial" w:cs="Arial" w:eastAsia="Arial" w:hAnsi="Arial"/>
                <w:sz w:val="23"/>
                <w:szCs w:val="23"/>
                <w:color w:val="auto"/>
                <w:vertAlign w:val="superscript"/>
              </w:rPr>
              <w:t>(3)</w:t>
            </w: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loan ($21,707 par, due</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12/31/2018</w:t>
            </w:r>
          </w:p>
        </w:tc>
        <w:tc>
          <w:tcPr>
            <w:tcW w:w="940" w:type="dxa"/>
            <w:vAlign w:val="bottom"/>
          </w:tcPr>
          <w:p>
            <w:pPr>
              <w:jc w:val="right"/>
              <w:spacing w:after="0"/>
              <w:rPr>
                <w:sz w:val="20"/>
                <w:szCs w:val="20"/>
                <w:color w:val="auto"/>
              </w:rPr>
            </w:pPr>
            <w:r>
              <w:rPr>
                <w:rFonts w:ascii="Arial" w:cs="Arial" w:eastAsia="Arial" w:hAnsi="Arial"/>
                <w:sz w:val="16"/>
                <w:szCs w:val="16"/>
                <w:color w:val="auto"/>
              </w:rPr>
              <w:t>L + 9.50%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11.00%</w:t>
            </w:r>
          </w:p>
        </w:tc>
        <w:tc>
          <w:tcPr>
            <w:tcW w:w="780" w:type="dxa"/>
            <w:vAlign w:val="bottom"/>
          </w:tcPr>
          <w:p>
            <w:pPr>
              <w:jc w:val="right"/>
              <w:spacing w:after="0"/>
              <w:rPr>
                <w:sz w:val="20"/>
                <w:szCs w:val="20"/>
                <w:color w:val="auto"/>
              </w:rPr>
            </w:pPr>
            <w:r>
              <w:rPr>
                <w:rFonts w:ascii="Arial" w:cs="Arial" w:eastAsia="Arial" w:hAnsi="Arial"/>
                <w:sz w:val="16"/>
                <w:szCs w:val="16"/>
                <w:color w:val="auto"/>
              </w:rPr>
              <w:t>21,471</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22,142</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2.1%</w:t>
            </w:r>
          </w:p>
        </w:tc>
      </w:tr>
      <w:tr>
        <w:trPr>
          <w:trHeight w:val="209"/>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12/2023)</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Swift Gift, Ltd. </w:t>
            </w:r>
            <w:r>
              <w:rPr>
                <w:rFonts w:ascii="Arial" w:cs="Arial" w:eastAsia="Arial" w:hAnsi="Arial"/>
                <w:sz w:val="24"/>
                <w:szCs w:val="24"/>
                <w:color w:val="auto"/>
                <w:vertAlign w:val="superscript"/>
              </w:rPr>
              <w:t>(3)(5)</w:t>
            </w: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($27,781 par, due</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7/31/2017</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+ 6.50%</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27,499</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28,337</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209"/>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1/2022)</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0"/>
        </w:trPr>
        <w:tc>
          <w:tcPr>
            <w:tcW w:w="2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301,621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305,193</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28.2%</w:t>
            </w:r>
          </w:p>
        </w:tc>
      </w:tr>
      <w:tr>
        <w:trPr>
          <w:trHeight w:val="212"/>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Healthcare</w:t>
            </w:r>
          </w:p>
        </w:tc>
        <w:tc>
          <w:tcPr>
            <w:tcW w:w="274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r>
      <w:tr>
        <w:trPr>
          <w:trHeight w:val="206"/>
        </w:trPr>
        <w:tc>
          <w:tcPr>
            <w:tcW w:w="2500" w:type="dxa"/>
            <w:vAlign w:val="bottom"/>
          </w:tcPr>
          <w:p>
            <w:pPr>
              <w:spacing w:after="0"/>
              <w:rPr>
                <w:sz w:val="20"/>
                <w:szCs w:val="20"/>
                <w:color w:val="auto"/>
              </w:rPr>
            </w:pPr>
            <w:r>
              <w:rPr>
                <w:rFonts w:ascii="Arial" w:cs="Arial" w:eastAsia="Arial" w:hAnsi="Arial"/>
                <w:sz w:val="16"/>
                <w:szCs w:val="16"/>
                <w:color w:val="auto"/>
              </w:rPr>
              <w:t>Caris Life Sciences, Ltd.</w:t>
            </w: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loan ($8,750 par, due</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9/21/2018</w:t>
            </w:r>
          </w:p>
        </w:tc>
        <w:tc>
          <w:tcPr>
            <w:tcW w:w="940" w:type="dxa"/>
            <w:vAlign w:val="bottom"/>
          </w:tcPr>
          <w:p>
            <w:pPr>
              <w:jc w:val="right"/>
              <w:spacing w:after="0"/>
              <w:rPr>
                <w:sz w:val="20"/>
                <w:szCs w:val="20"/>
                <w:color w:val="auto"/>
              </w:rPr>
            </w:pPr>
            <w:r>
              <w:rPr>
                <w:rFonts w:ascii="Arial" w:cs="Arial" w:eastAsia="Arial" w:hAnsi="Arial"/>
                <w:sz w:val="16"/>
                <w:szCs w:val="16"/>
                <w:color w:val="auto"/>
              </w:rPr>
              <w:t>11.30%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11.30%</w:t>
            </w:r>
          </w:p>
        </w:tc>
        <w:tc>
          <w:tcPr>
            <w:tcW w:w="780" w:type="dxa"/>
            <w:vAlign w:val="bottom"/>
          </w:tcPr>
          <w:p>
            <w:pPr>
              <w:jc w:val="right"/>
              <w:spacing w:after="0"/>
              <w:rPr>
                <w:sz w:val="20"/>
                <w:szCs w:val="20"/>
                <w:color w:val="auto"/>
              </w:rPr>
            </w:pPr>
            <w:r>
              <w:rPr>
                <w:rFonts w:ascii="Arial" w:cs="Arial" w:eastAsia="Arial" w:hAnsi="Arial"/>
                <w:sz w:val="16"/>
                <w:szCs w:val="16"/>
                <w:color w:val="auto"/>
              </w:rPr>
              <w:t>8,326</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9,316</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0.9%</w:t>
            </w:r>
          </w:p>
        </w:tc>
      </w:tr>
      <w:tr>
        <w:trPr>
          <w:trHeight w:val="209"/>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9/2023)</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Convertible note ($2,602 par, due</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9/21/2018</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w:t>
            </w: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8.00% PIK</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2,602</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3,565</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r>
      <w:tr>
        <w:trPr>
          <w:trHeight w:val="212"/>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9/2023)</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Clinicient, Inc.</w:t>
            </w:r>
            <w:r>
              <w:rPr>
                <w:rFonts w:ascii="Arial" w:cs="Arial" w:eastAsia="Arial" w:hAnsi="Arial"/>
                <w:sz w:val="23"/>
                <w:szCs w:val="23"/>
                <w:color w:val="auto"/>
                <w:vertAlign w:val="superscript"/>
              </w:rPr>
              <w:t>(3)</w:t>
            </w: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loan ($15,000 par, due</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5/31/2019</w:t>
            </w:r>
          </w:p>
        </w:tc>
        <w:tc>
          <w:tcPr>
            <w:tcW w:w="940" w:type="dxa"/>
            <w:vAlign w:val="bottom"/>
          </w:tcPr>
          <w:p>
            <w:pPr>
              <w:jc w:val="right"/>
              <w:spacing w:after="0"/>
              <w:rPr>
                <w:sz w:val="20"/>
                <w:szCs w:val="20"/>
                <w:color w:val="auto"/>
              </w:rPr>
            </w:pPr>
            <w:r>
              <w:rPr>
                <w:rFonts w:ascii="Arial" w:cs="Arial" w:eastAsia="Arial" w:hAnsi="Arial"/>
                <w:sz w:val="16"/>
                <w:szCs w:val="16"/>
                <w:color w:val="auto"/>
              </w:rPr>
              <w:t>L + 7.00%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780" w:type="dxa"/>
            <w:vAlign w:val="bottom"/>
          </w:tcPr>
          <w:p>
            <w:pPr>
              <w:jc w:val="right"/>
              <w:spacing w:after="0"/>
              <w:rPr>
                <w:sz w:val="20"/>
                <w:szCs w:val="20"/>
                <w:color w:val="auto"/>
              </w:rPr>
            </w:pPr>
            <w:r>
              <w:rPr>
                <w:rFonts w:ascii="Arial" w:cs="Arial" w:eastAsia="Arial" w:hAnsi="Arial"/>
                <w:sz w:val="16"/>
                <w:szCs w:val="16"/>
                <w:color w:val="auto"/>
              </w:rPr>
              <w:t>14,877</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14,925</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209"/>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5/2024)</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revolving loan ($2,400 par,</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5/31/2019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+ 7.00%</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2,369</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2,380</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212"/>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due 5/2024)</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Integrated Practice</w:t>
            </w: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loan ($49,625 par, due</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6/30/2017</w:t>
            </w:r>
          </w:p>
        </w:tc>
        <w:tc>
          <w:tcPr>
            <w:tcW w:w="940" w:type="dxa"/>
            <w:vAlign w:val="bottom"/>
          </w:tcPr>
          <w:p>
            <w:pPr>
              <w:jc w:val="right"/>
              <w:spacing w:after="0"/>
              <w:rPr>
                <w:sz w:val="20"/>
                <w:szCs w:val="20"/>
                <w:color w:val="auto"/>
              </w:rPr>
            </w:pPr>
            <w:r>
              <w:rPr>
                <w:rFonts w:ascii="Arial" w:cs="Arial" w:eastAsia="Arial" w:hAnsi="Arial"/>
                <w:sz w:val="16"/>
                <w:szCs w:val="16"/>
                <w:color w:val="auto"/>
              </w:rPr>
              <w:t>L + 7.50%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780" w:type="dxa"/>
            <w:vAlign w:val="bottom"/>
          </w:tcPr>
          <w:p>
            <w:pPr>
              <w:jc w:val="right"/>
              <w:spacing w:after="0"/>
              <w:rPr>
                <w:sz w:val="20"/>
                <w:szCs w:val="20"/>
                <w:color w:val="auto"/>
              </w:rPr>
            </w:pPr>
            <w:r>
              <w:rPr>
                <w:rFonts w:ascii="Arial" w:cs="Arial" w:eastAsia="Arial" w:hAnsi="Arial"/>
                <w:sz w:val="16"/>
                <w:szCs w:val="16"/>
                <w:color w:val="auto"/>
              </w:rPr>
              <w:t>48,009</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49,749</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250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Solutions, Inc. </w:t>
            </w:r>
            <w:r>
              <w:rPr>
                <w:rFonts w:ascii="Arial" w:cs="Arial" w:eastAsia="Arial" w:hAnsi="Arial"/>
                <w:sz w:val="25"/>
                <w:szCs w:val="25"/>
                <w:color w:val="auto"/>
                <w:vertAlign w:val="superscript"/>
              </w:rPr>
              <w:t>(3)(5)</w:t>
            </w:r>
          </w:p>
        </w:tc>
        <w:tc>
          <w:tcPr>
            <w:tcW w:w="2740" w:type="dxa"/>
            <w:vAlign w:val="bottom"/>
          </w:tcPr>
          <w:p>
            <w:pPr>
              <w:ind w:left="160"/>
              <w:spacing w:after="0"/>
              <w:rPr>
                <w:sz w:val="20"/>
                <w:szCs w:val="20"/>
                <w:color w:val="auto"/>
              </w:rPr>
            </w:pPr>
            <w:r>
              <w:rPr>
                <w:rFonts w:ascii="Arial" w:cs="Arial" w:eastAsia="Arial" w:hAnsi="Arial"/>
                <w:sz w:val="16"/>
                <w:szCs w:val="16"/>
                <w:color w:val="auto"/>
              </w:rPr>
              <w:t>10/2024)</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6"/>
        </w:trPr>
        <w:tc>
          <w:tcPr>
            <w:tcW w:w="250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MedeAnalytics, Inc. </w:t>
            </w:r>
            <w:r>
              <w:rPr>
                <w:rFonts w:ascii="Arial" w:cs="Arial" w:eastAsia="Arial" w:hAnsi="Arial"/>
                <w:sz w:val="23"/>
                <w:szCs w:val="23"/>
                <w:color w:val="auto"/>
                <w:vertAlign w:val="superscript"/>
              </w:rPr>
              <w:t>(3)(5)</w:t>
            </w: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($39,187 par, due</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9/30/2015</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+ 7.51%</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8.01%</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38,947</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39,383</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w:t>
            </w:r>
          </w:p>
        </w:tc>
      </w:tr>
      <w:tr>
        <w:trPr>
          <w:trHeight w:val="212"/>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9/2021)</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Quantros, Inc. </w:t>
            </w:r>
            <w:r>
              <w:rPr>
                <w:rFonts w:ascii="Arial" w:cs="Arial" w:eastAsia="Arial" w:hAnsi="Arial"/>
                <w:sz w:val="23"/>
                <w:szCs w:val="23"/>
                <w:color w:val="auto"/>
                <w:vertAlign w:val="superscript"/>
              </w:rPr>
              <w:t>(3)(5)</w:t>
            </w: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loan ($18,081 par, due</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2/29/2016</w:t>
            </w:r>
          </w:p>
        </w:tc>
        <w:tc>
          <w:tcPr>
            <w:tcW w:w="940" w:type="dxa"/>
            <w:vAlign w:val="bottom"/>
          </w:tcPr>
          <w:p>
            <w:pPr>
              <w:jc w:val="right"/>
              <w:spacing w:after="0"/>
              <w:rPr>
                <w:sz w:val="20"/>
                <w:szCs w:val="20"/>
                <w:color w:val="auto"/>
              </w:rPr>
            </w:pPr>
            <w:r>
              <w:rPr>
                <w:rFonts w:ascii="Arial" w:cs="Arial" w:eastAsia="Arial" w:hAnsi="Arial"/>
                <w:sz w:val="16"/>
                <w:szCs w:val="16"/>
                <w:color w:val="auto"/>
              </w:rPr>
              <w:t>L + 8.50%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9.50%</w:t>
            </w:r>
          </w:p>
        </w:tc>
        <w:tc>
          <w:tcPr>
            <w:tcW w:w="780" w:type="dxa"/>
            <w:vAlign w:val="bottom"/>
          </w:tcPr>
          <w:p>
            <w:pPr>
              <w:jc w:val="right"/>
              <w:spacing w:after="0"/>
              <w:rPr>
                <w:sz w:val="20"/>
                <w:szCs w:val="20"/>
                <w:color w:val="auto"/>
              </w:rPr>
            </w:pPr>
            <w:r>
              <w:rPr>
                <w:rFonts w:ascii="Arial" w:cs="Arial" w:eastAsia="Arial" w:hAnsi="Arial"/>
                <w:sz w:val="16"/>
                <w:szCs w:val="16"/>
                <w:color w:val="auto"/>
              </w:rPr>
              <w:t>18,023</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17,493</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1.6%</w:t>
            </w:r>
          </w:p>
        </w:tc>
      </w:tr>
      <w:tr>
        <w:trPr>
          <w:trHeight w:val="209"/>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12/2020)</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TherapeuticsMD, Inc. </w:t>
            </w:r>
            <w:r>
              <w:rPr>
                <w:rFonts w:ascii="Arial" w:cs="Arial" w:eastAsia="Arial" w:hAnsi="Arial"/>
                <w:sz w:val="24"/>
                <w:szCs w:val="24"/>
                <w:color w:val="auto"/>
                <w:vertAlign w:val="superscript"/>
              </w:rPr>
              <w:t>(3)(4)</w:t>
            </w: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($37,500 par, due</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4/24/2019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+ 7.75%</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10.45%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36,725</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36,375</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w:t>
            </w:r>
          </w:p>
        </w:tc>
      </w:tr>
      <w:tr>
        <w:trPr>
          <w:trHeight w:val="212"/>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3/2024)</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Valant Medical Solutions,</w:t>
            </w: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loan ($27,936 par, due</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4/8/2019</w:t>
            </w:r>
          </w:p>
        </w:tc>
        <w:tc>
          <w:tcPr>
            <w:tcW w:w="940" w:type="dxa"/>
            <w:vAlign w:val="bottom"/>
          </w:tcPr>
          <w:p>
            <w:pPr>
              <w:jc w:val="right"/>
              <w:spacing w:after="0"/>
              <w:rPr>
                <w:sz w:val="20"/>
                <w:szCs w:val="20"/>
                <w:color w:val="auto"/>
              </w:rPr>
            </w:pPr>
            <w:r>
              <w:rPr>
                <w:rFonts w:ascii="Arial" w:cs="Arial" w:eastAsia="Arial" w:hAnsi="Arial"/>
                <w:sz w:val="16"/>
                <w:szCs w:val="16"/>
                <w:color w:val="auto"/>
              </w:rPr>
              <w:t>L + 8.75%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10.25%</w:t>
            </w:r>
          </w:p>
        </w:tc>
        <w:tc>
          <w:tcPr>
            <w:tcW w:w="780" w:type="dxa"/>
            <w:vAlign w:val="bottom"/>
          </w:tcPr>
          <w:p>
            <w:pPr>
              <w:jc w:val="right"/>
              <w:spacing w:after="0"/>
              <w:rPr>
                <w:sz w:val="20"/>
                <w:szCs w:val="20"/>
                <w:color w:val="auto"/>
              </w:rPr>
            </w:pPr>
            <w:r>
              <w:rPr>
                <w:rFonts w:ascii="Arial" w:cs="Arial" w:eastAsia="Arial" w:hAnsi="Arial"/>
                <w:sz w:val="16"/>
                <w:szCs w:val="16"/>
                <w:color w:val="auto"/>
              </w:rPr>
              <w:t>27,228</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27,631</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250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Inc. </w:t>
            </w:r>
            <w:r>
              <w:rPr>
                <w:rFonts w:ascii="Arial" w:cs="Arial" w:eastAsia="Arial" w:hAnsi="Arial"/>
                <w:sz w:val="25"/>
                <w:szCs w:val="25"/>
                <w:color w:val="auto"/>
                <w:vertAlign w:val="superscript"/>
              </w:rPr>
              <w:t>(3)</w:t>
            </w:r>
          </w:p>
        </w:tc>
        <w:tc>
          <w:tcPr>
            <w:tcW w:w="2740" w:type="dxa"/>
            <w:vAlign w:val="bottom"/>
          </w:tcPr>
          <w:p>
            <w:pPr>
              <w:ind w:left="160"/>
              <w:spacing w:after="0"/>
              <w:rPr>
                <w:sz w:val="20"/>
                <w:szCs w:val="20"/>
                <w:color w:val="auto"/>
              </w:rPr>
            </w:pPr>
            <w:r>
              <w:rPr>
                <w:rFonts w:ascii="Arial" w:cs="Arial" w:eastAsia="Arial" w:hAnsi="Arial"/>
                <w:sz w:val="16"/>
                <w:szCs w:val="16"/>
                <w:color w:val="auto"/>
              </w:rPr>
              <w:t>4/2024)</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6"/>
        </w:trPr>
        <w:tc>
          <w:tcPr>
            <w:tcW w:w="2500" w:type="dxa"/>
            <w:vAlign w:val="bottom"/>
            <w:shd w:val="clear" w:color="auto" w:fill="CFF0FC"/>
          </w:tcPr>
          <w:p>
            <w:pPr>
              <w:spacing w:after="0"/>
              <w:rPr>
                <w:sz w:val="17"/>
                <w:szCs w:val="17"/>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revolving loan ($1,500 par,</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4/8/2019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+ 8.75%</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1,470</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1,480</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due 4/2024)</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Vita Bidco, Inc. </w:t>
            </w:r>
            <w:r>
              <w:rPr>
                <w:rFonts w:ascii="Arial" w:cs="Arial" w:eastAsia="Arial" w:hAnsi="Arial"/>
                <w:sz w:val="23"/>
                <w:szCs w:val="23"/>
                <w:color w:val="auto"/>
                <w:vertAlign w:val="superscript"/>
              </w:rPr>
              <w:t>(3)(5)</w:t>
            </w: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loan ($17,544 par, due</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2/11/2019</w:t>
            </w:r>
          </w:p>
        </w:tc>
        <w:tc>
          <w:tcPr>
            <w:tcW w:w="940" w:type="dxa"/>
            <w:vAlign w:val="bottom"/>
          </w:tcPr>
          <w:p>
            <w:pPr>
              <w:jc w:val="right"/>
              <w:spacing w:after="0"/>
              <w:rPr>
                <w:sz w:val="20"/>
                <w:szCs w:val="20"/>
                <w:color w:val="auto"/>
              </w:rPr>
            </w:pPr>
            <w:r>
              <w:rPr>
                <w:rFonts w:ascii="Arial" w:cs="Arial" w:eastAsia="Arial" w:hAnsi="Arial"/>
                <w:sz w:val="16"/>
                <w:szCs w:val="16"/>
                <w:color w:val="auto"/>
              </w:rPr>
              <w:t>L + 6.50%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780" w:type="dxa"/>
            <w:vAlign w:val="bottom"/>
          </w:tcPr>
          <w:p>
            <w:pPr>
              <w:jc w:val="right"/>
              <w:spacing w:after="0"/>
              <w:rPr>
                <w:sz w:val="20"/>
                <w:szCs w:val="20"/>
                <w:color w:val="auto"/>
              </w:rPr>
            </w:pPr>
            <w:r>
              <w:rPr>
                <w:rFonts w:ascii="Arial" w:cs="Arial" w:eastAsia="Arial" w:hAnsi="Arial"/>
                <w:sz w:val="16"/>
                <w:szCs w:val="16"/>
                <w:color w:val="auto"/>
              </w:rPr>
              <w:t>17,157</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17,807</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1.6%</w:t>
            </w:r>
          </w:p>
        </w:tc>
      </w:tr>
      <w:tr>
        <w:trPr>
          <w:trHeight w:val="209"/>
        </w:trPr>
        <w:tc>
          <w:tcPr>
            <w:tcW w:w="2500" w:type="dxa"/>
            <w:vAlign w:val="bottom"/>
            <w:tcBorders>
              <w:bottom w:val="single" w:sz="8" w:color="CFF0FC"/>
            </w:tcBorders>
          </w:tcPr>
          <w:p>
            <w:pPr>
              <w:spacing w:after="0"/>
              <w:rPr>
                <w:sz w:val="18"/>
                <w:szCs w:val="18"/>
                <w:color w:val="auto"/>
              </w:rPr>
            </w:pPr>
          </w:p>
        </w:tc>
        <w:tc>
          <w:tcPr>
            <w:tcW w:w="2740" w:type="dxa"/>
            <w:vAlign w:val="bottom"/>
            <w:tcBorders>
              <w:bottom w:val="single" w:sz="8" w:color="CFF0FC"/>
            </w:tcBorders>
          </w:tcPr>
          <w:p>
            <w:pPr>
              <w:ind w:left="160"/>
              <w:spacing w:after="0"/>
              <w:rPr>
                <w:sz w:val="20"/>
                <w:szCs w:val="20"/>
                <w:color w:val="auto"/>
              </w:rPr>
            </w:pPr>
            <w:r>
              <w:rPr>
                <w:rFonts w:ascii="Arial" w:cs="Arial" w:eastAsia="Arial" w:hAnsi="Arial"/>
                <w:sz w:val="16"/>
                <w:szCs w:val="16"/>
                <w:color w:val="auto"/>
              </w:rPr>
              <w:t>2/2024)</w:t>
            </w:r>
          </w:p>
        </w:tc>
        <w:tc>
          <w:tcPr>
            <w:tcW w:w="108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r>
      <w:tr>
        <w:trPr>
          <w:trHeight w:val="213"/>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215,733</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220,104</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20.3%</w:t>
            </w:r>
          </w:p>
        </w:tc>
      </w:tr>
      <w:tr>
        <w:trPr>
          <w:trHeight w:val="206"/>
        </w:trPr>
        <w:tc>
          <w:tcPr>
            <w:tcW w:w="2500" w:type="dxa"/>
            <w:vAlign w:val="bottom"/>
          </w:tcPr>
          <w:p>
            <w:pPr>
              <w:spacing w:after="0"/>
              <w:rPr>
                <w:sz w:val="20"/>
                <w:szCs w:val="20"/>
                <w:color w:val="auto"/>
              </w:rPr>
            </w:pPr>
            <w:r>
              <w:rPr>
                <w:rFonts w:ascii="Arial" w:cs="Arial" w:eastAsia="Arial" w:hAnsi="Arial"/>
                <w:sz w:val="16"/>
                <w:szCs w:val="16"/>
                <w:b w:val="1"/>
                <w:bCs w:val="1"/>
                <w:color w:val="auto"/>
              </w:rPr>
              <w:t>Hotel, gaming, and leisure</w:t>
            </w:r>
          </w:p>
        </w:tc>
        <w:tc>
          <w:tcPr>
            <w:tcW w:w="2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IRGSE Holding Corp. </w:t>
            </w:r>
            <w:r>
              <w:rPr>
                <w:rFonts w:ascii="Arial" w:cs="Arial" w:eastAsia="Arial" w:hAnsi="Arial"/>
                <w:sz w:val="24"/>
                <w:szCs w:val="24"/>
                <w:color w:val="auto"/>
                <w:vertAlign w:val="superscript"/>
              </w:rPr>
              <w:t>(3)(7)</w:t>
            </w: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($29,129 par, due</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9/29/2015</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+ 9.50%</w:t>
            </w: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10.00%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27,462</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27,673</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203"/>
        </w:trPr>
        <w:tc>
          <w:tcPr>
            <w:tcW w:w="2500" w:type="dxa"/>
            <w:vAlign w:val="bottom"/>
            <w:shd w:val="clear" w:color="auto" w:fill="CFF0FC"/>
          </w:tcPr>
          <w:p>
            <w:pPr>
              <w:spacing w:after="0"/>
              <w:rPr>
                <w:sz w:val="17"/>
                <w:szCs w:val="17"/>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9/2021)</w:t>
            </w:r>
          </w:p>
        </w:tc>
        <w:tc>
          <w:tcPr>
            <w:tcW w:w="10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2500" w:type="dxa"/>
            <w:vAlign w:val="bottom"/>
            <w:shd w:val="clear" w:color="auto" w:fill="CFF0FC"/>
          </w:tcPr>
          <w:p>
            <w:pPr>
              <w:spacing w:after="0"/>
              <w:rPr>
                <w:sz w:val="17"/>
                <w:szCs w:val="17"/>
                <w:color w:val="auto"/>
              </w:rPr>
            </w:pPr>
          </w:p>
        </w:tc>
        <w:tc>
          <w:tcPr>
            <w:tcW w:w="27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5.00%</w:t>
            </w: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2"/>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rPr>
                <w:sz w:val="17"/>
                <w:szCs w:val="17"/>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revolving loan ($5,566 par,</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9/29/2015</w:t>
            </w:r>
          </w:p>
        </w:tc>
        <w:tc>
          <w:tcPr>
            <w:tcW w:w="940" w:type="dxa"/>
            <w:vAlign w:val="bottom"/>
          </w:tcPr>
          <w:p>
            <w:pPr>
              <w:jc w:val="right"/>
              <w:spacing w:after="0"/>
              <w:rPr>
                <w:sz w:val="20"/>
                <w:szCs w:val="20"/>
                <w:color w:val="auto"/>
              </w:rPr>
            </w:pPr>
            <w:r>
              <w:rPr>
                <w:rFonts w:ascii="Arial" w:cs="Arial" w:eastAsia="Arial" w:hAnsi="Arial"/>
                <w:sz w:val="16"/>
                <w:szCs w:val="16"/>
                <w:color w:val="auto"/>
              </w:rPr>
              <w:t>L + 9.50%</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10.00%</w:t>
            </w:r>
          </w:p>
        </w:tc>
        <w:tc>
          <w:tcPr>
            <w:tcW w:w="780" w:type="dxa"/>
            <w:vAlign w:val="bottom"/>
          </w:tcPr>
          <w:p>
            <w:pPr>
              <w:jc w:val="right"/>
              <w:spacing w:after="0"/>
              <w:rPr>
                <w:sz w:val="20"/>
                <w:szCs w:val="20"/>
                <w:color w:val="auto"/>
              </w:rPr>
            </w:pPr>
            <w:r>
              <w:rPr>
                <w:rFonts w:ascii="Arial" w:cs="Arial" w:eastAsia="Arial" w:hAnsi="Arial"/>
                <w:sz w:val="16"/>
                <w:szCs w:val="16"/>
                <w:color w:val="auto"/>
              </w:rPr>
              <w:t>5,566</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5,263</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0.5%</w:t>
            </w:r>
          </w:p>
        </w:tc>
      </w:tr>
      <w:tr>
        <w:trPr>
          <w:trHeight w:val="203"/>
        </w:trPr>
        <w:tc>
          <w:tcPr>
            <w:tcW w:w="2500" w:type="dxa"/>
            <w:vAlign w:val="bottom"/>
          </w:tcPr>
          <w:p>
            <w:pPr>
              <w:spacing w:after="0"/>
              <w:rPr>
                <w:sz w:val="17"/>
                <w:szCs w:val="17"/>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due 9/2021)</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5.00%</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2500" w:type="dxa"/>
            <w:vAlign w:val="bottom"/>
            <w:tcBorders>
              <w:bottom w:val="single" w:sz="8" w:color="CFF0FC"/>
            </w:tcBorders>
          </w:tcPr>
          <w:p>
            <w:pPr>
              <w:spacing w:after="0"/>
              <w:rPr>
                <w:sz w:val="18"/>
                <w:szCs w:val="18"/>
                <w:color w:val="auto"/>
              </w:rPr>
            </w:pPr>
          </w:p>
        </w:tc>
        <w:tc>
          <w:tcPr>
            <w:tcW w:w="274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jc w:val="right"/>
              <w:ind w:right="179"/>
              <w:spacing w:after="0"/>
              <w:rPr>
                <w:sz w:val="20"/>
                <w:szCs w:val="20"/>
                <w:color w:val="auto"/>
              </w:rPr>
            </w:pPr>
            <w:r>
              <w:rPr>
                <w:rFonts w:ascii="Arial" w:cs="Arial" w:eastAsia="Arial" w:hAnsi="Arial"/>
                <w:sz w:val="16"/>
                <w:szCs w:val="16"/>
                <w:color w:val="auto"/>
              </w:rPr>
              <w:t>PIK)</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r>
      <w:tr>
        <w:trPr>
          <w:trHeight w:val="212"/>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33,028</w:t>
            </w:r>
          </w:p>
        </w:tc>
        <w:tc>
          <w:tcPr>
            <w:tcW w:w="20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32,936</w:t>
            </w: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4"/>
              </w:rPr>
              <w:t>%</w:t>
            </w:r>
          </w:p>
        </w:tc>
      </w:tr>
      <w:tr>
        <w:trPr>
          <w:trHeight w:val="206"/>
        </w:trPr>
        <w:tc>
          <w:tcPr>
            <w:tcW w:w="2500" w:type="dxa"/>
            <w:vAlign w:val="bottom"/>
          </w:tcPr>
          <w:p>
            <w:pPr>
              <w:spacing w:after="0"/>
              <w:rPr>
                <w:sz w:val="20"/>
                <w:szCs w:val="20"/>
                <w:color w:val="auto"/>
              </w:rPr>
            </w:pPr>
            <w:r>
              <w:rPr>
                <w:rFonts w:ascii="Arial" w:cs="Arial" w:eastAsia="Arial" w:hAnsi="Arial"/>
                <w:sz w:val="16"/>
                <w:szCs w:val="16"/>
                <w:b w:val="1"/>
                <w:bCs w:val="1"/>
                <w:color w:val="auto"/>
                <w:w w:val="95"/>
              </w:rPr>
              <w:t>Human resource support services</w:t>
            </w:r>
          </w:p>
        </w:tc>
        <w:tc>
          <w:tcPr>
            <w:tcW w:w="2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Absorb Software, Inc. </w:t>
            </w:r>
            <w:r>
              <w:rPr>
                <w:rFonts w:ascii="Arial" w:cs="Arial" w:eastAsia="Arial" w:hAnsi="Arial"/>
                <w:sz w:val="24"/>
                <w:szCs w:val="24"/>
                <w:color w:val="auto"/>
                <w:vertAlign w:val="superscript"/>
              </w:rPr>
              <w:t>(3)(4)(5)</w:t>
            </w: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($34,662 par, due</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7/31/2019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+ 6.50%</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34,020</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34,056</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w:t>
            </w:r>
          </w:p>
        </w:tc>
      </w:tr>
      <w:tr>
        <w:trPr>
          <w:trHeight w:val="212"/>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5/2024)</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310"/>
        </w:trPr>
        <w:tc>
          <w:tcPr>
            <w:tcW w:w="2360" w:type="dxa"/>
            <w:vAlign w:val="bottom"/>
          </w:tcPr>
          <w:p>
            <w:pPr>
              <w:spacing w:after="0"/>
              <w:rPr>
                <w:sz w:val="20"/>
                <w:szCs w:val="20"/>
                <w:color w:val="auto"/>
              </w:rPr>
            </w:pPr>
            <w:r>
              <w:rPr>
                <w:rFonts w:ascii="Arial" w:cs="Arial" w:eastAsia="Arial" w:hAnsi="Arial"/>
                <w:sz w:val="16"/>
                <w:szCs w:val="16"/>
                <w:color w:val="auto"/>
              </w:rPr>
              <w:t xml:space="preserve">ClearCompany, LLC </w:t>
            </w:r>
            <w:r>
              <w:rPr>
                <w:rFonts w:ascii="Arial" w:cs="Arial" w:eastAsia="Arial" w:hAnsi="Arial"/>
                <w:sz w:val="27"/>
                <w:szCs w:val="27"/>
                <w:color w:val="auto"/>
                <w:vertAlign w:val="superscript"/>
              </w:rPr>
              <w:t>(3)</w:t>
            </w:r>
          </w:p>
        </w:tc>
        <w:tc>
          <w:tcPr>
            <w:tcW w:w="2820" w:type="dxa"/>
            <w:vAlign w:val="bottom"/>
          </w:tcPr>
          <w:p>
            <w:pPr>
              <w:ind w:left="260"/>
              <w:spacing w:after="0"/>
              <w:rPr>
                <w:sz w:val="20"/>
                <w:szCs w:val="20"/>
                <w:color w:val="auto"/>
              </w:rPr>
            </w:pPr>
            <w:r>
              <w:rPr>
                <w:rFonts w:ascii="Arial" w:cs="Arial" w:eastAsia="Arial" w:hAnsi="Arial"/>
                <w:sz w:val="16"/>
                <w:szCs w:val="16"/>
                <w:color w:val="auto"/>
              </w:rPr>
              <w:t>First-lien loan ($19,803 par, due</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7/23/2018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+ 8.50%</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10.00%</w:t>
            </w:r>
          </w:p>
        </w:tc>
        <w:tc>
          <w:tcPr>
            <w:tcW w:w="800" w:type="dxa"/>
            <w:vAlign w:val="bottom"/>
          </w:tcPr>
          <w:p>
            <w:pPr>
              <w:jc w:val="right"/>
              <w:spacing w:after="0"/>
              <w:rPr>
                <w:sz w:val="20"/>
                <w:szCs w:val="20"/>
                <w:color w:val="auto"/>
              </w:rPr>
            </w:pPr>
            <w:r>
              <w:rPr>
                <w:rFonts w:ascii="Arial" w:cs="Arial" w:eastAsia="Arial" w:hAnsi="Arial"/>
                <w:sz w:val="16"/>
                <w:szCs w:val="16"/>
                <w:color w:val="auto"/>
              </w:rPr>
              <w:t>19,631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19,407</w:t>
            </w: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1.8%</w:t>
            </w:r>
          </w:p>
        </w:tc>
      </w:tr>
      <w:tr>
        <w:trPr>
          <w:trHeight w:val="203"/>
        </w:trPr>
        <w:tc>
          <w:tcPr>
            <w:tcW w:w="2360" w:type="dxa"/>
            <w:vAlign w:val="bottom"/>
          </w:tcPr>
          <w:p>
            <w:pPr>
              <w:spacing w:after="0"/>
              <w:rPr>
                <w:sz w:val="17"/>
                <w:szCs w:val="17"/>
                <w:color w:val="auto"/>
              </w:rPr>
            </w:pPr>
          </w:p>
        </w:tc>
        <w:tc>
          <w:tcPr>
            <w:tcW w:w="2820" w:type="dxa"/>
            <w:vAlign w:val="bottom"/>
          </w:tcPr>
          <w:p>
            <w:pPr>
              <w:ind w:left="260"/>
              <w:spacing w:after="0"/>
              <w:rPr>
                <w:sz w:val="20"/>
                <w:szCs w:val="20"/>
                <w:color w:val="auto"/>
              </w:rPr>
            </w:pPr>
            <w:r>
              <w:rPr>
                <w:rFonts w:ascii="Arial" w:cs="Arial" w:eastAsia="Arial" w:hAnsi="Arial"/>
                <w:sz w:val="16"/>
                <w:szCs w:val="16"/>
                <w:color w:val="auto"/>
              </w:rPr>
              <w:t>7/2023)</w:t>
            </w: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3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2.50%</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DaySmart Holdings, LLC </w:t>
            </w:r>
            <w:r>
              <w:rPr>
                <w:rFonts w:ascii="Arial" w:cs="Arial" w:eastAsia="Arial" w:hAnsi="Arial"/>
                <w:sz w:val="24"/>
                <w:szCs w:val="24"/>
                <w:color w:val="auto"/>
                <w:vertAlign w:val="superscript"/>
              </w:rPr>
              <w:t>(3)</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($30,598 par, due</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29,879</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28,330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212"/>
        </w:trPr>
        <w:tc>
          <w:tcPr>
            <w:tcW w:w="2360" w:type="dxa"/>
            <w:vAlign w:val="bottom"/>
            <w:shd w:val="clear" w:color="auto" w:fill="CFF0FC"/>
          </w:tcPr>
          <w:p>
            <w:pPr>
              <w:spacing w:after="0"/>
              <w:rPr>
                <w:sz w:val="18"/>
                <w:szCs w:val="18"/>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10/2024)</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60" w:type="dxa"/>
            <w:vAlign w:val="bottom"/>
          </w:tcPr>
          <w:p>
            <w:pPr>
              <w:spacing w:after="0"/>
              <w:rPr>
                <w:sz w:val="17"/>
                <w:szCs w:val="17"/>
                <w:color w:val="auto"/>
              </w:rPr>
            </w:pPr>
          </w:p>
        </w:tc>
        <w:tc>
          <w:tcPr>
            <w:tcW w:w="2820" w:type="dxa"/>
            <w:vAlign w:val="bottom"/>
          </w:tcPr>
          <w:p>
            <w:pPr>
              <w:ind w:left="260"/>
              <w:spacing w:after="0"/>
              <w:rPr>
                <w:sz w:val="20"/>
                <w:szCs w:val="20"/>
                <w:color w:val="auto"/>
              </w:rPr>
            </w:pPr>
            <w:r>
              <w:rPr>
                <w:rFonts w:ascii="Arial" w:cs="Arial" w:eastAsia="Arial" w:hAnsi="Arial"/>
                <w:sz w:val="16"/>
                <w:szCs w:val="16"/>
                <w:color w:val="auto"/>
                <w:w w:val="99"/>
              </w:rPr>
              <w:t>First-lien revolving loan ($3,000 par,</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10/1/2019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P + 6.25%</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9.50%</w:t>
            </w:r>
          </w:p>
        </w:tc>
        <w:tc>
          <w:tcPr>
            <w:tcW w:w="800" w:type="dxa"/>
            <w:vAlign w:val="bottom"/>
          </w:tcPr>
          <w:p>
            <w:pPr>
              <w:jc w:val="right"/>
              <w:spacing w:after="0"/>
              <w:rPr>
                <w:sz w:val="20"/>
                <w:szCs w:val="20"/>
                <w:color w:val="auto"/>
              </w:rPr>
            </w:pPr>
            <w:r>
              <w:rPr>
                <w:rFonts w:ascii="Arial" w:cs="Arial" w:eastAsia="Arial" w:hAnsi="Arial"/>
                <w:sz w:val="16"/>
                <w:szCs w:val="16"/>
                <w:color w:val="auto"/>
              </w:rPr>
              <w:t>2,926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2,763</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2360" w:type="dxa"/>
            <w:vAlign w:val="bottom"/>
          </w:tcPr>
          <w:p>
            <w:pPr>
              <w:spacing w:after="0"/>
              <w:rPr>
                <w:sz w:val="18"/>
                <w:szCs w:val="18"/>
                <w:color w:val="auto"/>
              </w:rPr>
            </w:pPr>
          </w:p>
        </w:tc>
        <w:tc>
          <w:tcPr>
            <w:tcW w:w="2820" w:type="dxa"/>
            <w:vAlign w:val="bottom"/>
          </w:tcPr>
          <w:p>
            <w:pPr>
              <w:ind w:left="260"/>
              <w:spacing w:after="0"/>
              <w:rPr>
                <w:sz w:val="20"/>
                <w:szCs w:val="20"/>
                <w:color w:val="auto"/>
              </w:rPr>
            </w:pPr>
            <w:r>
              <w:rPr>
                <w:rFonts w:ascii="Arial" w:cs="Arial" w:eastAsia="Arial" w:hAnsi="Arial"/>
                <w:sz w:val="16"/>
                <w:szCs w:val="16"/>
                <w:color w:val="auto"/>
              </w:rPr>
              <w:t>due 10/2024)</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PageUp People, Ltd. </w:t>
            </w:r>
            <w:r>
              <w:rPr>
                <w:rFonts w:ascii="Arial" w:cs="Arial" w:eastAsia="Arial" w:hAnsi="Arial"/>
                <w:sz w:val="24"/>
                <w:szCs w:val="24"/>
                <w:color w:val="auto"/>
                <w:vertAlign w:val="superscript"/>
              </w:rPr>
              <w:t>(3)(4)</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9"/>
              </w:rPr>
              <w:t>First-lien loan (AUD 51,577 par, due</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B + 7.25%</w:t>
            </w:r>
          </w:p>
        </w:tc>
        <w:tc>
          <w:tcPr>
            <w:tcW w:w="9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39,548</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35,245</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w:t>
            </w:r>
          </w:p>
        </w:tc>
      </w:tr>
      <w:tr>
        <w:trPr>
          <w:trHeight w:val="203"/>
        </w:trPr>
        <w:tc>
          <w:tcPr>
            <w:tcW w:w="2360" w:type="dxa"/>
            <w:vAlign w:val="bottom"/>
            <w:shd w:val="clear" w:color="auto" w:fill="CFF0FC"/>
          </w:tcPr>
          <w:p>
            <w:pPr>
              <w:spacing w:after="0"/>
              <w:rPr>
                <w:sz w:val="17"/>
                <w:szCs w:val="17"/>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12/2022)</w:t>
            </w:r>
          </w:p>
        </w:tc>
        <w:tc>
          <w:tcPr>
            <w:tcW w:w="10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(AUD 51,190)</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360" w:type="dxa"/>
            <w:vAlign w:val="bottom"/>
            <w:shd w:val="clear" w:color="auto" w:fill="CFF0FC"/>
          </w:tcPr>
          <w:p>
            <w:pPr>
              <w:spacing w:after="0"/>
              <w:rPr>
                <w:sz w:val="17"/>
                <w:szCs w:val="17"/>
                <w:color w:val="auto"/>
              </w:rPr>
            </w:pPr>
          </w:p>
        </w:tc>
        <w:tc>
          <w:tcPr>
            <w:tcW w:w="28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1.25%</w:t>
            </w: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36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60" w:type="dxa"/>
            <w:vAlign w:val="bottom"/>
          </w:tcPr>
          <w:p>
            <w:pPr>
              <w:spacing w:after="0"/>
              <w:rPr>
                <w:sz w:val="17"/>
                <w:szCs w:val="17"/>
                <w:color w:val="auto"/>
              </w:rPr>
            </w:pPr>
          </w:p>
        </w:tc>
        <w:tc>
          <w:tcPr>
            <w:tcW w:w="2820" w:type="dxa"/>
            <w:vAlign w:val="bottom"/>
          </w:tcPr>
          <w:p>
            <w:pPr>
              <w:ind w:left="260"/>
              <w:spacing w:after="0"/>
              <w:rPr>
                <w:sz w:val="20"/>
                <w:szCs w:val="20"/>
                <w:color w:val="auto"/>
              </w:rPr>
            </w:pPr>
            <w:r>
              <w:rPr>
                <w:rFonts w:ascii="Arial" w:cs="Arial" w:eastAsia="Arial" w:hAnsi="Arial"/>
                <w:sz w:val="16"/>
                <w:szCs w:val="16"/>
                <w:color w:val="auto"/>
              </w:rPr>
              <w:t>First-lien revolving loan (AUD 1,000</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1/11/2018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B + 7.25%</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673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663</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2360" w:type="dxa"/>
            <w:vAlign w:val="bottom"/>
          </w:tcPr>
          <w:p>
            <w:pPr>
              <w:spacing w:after="0"/>
              <w:rPr>
                <w:sz w:val="18"/>
                <w:szCs w:val="18"/>
                <w:color w:val="auto"/>
              </w:rPr>
            </w:pPr>
          </w:p>
        </w:tc>
        <w:tc>
          <w:tcPr>
            <w:tcW w:w="2820" w:type="dxa"/>
            <w:vAlign w:val="bottom"/>
          </w:tcPr>
          <w:p>
            <w:pPr>
              <w:ind w:left="260"/>
              <w:spacing w:after="0"/>
              <w:rPr>
                <w:sz w:val="20"/>
                <w:szCs w:val="20"/>
                <w:color w:val="auto"/>
              </w:rPr>
            </w:pPr>
            <w:r>
              <w:rPr>
                <w:rFonts w:ascii="Arial" w:cs="Arial" w:eastAsia="Arial" w:hAnsi="Arial"/>
                <w:sz w:val="16"/>
                <w:szCs w:val="16"/>
                <w:color w:val="auto"/>
              </w:rPr>
              <w:t>par, due 12/2022)</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6"/>
                <w:szCs w:val="16"/>
                <w:color w:val="auto"/>
              </w:rPr>
              <w:t>(AUD 963)</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PayScale Holdings, Inc. </w:t>
            </w:r>
            <w:r>
              <w:rPr>
                <w:rFonts w:ascii="Arial" w:cs="Arial" w:eastAsia="Arial" w:hAnsi="Arial"/>
                <w:sz w:val="24"/>
                <w:szCs w:val="24"/>
                <w:color w:val="auto"/>
                <w:vertAlign w:val="superscript"/>
              </w:rPr>
              <w:t>(3)(5)</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($39,800 par, due</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5/3/2019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38,913</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39,207</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w:t>
            </w:r>
          </w:p>
        </w:tc>
      </w:tr>
      <w:tr>
        <w:trPr>
          <w:trHeight w:val="212"/>
        </w:trPr>
        <w:tc>
          <w:tcPr>
            <w:tcW w:w="2360" w:type="dxa"/>
            <w:vAlign w:val="bottom"/>
            <w:shd w:val="clear" w:color="auto" w:fill="CFF0FC"/>
          </w:tcPr>
          <w:p>
            <w:pPr>
              <w:spacing w:after="0"/>
              <w:rPr>
                <w:sz w:val="18"/>
                <w:szCs w:val="18"/>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5/2024)</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60" w:type="dxa"/>
            <w:vAlign w:val="bottom"/>
          </w:tcPr>
          <w:p>
            <w:pPr>
              <w:spacing w:after="0" w:line="207" w:lineRule="exact"/>
              <w:rPr>
                <w:sz w:val="20"/>
                <w:szCs w:val="20"/>
                <w:color w:val="auto"/>
              </w:rPr>
            </w:pPr>
            <w:r>
              <w:rPr>
                <w:rFonts w:ascii="Arial" w:cs="Arial" w:eastAsia="Arial" w:hAnsi="Arial"/>
                <w:sz w:val="14"/>
                <w:szCs w:val="14"/>
                <w:color w:val="auto"/>
              </w:rPr>
              <w:t xml:space="preserve">Shaker International, Inc. </w:t>
            </w:r>
            <w:r>
              <w:rPr>
                <w:rFonts w:ascii="Arial" w:cs="Arial" w:eastAsia="Arial" w:hAnsi="Arial"/>
                <w:sz w:val="23"/>
                <w:szCs w:val="23"/>
                <w:color w:val="auto"/>
                <w:vertAlign w:val="superscript"/>
              </w:rPr>
              <w:t>(3)(5)</w:t>
            </w:r>
          </w:p>
        </w:tc>
        <w:tc>
          <w:tcPr>
            <w:tcW w:w="2820" w:type="dxa"/>
            <w:vAlign w:val="bottom"/>
          </w:tcPr>
          <w:p>
            <w:pPr>
              <w:ind w:left="260"/>
              <w:spacing w:after="0"/>
              <w:rPr>
                <w:sz w:val="20"/>
                <w:szCs w:val="20"/>
                <w:color w:val="auto"/>
              </w:rPr>
            </w:pPr>
            <w:r>
              <w:rPr>
                <w:rFonts w:ascii="Arial" w:cs="Arial" w:eastAsia="Arial" w:hAnsi="Arial"/>
                <w:sz w:val="16"/>
                <w:szCs w:val="16"/>
                <w:color w:val="auto"/>
              </w:rPr>
              <w:t>First-lien loan ($22,275 par, due</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5/15/2019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21,817</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21,997</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2360" w:type="dxa"/>
            <w:vAlign w:val="bottom"/>
            <w:tcBorders>
              <w:bottom w:val="single" w:sz="8" w:color="CFF0FC"/>
            </w:tcBorders>
          </w:tcPr>
          <w:p>
            <w:pPr>
              <w:spacing w:after="0"/>
              <w:rPr>
                <w:sz w:val="18"/>
                <w:szCs w:val="18"/>
                <w:color w:val="auto"/>
              </w:rPr>
            </w:pPr>
          </w:p>
        </w:tc>
        <w:tc>
          <w:tcPr>
            <w:tcW w:w="28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5/2024)</w:t>
            </w:r>
          </w:p>
        </w:tc>
        <w:tc>
          <w:tcPr>
            <w:tcW w:w="102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2"/>
        </w:trPr>
        <w:tc>
          <w:tcPr>
            <w:tcW w:w="236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187,407</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181,668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16.8%</w:t>
            </w:r>
          </w:p>
        </w:tc>
      </w:tr>
      <w:tr>
        <w:trPr>
          <w:trHeight w:val="207"/>
        </w:trPr>
        <w:tc>
          <w:tcPr>
            <w:tcW w:w="2360" w:type="dxa"/>
            <w:vAlign w:val="bottom"/>
          </w:tcPr>
          <w:p>
            <w:pPr>
              <w:spacing w:after="0"/>
              <w:rPr>
                <w:sz w:val="20"/>
                <w:szCs w:val="20"/>
                <w:color w:val="auto"/>
              </w:rPr>
            </w:pPr>
            <w:r>
              <w:rPr>
                <w:rFonts w:ascii="Arial" w:cs="Arial" w:eastAsia="Arial" w:hAnsi="Arial"/>
                <w:sz w:val="16"/>
                <w:szCs w:val="16"/>
                <w:b w:val="1"/>
                <w:bCs w:val="1"/>
                <w:color w:val="auto"/>
              </w:rPr>
              <w:t>Insurance</w:t>
            </w:r>
          </w:p>
        </w:tc>
        <w:tc>
          <w:tcPr>
            <w:tcW w:w="2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Riskonnect, Inc. </w:t>
            </w:r>
            <w:r>
              <w:rPr>
                <w:rFonts w:ascii="Arial" w:cs="Arial" w:eastAsia="Arial" w:hAnsi="Arial"/>
                <w:sz w:val="24"/>
                <w:szCs w:val="24"/>
                <w:color w:val="auto"/>
                <w:vertAlign w:val="superscript"/>
              </w:rPr>
              <w:t>(3)(5)</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($51,155 par, due</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6/30/2017</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50,703</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51,283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4.7%</w:t>
            </w:r>
          </w:p>
        </w:tc>
      </w:tr>
      <w:tr>
        <w:trPr>
          <w:trHeight w:val="212"/>
        </w:trPr>
        <w:tc>
          <w:tcPr>
            <w:tcW w:w="2360" w:type="dxa"/>
            <w:vAlign w:val="bottom"/>
            <w:shd w:val="clear" w:color="auto" w:fill="CFF0FC"/>
          </w:tcPr>
          <w:p>
            <w:pPr>
              <w:spacing w:after="0"/>
              <w:rPr>
                <w:sz w:val="18"/>
                <w:szCs w:val="18"/>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10/2023)</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360" w:type="dxa"/>
            <w:vAlign w:val="bottom"/>
          </w:tcPr>
          <w:p>
            <w:pPr>
              <w:spacing w:after="0" w:line="216" w:lineRule="exact"/>
              <w:rPr>
                <w:sz w:val="20"/>
                <w:szCs w:val="20"/>
                <w:color w:val="auto"/>
              </w:rPr>
            </w:pPr>
            <w:r>
              <w:rPr>
                <w:rFonts w:ascii="Arial" w:cs="Arial" w:eastAsia="Arial" w:hAnsi="Arial"/>
                <w:sz w:val="15"/>
                <w:szCs w:val="15"/>
                <w:color w:val="auto"/>
              </w:rPr>
              <w:t xml:space="preserve">Vertafore, Inc. </w:t>
            </w:r>
            <w:r>
              <w:rPr>
                <w:rFonts w:ascii="Arial" w:cs="Arial" w:eastAsia="Arial" w:hAnsi="Arial"/>
                <w:sz w:val="25"/>
                <w:szCs w:val="25"/>
                <w:color w:val="auto"/>
                <w:vertAlign w:val="superscript"/>
              </w:rPr>
              <w:t>(3)(11)</w:t>
            </w:r>
          </w:p>
        </w:tc>
        <w:tc>
          <w:tcPr>
            <w:tcW w:w="2820" w:type="dxa"/>
            <w:vAlign w:val="bottom"/>
          </w:tcPr>
          <w:p>
            <w:pPr>
              <w:ind w:left="260"/>
              <w:spacing w:after="0"/>
              <w:rPr>
                <w:sz w:val="20"/>
                <w:szCs w:val="20"/>
                <w:color w:val="auto"/>
              </w:rPr>
            </w:pPr>
            <w:r>
              <w:rPr>
                <w:rFonts w:ascii="Arial" w:cs="Arial" w:eastAsia="Arial" w:hAnsi="Arial"/>
                <w:sz w:val="16"/>
                <w:szCs w:val="16"/>
                <w:color w:val="auto"/>
                <w:w w:val="96"/>
              </w:rPr>
              <w:t>First-lien loan ($716 par, due 7/2025)</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3/23/2020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+ 3.25%</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3.43%</w:t>
            </w:r>
          </w:p>
        </w:tc>
        <w:tc>
          <w:tcPr>
            <w:tcW w:w="800" w:type="dxa"/>
            <w:vAlign w:val="bottom"/>
          </w:tcPr>
          <w:p>
            <w:pPr>
              <w:jc w:val="right"/>
              <w:spacing w:after="0"/>
              <w:rPr>
                <w:sz w:val="20"/>
                <w:szCs w:val="20"/>
                <w:color w:val="auto"/>
              </w:rPr>
            </w:pPr>
            <w:r>
              <w:rPr>
                <w:rFonts w:ascii="Arial" w:cs="Arial" w:eastAsia="Arial" w:hAnsi="Arial"/>
                <w:sz w:val="16"/>
                <w:szCs w:val="16"/>
                <w:color w:val="auto"/>
              </w:rPr>
              <w:t>563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674</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0"/>
        </w:trPr>
        <w:tc>
          <w:tcPr>
            <w:tcW w:w="236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09"/>
        </w:trPr>
        <w:tc>
          <w:tcPr>
            <w:tcW w:w="236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51,266</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51,957</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w:t>
            </w:r>
          </w:p>
        </w:tc>
      </w:tr>
      <w:tr>
        <w:trPr>
          <w:trHeight w:val="207"/>
        </w:trPr>
        <w:tc>
          <w:tcPr>
            <w:tcW w:w="2360" w:type="dxa"/>
            <w:vAlign w:val="bottom"/>
          </w:tcPr>
          <w:p>
            <w:pPr>
              <w:spacing w:after="0"/>
              <w:rPr>
                <w:sz w:val="20"/>
                <w:szCs w:val="20"/>
                <w:color w:val="auto"/>
              </w:rPr>
            </w:pPr>
            <w:r>
              <w:rPr>
                <w:rFonts w:ascii="Arial" w:cs="Arial" w:eastAsia="Arial" w:hAnsi="Arial"/>
                <w:sz w:val="16"/>
                <w:szCs w:val="16"/>
                <w:b w:val="1"/>
                <w:bCs w:val="1"/>
                <w:color w:val="auto"/>
              </w:rPr>
              <w:t>Internet services</w:t>
            </w:r>
          </w:p>
        </w:tc>
        <w:tc>
          <w:tcPr>
            <w:tcW w:w="2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Gainsight, Inc. </w:t>
            </w:r>
            <w:r>
              <w:rPr>
                <w:rFonts w:ascii="Arial" w:cs="Arial" w:eastAsia="Arial" w:hAnsi="Arial"/>
                <w:sz w:val="24"/>
                <w:szCs w:val="24"/>
                <w:color w:val="auto"/>
                <w:vertAlign w:val="superscript"/>
              </w:rPr>
              <w:t>(9)</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($5,348 par, due</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7/29/2019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13.00%</w:t>
            </w:r>
          </w:p>
        </w:tc>
        <w:tc>
          <w:tcPr>
            <w:tcW w:w="9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13.00%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5,288</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5,321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w:t>
            </w:r>
          </w:p>
        </w:tc>
      </w:tr>
      <w:tr>
        <w:trPr>
          <w:trHeight w:val="212"/>
        </w:trPr>
        <w:tc>
          <w:tcPr>
            <w:tcW w:w="2360" w:type="dxa"/>
            <w:vAlign w:val="bottom"/>
            <w:shd w:val="clear" w:color="auto" w:fill="CFF0FC"/>
          </w:tcPr>
          <w:p>
            <w:pPr>
              <w:spacing w:after="0"/>
              <w:rPr>
                <w:sz w:val="18"/>
                <w:szCs w:val="18"/>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7/2025)</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60" w:type="dxa"/>
            <w:vAlign w:val="bottom"/>
          </w:tcPr>
          <w:p>
            <w:pPr>
              <w:spacing w:after="0" w:line="207" w:lineRule="exact"/>
              <w:rPr>
                <w:sz w:val="20"/>
                <w:szCs w:val="20"/>
                <w:color w:val="auto"/>
              </w:rPr>
            </w:pPr>
            <w:r>
              <w:rPr>
                <w:rFonts w:ascii="Arial" w:cs="Arial" w:eastAsia="Arial" w:hAnsi="Arial"/>
                <w:sz w:val="14"/>
                <w:szCs w:val="14"/>
                <w:color w:val="auto"/>
              </w:rPr>
              <w:t xml:space="preserve">Higher Logic, LLC </w:t>
            </w:r>
            <w:r>
              <w:rPr>
                <w:rFonts w:ascii="Arial" w:cs="Arial" w:eastAsia="Arial" w:hAnsi="Arial"/>
                <w:sz w:val="23"/>
                <w:szCs w:val="23"/>
                <w:color w:val="auto"/>
                <w:vertAlign w:val="superscript"/>
              </w:rPr>
              <w:t>(3)(5)</w:t>
            </w:r>
          </w:p>
        </w:tc>
        <w:tc>
          <w:tcPr>
            <w:tcW w:w="2820" w:type="dxa"/>
            <w:vAlign w:val="bottom"/>
          </w:tcPr>
          <w:p>
            <w:pPr>
              <w:ind w:left="260"/>
              <w:spacing w:after="0"/>
              <w:rPr>
                <w:sz w:val="20"/>
                <w:szCs w:val="20"/>
                <w:color w:val="auto"/>
              </w:rPr>
            </w:pPr>
            <w:r>
              <w:rPr>
                <w:rFonts w:ascii="Arial" w:cs="Arial" w:eastAsia="Arial" w:hAnsi="Arial"/>
                <w:sz w:val="16"/>
                <w:szCs w:val="16"/>
                <w:color w:val="auto"/>
              </w:rPr>
              <w:t>First-lien loan ($36,670 par, due</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6/18/2018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+ 5.50%</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6.50%</w:t>
            </w:r>
          </w:p>
        </w:tc>
        <w:tc>
          <w:tcPr>
            <w:tcW w:w="800" w:type="dxa"/>
            <w:vAlign w:val="bottom"/>
          </w:tcPr>
          <w:p>
            <w:pPr>
              <w:jc w:val="right"/>
              <w:spacing w:after="0"/>
              <w:rPr>
                <w:sz w:val="20"/>
                <w:szCs w:val="20"/>
                <w:color w:val="auto"/>
              </w:rPr>
            </w:pPr>
            <w:r>
              <w:rPr>
                <w:rFonts w:ascii="Arial" w:cs="Arial" w:eastAsia="Arial" w:hAnsi="Arial"/>
                <w:sz w:val="16"/>
                <w:szCs w:val="16"/>
                <w:color w:val="auto"/>
              </w:rPr>
              <w:t>36,373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36,212</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3.3%</w:t>
            </w:r>
          </w:p>
        </w:tc>
      </w:tr>
      <w:tr>
        <w:trPr>
          <w:trHeight w:val="209"/>
        </w:trPr>
        <w:tc>
          <w:tcPr>
            <w:tcW w:w="2360" w:type="dxa"/>
            <w:vAlign w:val="bottom"/>
          </w:tcPr>
          <w:p>
            <w:pPr>
              <w:spacing w:after="0"/>
              <w:rPr>
                <w:sz w:val="18"/>
                <w:szCs w:val="18"/>
                <w:color w:val="auto"/>
              </w:rPr>
            </w:pPr>
          </w:p>
        </w:tc>
        <w:tc>
          <w:tcPr>
            <w:tcW w:w="2820" w:type="dxa"/>
            <w:vAlign w:val="bottom"/>
          </w:tcPr>
          <w:p>
            <w:pPr>
              <w:ind w:left="260"/>
              <w:spacing w:after="0"/>
              <w:rPr>
                <w:sz w:val="20"/>
                <w:szCs w:val="20"/>
                <w:color w:val="auto"/>
              </w:rPr>
            </w:pPr>
            <w:r>
              <w:rPr>
                <w:rFonts w:ascii="Arial" w:cs="Arial" w:eastAsia="Arial" w:hAnsi="Arial"/>
                <w:sz w:val="16"/>
                <w:szCs w:val="16"/>
                <w:color w:val="auto"/>
              </w:rPr>
              <w:t>1/2022)</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Lithium Technologies,</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($54,700 par, due</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10/3/2017</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+ 8.00%</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54,062</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53,606</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w:t>
            </w:r>
          </w:p>
        </w:tc>
      </w:tr>
      <w:tr>
        <w:trPr>
          <w:trHeight w:val="216"/>
        </w:trPr>
        <w:tc>
          <w:tcPr>
            <w:tcW w:w="2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10/2022)</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60" w:type="dxa"/>
            <w:vAlign w:val="bottom"/>
          </w:tcPr>
          <w:p>
            <w:pPr>
              <w:spacing w:after="0"/>
              <w:rPr>
                <w:sz w:val="17"/>
                <w:szCs w:val="17"/>
                <w:color w:val="auto"/>
              </w:rPr>
            </w:pPr>
          </w:p>
        </w:tc>
        <w:tc>
          <w:tcPr>
            <w:tcW w:w="2820" w:type="dxa"/>
            <w:vAlign w:val="bottom"/>
          </w:tcPr>
          <w:p>
            <w:pPr>
              <w:ind w:left="260"/>
              <w:spacing w:after="0"/>
              <w:rPr>
                <w:sz w:val="20"/>
                <w:szCs w:val="20"/>
                <w:color w:val="auto"/>
              </w:rPr>
            </w:pPr>
            <w:r>
              <w:rPr>
                <w:rFonts w:ascii="Arial" w:cs="Arial" w:eastAsia="Arial" w:hAnsi="Arial"/>
                <w:sz w:val="16"/>
                <w:szCs w:val="16"/>
                <w:color w:val="auto"/>
                <w:w w:val="99"/>
              </w:rPr>
              <w:t>First-lien revolving loan ($1,979 par,</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10/3/2017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+ 8.00%</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9.21%</w:t>
            </w:r>
          </w:p>
        </w:tc>
        <w:tc>
          <w:tcPr>
            <w:tcW w:w="800" w:type="dxa"/>
            <w:vAlign w:val="bottom"/>
          </w:tcPr>
          <w:p>
            <w:pPr>
              <w:jc w:val="right"/>
              <w:spacing w:after="0"/>
              <w:rPr>
                <w:sz w:val="20"/>
                <w:szCs w:val="20"/>
                <w:color w:val="auto"/>
              </w:rPr>
            </w:pPr>
            <w:r>
              <w:rPr>
                <w:rFonts w:ascii="Arial" w:cs="Arial" w:eastAsia="Arial" w:hAnsi="Arial"/>
                <w:sz w:val="16"/>
                <w:szCs w:val="16"/>
                <w:color w:val="auto"/>
              </w:rPr>
              <w:t>1,938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1,900</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2360" w:type="dxa"/>
            <w:vAlign w:val="bottom"/>
          </w:tcPr>
          <w:p>
            <w:pPr>
              <w:spacing w:after="0"/>
              <w:rPr>
                <w:sz w:val="18"/>
                <w:szCs w:val="18"/>
                <w:color w:val="auto"/>
              </w:rPr>
            </w:pPr>
          </w:p>
        </w:tc>
        <w:tc>
          <w:tcPr>
            <w:tcW w:w="2820" w:type="dxa"/>
            <w:vAlign w:val="bottom"/>
          </w:tcPr>
          <w:p>
            <w:pPr>
              <w:ind w:left="260"/>
              <w:spacing w:after="0"/>
              <w:rPr>
                <w:sz w:val="20"/>
                <w:szCs w:val="20"/>
                <w:color w:val="auto"/>
              </w:rPr>
            </w:pPr>
            <w:r>
              <w:rPr>
                <w:rFonts w:ascii="Arial" w:cs="Arial" w:eastAsia="Arial" w:hAnsi="Arial"/>
                <w:sz w:val="16"/>
                <w:szCs w:val="16"/>
                <w:color w:val="auto"/>
              </w:rPr>
              <w:t>due 10/2022)</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Lucidworks, Inc. </w:t>
            </w:r>
            <w:r>
              <w:rPr>
                <w:rFonts w:ascii="Arial" w:cs="Arial" w:eastAsia="Arial" w:hAnsi="Arial"/>
                <w:sz w:val="24"/>
                <w:szCs w:val="24"/>
                <w:color w:val="auto"/>
                <w:vertAlign w:val="superscript"/>
              </w:rPr>
              <w:t>(9)</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($12,450 par, due</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7/31/2019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12.00%</w:t>
            </w:r>
          </w:p>
        </w:tc>
        <w:tc>
          <w:tcPr>
            <w:tcW w:w="9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12.00%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12,324</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12,528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w:t>
            </w:r>
          </w:p>
        </w:tc>
      </w:tr>
      <w:tr>
        <w:trPr>
          <w:trHeight w:val="203"/>
        </w:trPr>
        <w:tc>
          <w:tcPr>
            <w:tcW w:w="2360" w:type="dxa"/>
            <w:vAlign w:val="bottom"/>
            <w:shd w:val="clear" w:color="auto" w:fill="CFF0FC"/>
          </w:tcPr>
          <w:p>
            <w:pPr>
              <w:spacing w:after="0"/>
              <w:rPr>
                <w:sz w:val="17"/>
                <w:szCs w:val="17"/>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7/2024)</w:t>
            </w:r>
          </w:p>
        </w:tc>
        <w:tc>
          <w:tcPr>
            <w:tcW w:w="10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360" w:type="dxa"/>
            <w:vAlign w:val="bottom"/>
            <w:shd w:val="clear" w:color="auto" w:fill="CFF0FC"/>
          </w:tcPr>
          <w:p>
            <w:pPr>
              <w:spacing w:after="0"/>
              <w:rPr>
                <w:sz w:val="17"/>
                <w:szCs w:val="17"/>
                <w:color w:val="auto"/>
              </w:rPr>
            </w:pPr>
          </w:p>
        </w:tc>
        <w:tc>
          <w:tcPr>
            <w:tcW w:w="28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7.00%</w:t>
            </w: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36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109,985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109,567</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213"/>
        </w:trPr>
        <w:tc>
          <w:tcPr>
            <w:tcW w:w="2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Marketing Services</w:t>
            </w:r>
          </w:p>
        </w:tc>
        <w:tc>
          <w:tcPr>
            <w:tcW w:w="28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360" w:type="dxa"/>
            <w:vAlign w:val="bottom"/>
          </w:tcPr>
          <w:p>
            <w:pPr>
              <w:spacing w:after="0" w:line="207" w:lineRule="exact"/>
              <w:rPr>
                <w:sz w:val="20"/>
                <w:szCs w:val="20"/>
                <w:color w:val="auto"/>
              </w:rPr>
            </w:pPr>
            <w:r>
              <w:rPr>
                <w:rFonts w:ascii="Arial" w:cs="Arial" w:eastAsia="Arial" w:hAnsi="Arial"/>
                <w:sz w:val="14"/>
                <w:szCs w:val="14"/>
                <w:color w:val="auto"/>
              </w:rPr>
              <w:t xml:space="preserve">Acoustic, L.P. </w:t>
            </w:r>
            <w:r>
              <w:rPr>
                <w:rFonts w:ascii="Arial" w:cs="Arial" w:eastAsia="Arial" w:hAnsi="Arial"/>
                <w:sz w:val="23"/>
                <w:szCs w:val="23"/>
                <w:color w:val="auto"/>
                <w:vertAlign w:val="superscript"/>
              </w:rPr>
              <w:t>(3)</w:t>
            </w:r>
          </w:p>
        </w:tc>
        <w:tc>
          <w:tcPr>
            <w:tcW w:w="2820" w:type="dxa"/>
            <w:vAlign w:val="bottom"/>
          </w:tcPr>
          <w:p>
            <w:pPr>
              <w:ind w:left="260"/>
              <w:spacing w:after="0"/>
              <w:rPr>
                <w:sz w:val="20"/>
                <w:szCs w:val="20"/>
                <w:color w:val="auto"/>
              </w:rPr>
            </w:pPr>
            <w:r>
              <w:rPr>
                <w:rFonts w:ascii="Arial" w:cs="Arial" w:eastAsia="Arial" w:hAnsi="Arial"/>
                <w:sz w:val="16"/>
                <w:szCs w:val="16"/>
                <w:color w:val="auto"/>
              </w:rPr>
              <w:t>First-lien note ($33,000 par, due</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12/17/2019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32,302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31,845</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09"/>
        </w:trPr>
        <w:tc>
          <w:tcPr>
            <w:tcW w:w="2360" w:type="dxa"/>
            <w:vAlign w:val="bottom"/>
          </w:tcPr>
          <w:p>
            <w:pPr>
              <w:spacing w:after="0"/>
              <w:rPr>
                <w:sz w:val="18"/>
                <w:szCs w:val="18"/>
                <w:color w:val="auto"/>
              </w:rPr>
            </w:pPr>
          </w:p>
        </w:tc>
        <w:tc>
          <w:tcPr>
            <w:tcW w:w="2820" w:type="dxa"/>
            <w:vAlign w:val="bottom"/>
          </w:tcPr>
          <w:p>
            <w:pPr>
              <w:ind w:left="260"/>
              <w:spacing w:after="0"/>
              <w:rPr>
                <w:sz w:val="20"/>
                <w:szCs w:val="20"/>
                <w:color w:val="auto"/>
              </w:rPr>
            </w:pPr>
            <w:r>
              <w:rPr>
                <w:rFonts w:ascii="Arial" w:cs="Arial" w:eastAsia="Arial" w:hAnsi="Arial"/>
                <w:sz w:val="16"/>
                <w:szCs w:val="16"/>
                <w:color w:val="auto"/>
              </w:rPr>
              <w:t>6/2024)</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3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Office products</w:t>
            </w:r>
          </w:p>
        </w:tc>
        <w:tc>
          <w:tcPr>
            <w:tcW w:w="28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360" w:type="dxa"/>
            <w:vAlign w:val="bottom"/>
          </w:tcPr>
          <w:p>
            <w:pPr>
              <w:spacing w:after="0" w:line="207" w:lineRule="exact"/>
              <w:rPr>
                <w:sz w:val="20"/>
                <w:szCs w:val="20"/>
                <w:color w:val="auto"/>
              </w:rPr>
            </w:pPr>
            <w:r>
              <w:rPr>
                <w:rFonts w:ascii="Arial" w:cs="Arial" w:eastAsia="Arial" w:hAnsi="Arial"/>
                <w:sz w:val="14"/>
                <w:szCs w:val="14"/>
                <w:color w:val="auto"/>
              </w:rPr>
              <w:t xml:space="preserve">USR Parent, Inc. </w:t>
            </w:r>
            <w:r>
              <w:rPr>
                <w:rFonts w:ascii="Arial" w:cs="Arial" w:eastAsia="Arial" w:hAnsi="Arial"/>
                <w:sz w:val="23"/>
                <w:szCs w:val="23"/>
                <w:color w:val="auto"/>
                <w:vertAlign w:val="superscript"/>
              </w:rPr>
              <w:t>(3)(5)</w:t>
            </w:r>
          </w:p>
        </w:tc>
        <w:tc>
          <w:tcPr>
            <w:tcW w:w="2820" w:type="dxa"/>
            <w:vAlign w:val="bottom"/>
          </w:tcPr>
          <w:p>
            <w:pPr>
              <w:ind w:left="260"/>
              <w:spacing w:after="0"/>
              <w:rPr>
                <w:sz w:val="20"/>
                <w:szCs w:val="20"/>
                <w:color w:val="auto"/>
              </w:rPr>
            </w:pPr>
            <w:r>
              <w:rPr>
                <w:rFonts w:ascii="Arial" w:cs="Arial" w:eastAsia="Arial" w:hAnsi="Arial"/>
                <w:sz w:val="16"/>
                <w:szCs w:val="16"/>
                <w:color w:val="auto"/>
              </w:rPr>
              <w:t>ABL FILO term loan ($10,500 par,</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9/12/2017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+ 7.75%</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8.75%</w:t>
            </w:r>
          </w:p>
        </w:tc>
        <w:tc>
          <w:tcPr>
            <w:tcW w:w="800" w:type="dxa"/>
            <w:vAlign w:val="bottom"/>
          </w:tcPr>
          <w:p>
            <w:pPr>
              <w:jc w:val="right"/>
              <w:spacing w:after="0"/>
              <w:rPr>
                <w:sz w:val="20"/>
                <w:szCs w:val="20"/>
                <w:color w:val="auto"/>
              </w:rPr>
            </w:pPr>
            <w:r>
              <w:rPr>
                <w:rFonts w:ascii="Arial" w:cs="Arial" w:eastAsia="Arial" w:hAnsi="Arial"/>
                <w:sz w:val="16"/>
                <w:szCs w:val="16"/>
                <w:color w:val="auto"/>
              </w:rPr>
              <w:t>10,376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10,500</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2360" w:type="dxa"/>
            <w:vAlign w:val="bottom"/>
          </w:tcPr>
          <w:p>
            <w:pPr>
              <w:spacing w:after="0"/>
              <w:rPr>
                <w:sz w:val="18"/>
                <w:szCs w:val="18"/>
                <w:color w:val="auto"/>
              </w:rPr>
            </w:pPr>
          </w:p>
        </w:tc>
        <w:tc>
          <w:tcPr>
            <w:tcW w:w="2820" w:type="dxa"/>
            <w:vAlign w:val="bottom"/>
          </w:tcPr>
          <w:p>
            <w:pPr>
              <w:ind w:left="260"/>
              <w:spacing w:after="0"/>
              <w:rPr>
                <w:sz w:val="20"/>
                <w:szCs w:val="20"/>
                <w:color w:val="auto"/>
              </w:rPr>
            </w:pPr>
            <w:r>
              <w:rPr>
                <w:rFonts w:ascii="Arial" w:cs="Arial" w:eastAsia="Arial" w:hAnsi="Arial"/>
                <w:sz w:val="16"/>
                <w:szCs w:val="16"/>
                <w:color w:val="auto"/>
              </w:rPr>
              <w:t>due 9/2022)</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3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Oil, gas and consumable fuels</w:t>
            </w:r>
          </w:p>
        </w:tc>
        <w:tc>
          <w:tcPr>
            <w:tcW w:w="28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360" w:type="dxa"/>
            <w:vAlign w:val="bottom"/>
          </w:tcPr>
          <w:p>
            <w:pPr>
              <w:spacing w:after="0" w:line="207" w:lineRule="exact"/>
              <w:rPr>
                <w:sz w:val="20"/>
                <w:szCs w:val="20"/>
                <w:color w:val="auto"/>
              </w:rPr>
            </w:pPr>
            <w:r>
              <w:rPr>
                <w:rFonts w:ascii="Arial" w:cs="Arial" w:eastAsia="Arial" w:hAnsi="Arial"/>
                <w:sz w:val="14"/>
                <w:szCs w:val="14"/>
                <w:color w:val="auto"/>
              </w:rPr>
              <w:t xml:space="preserve">Energy Alloys, LLC </w:t>
            </w:r>
            <w:r>
              <w:rPr>
                <w:rFonts w:ascii="Arial" w:cs="Arial" w:eastAsia="Arial" w:hAnsi="Arial"/>
                <w:sz w:val="23"/>
                <w:szCs w:val="23"/>
                <w:color w:val="auto"/>
                <w:vertAlign w:val="superscript"/>
              </w:rPr>
              <w:t>(3)</w:t>
            </w:r>
          </w:p>
        </w:tc>
        <w:tc>
          <w:tcPr>
            <w:tcW w:w="2820" w:type="dxa"/>
            <w:vAlign w:val="bottom"/>
          </w:tcPr>
          <w:p>
            <w:pPr>
              <w:ind w:left="260"/>
              <w:spacing w:after="0"/>
              <w:rPr>
                <w:sz w:val="20"/>
                <w:szCs w:val="20"/>
                <w:color w:val="auto"/>
              </w:rPr>
            </w:pPr>
            <w:r>
              <w:rPr>
                <w:rFonts w:ascii="Arial" w:cs="Arial" w:eastAsia="Arial" w:hAnsi="Arial"/>
                <w:sz w:val="16"/>
                <w:szCs w:val="16"/>
                <w:color w:val="auto"/>
              </w:rPr>
              <w:t>ABL FILO term loan ($14,967 par,</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6/9/2020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+ 6.25%</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8.25%</w:t>
            </w:r>
          </w:p>
        </w:tc>
        <w:tc>
          <w:tcPr>
            <w:tcW w:w="800" w:type="dxa"/>
            <w:vAlign w:val="bottom"/>
          </w:tcPr>
          <w:p>
            <w:pPr>
              <w:jc w:val="right"/>
              <w:spacing w:after="0"/>
              <w:rPr>
                <w:sz w:val="20"/>
                <w:szCs w:val="20"/>
                <w:color w:val="auto"/>
              </w:rPr>
            </w:pPr>
            <w:r>
              <w:rPr>
                <w:rFonts w:ascii="Arial" w:cs="Arial" w:eastAsia="Arial" w:hAnsi="Arial"/>
                <w:sz w:val="16"/>
                <w:szCs w:val="16"/>
                <w:color w:val="auto"/>
              </w:rPr>
              <w:t>14,967</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14,967</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209"/>
        </w:trPr>
        <w:tc>
          <w:tcPr>
            <w:tcW w:w="2360" w:type="dxa"/>
            <w:vAlign w:val="bottom"/>
          </w:tcPr>
          <w:p>
            <w:pPr>
              <w:spacing w:after="0"/>
              <w:rPr>
                <w:sz w:val="18"/>
                <w:szCs w:val="18"/>
                <w:color w:val="auto"/>
              </w:rPr>
            </w:pPr>
          </w:p>
        </w:tc>
        <w:tc>
          <w:tcPr>
            <w:tcW w:w="2820" w:type="dxa"/>
            <w:vAlign w:val="bottom"/>
          </w:tcPr>
          <w:p>
            <w:pPr>
              <w:ind w:left="260"/>
              <w:spacing w:after="0"/>
              <w:rPr>
                <w:sz w:val="20"/>
                <w:szCs w:val="20"/>
                <w:color w:val="auto"/>
              </w:rPr>
            </w:pPr>
            <w:r>
              <w:rPr>
                <w:rFonts w:ascii="Arial" w:cs="Arial" w:eastAsia="Arial" w:hAnsi="Arial"/>
                <w:sz w:val="16"/>
                <w:szCs w:val="16"/>
                <w:color w:val="auto"/>
              </w:rPr>
              <w:t>due 8/2024)</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60" w:type="dxa"/>
            <w:vAlign w:val="bottom"/>
            <w:shd w:val="clear" w:color="auto" w:fill="CFF0FC"/>
          </w:tcPr>
          <w:p>
            <w:pPr>
              <w:spacing w:after="0"/>
              <w:rPr>
                <w:sz w:val="18"/>
                <w:szCs w:val="18"/>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9"/>
              </w:rPr>
              <w:t>First-lien revolving loan ($3,671 par,</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6/9/2020</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+ 6.25%</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3,671</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3,671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r>
      <w:tr>
        <w:trPr>
          <w:trHeight w:val="212"/>
        </w:trPr>
        <w:tc>
          <w:tcPr>
            <w:tcW w:w="2360" w:type="dxa"/>
            <w:vAlign w:val="bottom"/>
            <w:shd w:val="clear" w:color="auto" w:fill="CFF0FC"/>
          </w:tcPr>
          <w:p>
            <w:pPr>
              <w:spacing w:after="0"/>
              <w:rPr>
                <w:sz w:val="18"/>
                <w:szCs w:val="18"/>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due 8/2024)</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360" w:type="dxa"/>
            <w:vAlign w:val="bottom"/>
          </w:tcPr>
          <w:p>
            <w:pPr>
              <w:spacing w:after="0"/>
              <w:rPr>
                <w:sz w:val="20"/>
                <w:szCs w:val="20"/>
                <w:color w:val="auto"/>
              </w:rPr>
            </w:pPr>
            <w:r>
              <w:rPr>
                <w:rFonts w:ascii="Arial" w:cs="Arial" w:eastAsia="Arial" w:hAnsi="Arial"/>
                <w:sz w:val="16"/>
                <w:szCs w:val="16"/>
                <w:color w:val="auto"/>
              </w:rPr>
              <w:t>MD America Energy,</w:t>
            </w:r>
          </w:p>
        </w:tc>
        <w:tc>
          <w:tcPr>
            <w:tcW w:w="2820" w:type="dxa"/>
            <w:vAlign w:val="bottom"/>
          </w:tcPr>
          <w:p>
            <w:pPr>
              <w:ind w:left="260"/>
              <w:spacing w:after="0"/>
              <w:rPr>
                <w:sz w:val="20"/>
                <w:szCs w:val="20"/>
                <w:color w:val="auto"/>
              </w:rPr>
            </w:pPr>
            <w:r>
              <w:rPr>
                <w:rFonts w:ascii="Arial" w:cs="Arial" w:eastAsia="Arial" w:hAnsi="Arial"/>
                <w:sz w:val="16"/>
                <w:szCs w:val="16"/>
                <w:color w:val="auto"/>
              </w:rPr>
              <w:t>First-lien loan ($18,825 par, due</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11/14/2018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P + 6.75%</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10.00%</w:t>
            </w:r>
          </w:p>
        </w:tc>
        <w:tc>
          <w:tcPr>
            <w:tcW w:w="800" w:type="dxa"/>
            <w:vAlign w:val="bottom"/>
          </w:tcPr>
          <w:p>
            <w:pPr>
              <w:jc w:val="right"/>
              <w:spacing w:after="0"/>
              <w:rPr>
                <w:sz w:val="20"/>
                <w:szCs w:val="20"/>
                <w:color w:val="auto"/>
              </w:rPr>
            </w:pPr>
            <w:r>
              <w:rPr>
                <w:rFonts w:ascii="Arial" w:cs="Arial" w:eastAsia="Arial" w:hAnsi="Arial"/>
                <w:sz w:val="16"/>
                <w:szCs w:val="16"/>
                <w:color w:val="auto"/>
              </w:rPr>
              <w:t>18,622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15,954</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1.5%</w:t>
            </w:r>
          </w:p>
        </w:tc>
      </w:tr>
      <w:tr>
        <w:trPr>
          <w:trHeight w:val="216"/>
        </w:trPr>
        <w:tc>
          <w:tcPr>
            <w:tcW w:w="236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LLC </w:t>
            </w:r>
            <w:r>
              <w:rPr>
                <w:rFonts w:ascii="Arial" w:cs="Arial" w:eastAsia="Arial" w:hAnsi="Arial"/>
                <w:sz w:val="25"/>
                <w:szCs w:val="25"/>
                <w:color w:val="auto"/>
                <w:vertAlign w:val="superscript"/>
              </w:rPr>
              <w:t>(3)</w:t>
            </w:r>
          </w:p>
        </w:tc>
        <w:tc>
          <w:tcPr>
            <w:tcW w:w="2820" w:type="dxa"/>
            <w:vAlign w:val="bottom"/>
          </w:tcPr>
          <w:p>
            <w:pPr>
              <w:ind w:left="260"/>
              <w:spacing w:after="0"/>
              <w:rPr>
                <w:sz w:val="20"/>
                <w:szCs w:val="20"/>
                <w:color w:val="auto"/>
              </w:rPr>
            </w:pPr>
            <w:r>
              <w:rPr>
                <w:rFonts w:ascii="Arial" w:cs="Arial" w:eastAsia="Arial" w:hAnsi="Arial"/>
                <w:sz w:val="16"/>
                <w:szCs w:val="16"/>
                <w:color w:val="auto"/>
              </w:rPr>
              <w:t>11/2023)</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Mississippi Resources,</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($7,786 par, due</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6/29/2018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+ 9.00%</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7,784</w:t>
            </w:r>
          </w:p>
        </w:tc>
        <w:tc>
          <w:tcPr>
            <w:tcW w:w="2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16"/>
        </w:trPr>
        <w:tc>
          <w:tcPr>
            <w:tcW w:w="2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(3)(7)(16)</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12/2020)</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360" w:type="dxa"/>
            <w:vAlign w:val="bottom"/>
          </w:tcPr>
          <w:p>
            <w:pPr>
              <w:spacing w:after="0"/>
              <w:rPr>
                <w:sz w:val="20"/>
                <w:szCs w:val="20"/>
                <w:color w:val="auto"/>
              </w:rPr>
            </w:pPr>
            <w:r>
              <w:rPr>
                <w:rFonts w:ascii="Arial" w:cs="Arial" w:eastAsia="Arial" w:hAnsi="Arial"/>
                <w:sz w:val="16"/>
                <w:szCs w:val="16"/>
                <w:color w:val="auto"/>
              </w:rPr>
              <w:t>Verdad Resources Intermediate</w:t>
            </w:r>
          </w:p>
        </w:tc>
        <w:tc>
          <w:tcPr>
            <w:tcW w:w="2820" w:type="dxa"/>
            <w:vAlign w:val="bottom"/>
          </w:tcPr>
          <w:p>
            <w:pPr>
              <w:ind w:left="260"/>
              <w:spacing w:after="0"/>
              <w:rPr>
                <w:sz w:val="20"/>
                <w:szCs w:val="20"/>
                <w:color w:val="auto"/>
              </w:rPr>
            </w:pPr>
            <w:r>
              <w:rPr>
                <w:rFonts w:ascii="Arial" w:cs="Arial" w:eastAsia="Arial" w:hAnsi="Arial"/>
                <w:sz w:val="16"/>
                <w:szCs w:val="16"/>
                <w:color w:val="auto"/>
              </w:rPr>
              <w:t>First-lien loan ($42,222 par, due</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4/10/2019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+ 7.50%</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9.50%</w:t>
            </w:r>
          </w:p>
        </w:tc>
        <w:tc>
          <w:tcPr>
            <w:tcW w:w="800" w:type="dxa"/>
            <w:vAlign w:val="bottom"/>
          </w:tcPr>
          <w:p>
            <w:pPr>
              <w:jc w:val="right"/>
              <w:spacing w:after="0"/>
              <w:rPr>
                <w:sz w:val="20"/>
                <w:szCs w:val="20"/>
                <w:color w:val="auto"/>
              </w:rPr>
            </w:pPr>
            <w:r>
              <w:rPr>
                <w:rFonts w:ascii="Arial" w:cs="Arial" w:eastAsia="Arial" w:hAnsi="Arial"/>
                <w:sz w:val="16"/>
                <w:szCs w:val="16"/>
                <w:color w:val="auto"/>
              </w:rPr>
              <w:t>41,371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42,722</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2360" w:type="dxa"/>
            <w:vAlign w:val="bottom"/>
            <w:tcBorders>
              <w:bottom w:val="single" w:sz="8" w:color="CFF0FC"/>
            </w:tcBorders>
          </w:tcPr>
          <w:p>
            <w:pPr>
              <w:ind w:left="120"/>
              <w:spacing w:after="0" w:line="216" w:lineRule="exact"/>
              <w:rPr>
                <w:sz w:val="20"/>
                <w:szCs w:val="20"/>
                <w:color w:val="auto"/>
              </w:rPr>
            </w:pPr>
            <w:r>
              <w:rPr>
                <w:rFonts w:ascii="Arial" w:cs="Arial" w:eastAsia="Arial" w:hAnsi="Arial"/>
                <w:sz w:val="15"/>
                <w:szCs w:val="15"/>
                <w:color w:val="auto"/>
              </w:rPr>
              <w:t xml:space="preserve">Holdings, LLC </w:t>
            </w:r>
            <w:r>
              <w:rPr>
                <w:rFonts w:ascii="Arial" w:cs="Arial" w:eastAsia="Arial" w:hAnsi="Arial"/>
                <w:sz w:val="25"/>
                <w:szCs w:val="25"/>
                <w:color w:val="auto"/>
                <w:vertAlign w:val="superscript"/>
              </w:rPr>
              <w:t>(3)</w:t>
            </w:r>
          </w:p>
        </w:tc>
        <w:tc>
          <w:tcPr>
            <w:tcW w:w="28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10/2023)</w:t>
            </w:r>
          </w:p>
        </w:tc>
        <w:tc>
          <w:tcPr>
            <w:tcW w:w="102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09"/>
        </w:trPr>
        <w:tc>
          <w:tcPr>
            <w:tcW w:w="236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86,415</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77,314</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7.1%</w:t>
            </w:r>
          </w:p>
        </w:tc>
      </w:tr>
      <w:tr>
        <w:trPr>
          <w:trHeight w:val="206"/>
        </w:trPr>
        <w:tc>
          <w:tcPr>
            <w:tcW w:w="2360" w:type="dxa"/>
            <w:vAlign w:val="bottom"/>
          </w:tcPr>
          <w:p>
            <w:pPr>
              <w:spacing w:after="0"/>
              <w:rPr>
                <w:sz w:val="20"/>
                <w:szCs w:val="20"/>
                <w:color w:val="auto"/>
              </w:rPr>
            </w:pPr>
            <w:r>
              <w:rPr>
                <w:rFonts w:ascii="Arial" w:cs="Arial" w:eastAsia="Arial" w:hAnsi="Arial"/>
                <w:sz w:val="16"/>
                <w:szCs w:val="16"/>
                <w:b w:val="1"/>
                <w:bCs w:val="1"/>
                <w:color w:val="auto"/>
              </w:rPr>
              <w:t>Real Estate</w:t>
            </w:r>
          </w:p>
        </w:tc>
        <w:tc>
          <w:tcPr>
            <w:tcW w:w="2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6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ResMan, LLC </w:t>
            </w:r>
            <w:r>
              <w:rPr>
                <w:rFonts w:ascii="Arial" w:cs="Arial" w:eastAsia="Arial" w:hAnsi="Arial"/>
                <w:sz w:val="24"/>
                <w:szCs w:val="24"/>
                <w:color w:val="auto"/>
                <w:vertAlign w:val="superscript"/>
              </w:rPr>
              <w:t>(3)</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First-lien loan ($20,907 par, due</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10/3/2019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+ 8.00%</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20,506</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20,513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r>
      <w:tr>
        <w:trPr>
          <w:trHeight w:val="212"/>
        </w:trPr>
        <w:tc>
          <w:tcPr>
            <w:tcW w:w="2360" w:type="dxa"/>
            <w:vAlign w:val="bottom"/>
            <w:shd w:val="clear" w:color="auto" w:fill="CFF0FC"/>
          </w:tcPr>
          <w:p>
            <w:pPr>
              <w:spacing w:after="0"/>
              <w:rPr>
                <w:sz w:val="18"/>
                <w:szCs w:val="18"/>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10/2024)</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360" w:type="dxa"/>
            <w:vAlign w:val="bottom"/>
          </w:tcPr>
          <w:p>
            <w:pPr>
              <w:spacing w:after="0"/>
              <w:rPr>
                <w:sz w:val="20"/>
                <w:szCs w:val="20"/>
                <w:color w:val="auto"/>
              </w:rPr>
            </w:pPr>
            <w:r>
              <w:rPr>
                <w:rFonts w:ascii="Arial" w:cs="Arial" w:eastAsia="Arial" w:hAnsi="Arial"/>
                <w:sz w:val="16"/>
                <w:szCs w:val="16"/>
                <w:b w:val="1"/>
                <w:bCs w:val="1"/>
                <w:color w:val="auto"/>
              </w:rPr>
              <w:t>Retail and consumer products</w:t>
            </w:r>
          </w:p>
        </w:tc>
        <w:tc>
          <w:tcPr>
            <w:tcW w:w="2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99 Cents Only Stores</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ABL FILO term loan ($32,500 par,</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9/6/2017</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+ 8.50%</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31,803</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32,581</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236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LLC </w:t>
            </w:r>
            <w:r>
              <w:rPr>
                <w:rFonts w:ascii="Arial" w:cs="Arial" w:eastAsia="Arial" w:hAnsi="Arial"/>
                <w:sz w:val="25"/>
                <w:szCs w:val="25"/>
                <w:color w:val="auto"/>
                <w:vertAlign w:val="superscript"/>
              </w:rPr>
              <w:t>(3)</w:t>
            </w:r>
          </w:p>
        </w:tc>
        <w:tc>
          <w:tcPr>
            <w:tcW w:w="2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due 12/2021)</w:t>
            </w:r>
          </w:p>
        </w:tc>
        <w:tc>
          <w:tcPr>
            <w:tcW w:w="10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9"/>
        </w:trPr>
        <w:tc>
          <w:tcPr>
            <w:tcW w:w="2420" w:type="dxa"/>
            <w:vAlign w:val="bottom"/>
          </w:tcPr>
          <w:p>
            <w:pPr>
              <w:spacing w:after="0"/>
              <w:rPr>
                <w:sz w:val="20"/>
                <w:szCs w:val="20"/>
                <w:color w:val="auto"/>
              </w:rPr>
            </w:pPr>
            <w:r>
              <w:rPr>
                <w:rFonts w:ascii="Arial" w:cs="Arial" w:eastAsia="Arial" w:hAnsi="Arial"/>
                <w:sz w:val="16"/>
                <w:szCs w:val="16"/>
                <w:color w:val="auto"/>
              </w:rPr>
              <w:t>American Achievement,</w:t>
            </w:r>
          </w:p>
        </w:tc>
        <w:tc>
          <w:tcPr>
            <w:tcW w:w="2880" w:type="dxa"/>
            <w:vAlign w:val="bottom"/>
          </w:tcPr>
          <w:p>
            <w:pPr>
              <w:ind w:left="240"/>
              <w:spacing w:after="0"/>
              <w:rPr>
                <w:sz w:val="20"/>
                <w:szCs w:val="20"/>
                <w:color w:val="auto"/>
              </w:rPr>
            </w:pPr>
            <w:r>
              <w:rPr>
                <w:rFonts w:ascii="Arial" w:cs="Arial" w:eastAsia="Arial" w:hAnsi="Arial"/>
                <w:sz w:val="16"/>
                <w:szCs w:val="16"/>
                <w:color w:val="auto"/>
              </w:rPr>
              <w:t>First-lien loan ($23,549 par, due</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9/30/2015</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+ 8.25%</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9.25%</w:t>
            </w:r>
          </w:p>
        </w:tc>
        <w:tc>
          <w:tcPr>
            <w:tcW w:w="780" w:type="dxa"/>
            <w:vAlign w:val="bottom"/>
          </w:tcPr>
          <w:p>
            <w:pPr>
              <w:jc w:val="right"/>
              <w:spacing w:after="0"/>
              <w:rPr>
                <w:sz w:val="20"/>
                <w:szCs w:val="20"/>
                <w:color w:val="auto"/>
              </w:rPr>
            </w:pPr>
            <w:r>
              <w:rPr>
                <w:rFonts w:ascii="Arial" w:cs="Arial" w:eastAsia="Arial" w:hAnsi="Arial"/>
                <w:sz w:val="16"/>
                <w:szCs w:val="16"/>
                <w:color w:val="auto"/>
              </w:rPr>
              <w:t>23,484</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22,018</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6"/>
        </w:trPr>
        <w:tc>
          <w:tcPr>
            <w:tcW w:w="2420" w:type="dxa"/>
            <w:vAlign w:val="bottom"/>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(3)(5)</w:t>
            </w:r>
          </w:p>
        </w:tc>
        <w:tc>
          <w:tcPr>
            <w:tcW w:w="2880" w:type="dxa"/>
            <w:vAlign w:val="bottom"/>
          </w:tcPr>
          <w:p>
            <w:pPr>
              <w:ind w:left="240"/>
              <w:spacing w:after="0"/>
              <w:rPr>
                <w:sz w:val="20"/>
                <w:szCs w:val="20"/>
                <w:color w:val="auto"/>
              </w:rPr>
            </w:pPr>
            <w:r>
              <w:rPr>
                <w:rFonts w:ascii="Arial" w:cs="Arial" w:eastAsia="Arial" w:hAnsi="Arial"/>
                <w:sz w:val="16"/>
                <w:szCs w:val="16"/>
                <w:color w:val="auto"/>
              </w:rPr>
              <w:t>9/2022)</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3.25%</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Forever 21, Inc. </w:t>
            </w:r>
            <w:r>
              <w:rPr>
                <w:rFonts w:ascii="Arial" w:cs="Arial" w:eastAsia="Arial" w:hAnsi="Arial"/>
                <w:sz w:val="24"/>
                <w:szCs w:val="24"/>
                <w:color w:val="auto"/>
                <w:vertAlign w:val="superscript"/>
              </w:rPr>
              <w:t>(3)</w:t>
            </w:r>
          </w:p>
        </w:tc>
        <w:tc>
          <w:tcPr>
            <w:tcW w:w="28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ABL DIP term loan ($6,227 par, due</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+ 12.00%</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12.19%</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6,226</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6,227</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2"/>
        </w:trPr>
        <w:tc>
          <w:tcPr>
            <w:tcW w:w="2420" w:type="dxa"/>
            <w:vAlign w:val="bottom"/>
            <w:shd w:val="clear" w:color="auto" w:fill="CFF0FC"/>
          </w:tcPr>
          <w:p>
            <w:pPr>
              <w:spacing w:after="0"/>
              <w:rPr>
                <w:sz w:val="18"/>
                <w:szCs w:val="18"/>
                <w:color w:val="auto"/>
              </w:rPr>
            </w:pPr>
          </w:p>
        </w:tc>
        <w:tc>
          <w:tcPr>
            <w:tcW w:w="28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9/2020)</w:t>
            </w: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J.C. Penney Company,</w:t>
            </w:r>
          </w:p>
        </w:tc>
        <w:tc>
          <w:tcPr>
            <w:tcW w:w="2880" w:type="dxa"/>
            <w:vAlign w:val="bottom"/>
          </w:tcPr>
          <w:p>
            <w:pPr>
              <w:ind w:left="240"/>
              <w:spacing w:after="0"/>
              <w:rPr>
                <w:sz w:val="20"/>
                <w:szCs w:val="20"/>
                <w:color w:val="auto"/>
              </w:rPr>
            </w:pPr>
            <w:r>
              <w:rPr>
                <w:rFonts w:ascii="Arial" w:cs="Arial" w:eastAsia="Arial" w:hAnsi="Arial"/>
                <w:sz w:val="16"/>
                <w:szCs w:val="16"/>
                <w:color w:val="auto"/>
              </w:rPr>
              <w:t>ABL DIP term loan ($5,971 par, due</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6/8/2020</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+ 11.75%</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13.00%</w:t>
            </w:r>
          </w:p>
        </w:tc>
        <w:tc>
          <w:tcPr>
            <w:tcW w:w="780" w:type="dxa"/>
            <w:vAlign w:val="bottom"/>
          </w:tcPr>
          <w:p>
            <w:pPr>
              <w:jc w:val="right"/>
              <w:spacing w:after="0"/>
              <w:rPr>
                <w:sz w:val="20"/>
                <w:szCs w:val="20"/>
                <w:color w:val="auto"/>
              </w:rPr>
            </w:pPr>
            <w:r>
              <w:rPr>
                <w:rFonts w:ascii="Arial" w:cs="Arial" w:eastAsia="Arial" w:hAnsi="Arial"/>
                <w:sz w:val="16"/>
                <w:szCs w:val="16"/>
                <w:color w:val="auto"/>
              </w:rPr>
              <w:t>5,781</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6,030</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6"/>
        </w:trPr>
        <w:tc>
          <w:tcPr>
            <w:tcW w:w="242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Inc. </w:t>
            </w:r>
            <w:r>
              <w:rPr>
                <w:rFonts w:ascii="Arial" w:cs="Arial" w:eastAsia="Arial" w:hAnsi="Arial"/>
                <w:sz w:val="25"/>
                <w:szCs w:val="25"/>
                <w:color w:val="auto"/>
                <w:vertAlign w:val="superscript"/>
              </w:rPr>
              <w:t>(11)</w:t>
            </w:r>
          </w:p>
        </w:tc>
        <w:tc>
          <w:tcPr>
            <w:tcW w:w="2880" w:type="dxa"/>
            <w:vAlign w:val="bottom"/>
          </w:tcPr>
          <w:p>
            <w:pPr>
              <w:ind w:left="240"/>
              <w:spacing w:after="0" w:line="216" w:lineRule="exact"/>
              <w:rPr>
                <w:sz w:val="20"/>
                <w:szCs w:val="20"/>
                <w:color w:val="auto"/>
              </w:rPr>
            </w:pPr>
            <w:r>
              <w:rPr>
                <w:rFonts w:ascii="Arial" w:cs="Arial" w:eastAsia="Arial" w:hAnsi="Arial"/>
                <w:sz w:val="15"/>
                <w:szCs w:val="15"/>
                <w:color w:val="auto"/>
              </w:rPr>
              <w:t xml:space="preserve">11/2020) </w:t>
            </w:r>
            <w:r>
              <w:rPr>
                <w:rFonts w:ascii="Arial" w:cs="Arial" w:eastAsia="Arial" w:hAnsi="Arial"/>
                <w:sz w:val="25"/>
                <w:szCs w:val="25"/>
                <w:color w:val="auto"/>
                <w:vertAlign w:val="superscript"/>
              </w:rPr>
              <w:t>(3)</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FF0FC"/>
          </w:tcPr>
          <w:p>
            <w:pPr>
              <w:spacing w:after="0"/>
              <w:rPr>
                <w:sz w:val="17"/>
                <w:szCs w:val="17"/>
                <w:color w:val="auto"/>
              </w:rPr>
            </w:pPr>
          </w:p>
        </w:tc>
        <w:tc>
          <w:tcPr>
            <w:tcW w:w="28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First-lien loan ($7,060 par, due</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+ 4.25%</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5,608</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3,177</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spacing w:after="0"/>
              <w:rPr>
                <w:sz w:val="18"/>
                <w:szCs w:val="18"/>
                <w:color w:val="auto"/>
              </w:rPr>
            </w:pPr>
          </w:p>
        </w:tc>
        <w:tc>
          <w:tcPr>
            <w:tcW w:w="2880" w:type="dxa"/>
            <w:vAlign w:val="bottom"/>
            <w:shd w:val="clear" w:color="auto" w:fill="CFF0FC"/>
          </w:tcPr>
          <w:p>
            <w:pPr>
              <w:ind w:left="240"/>
              <w:spacing w:after="0" w:line="216" w:lineRule="exact"/>
              <w:rPr>
                <w:sz w:val="20"/>
                <w:szCs w:val="20"/>
                <w:color w:val="auto"/>
              </w:rPr>
            </w:pPr>
            <w:r>
              <w:rPr>
                <w:rFonts w:ascii="Arial" w:cs="Arial" w:eastAsia="Arial" w:hAnsi="Arial"/>
                <w:sz w:val="15"/>
                <w:szCs w:val="15"/>
                <w:color w:val="auto"/>
              </w:rPr>
              <w:t xml:space="preserve">6/2023) </w:t>
            </w:r>
            <w:r>
              <w:rPr>
                <w:rFonts w:ascii="Arial" w:cs="Arial" w:eastAsia="Arial" w:hAnsi="Arial"/>
                <w:sz w:val="25"/>
                <w:szCs w:val="25"/>
                <w:color w:val="auto"/>
                <w:vertAlign w:val="superscript"/>
              </w:rPr>
              <w:t>(3)(16)</w:t>
            </w: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2880" w:type="dxa"/>
            <w:vAlign w:val="bottom"/>
          </w:tcPr>
          <w:p>
            <w:pPr>
              <w:ind w:left="240"/>
              <w:spacing w:after="0"/>
              <w:rPr>
                <w:sz w:val="20"/>
                <w:szCs w:val="20"/>
                <w:color w:val="auto"/>
              </w:rPr>
            </w:pPr>
            <w:r>
              <w:rPr>
                <w:rFonts w:ascii="Arial" w:cs="Arial" w:eastAsia="Arial" w:hAnsi="Arial"/>
                <w:sz w:val="16"/>
                <w:szCs w:val="16"/>
                <w:color w:val="auto"/>
              </w:rPr>
              <w:t>First-lien secured note ($12,338 par,</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6/5/2019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5.88%</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5.88%</w:t>
            </w:r>
          </w:p>
        </w:tc>
        <w:tc>
          <w:tcPr>
            <w:tcW w:w="780" w:type="dxa"/>
            <w:vAlign w:val="bottom"/>
          </w:tcPr>
          <w:p>
            <w:pPr>
              <w:jc w:val="right"/>
              <w:spacing w:after="0"/>
              <w:rPr>
                <w:sz w:val="20"/>
                <w:szCs w:val="20"/>
                <w:color w:val="auto"/>
              </w:rPr>
            </w:pPr>
            <w:r>
              <w:rPr>
                <w:rFonts w:ascii="Arial" w:cs="Arial" w:eastAsia="Arial" w:hAnsi="Arial"/>
                <w:sz w:val="16"/>
                <w:szCs w:val="16"/>
                <w:color w:val="auto"/>
              </w:rPr>
              <w:t>10,367</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5,552</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880" w:type="dxa"/>
            <w:vAlign w:val="bottom"/>
          </w:tcPr>
          <w:p>
            <w:pPr>
              <w:ind w:left="240"/>
              <w:spacing w:after="0" w:line="216" w:lineRule="exact"/>
              <w:rPr>
                <w:sz w:val="20"/>
                <w:szCs w:val="20"/>
                <w:color w:val="auto"/>
              </w:rPr>
            </w:pPr>
            <w:r>
              <w:rPr>
                <w:rFonts w:ascii="Arial" w:cs="Arial" w:eastAsia="Arial" w:hAnsi="Arial"/>
                <w:sz w:val="15"/>
                <w:szCs w:val="15"/>
                <w:color w:val="auto"/>
              </w:rPr>
              <w:t xml:space="preserve">due 7/2023) </w:t>
            </w:r>
            <w:r>
              <w:rPr>
                <w:rFonts w:ascii="Arial" w:cs="Arial" w:eastAsia="Arial" w:hAnsi="Arial"/>
                <w:sz w:val="25"/>
                <w:szCs w:val="25"/>
                <w:color w:val="auto"/>
                <w:vertAlign w:val="superscript"/>
              </w:rPr>
              <w:t>(16)</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2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Maurices, Inc. </w:t>
            </w:r>
            <w:r>
              <w:rPr>
                <w:rFonts w:ascii="Arial" w:cs="Arial" w:eastAsia="Arial" w:hAnsi="Arial"/>
                <w:sz w:val="23"/>
                <w:szCs w:val="23"/>
                <w:color w:val="auto"/>
                <w:vertAlign w:val="superscript"/>
              </w:rPr>
              <w:t>(3)(5)</w:t>
            </w:r>
          </w:p>
        </w:tc>
        <w:tc>
          <w:tcPr>
            <w:tcW w:w="28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ABL FILO term loan ($26,111 par,</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+ 6.50%</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7.75%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25,463</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26,111</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2"/>
        </w:trPr>
        <w:tc>
          <w:tcPr>
            <w:tcW w:w="2420" w:type="dxa"/>
            <w:vAlign w:val="bottom"/>
            <w:shd w:val="clear" w:color="auto" w:fill="CFF0FC"/>
          </w:tcPr>
          <w:p>
            <w:pPr>
              <w:spacing w:after="0"/>
              <w:rPr>
                <w:sz w:val="18"/>
                <w:szCs w:val="18"/>
                <w:color w:val="auto"/>
              </w:rPr>
            </w:pPr>
          </w:p>
        </w:tc>
        <w:tc>
          <w:tcPr>
            <w:tcW w:w="28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due 5/2024)</w:t>
            </w: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line="207" w:lineRule="exact"/>
              <w:rPr>
                <w:sz w:val="20"/>
                <w:szCs w:val="20"/>
                <w:color w:val="auto"/>
              </w:rPr>
            </w:pPr>
            <w:r>
              <w:rPr>
                <w:rFonts w:ascii="Arial" w:cs="Arial" w:eastAsia="Arial" w:hAnsi="Arial"/>
                <w:sz w:val="14"/>
                <w:szCs w:val="14"/>
                <w:color w:val="auto"/>
              </w:rPr>
              <w:t xml:space="preserve">Moran Foods, LLC </w:t>
            </w:r>
            <w:r>
              <w:rPr>
                <w:rFonts w:ascii="Arial" w:cs="Arial" w:eastAsia="Arial" w:hAnsi="Arial"/>
                <w:sz w:val="23"/>
                <w:szCs w:val="23"/>
                <w:color w:val="auto"/>
                <w:vertAlign w:val="superscript"/>
              </w:rPr>
              <w:t>(3)</w:t>
            </w:r>
          </w:p>
        </w:tc>
        <w:tc>
          <w:tcPr>
            <w:tcW w:w="2880" w:type="dxa"/>
            <w:vAlign w:val="bottom"/>
          </w:tcPr>
          <w:p>
            <w:pPr>
              <w:ind w:left="240"/>
              <w:spacing w:after="0"/>
              <w:rPr>
                <w:sz w:val="20"/>
                <w:szCs w:val="20"/>
                <w:color w:val="auto"/>
              </w:rPr>
            </w:pPr>
            <w:r>
              <w:rPr>
                <w:rFonts w:ascii="Arial" w:cs="Arial" w:eastAsia="Arial" w:hAnsi="Arial"/>
                <w:sz w:val="16"/>
                <w:szCs w:val="16"/>
                <w:color w:val="auto"/>
              </w:rPr>
              <w:t>ABL FILO term loan ($39,167 par,</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4/1/2020</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+ 7.50%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780" w:type="dxa"/>
            <w:vAlign w:val="bottom"/>
          </w:tcPr>
          <w:p>
            <w:pPr>
              <w:jc w:val="right"/>
              <w:spacing w:after="0"/>
              <w:rPr>
                <w:sz w:val="20"/>
                <w:szCs w:val="20"/>
                <w:color w:val="auto"/>
              </w:rPr>
            </w:pPr>
            <w:r>
              <w:rPr>
                <w:rFonts w:ascii="Arial" w:cs="Arial" w:eastAsia="Arial" w:hAnsi="Arial"/>
                <w:sz w:val="16"/>
                <w:szCs w:val="16"/>
                <w:color w:val="auto"/>
              </w:rPr>
              <w:t>38,424</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39,754</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2880" w:type="dxa"/>
            <w:vAlign w:val="bottom"/>
          </w:tcPr>
          <w:p>
            <w:pPr>
              <w:ind w:left="240"/>
              <w:spacing w:after="0"/>
              <w:rPr>
                <w:sz w:val="20"/>
                <w:szCs w:val="20"/>
                <w:color w:val="auto"/>
              </w:rPr>
            </w:pPr>
            <w:r>
              <w:rPr>
                <w:rFonts w:ascii="Arial" w:cs="Arial" w:eastAsia="Arial" w:hAnsi="Arial"/>
                <w:sz w:val="16"/>
                <w:szCs w:val="16"/>
                <w:color w:val="auto"/>
              </w:rPr>
              <w:t>due 4/2024)</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Neiman Marcus Group</w:t>
            </w:r>
          </w:p>
        </w:tc>
        <w:tc>
          <w:tcPr>
            <w:tcW w:w="288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9"/>
              </w:rPr>
              <w:t>ABL DIP term loan ($11,541 par, due</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5/11/2020</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+ 12.75%</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14.00%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11,151</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11,483</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Ltd., LLC </w:t>
            </w:r>
            <w:r>
              <w:rPr>
                <w:rFonts w:ascii="Arial" w:cs="Arial" w:eastAsia="Arial" w:hAnsi="Arial"/>
                <w:sz w:val="25"/>
                <w:szCs w:val="25"/>
                <w:color w:val="auto"/>
                <w:vertAlign w:val="superscript"/>
              </w:rPr>
              <w:t>(3)</w:t>
            </w:r>
          </w:p>
        </w:tc>
        <w:tc>
          <w:tcPr>
            <w:tcW w:w="2880" w:type="dxa"/>
            <w:vAlign w:val="bottom"/>
            <w:shd w:val="clear" w:color="auto" w:fill="CFF0FC"/>
          </w:tcPr>
          <w:p>
            <w:pPr>
              <w:ind w:left="240"/>
              <w:spacing w:after="0" w:line="216" w:lineRule="exact"/>
              <w:rPr>
                <w:sz w:val="20"/>
                <w:szCs w:val="20"/>
                <w:color w:val="auto"/>
              </w:rPr>
            </w:pPr>
            <w:r>
              <w:rPr>
                <w:rFonts w:ascii="Arial" w:cs="Arial" w:eastAsia="Arial" w:hAnsi="Arial"/>
                <w:sz w:val="15"/>
                <w:szCs w:val="15"/>
                <w:color w:val="auto"/>
              </w:rPr>
              <w:t xml:space="preserve">10/2020) </w:t>
            </w:r>
            <w:r>
              <w:rPr>
                <w:rFonts w:ascii="Arial" w:cs="Arial" w:eastAsia="Arial" w:hAnsi="Arial"/>
                <w:sz w:val="25"/>
                <w:szCs w:val="25"/>
                <w:color w:val="auto"/>
                <w:vertAlign w:val="superscript"/>
              </w:rPr>
              <w:t>(11)</w:t>
            </w: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2880" w:type="dxa"/>
            <w:vAlign w:val="bottom"/>
          </w:tcPr>
          <w:p>
            <w:pPr>
              <w:ind w:left="240"/>
              <w:spacing w:after="0"/>
              <w:rPr>
                <w:sz w:val="20"/>
                <w:szCs w:val="20"/>
                <w:color w:val="auto"/>
              </w:rPr>
            </w:pPr>
            <w:r>
              <w:rPr>
                <w:rFonts w:ascii="Arial" w:cs="Arial" w:eastAsia="Arial" w:hAnsi="Arial"/>
                <w:sz w:val="16"/>
                <w:szCs w:val="16"/>
                <w:color w:val="auto"/>
              </w:rPr>
              <w:t>ABL FILO term loan ($72,000 par,</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9/11/2019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+ 6.00%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780" w:type="dxa"/>
            <w:vAlign w:val="bottom"/>
          </w:tcPr>
          <w:p>
            <w:pPr>
              <w:jc w:val="right"/>
              <w:spacing w:after="0"/>
              <w:rPr>
                <w:sz w:val="20"/>
                <w:szCs w:val="20"/>
                <w:color w:val="auto"/>
              </w:rPr>
            </w:pPr>
            <w:r>
              <w:rPr>
                <w:rFonts w:ascii="Arial" w:cs="Arial" w:eastAsia="Arial" w:hAnsi="Arial"/>
                <w:sz w:val="16"/>
                <w:szCs w:val="16"/>
                <w:color w:val="auto"/>
              </w:rPr>
              <w:t>71,367</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71,100</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2880" w:type="dxa"/>
            <w:vAlign w:val="bottom"/>
          </w:tcPr>
          <w:p>
            <w:pPr>
              <w:ind w:left="240"/>
              <w:spacing w:after="0"/>
              <w:rPr>
                <w:sz w:val="20"/>
                <w:szCs w:val="20"/>
                <w:color w:val="auto"/>
              </w:rPr>
            </w:pPr>
            <w:r>
              <w:rPr>
                <w:rFonts w:ascii="Arial" w:cs="Arial" w:eastAsia="Arial" w:hAnsi="Arial"/>
                <w:sz w:val="16"/>
                <w:szCs w:val="16"/>
                <w:color w:val="auto"/>
              </w:rPr>
              <w:t>due 7/2021)</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20" w:type="dxa"/>
            <w:vAlign w:val="bottom"/>
            <w:shd w:val="clear" w:color="auto" w:fill="CFF0FC"/>
          </w:tcPr>
          <w:p>
            <w:pPr>
              <w:spacing w:after="0"/>
              <w:rPr>
                <w:sz w:val="17"/>
                <w:szCs w:val="17"/>
                <w:color w:val="auto"/>
              </w:rPr>
            </w:pPr>
          </w:p>
        </w:tc>
        <w:tc>
          <w:tcPr>
            <w:tcW w:w="288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6"/>
              </w:rPr>
              <w:t>First-lien loan ($991 par, due 10/2023)</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9/12/2019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P + 5.00%</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796</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75"/>
        </w:trPr>
        <w:tc>
          <w:tcPr>
            <w:tcW w:w="2420" w:type="dxa"/>
            <w:vAlign w:val="bottom"/>
            <w:shd w:val="clear" w:color="auto" w:fill="CFF0FC"/>
          </w:tcPr>
          <w:p>
            <w:pPr>
              <w:spacing w:after="0"/>
              <w:rPr>
                <w:sz w:val="15"/>
                <w:szCs w:val="15"/>
                <w:color w:val="auto"/>
              </w:rPr>
            </w:pPr>
          </w:p>
        </w:tc>
        <w:tc>
          <w:tcPr>
            <w:tcW w:w="28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(11)(16)</w:t>
            </w:r>
          </w:p>
        </w:tc>
        <w:tc>
          <w:tcPr>
            <w:tcW w:w="9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4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230,470</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224,231</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0"/>
        </w:trPr>
        <w:tc>
          <w:tcPr>
            <w:tcW w:w="24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Total Debt Investments</w:t>
            </w:r>
          </w:p>
        </w:tc>
        <w:tc>
          <w:tcPr>
            <w:tcW w:w="28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vMerge w:val="continue"/>
            <w:shd w:val="clear" w:color="auto" w:fill="CFF0FC"/>
          </w:tcPr>
          <w:p>
            <w:pPr>
              <w:spacing w:after="0"/>
              <w:rPr>
                <w:sz w:val="18"/>
                <w:szCs w:val="18"/>
                <w:color w:val="auto"/>
              </w:rPr>
            </w:pPr>
          </w:p>
        </w:tc>
        <w:tc>
          <w:tcPr>
            <w:tcW w:w="2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1,925,012</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1,913,983</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176.8%</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Equity and Other Investments</w:t>
            </w:r>
          </w:p>
        </w:tc>
        <w:tc>
          <w:tcPr>
            <w:tcW w:w="2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tcPr>
          <w:p>
            <w:pPr>
              <w:spacing w:after="0"/>
              <w:rPr>
                <w:sz w:val="20"/>
                <w:szCs w:val="20"/>
                <w:color w:val="auto"/>
              </w:rPr>
            </w:pPr>
            <w:r>
              <w:rPr>
                <w:rFonts w:ascii="Arial" w:cs="Arial" w:eastAsia="Arial" w:hAnsi="Arial"/>
                <w:sz w:val="16"/>
                <w:szCs w:val="16"/>
                <w:b w:val="1"/>
                <w:bCs w:val="1"/>
                <w:color w:val="auto"/>
              </w:rPr>
              <w:t>Beverage, food and tobacco</w:t>
            </w:r>
          </w:p>
        </w:tc>
        <w:tc>
          <w:tcPr>
            <w:tcW w:w="2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AFS Technologies, Inc. </w:t>
            </w:r>
            <w:r>
              <w:rPr>
                <w:rFonts w:ascii="Arial" w:cs="Arial" w:eastAsia="Arial" w:hAnsi="Arial"/>
                <w:sz w:val="25"/>
                <w:szCs w:val="25"/>
                <w:color w:val="auto"/>
                <w:vertAlign w:val="superscript"/>
              </w:rPr>
              <w:t>(6)(13)</w:t>
            </w:r>
          </w:p>
        </w:tc>
        <w:tc>
          <w:tcPr>
            <w:tcW w:w="28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Preferred Units (4,441,090 units)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10/16/2018</w:t>
            </w:r>
          </w:p>
        </w:tc>
        <w:tc>
          <w:tcPr>
            <w:tcW w:w="1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4,441</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7,339</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20"/>
                <w:szCs w:val="20"/>
                <w:color w:val="auto"/>
              </w:rPr>
            </w:pPr>
            <w:r>
              <w:rPr>
                <w:rFonts w:ascii="Arial" w:cs="Arial" w:eastAsia="Arial" w:hAnsi="Arial"/>
                <w:sz w:val="16"/>
                <w:szCs w:val="16"/>
                <w:b w:val="1"/>
                <w:bCs w:val="1"/>
                <w:color w:val="auto"/>
              </w:rPr>
              <w:t>Business Services</w:t>
            </w:r>
          </w:p>
        </w:tc>
        <w:tc>
          <w:tcPr>
            <w:tcW w:w="2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Motus, LLC </w:t>
            </w:r>
            <w:r>
              <w:rPr>
                <w:rFonts w:ascii="Arial" w:cs="Arial" w:eastAsia="Arial" w:hAnsi="Arial"/>
                <w:sz w:val="25"/>
                <w:szCs w:val="25"/>
                <w:color w:val="auto"/>
                <w:vertAlign w:val="superscript"/>
              </w:rPr>
              <w:t>(13)</w:t>
            </w:r>
          </w:p>
        </w:tc>
        <w:tc>
          <w:tcPr>
            <w:tcW w:w="28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Class A Units (1,262 units)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1/17/2018</w:t>
            </w:r>
          </w:p>
        </w:tc>
        <w:tc>
          <w:tcPr>
            <w:tcW w:w="1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1,262</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3,315</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2880" w:type="dxa"/>
            <w:vAlign w:val="bottom"/>
          </w:tcPr>
          <w:p>
            <w:pPr>
              <w:ind w:left="240"/>
              <w:spacing w:after="0"/>
              <w:rPr>
                <w:sz w:val="20"/>
                <w:szCs w:val="20"/>
                <w:color w:val="auto"/>
              </w:rPr>
            </w:pPr>
            <w:r>
              <w:rPr>
                <w:rFonts w:ascii="Arial" w:cs="Arial" w:eastAsia="Arial" w:hAnsi="Arial"/>
                <w:sz w:val="16"/>
                <w:szCs w:val="16"/>
                <w:color w:val="auto"/>
              </w:rPr>
              <w:t>Class B Units (517,020 units)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1/17/2018</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9"/>
        </w:trPr>
        <w:tc>
          <w:tcPr>
            <w:tcW w:w="24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Nintex Global, Ltd. </w:t>
            </w:r>
            <w:r>
              <w:rPr>
                <w:rFonts w:ascii="Arial" w:cs="Arial" w:eastAsia="Arial" w:hAnsi="Arial"/>
                <w:sz w:val="25"/>
                <w:szCs w:val="25"/>
                <w:color w:val="auto"/>
                <w:vertAlign w:val="superscript"/>
              </w:rPr>
              <w:t>(13)</w:t>
            </w:r>
          </w:p>
        </w:tc>
        <w:tc>
          <w:tcPr>
            <w:tcW w:w="28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Class A Shares (1,197 shares)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3/30/2018</w:t>
            </w:r>
          </w:p>
        </w:tc>
        <w:tc>
          <w:tcPr>
            <w:tcW w:w="1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2,195</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2880" w:type="dxa"/>
            <w:vAlign w:val="bottom"/>
          </w:tcPr>
          <w:p>
            <w:pPr>
              <w:ind w:left="240"/>
              <w:spacing w:after="0"/>
              <w:rPr>
                <w:sz w:val="20"/>
                <w:szCs w:val="20"/>
                <w:color w:val="auto"/>
              </w:rPr>
            </w:pPr>
            <w:r>
              <w:rPr>
                <w:rFonts w:ascii="Arial" w:cs="Arial" w:eastAsia="Arial" w:hAnsi="Arial"/>
                <w:sz w:val="16"/>
                <w:szCs w:val="16"/>
                <w:color w:val="auto"/>
              </w:rPr>
              <w:t>Class B Shares (398,557 shares)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3/30/2018</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6"/>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ServiceChannel Holdings,</w:t>
            </w:r>
          </w:p>
        </w:tc>
        <w:tc>
          <w:tcPr>
            <w:tcW w:w="28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207,991 Warrants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6/3/2020</w:t>
            </w:r>
          </w:p>
        </w:tc>
        <w:tc>
          <w:tcPr>
            <w:tcW w:w="1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(13)(14)</w:t>
            </w:r>
          </w:p>
        </w:tc>
        <w:tc>
          <w:tcPr>
            <w:tcW w:w="2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2,806</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5,845</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Chemicals</w:t>
            </w:r>
          </w:p>
        </w:tc>
        <w:tc>
          <w:tcPr>
            <w:tcW w:w="28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line="216" w:lineRule="exact"/>
              <w:rPr>
                <w:sz w:val="20"/>
                <w:szCs w:val="20"/>
                <w:color w:val="auto"/>
              </w:rPr>
            </w:pPr>
            <w:r>
              <w:rPr>
                <w:rFonts w:ascii="Arial" w:cs="Arial" w:eastAsia="Arial" w:hAnsi="Arial"/>
                <w:sz w:val="15"/>
                <w:szCs w:val="15"/>
                <w:color w:val="auto"/>
              </w:rPr>
              <w:t xml:space="preserve">Vertellus Specialties, Inc. </w:t>
            </w:r>
            <w:r>
              <w:rPr>
                <w:rFonts w:ascii="Arial" w:cs="Arial" w:eastAsia="Arial" w:hAnsi="Arial"/>
                <w:sz w:val="25"/>
                <w:szCs w:val="25"/>
                <w:color w:val="auto"/>
                <w:vertAlign w:val="superscript"/>
              </w:rPr>
              <w:t>(13)(14)</w:t>
            </w:r>
          </w:p>
        </w:tc>
        <w:tc>
          <w:tcPr>
            <w:tcW w:w="2880" w:type="dxa"/>
            <w:vAlign w:val="bottom"/>
          </w:tcPr>
          <w:p>
            <w:pPr>
              <w:ind w:left="240"/>
              <w:spacing w:after="0"/>
              <w:rPr>
                <w:sz w:val="20"/>
                <w:szCs w:val="20"/>
                <w:color w:val="auto"/>
              </w:rPr>
            </w:pPr>
            <w:r>
              <w:rPr>
                <w:rFonts w:ascii="Arial" w:cs="Arial" w:eastAsia="Arial" w:hAnsi="Arial"/>
                <w:sz w:val="16"/>
                <w:szCs w:val="16"/>
                <w:color w:val="auto"/>
              </w:rPr>
              <w:t>Common Units (3,386,630 units)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10/31/2016</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4,575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4,300</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Communications</w:t>
            </w:r>
          </w:p>
        </w:tc>
        <w:tc>
          <w:tcPr>
            <w:tcW w:w="2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line="216" w:lineRule="exact"/>
              <w:rPr>
                <w:sz w:val="20"/>
                <w:szCs w:val="20"/>
                <w:color w:val="auto"/>
              </w:rPr>
            </w:pPr>
            <w:r>
              <w:rPr>
                <w:rFonts w:ascii="Arial" w:cs="Arial" w:eastAsia="Arial" w:hAnsi="Arial"/>
                <w:sz w:val="15"/>
                <w:szCs w:val="15"/>
                <w:color w:val="auto"/>
              </w:rPr>
              <w:t xml:space="preserve">IntelePeer Holdings, Inc. </w:t>
            </w:r>
            <w:r>
              <w:rPr>
                <w:rFonts w:ascii="Arial" w:cs="Arial" w:eastAsia="Arial" w:hAnsi="Arial"/>
                <w:sz w:val="25"/>
                <w:szCs w:val="25"/>
                <w:color w:val="auto"/>
                <w:vertAlign w:val="superscript"/>
              </w:rPr>
              <w:t>(13)(14)</w:t>
            </w:r>
          </w:p>
        </w:tc>
        <w:tc>
          <w:tcPr>
            <w:tcW w:w="2880" w:type="dxa"/>
            <w:vAlign w:val="bottom"/>
          </w:tcPr>
          <w:p>
            <w:pPr>
              <w:ind w:left="240"/>
              <w:spacing w:after="0"/>
              <w:rPr>
                <w:sz w:val="20"/>
                <w:szCs w:val="20"/>
                <w:color w:val="auto"/>
              </w:rPr>
            </w:pPr>
            <w:r>
              <w:rPr>
                <w:rFonts w:ascii="Arial" w:cs="Arial" w:eastAsia="Arial" w:hAnsi="Arial"/>
                <w:sz w:val="16"/>
                <w:szCs w:val="16"/>
                <w:color w:val="auto"/>
              </w:rPr>
              <w:t>280,000 Warrants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2/28/2020</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Financial services</w:t>
            </w:r>
          </w:p>
        </w:tc>
        <w:tc>
          <w:tcPr>
            <w:tcW w:w="2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line="216" w:lineRule="exact"/>
              <w:rPr>
                <w:sz w:val="20"/>
                <w:szCs w:val="20"/>
                <w:color w:val="auto"/>
              </w:rPr>
            </w:pPr>
            <w:r>
              <w:rPr>
                <w:rFonts w:ascii="Arial" w:cs="Arial" w:eastAsia="Arial" w:hAnsi="Arial"/>
                <w:sz w:val="15"/>
                <w:szCs w:val="15"/>
                <w:color w:val="auto"/>
              </w:rPr>
              <w:t xml:space="preserve">AvidXchange, Inc. </w:t>
            </w:r>
            <w:r>
              <w:rPr>
                <w:rFonts w:ascii="Arial" w:cs="Arial" w:eastAsia="Arial" w:hAnsi="Arial"/>
                <w:sz w:val="25"/>
                <w:szCs w:val="25"/>
                <w:color w:val="auto"/>
                <w:vertAlign w:val="superscript"/>
              </w:rPr>
              <w:t>(14)</w:t>
            </w:r>
          </w:p>
        </w:tc>
        <w:tc>
          <w:tcPr>
            <w:tcW w:w="2880" w:type="dxa"/>
            <w:vAlign w:val="bottom"/>
          </w:tcPr>
          <w:p>
            <w:pPr>
              <w:ind w:left="240"/>
              <w:spacing w:after="0" w:line="216" w:lineRule="exact"/>
              <w:rPr>
                <w:sz w:val="20"/>
                <w:szCs w:val="20"/>
                <w:color w:val="auto"/>
              </w:rPr>
            </w:pPr>
            <w:r>
              <w:rPr>
                <w:rFonts w:ascii="Arial" w:cs="Arial" w:eastAsia="Arial" w:hAnsi="Arial"/>
                <w:sz w:val="15"/>
                <w:szCs w:val="15"/>
                <w:color w:val="auto"/>
              </w:rPr>
              <w:t>Common Shares (2,198 shares)</w:t>
            </w:r>
            <w:r>
              <w:rPr>
                <w:rFonts w:ascii="Arial" w:cs="Arial" w:eastAsia="Arial" w:hAnsi="Arial"/>
                <w:sz w:val="25"/>
                <w:szCs w:val="25"/>
                <w:color w:val="auto"/>
                <w:vertAlign w:val="superscript"/>
              </w:rPr>
              <w:t>(13)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4/7/2020</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spacing w:after="0"/>
              <w:rPr>
                <w:sz w:val="18"/>
                <w:szCs w:val="18"/>
                <w:color w:val="auto"/>
              </w:rPr>
            </w:pPr>
          </w:p>
        </w:tc>
        <w:tc>
          <w:tcPr>
            <w:tcW w:w="28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Preferred Shares (293,232 shares)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10/1/2019</w:t>
            </w: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14,823</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14,120</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2880" w:type="dxa"/>
            <w:vAlign w:val="bottom"/>
          </w:tcPr>
          <w:p>
            <w:pPr>
              <w:ind w:left="240"/>
              <w:spacing w:after="0"/>
              <w:rPr>
                <w:sz w:val="20"/>
                <w:szCs w:val="20"/>
                <w:color w:val="auto"/>
              </w:rPr>
            </w:pPr>
            <w:r>
              <w:rPr>
                <w:rFonts w:ascii="Arial" w:cs="Arial" w:eastAsia="Arial" w:hAnsi="Arial"/>
                <w:sz w:val="16"/>
                <w:szCs w:val="16"/>
                <w:color w:val="auto"/>
              </w:rPr>
              <w:t>Series F Preferred Shares (8,791</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4/7/2020</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431</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431</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880" w:type="dxa"/>
            <w:vAlign w:val="bottom"/>
          </w:tcPr>
          <w:p>
            <w:pPr>
              <w:ind w:left="240"/>
              <w:spacing w:after="0" w:line="216" w:lineRule="exact"/>
              <w:rPr>
                <w:sz w:val="20"/>
                <w:szCs w:val="20"/>
                <w:color w:val="auto"/>
              </w:rPr>
            </w:pPr>
            <w:r>
              <w:rPr>
                <w:rFonts w:ascii="Arial" w:cs="Arial" w:eastAsia="Arial" w:hAnsi="Arial"/>
                <w:sz w:val="15"/>
                <w:szCs w:val="15"/>
                <w:color w:val="auto"/>
              </w:rPr>
              <w:t>shares)</w:t>
            </w:r>
            <w:r>
              <w:rPr>
                <w:rFonts w:ascii="Arial" w:cs="Arial" w:eastAsia="Arial" w:hAnsi="Arial"/>
                <w:sz w:val="25"/>
                <w:szCs w:val="25"/>
                <w:color w:val="auto"/>
                <w:vertAlign w:val="superscript"/>
              </w:rPr>
              <w:t>(13)</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spacing w:after="0"/>
              <w:rPr>
                <w:sz w:val="18"/>
                <w:szCs w:val="18"/>
                <w:color w:val="auto"/>
              </w:rPr>
            </w:pPr>
          </w:p>
        </w:tc>
        <w:tc>
          <w:tcPr>
            <w:tcW w:w="2880" w:type="dxa"/>
            <w:vAlign w:val="bottom"/>
            <w:shd w:val="clear" w:color="auto" w:fill="CFF0FC"/>
          </w:tcPr>
          <w:p>
            <w:pPr>
              <w:ind w:left="240"/>
              <w:spacing w:after="0" w:line="216" w:lineRule="exact"/>
              <w:rPr>
                <w:sz w:val="20"/>
                <w:szCs w:val="20"/>
                <w:color w:val="auto"/>
              </w:rPr>
            </w:pPr>
            <w:r>
              <w:rPr>
                <w:rFonts w:ascii="Arial" w:cs="Arial" w:eastAsia="Arial" w:hAnsi="Arial"/>
                <w:sz w:val="15"/>
                <w:szCs w:val="15"/>
                <w:color w:val="auto"/>
              </w:rPr>
              <w:t xml:space="preserve">75,570 Warrants </w:t>
            </w:r>
            <w:r>
              <w:rPr>
                <w:rFonts w:ascii="Arial" w:cs="Arial" w:eastAsia="Arial" w:hAnsi="Arial"/>
                <w:sz w:val="25"/>
                <w:szCs w:val="25"/>
                <w:color w:val="auto"/>
                <w:vertAlign w:val="superscript"/>
              </w:rPr>
              <w:t>(13)</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10/1/2019</w:t>
            </w: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Oxford Square Capital</w:t>
            </w:r>
          </w:p>
        </w:tc>
        <w:tc>
          <w:tcPr>
            <w:tcW w:w="2880" w:type="dxa"/>
            <w:vAlign w:val="bottom"/>
          </w:tcPr>
          <w:p>
            <w:pPr>
              <w:ind w:left="240"/>
              <w:spacing w:after="0"/>
              <w:rPr>
                <w:sz w:val="20"/>
                <w:szCs w:val="20"/>
                <w:color w:val="auto"/>
              </w:rPr>
            </w:pPr>
            <w:r>
              <w:rPr>
                <w:rFonts w:ascii="Arial" w:cs="Arial" w:eastAsia="Arial" w:hAnsi="Arial"/>
                <w:sz w:val="16"/>
                <w:szCs w:val="16"/>
                <w:color w:val="auto"/>
              </w:rPr>
              <w:t>Common Shares (1,059 shares)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8/5/2015</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420" w:type="dxa"/>
            <w:vAlign w:val="bottom"/>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(4)(12)</w:t>
            </w:r>
          </w:p>
        </w:tc>
        <w:tc>
          <w:tcPr>
            <w:tcW w:w="2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Swift Gift, Ltd. </w:t>
            </w:r>
            <w:r>
              <w:rPr>
                <w:rFonts w:ascii="Arial" w:cs="Arial" w:eastAsia="Arial" w:hAnsi="Arial"/>
                <w:sz w:val="25"/>
                <w:szCs w:val="25"/>
                <w:color w:val="auto"/>
                <w:vertAlign w:val="superscript"/>
              </w:rPr>
              <w:t>(13)</w:t>
            </w:r>
          </w:p>
        </w:tc>
        <w:tc>
          <w:tcPr>
            <w:tcW w:w="28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Common Shares (35,000 shares)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7/31/2017</w:t>
            </w:r>
          </w:p>
        </w:tc>
        <w:tc>
          <w:tcPr>
            <w:tcW w:w="1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10,281</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4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19,344</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25,418</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2"/>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Healthcare</w:t>
            </w:r>
          </w:p>
        </w:tc>
        <w:tc>
          <w:tcPr>
            <w:tcW w:w="28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line="216" w:lineRule="exact"/>
              <w:rPr>
                <w:sz w:val="20"/>
                <w:szCs w:val="20"/>
                <w:color w:val="auto"/>
              </w:rPr>
            </w:pPr>
            <w:r>
              <w:rPr>
                <w:rFonts w:ascii="Arial" w:cs="Arial" w:eastAsia="Arial" w:hAnsi="Arial"/>
                <w:sz w:val="15"/>
                <w:szCs w:val="15"/>
                <w:color w:val="auto"/>
              </w:rPr>
              <w:t xml:space="preserve">Caris Life Sciences, Ltd. </w:t>
            </w:r>
            <w:r>
              <w:rPr>
                <w:rFonts w:ascii="Arial" w:cs="Arial" w:eastAsia="Arial" w:hAnsi="Arial"/>
                <w:sz w:val="25"/>
                <w:szCs w:val="25"/>
                <w:color w:val="auto"/>
                <w:vertAlign w:val="superscript"/>
              </w:rPr>
              <w:t>(13)</w:t>
            </w:r>
          </w:p>
        </w:tc>
        <w:tc>
          <w:tcPr>
            <w:tcW w:w="2880" w:type="dxa"/>
            <w:vAlign w:val="bottom"/>
          </w:tcPr>
          <w:p>
            <w:pPr>
              <w:ind w:left="240"/>
              <w:spacing w:after="0"/>
              <w:rPr>
                <w:sz w:val="20"/>
                <w:szCs w:val="20"/>
                <w:color w:val="auto"/>
              </w:rPr>
            </w:pPr>
            <w:r>
              <w:rPr>
                <w:rFonts w:ascii="Arial" w:cs="Arial" w:eastAsia="Arial" w:hAnsi="Arial"/>
                <w:sz w:val="16"/>
                <w:szCs w:val="16"/>
                <w:color w:val="auto"/>
              </w:rPr>
              <w:t>633,376 Warrants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9/21/2018</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607</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spacing w:after="0"/>
              <w:rPr>
                <w:sz w:val="18"/>
                <w:szCs w:val="18"/>
                <w:color w:val="auto"/>
              </w:rPr>
            </w:pPr>
          </w:p>
        </w:tc>
        <w:tc>
          <w:tcPr>
            <w:tcW w:w="2880" w:type="dxa"/>
            <w:vAlign w:val="bottom"/>
            <w:shd w:val="clear" w:color="auto" w:fill="CFF0FC"/>
          </w:tcPr>
          <w:p>
            <w:pPr>
              <w:ind w:left="240"/>
              <w:spacing w:after="0" w:line="216" w:lineRule="exact"/>
              <w:rPr>
                <w:sz w:val="20"/>
                <w:szCs w:val="20"/>
                <w:color w:val="auto"/>
              </w:rPr>
            </w:pPr>
            <w:r>
              <w:rPr>
                <w:rFonts w:ascii="Arial" w:cs="Arial" w:eastAsia="Arial" w:hAnsi="Arial"/>
                <w:sz w:val="15"/>
                <w:szCs w:val="15"/>
                <w:color w:val="auto"/>
              </w:rPr>
              <w:t xml:space="preserve">569,991 Warrants </w:t>
            </w:r>
            <w:r>
              <w:rPr>
                <w:rFonts w:ascii="Arial" w:cs="Arial" w:eastAsia="Arial" w:hAnsi="Arial"/>
                <w:sz w:val="25"/>
                <w:szCs w:val="25"/>
                <w:color w:val="auto"/>
                <w:vertAlign w:val="superscript"/>
              </w:rPr>
              <w:t>(14)</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4/2/2020</w:t>
            </w: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581</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2420" w:type="dxa"/>
            <w:vAlign w:val="bottom"/>
          </w:tcPr>
          <w:p>
            <w:pPr>
              <w:spacing w:after="0" w:line="216" w:lineRule="exact"/>
              <w:rPr>
                <w:sz w:val="20"/>
                <w:szCs w:val="20"/>
                <w:color w:val="auto"/>
              </w:rPr>
            </w:pPr>
            <w:r>
              <w:rPr>
                <w:rFonts w:ascii="Arial" w:cs="Arial" w:eastAsia="Arial" w:hAnsi="Arial"/>
                <w:sz w:val="15"/>
                <w:szCs w:val="15"/>
                <w:color w:val="auto"/>
              </w:rPr>
              <w:t xml:space="preserve">Quantros, Inc. </w:t>
            </w:r>
            <w:r>
              <w:rPr>
                <w:rFonts w:ascii="Arial" w:cs="Arial" w:eastAsia="Arial" w:hAnsi="Arial"/>
                <w:sz w:val="25"/>
                <w:szCs w:val="25"/>
                <w:color w:val="auto"/>
                <w:vertAlign w:val="superscript"/>
              </w:rPr>
              <w:t>(13)(14)</w:t>
            </w:r>
          </w:p>
        </w:tc>
        <w:tc>
          <w:tcPr>
            <w:tcW w:w="2880" w:type="dxa"/>
            <w:vAlign w:val="bottom"/>
          </w:tcPr>
          <w:p>
            <w:pPr>
              <w:ind w:left="240"/>
              <w:spacing w:after="0"/>
              <w:rPr>
                <w:sz w:val="20"/>
                <w:szCs w:val="20"/>
                <w:color w:val="auto"/>
              </w:rPr>
            </w:pPr>
            <w:r>
              <w:rPr>
                <w:rFonts w:ascii="Arial" w:cs="Arial" w:eastAsia="Arial" w:hAnsi="Arial"/>
                <w:sz w:val="16"/>
                <w:szCs w:val="16"/>
                <w:color w:val="auto"/>
              </w:rPr>
              <w:t>4,685,068 Warrants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10/7/2019</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3"/>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Valant Medical Solutions,</w:t>
            </w:r>
          </w:p>
        </w:tc>
        <w:tc>
          <w:tcPr>
            <w:tcW w:w="28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954,478 Warrants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4/8/2019</w:t>
            </w:r>
          </w:p>
        </w:tc>
        <w:tc>
          <w:tcPr>
            <w:tcW w:w="1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(13)(15)</w:t>
            </w:r>
          </w:p>
        </w:tc>
        <w:tc>
          <w:tcPr>
            <w:tcW w:w="2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line="216" w:lineRule="exact"/>
              <w:rPr>
                <w:sz w:val="20"/>
                <w:szCs w:val="20"/>
                <w:color w:val="auto"/>
              </w:rPr>
            </w:pPr>
            <w:r>
              <w:rPr>
                <w:rFonts w:ascii="Arial" w:cs="Arial" w:eastAsia="Arial" w:hAnsi="Arial"/>
                <w:sz w:val="15"/>
                <w:szCs w:val="15"/>
                <w:color w:val="auto"/>
              </w:rPr>
              <w:t xml:space="preserve">Vita Topco, Inc. </w:t>
            </w:r>
            <w:r>
              <w:rPr>
                <w:rFonts w:ascii="Arial" w:cs="Arial" w:eastAsia="Arial" w:hAnsi="Arial"/>
                <w:sz w:val="25"/>
                <w:szCs w:val="25"/>
                <w:color w:val="auto"/>
                <w:vertAlign w:val="superscript"/>
              </w:rPr>
              <w:t>(13)(15)</w:t>
            </w:r>
          </w:p>
        </w:tc>
        <w:tc>
          <w:tcPr>
            <w:tcW w:w="2880" w:type="dxa"/>
            <w:vAlign w:val="bottom"/>
          </w:tcPr>
          <w:p>
            <w:pPr>
              <w:ind w:left="240"/>
              <w:spacing w:after="0"/>
              <w:rPr>
                <w:sz w:val="20"/>
                <w:szCs w:val="20"/>
                <w:color w:val="auto"/>
              </w:rPr>
            </w:pPr>
            <w:r>
              <w:rPr>
                <w:rFonts w:ascii="Arial" w:cs="Arial" w:eastAsia="Arial" w:hAnsi="Arial"/>
                <w:sz w:val="16"/>
                <w:szCs w:val="16"/>
                <w:color w:val="auto"/>
              </w:rPr>
              <w:t>Common Shares (1,000 shares)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2/11/2019</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3,733</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28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shd w:val="clear" w:color="auto" w:fill="CFF0FC"/>
          </w:tcPr>
          <w:p>
            <w:pPr>
              <w:spacing w:after="0"/>
              <w:rPr>
                <w:sz w:val="18"/>
                <w:szCs w:val="18"/>
                <w:color w:val="auto"/>
              </w:rPr>
            </w:pPr>
          </w:p>
        </w:tc>
        <w:tc>
          <w:tcPr>
            <w:tcW w:w="2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1,862</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5,256</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b w:val="1"/>
                <w:bCs w:val="1"/>
                <w:color w:val="auto"/>
              </w:rPr>
              <w:t>Hotel, gaming, and leisure</w:t>
            </w:r>
          </w:p>
        </w:tc>
        <w:tc>
          <w:tcPr>
            <w:tcW w:w="2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310"/>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IRGSE Holding Corp. </w:t>
            </w:r>
            <w:r>
              <w:rPr>
                <w:rFonts w:ascii="Arial" w:cs="Arial" w:eastAsia="Arial" w:hAnsi="Arial"/>
                <w:sz w:val="27"/>
                <w:szCs w:val="27"/>
                <w:color w:val="auto"/>
                <w:vertAlign w:val="superscript"/>
              </w:rPr>
              <w:t>(7)(13)</w:t>
            </w: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7"/>
              </w:rPr>
              <w:t xml:space="preserve">Class A Units (33,290,171 units) </w:t>
            </w:r>
            <w:r>
              <w:rPr>
                <w:rFonts w:ascii="Arial" w:cs="Arial" w:eastAsia="Arial" w:hAnsi="Arial"/>
                <w:sz w:val="27"/>
                <w:szCs w:val="27"/>
                <w:color w:val="auto"/>
                <w:w w:val="97"/>
                <w:vertAlign w:val="superscript"/>
              </w:rPr>
              <w:t>(14)</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12/21/2018</w:t>
            </w:r>
          </w:p>
        </w:tc>
        <w:tc>
          <w:tcPr>
            <w:tcW w:w="1160" w:type="dxa"/>
            <w:vAlign w:val="bottom"/>
            <w:shd w:val="clear" w:color="auto" w:fill="CFF0FC"/>
          </w:tcPr>
          <w:p>
            <w:pPr>
              <w:spacing w:after="0"/>
              <w:rPr>
                <w:sz w:val="24"/>
                <w:szCs w:val="24"/>
                <w:color w:val="auto"/>
              </w:rPr>
            </w:pPr>
          </w:p>
        </w:tc>
        <w:tc>
          <w:tcPr>
            <w:tcW w:w="840" w:type="dxa"/>
            <w:vAlign w:val="bottom"/>
            <w:tcBorders>
              <w:right w:val="single" w:sz="8" w:color="CFF0FC"/>
            </w:tcBorders>
            <w:shd w:val="clear" w:color="auto" w:fill="CFF0FC"/>
          </w:tcPr>
          <w:p>
            <w:pPr>
              <w:spacing w:after="0"/>
              <w:rPr>
                <w:sz w:val="24"/>
                <w:szCs w:val="2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21,840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200" w:type="dxa"/>
            <w:vAlign w:val="bottom"/>
            <w:shd w:val="clear" w:color="auto" w:fill="CFF0FC"/>
          </w:tcPr>
          <w:p>
            <w:pPr>
              <w:spacing w:after="0"/>
              <w:rPr>
                <w:sz w:val="24"/>
                <w:szCs w:val="24"/>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740" w:type="dxa"/>
            <w:vAlign w:val="bottom"/>
          </w:tcPr>
          <w:p>
            <w:pPr>
              <w:ind w:left="120"/>
              <w:spacing w:after="0"/>
              <w:rPr>
                <w:sz w:val="20"/>
                <w:szCs w:val="20"/>
                <w:color w:val="auto"/>
              </w:rPr>
            </w:pPr>
            <w:r>
              <w:rPr>
                <w:rFonts w:ascii="Arial" w:cs="Arial" w:eastAsia="Arial" w:hAnsi="Arial"/>
                <w:sz w:val="16"/>
                <w:szCs w:val="16"/>
                <w:color w:val="auto"/>
              </w:rPr>
              <w:t>Class C-1 Units (8,800,000 units)</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12/21/2018</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21,940</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6"/>
        </w:trPr>
        <w:tc>
          <w:tcPr>
            <w:tcW w:w="2540" w:type="dxa"/>
            <w:vAlign w:val="bottom"/>
          </w:tcPr>
          <w:p>
            <w:pPr>
              <w:spacing w:after="0"/>
              <w:rPr>
                <w:sz w:val="20"/>
                <w:szCs w:val="20"/>
                <w:color w:val="auto"/>
              </w:rPr>
            </w:pPr>
            <w:r>
              <w:rPr>
                <w:rFonts w:ascii="Arial" w:cs="Arial" w:eastAsia="Arial" w:hAnsi="Arial"/>
                <w:sz w:val="16"/>
                <w:szCs w:val="16"/>
                <w:b w:val="1"/>
                <w:bCs w:val="1"/>
                <w:color w:val="auto"/>
                <w:w w:val="97"/>
              </w:rPr>
              <w:t>Human resource support services</w:t>
            </w:r>
          </w:p>
        </w:tc>
        <w:tc>
          <w:tcPr>
            <w:tcW w:w="2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ClearCompany, LLC </w:t>
            </w:r>
            <w:r>
              <w:rPr>
                <w:rFonts w:ascii="Arial" w:cs="Arial" w:eastAsia="Arial" w:hAnsi="Arial"/>
                <w:sz w:val="25"/>
                <w:szCs w:val="25"/>
                <w:color w:val="auto"/>
                <w:vertAlign w:val="superscript"/>
              </w:rPr>
              <w:t>(13)(15)</w:t>
            </w: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Class A Units (44,944 units)</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8/24/2018</w:t>
            </w:r>
          </w:p>
        </w:tc>
        <w:tc>
          <w:tcPr>
            <w:tcW w:w="11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2,351</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Arial" w:cs="Arial" w:eastAsia="Arial" w:hAnsi="Arial"/>
                <w:sz w:val="15"/>
                <w:szCs w:val="15"/>
                <w:color w:val="auto"/>
                <w:w w:val="97"/>
              </w:rPr>
              <w:t xml:space="preserve">DaySmart Holdings, LLC </w:t>
            </w:r>
            <w:r>
              <w:rPr>
                <w:rFonts w:ascii="Arial" w:cs="Arial" w:eastAsia="Arial" w:hAnsi="Arial"/>
                <w:sz w:val="25"/>
                <w:szCs w:val="25"/>
                <w:color w:val="auto"/>
                <w:w w:val="97"/>
                <w:vertAlign w:val="superscript"/>
              </w:rPr>
              <w:t>(13)(14)(15)</w:t>
            </w:r>
          </w:p>
        </w:tc>
        <w:tc>
          <w:tcPr>
            <w:tcW w:w="2740" w:type="dxa"/>
            <w:vAlign w:val="bottom"/>
          </w:tcPr>
          <w:p>
            <w:pPr>
              <w:ind w:left="120"/>
              <w:spacing w:after="0"/>
              <w:rPr>
                <w:sz w:val="20"/>
                <w:szCs w:val="20"/>
                <w:color w:val="auto"/>
              </w:rPr>
            </w:pPr>
            <w:r>
              <w:rPr>
                <w:rFonts w:ascii="Arial" w:cs="Arial" w:eastAsia="Arial" w:hAnsi="Arial"/>
                <w:sz w:val="16"/>
                <w:szCs w:val="16"/>
                <w:color w:val="auto"/>
              </w:rPr>
              <w:t>Class A Units (125,810 units)</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10/1/2019</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785</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3,014</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3,136</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Arial" w:cs="Arial" w:eastAsia="Arial" w:hAnsi="Arial"/>
                <w:sz w:val="16"/>
                <w:szCs w:val="16"/>
                <w:b w:val="1"/>
                <w:bCs w:val="1"/>
                <w:color w:val="auto"/>
              </w:rPr>
              <w:t>Insurance</w:t>
            </w:r>
          </w:p>
        </w:tc>
        <w:tc>
          <w:tcPr>
            <w:tcW w:w="2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Riskonnect, Inc. </w:t>
            </w:r>
            <w:r>
              <w:rPr>
                <w:rFonts w:ascii="Arial" w:cs="Arial" w:eastAsia="Arial" w:hAnsi="Arial"/>
                <w:sz w:val="25"/>
                <w:szCs w:val="25"/>
                <w:color w:val="auto"/>
                <w:vertAlign w:val="superscript"/>
              </w:rPr>
              <w:t>(13)</w:t>
            </w: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5"/>
              </w:rPr>
              <w:t>Common Shares Class A (1,020 units)</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6/30/2017</w:t>
            </w:r>
          </w:p>
        </w:tc>
        <w:tc>
          <w:tcPr>
            <w:tcW w:w="11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1,241</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2540" w:type="dxa"/>
            <w:vAlign w:val="bottom"/>
          </w:tcPr>
          <w:p>
            <w:pPr>
              <w:spacing w:after="0"/>
              <w:rPr>
                <w:sz w:val="17"/>
                <w:szCs w:val="17"/>
                <w:color w:val="auto"/>
              </w:rPr>
            </w:pPr>
          </w:p>
        </w:tc>
        <w:tc>
          <w:tcPr>
            <w:tcW w:w="2740" w:type="dxa"/>
            <w:vAlign w:val="bottom"/>
          </w:tcPr>
          <w:p>
            <w:pPr>
              <w:ind w:left="120"/>
              <w:spacing w:after="0"/>
              <w:rPr>
                <w:sz w:val="20"/>
                <w:szCs w:val="20"/>
                <w:color w:val="auto"/>
              </w:rPr>
            </w:pPr>
            <w:r>
              <w:rPr>
                <w:rFonts w:ascii="Arial" w:cs="Arial" w:eastAsia="Arial" w:hAnsi="Arial"/>
                <w:sz w:val="16"/>
                <w:szCs w:val="16"/>
                <w:color w:val="auto"/>
              </w:rPr>
              <w:t>Common Shares Class B (987,929</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6/30/2017</w:t>
            </w: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9"/>
        </w:trPr>
        <w:tc>
          <w:tcPr>
            <w:tcW w:w="2540" w:type="dxa"/>
            <w:vAlign w:val="bottom"/>
            <w:tcBorders>
              <w:bottom w:val="single" w:sz="8" w:color="CFF0FC"/>
            </w:tcBorders>
          </w:tcPr>
          <w:p>
            <w:pPr>
              <w:spacing w:after="0"/>
              <w:rPr>
                <w:sz w:val="18"/>
                <w:szCs w:val="18"/>
                <w:color w:val="auto"/>
              </w:rPr>
            </w:pPr>
          </w:p>
        </w:tc>
        <w:tc>
          <w:tcPr>
            <w:tcW w:w="274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units)</w:t>
            </w:r>
          </w:p>
        </w:tc>
        <w:tc>
          <w:tcPr>
            <w:tcW w:w="104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1,254</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2540" w:type="dxa"/>
            <w:vAlign w:val="bottom"/>
          </w:tcPr>
          <w:p>
            <w:pPr>
              <w:spacing w:after="0"/>
              <w:rPr>
                <w:sz w:val="20"/>
                <w:szCs w:val="20"/>
                <w:color w:val="auto"/>
              </w:rPr>
            </w:pPr>
            <w:r>
              <w:rPr>
                <w:rFonts w:ascii="Arial" w:cs="Arial" w:eastAsia="Arial" w:hAnsi="Arial"/>
                <w:sz w:val="16"/>
                <w:szCs w:val="16"/>
                <w:b w:val="1"/>
                <w:bCs w:val="1"/>
                <w:color w:val="auto"/>
              </w:rPr>
              <w:t>Internet Services</w:t>
            </w:r>
          </w:p>
        </w:tc>
        <w:tc>
          <w:tcPr>
            <w:tcW w:w="2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Lucidworks, Inc. </w:t>
            </w:r>
            <w:r>
              <w:rPr>
                <w:rFonts w:ascii="Arial" w:cs="Arial" w:eastAsia="Arial" w:hAnsi="Arial"/>
                <w:sz w:val="24"/>
                <w:szCs w:val="24"/>
                <w:color w:val="auto"/>
                <w:vertAlign w:val="superscript"/>
              </w:rPr>
              <w:t>(13)(14)</w:t>
            </w: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Series F Preferred Shares (199,054</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8/2/2019</w:t>
            </w: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780</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shares)</w:t>
            </w: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b w:val="1"/>
                <w:bCs w:val="1"/>
                <w:color w:val="auto"/>
              </w:rPr>
              <w:t>Marketing services</w:t>
            </w: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Validity, Inc. </w:t>
            </w:r>
            <w:r>
              <w:rPr>
                <w:rFonts w:ascii="Arial" w:cs="Arial" w:eastAsia="Arial" w:hAnsi="Arial"/>
                <w:sz w:val="24"/>
                <w:szCs w:val="24"/>
                <w:color w:val="auto"/>
                <w:vertAlign w:val="superscript"/>
              </w:rPr>
              <w:t>(13)</w:t>
            </w: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7"/>
              </w:rPr>
              <w:t>Series A Preferred Shares (3,840,000</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5/31/2018</w:t>
            </w: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12,365</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shares)</w:t>
            </w: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b w:val="1"/>
                <w:bCs w:val="1"/>
                <w:color w:val="auto"/>
              </w:rPr>
              <w:t>Oil, gas and consumable fuels</w:t>
            </w: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Mississippi Resources,</w:t>
            </w: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7"/>
              </w:rPr>
              <w:t>Class A-0 Member Units (1,000 units)</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12/12/2019</w:t>
            </w:r>
          </w:p>
        </w:tc>
        <w:tc>
          <w:tcPr>
            <w:tcW w:w="116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6,693</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(7)(13)</w:t>
            </w:r>
          </w:p>
        </w:tc>
        <w:tc>
          <w:tcPr>
            <w:tcW w:w="27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(14)</w:t>
            </w: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740" w:type="dxa"/>
            <w:vAlign w:val="bottom"/>
          </w:tcPr>
          <w:p>
            <w:pPr>
              <w:ind w:left="120"/>
              <w:spacing w:after="0"/>
              <w:rPr>
                <w:sz w:val="20"/>
                <w:szCs w:val="20"/>
                <w:color w:val="auto"/>
              </w:rPr>
            </w:pPr>
            <w:r>
              <w:rPr>
                <w:rFonts w:ascii="Arial" w:cs="Arial" w:eastAsia="Arial" w:hAnsi="Arial"/>
                <w:sz w:val="16"/>
                <w:szCs w:val="16"/>
                <w:color w:val="auto"/>
                <w:w w:val="97"/>
              </w:rPr>
              <w:t>Class A-1 Member Units (1,360 units)</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5/3/2017</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10,366</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Class A-2 Member Units (933 units)</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6/4/2014</w:t>
            </w: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8,874</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25,933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2"/>
        </w:trPr>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Other</w:t>
            </w:r>
          </w:p>
        </w:tc>
        <w:tc>
          <w:tcPr>
            <w:tcW w:w="27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right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6"/>
                <w:szCs w:val="16"/>
                <w:color w:val="auto"/>
              </w:rPr>
              <w:t>Anchorage Capital CLO 7, Ltd.,</w:t>
            </w:r>
          </w:p>
        </w:tc>
        <w:tc>
          <w:tcPr>
            <w:tcW w:w="2740" w:type="dxa"/>
            <w:vAlign w:val="bottom"/>
          </w:tcPr>
          <w:p>
            <w:pPr>
              <w:ind w:left="120"/>
              <w:spacing w:after="0"/>
              <w:rPr>
                <w:sz w:val="20"/>
                <w:szCs w:val="20"/>
                <w:color w:val="auto"/>
              </w:rPr>
            </w:pPr>
            <w:r>
              <w:rPr>
                <w:rFonts w:ascii="Arial" w:cs="Arial" w:eastAsia="Arial" w:hAnsi="Arial"/>
                <w:sz w:val="16"/>
                <w:szCs w:val="16"/>
                <w:color w:val="auto"/>
              </w:rPr>
              <w:t>Structured Product ($1,000 par, due</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5/19/2020</w:t>
            </w:r>
          </w:p>
        </w:tc>
        <w:tc>
          <w:tcPr>
            <w:tcW w:w="1160" w:type="dxa"/>
            <w:vAlign w:val="bottom"/>
          </w:tcPr>
          <w:p>
            <w:pPr>
              <w:ind w:left="160"/>
              <w:spacing w:after="0"/>
              <w:rPr>
                <w:sz w:val="20"/>
                <w:szCs w:val="20"/>
                <w:color w:val="auto"/>
              </w:rPr>
            </w:pPr>
            <w:r>
              <w:rPr>
                <w:rFonts w:ascii="Arial" w:cs="Arial" w:eastAsia="Arial" w:hAnsi="Arial"/>
                <w:sz w:val="16"/>
                <w:szCs w:val="16"/>
                <w:color w:val="auto"/>
              </w:rPr>
              <w:t>L + 3.50%</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4.52%</w:t>
            </w:r>
          </w:p>
        </w:tc>
        <w:tc>
          <w:tcPr>
            <w:tcW w:w="780" w:type="dxa"/>
            <w:vAlign w:val="bottom"/>
          </w:tcPr>
          <w:p>
            <w:pPr>
              <w:jc w:val="right"/>
              <w:spacing w:after="0"/>
              <w:rPr>
                <w:sz w:val="20"/>
                <w:szCs w:val="20"/>
                <w:color w:val="auto"/>
              </w:rPr>
            </w:pPr>
            <w:r>
              <w:rPr>
                <w:rFonts w:ascii="Arial" w:cs="Arial" w:eastAsia="Arial" w:hAnsi="Arial"/>
                <w:sz w:val="16"/>
                <w:szCs w:val="16"/>
                <w:color w:val="auto"/>
              </w:rPr>
              <w:t>872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938</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254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Series 2015-7A </w:t>
            </w:r>
            <w:r>
              <w:rPr>
                <w:rFonts w:ascii="Arial" w:cs="Arial" w:eastAsia="Arial" w:hAnsi="Arial"/>
                <w:sz w:val="25"/>
                <w:szCs w:val="25"/>
                <w:color w:val="auto"/>
                <w:vertAlign w:val="superscript"/>
              </w:rPr>
              <w:t>(3)(4)(11)</w:t>
            </w:r>
          </w:p>
        </w:tc>
        <w:tc>
          <w:tcPr>
            <w:tcW w:w="2740" w:type="dxa"/>
            <w:vAlign w:val="bottom"/>
          </w:tcPr>
          <w:p>
            <w:pPr>
              <w:ind w:left="120"/>
              <w:spacing w:after="0"/>
              <w:rPr>
                <w:sz w:val="20"/>
                <w:szCs w:val="20"/>
                <w:color w:val="auto"/>
              </w:rPr>
            </w:pPr>
            <w:r>
              <w:rPr>
                <w:rFonts w:ascii="Arial" w:cs="Arial" w:eastAsia="Arial" w:hAnsi="Arial"/>
                <w:sz w:val="16"/>
                <w:szCs w:val="16"/>
                <w:color w:val="auto"/>
              </w:rPr>
              <w:t>1/2031)</w:t>
            </w: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Carlyle Global Market Strategies</w:t>
            </w: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Structured Product ($1,300 par, due</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5/21/2020</w:t>
            </w:r>
          </w:p>
        </w:tc>
        <w:tc>
          <w:tcPr>
            <w:tcW w:w="11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L + 2.90%</w:t>
            </w:r>
          </w:p>
        </w:tc>
        <w:tc>
          <w:tcPr>
            <w:tcW w:w="840" w:type="dxa"/>
            <w:vAlign w:val="bottom"/>
            <w:tcBorders>
              <w:right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3.17%</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1,161</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9"/>
        </w:trPr>
        <w:tc>
          <w:tcPr>
            <w:tcW w:w="25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CLO Ltd, Series 2018-4A</w:t>
            </w: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1/2031)</w:t>
            </w:r>
          </w:p>
        </w:tc>
        <w:tc>
          <w:tcPr>
            <w:tcW w:w="10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(3)(4)(11)</w:t>
            </w:r>
          </w:p>
        </w:tc>
        <w:tc>
          <w:tcPr>
            <w:tcW w:w="274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right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6"/>
                <w:szCs w:val="16"/>
                <w:color w:val="auto"/>
              </w:rPr>
              <w:t>OZLM Ltd., Series</w:t>
            </w:r>
          </w:p>
        </w:tc>
        <w:tc>
          <w:tcPr>
            <w:tcW w:w="2740" w:type="dxa"/>
            <w:vAlign w:val="bottom"/>
          </w:tcPr>
          <w:p>
            <w:pPr>
              <w:ind w:left="120"/>
              <w:spacing w:after="0"/>
              <w:rPr>
                <w:sz w:val="20"/>
                <w:szCs w:val="20"/>
                <w:color w:val="auto"/>
              </w:rPr>
            </w:pPr>
            <w:r>
              <w:rPr>
                <w:rFonts w:ascii="Arial" w:cs="Arial" w:eastAsia="Arial" w:hAnsi="Arial"/>
                <w:sz w:val="16"/>
                <w:szCs w:val="16"/>
                <w:color w:val="auto"/>
              </w:rPr>
              <w:t>Structured Product ($2,000 par, due</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5/28/2020</w:t>
            </w:r>
          </w:p>
        </w:tc>
        <w:tc>
          <w:tcPr>
            <w:tcW w:w="1160" w:type="dxa"/>
            <w:vAlign w:val="bottom"/>
          </w:tcPr>
          <w:p>
            <w:pPr>
              <w:ind w:left="160"/>
              <w:spacing w:after="0"/>
              <w:rPr>
                <w:sz w:val="20"/>
                <w:szCs w:val="20"/>
                <w:color w:val="auto"/>
              </w:rPr>
            </w:pPr>
            <w:r>
              <w:rPr>
                <w:rFonts w:ascii="Arial" w:cs="Arial" w:eastAsia="Arial" w:hAnsi="Arial"/>
                <w:sz w:val="16"/>
                <w:szCs w:val="16"/>
                <w:color w:val="auto"/>
              </w:rPr>
              <w:t>L + 2.85%</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3.13%</w:t>
            </w:r>
          </w:p>
        </w:tc>
        <w:tc>
          <w:tcPr>
            <w:tcW w:w="780" w:type="dxa"/>
            <w:vAlign w:val="bottom"/>
          </w:tcPr>
          <w:p>
            <w:pPr>
              <w:jc w:val="right"/>
              <w:spacing w:after="0"/>
              <w:rPr>
                <w:sz w:val="20"/>
                <w:szCs w:val="20"/>
                <w:color w:val="auto"/>
              </w:rPr>
            </w:pPr>
            <w:r>
              <w:rPr>
                <w:rFonts w:ascii="Arial" w:cs="Arial" w:eastAsia="Arial" w:hAnsi="Arial"/>
                <w:sz w:val="16"/>
                <w:szCs w:val="16"/>
                <w:color w:val="auto"/>
              </w:rPr>
              <w:t>1,740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1,755</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 xml:space="preserve">2018-18A </w:t>
            </w:r>
            <w:r>
              <w:rPr>
                <w:rFonts w:ascii="Arial" w:cs="Arial" w:eastAsia="Arial" w:hAnsi="Arial"/>
                <w:sz w:val="13"/>
                <w:szCs w:val="13"/>
                <w:color w:val="auto"/>
              </w:rPr>
              <w:t>(3)(4)(11)</w:t>
            </w:r>
          </w:p>
        </w:tc>
        <w:tc>
          <w:tcPr>
            <w:tcW w:w="274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4/2031)</w:t>
            </w:r>
          </w:p>
        </w:tc>
        <w:tc>
          <w:tcPr>
            <w:tcW w:w="104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3,737</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3,854</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6"/>
                <w:szCs w:val="16"/>
                <w:b w:val="1"/>
                <w:bCs w:val="1"/>
                <w:color w:val="auto"/>
              </w:rPr>
              <w:t>Total Equity and Other</w:t>
            </w:r>
          </w:p>
        </w:tc>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vMerge w:val="continue"/>
          </w:tcPr>
          <w:p>
            <w:pPr>
              <w:spacing w:after="0"/>
              <w:rPr>
                <w:sz w:val="17"/>
                <w:szCs w:val="17"/>
                <w:color w:val="auto"/>
              </w:rPr>
            </w:pPr>
          </w:p>
        </w:tc>
        <w:tc>
          <w:tcPr>
            <w:tcW w:w="2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93,505</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69,861</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Investments</w:t>
            </w:r>
          </w:p>
        </w:tc>
        <w:tc>
          <w:tcPr>
            <w:tcW w:w="274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Investments</w:t>
            </w: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$ 2,018,517</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$ 1,983,844</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183.2%</w:t>
            </w:r>
          </w:p>
        </w:tc>
        <w:tc>
          <w:tcPr>
            <w:tcW w:w="0" w:type="dxa"/>
            <w:vAlign w:val="bottom"/>
          </w:tcPr>
          <w:p>
            <w:pPr>
              <w:spacing w:after="0"/>
              <w:rPr>
                <w:sz w:val="1"/>
                <w:szCs w:val="1"/>
                <w:color w:val="auto"/>
              </w:rPr>
            </w:pPr>
          </w:p>
        </w:tc>
      </w:tr>
      <w:tr>
        <w:trPr>
          <w:trHeight w:val="20"/>
        </w:trPr>
        <w:tc>
          <w:tcPr>
            <w:tcW w:w="2540" w:type="dxa"/>
            <w:vAlign w:val="bottom"/>
            <w:tcBorders>
              <w:top w:val="single" w:sz="8" w:color="CFF0FC"/>
            </w:tcBorders>
          </w:tcPr>
          <w:p>
            <w:pPr>
              <w:spacing w:after="0" w:line="20" w:lineRule="exact"/>
              <w:rPr>
                <w:sz w:val="1"/>
                <w:szCs w:val="1"/>
                <w:color w:val="auto"/>
              </w:rPr>
            </w:pPr>
          </w:p>
        </w:tc>
        <w:tc>
          <w:tcPr>
            <w:tcW w:w="27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1"/>
              </w:rPr>
              <w:t>Interest Rate Swaps as of June 30, 2020</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13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13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1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Notional</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Upfront</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92"/>
              <w:spacing w:after="0" w:line="133" w:lineRule="exact"/>
              <w:rPr>
                <w:sz w:val="20"/>
                <w:szCs w:val="20"/>
                <w:color w:val="auto"/>
              </w:rPr>
            </w:pPr>
            <w:r>
              <w:rPr>
                <w:rFonts w:ascii="Arial" w:cs="Arial" w:eastAsia="Arial" w:hAnsi="Arial"/>
                <w:sz w:val="14"/>
                <w:szCs w:val="14"/>
                <w:b w:val="1"/>
                <w:bCs w:val="1"/>
                <w:color w:val="auto"/>
                <w:w w:val="91"/>
              </w:rPr>
              <w:t>Change in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0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rPr>
              <w:t>Maturity Date</w:t>
            </w: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(Payments) /</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Receives</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Pays</w:t>
            </w:r>
          </w:p>
        </w:tc>
        <w:tc>
          <w:tcPr>
            <w:tcW w:w="1500" w:type="dxa"/>
            <w:vAlign w:val="bottom"/>
            <w:gridSpan w:val="3"/>
            <w:vMerge w:val="continue"/>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Receipts</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Gains / (Losses)</w:t>
            </w: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L</w:t>
            </w: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1.47%</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7/30/2021</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1.36%</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7/29/2022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0.26%</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+ 2.37%</w:t>
            </w: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4,491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+ 1.59%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+ 1.60%</w:t>
            </w: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3"/>
              </w:rPr>
              <w:t>L + 2.11%</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(1,228)</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 + 2.11%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+ 1.99%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0.33%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6/9/2023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5"/>
              </w:rPr>
              <w:t>L + 2.28%</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3.88%</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1.97%</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6/25/2020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376,741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14,753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(a)(c)(d)</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3.88%</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+ 2.25%</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(a)(c)(d)</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3.88%</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+ 2.46%</w:t>
            </w:r>
          </w:p>
        </w:tc>
        <w:tc>
          <w:tcPr>
            <w:tcW w:w="1200" w:type="dxa"/>
            <w:vAlign w:val="bottom"/>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19,289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Cash collateral</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(32,539)</w:t>
            </w: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derivatives</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726,741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30,774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hanging="49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Interest rate swap was terminated or matured during the period.</w:t>
      </w:r>
    </w:p>
    <w:p>
      <w:pPr>
        <w:spacing w:after="0" w:line="9" w:lineRule="exact"/>
        <w:rPr>
          <w:rFonts w:ascii="Arial" w:cs="Arial" w:eastAsia="Arial" w:hAnsi="Arial"/>
          <w:sz w:val="18"/>
          <w:szCs w:val="18"/>
          <w:color w:val="auto"/>
        </w:rPr>
      </w:pPr>
    </w:p>
    <w:p>
      <w:pPr>
        <w:ind w:left="1000" w:right="200" w:hanging="493"/>
        <w:spacing w:after="0" w:line="250"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Instrument is used in a hedge accounting relationship. The associated change in fair value is recorded along with the change in fair value of the hedged item within interest expense.</w:t>
      </w:r>
    </w:p>
    <w:p>
      <w:pPr>
        <w:ind w:left="1000" w:right="100" w:hanging="493"/>
        <w:spacing w:after="0" w:line="260"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portion of the notional value of this instrument is no longer designated as an instrument in a hedge accounting relationship. The associated change in fair value is recorded within unrealized gain/(loss).</w:t>
      </w:r>
    </w:p>
    <w:p>
      <w:pPr>
        <w:spacing w:after="0" w:line="77"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00" w:right="2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00" w:right="20" w:hanging="492"/>
        <w:spacing w:after="0" w:line="265"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 Rate (“Euribor” or “E”) (which can include one-, two-, three- or six-month Euribor), Canadian Dollar Offered Rate (“CDOR” or “C”), Bank Bill Swap Bid Rate (“BBSY” or “B”) or an alternate base rate (which can include the Federal Funds Effective Rate, the Toronto-Dominion Bank rate, or the Prime Rate or “P”), at the borrower’s option, which reset periodically based on the terms of the credit agreement. For investments with multiple interest rate contracts, the interest rate shown is the weighted average interest rate in effect at June 30, 2020.</w:t>
      </w:r>
    </w:p>
    <w:p>
      <w:pPr>
        <w:ind w:left="500" w:right="2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12.1% of total assets as of June 30, 2020.</w:t>
      </w:r>
    </w:p>
    <w:p>
      <w:pPr>
        <w:spacing w:after="0" w:line="1" w:lineRule="exact"/>
        <w:rPr>
          <w:rFonts w:ascii="Arial" w:cs="Arial" w:eastAsia="Arial" w:hAnsi="Arial"/>
          <w:sz w:val="18"/>
          <w:szCs w:val="18"/>
          <w:color w:val="auto"/>
        </w:rPr>
      </w:pPr>
    </w:p>
    <w:p>
      <w:pPr>
        <w:ind w:left="500" w:right="60" w:hanging="492"/>
        <w:spacing w:after="0" w:line="265"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ind w:left="500" w:right="160" w:hanging="492"/>
        <w:spacing w:after="0" w:line="255"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six months ended June 30, 2020 in which the Company was an Affiliated Person of the portfolio company are as follows: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u w:val="single" w:color="auto"/>
          <w:color w:val="auto"/>
        </w:rPr>
        <w:t>Non-controlled, Affiliated Investments during the six months ended June 30, 2020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Net Change</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3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Company</w:t>
            </w: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rPr>
              <w:t>Transfers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Additions (a)</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Gain/(Loss)</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Gain/(Losses)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50,136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87"/>
              </w:rPr>
              <w:t>52,536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2,482</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50,136</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2,916</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87"/>
              </w:rPr>
              <w:t>52,536</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2,482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right="100" w:hanging="493"/>
        <w:spacing w:after="0" w:line="258"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5"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81" w:lineRule="exact"/>
        <w:rPr>
          <w:rFonts w:ascii="Arial" w:cs="Arial" w:eastAsia="Arial" w:hAnsi="Arial"/>
          <w:sz w:val="18"/>
          <w:szCs w:val="18"/>
          <w:color w:val="auto"/>
        </w:rPr>
      </w:pPr>
    </w:p>
    <w:p>
      <w:pPr>
        <w:ind w:left="500" w:right="200" w:hanging="492"/>
        <w:spacing w:after="0" w:line="301"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six months ended June 30, 2020 in which the Company was an Affiliated Person of and was deemed to Control a portfolio company are as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six months ended June 30, 2020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right"/>
              <w:ind w:right="261"/>
              <w:spacing w:after="0"/>
              <w:rPr>
                <w:sz w:val="20"/>
                <w:szCs w:val="20"/>
                <w:color w:val="auto"/>
              </w:rPr>
            </w:pPr>
            <w:r>
              <w:rPr>
                <w:rFonts w:ascii="Arial" w:cs="Arial" w:eastAsia="Arial" w:hAnsi="Arial"/>
                <w:sz w:val="14"/>
                <w:szCs w:val="14"/>
                <w:b w:val="1"/>
                <w:bCs w:val="1"/>
                <w:color w:val="auto"/>
                <w:w w:val="92"/>
              </w:rPr>
              <w:t>Net Change</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40"/>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w w:val="94"/>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3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Company</w:t>
            </w: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201"/>
              <w:spacing w:after="0" w:line="149" w:lineRule="exact"/>
              <w:rPr>
                <w:sz w:val="20"/>
                <w:szCs w:val="20"/>
                <w:color w:val="auto"/>
              </w:rPr>
            </w:pPr>
            <w:r>
              <w:rPr>
                <w:rFonts w:ascii="Arial" w:cs="Arial" w:eastAsia="Arial" w:hAnsi="Arial"/>
                <w:sz w:val="14"/>
                <w:szCs w:val="14"/>
                <w:b w:val="1"/>
                <w:bCs w:val="1"/>
                <w:color w:val="auto"/>
              </w:rPr>
              <w:t>In Unrealized</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rPr>
              <w:t>Transfers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Additions (a)</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w w:val="93"/>
              </w:rPr>
              <w:t>Gain/(Loss)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Gain/(Losses)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IRGSE Holding Corp.</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34,812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33,067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1,998</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00" w:type="dxa"/>
            <w:vAlign w:val="bottom"/>
            <w:gridSpan w:val="2"/>
          </w:tcPr>
          <w:p>
            <w:pPr>
              <w:spacing w:after="0"/>
              <w:rPr>
                <w:sz w:val="20"/>
                <w:szCs w:val="20"/>
                <w:color w:val="auto"/>
              </w:rPr>
            </w:pPr>
            <w:r>
              <w:rPr>
                <w:rFonts w:ascii="Arial" w:cs="Arial" w:eastAsia="Arial" w:hAnsi="Arial"/>
                <w:sz w:val="18"/>
                <w:szCs w:val="18"/>
                <w:color w:val="auto"/>
              </w:rPr>
              <w:t>Mississippi Resources,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140"/>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13,104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(12,890)</w:t>
            </w:r>
          </w:p>
        </w:tc>
        <w:tc>
          <w:tcPr>
            <w:tcW w:w="120" w:type="dxa"/>
            <w:vAlign w:val="bottom"/>
          </w:tcPr>
          <w:p>
            <w:pPr>
              <w:spacing w:after="0"/>
              <w:rPr>
                <w:sz w:val="20"/>
                <w:szCs w:val="20"/>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3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47,916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(14,723</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(3,636</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33,067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1,998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right="100" w:hanging="493"/>
        <w:spacing w:after="0" w:line="258"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5"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81" w:lineRule="exact"/>
        <w:rPr>
          <w:rFonts w:ascii="Arial" w:cs="Arial" w:eastAsia="Arial" w:hAnsi="Arial"/>
          <w:sz w:val="18"/>
          <w:szCs w:val="18"/>
          <w:color w:val="auto"/>
        </w:rPr>
      </w:pPr>
    </w:p>
    <w:p>
      <w:pPr>
        <w:ind w:left="500" w:right="260" w:hanging="492"/>
        <w:spacing w:after="0" w:line="258"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June 30, 2020, the estimated cost basis of investments for U.S. federal tax purposes was $2,018,118, resulting in estimated gross unrealized gains and losses of $94,385 and $105,401, respectively.</w:t>
      </w:r>
    </w:p>
    <w:p>
      <w:pPr>
        <w:spacing w:after="0" w:line="1" w:lineRule="exact"/>
        <w:rPr>
          <w:rFonts w:ascii="Arial" w:cs="Arial" w:eastAsia="Arial" w:hAnsi="Arial"/>
          <w:sz w:val="18"/>
          <w:szCs w:val="18"/>
          <w:color w:val="auto"/>
        </w:rPr>
      </w:pPr>
    </w:p>
    <w:p>
      <w:pPr>
        <w:ind w:left="500" w:right="8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00" w:right="8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00" w:right="12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500" w:right="24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a transaction exempt from registration under the Securities Act of 1933, and may be deemed to be “restricted securities” under the Securities Act. As of June 30, 2020, the aggregate fair value of these securities is $18,857, or 1.7% of the Company’s net assets.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 is on non-accrual status as of June 30,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Reference</w:t>
            </w: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Rate and</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r>
      <w:tr>
        <w:trPr>
          <w:trHeight w:val="153"/>
        </w:trPr>
        <w:tc>
          <w:tcPr>
            <w:tcW w:w="2500" w:type="dxa"/>
            <w:vAlign w:val="bottom"/>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120" w:type="dxa"/>
            <w:vAlign w:val="bottom"/>
          </w:tcPr>
          <w:p>
            <w:pPr>
              <w:spacing w:after="0"/>
              <w:rPr>
                <w:sz w:val="13"/>
                <w:szCs w:val="13"/>
                <w:color w:val="auto"/>
              </w:rPr>
            </w:pPr>
          </w:p>
        </w:tc>
        <w:tc>
          <w:tcPr>
            <w:tcW w:w="2300" w:type="dxa"/>
            <w:vAlign w:val="bottom"/>
            <w:gridSpan w:val="2"/>
          </w:tcPr>
          <w:p>
            <w:pPr>
              <w:ind w:left="780"/>
              <w:spacing w:after="0"/>
              <w:rPr>
                <w:sz w:val="20"/>
                <w:szCs w:val="20"/>
                <w:color w:val="auto"/>
              </w:rPr>
            </w:pPr>
            <w:r>
              <w:rPr>
                <w:rFonts w:ascii="Arial" w:cs="Arial" w:eastAsia="Arial" w:hAnsi="Arial"/>
                <w:sz w:val="13"/>
                <w:szCs w:val="13"/>
                <w:b w:val="1"/>
                <w:bCs w:val="1"/>
                <w:color w:val="auto"/>
              </w:rPr>
              <w:t>Investment</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Spread</w:t>
            </w:r>
          </w:p>
        </w:tc>
        <w:tc>
          <w:tcPr>
            <w:tcW w:w="14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Interest Rate</w:t>
            </w: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 xml:space="preserve">Cost </w:t>
            </w:r>
            <w:r>
              <w:rPr>
                <w:rFonts w:ascii="Arial" w:cs="Arial" w:eastAsia="Arial" w:hAnsi="Arial"/>
                <w:sz w:val="10"/>
                <w:szCs w:val="10"/>
                <w:b w:val="1"/>
                <w:bCs w:val="1"/>
                <w:color w:val="auto"/>
                <w:w w:val="91"/>
              </w:rPr>
              <w:t>(2)(8)</w:t>
            </w:r>
          </w:p>
        </w:tc>
        <w:tc>
          <w:tcPr>
            <w:tcW w:w="1080" w:type="dxa"/>
            <w:vAlign w:val="bottom"/>
            <w:gridSpan w:val="3"/>
          </w:tcPr>
          <w:p>
            <w:pPr>
              <w:ind w:left="4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(10)</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1"/>
              </w:rPr>
              <w:t>of Net Assets</w:t>
            </w:r>
          </w:p>
        </w:tc>
      </w:tr>
      <w:tr>
        <w:trPr>
          <w:trHeight w:val="209"/>
        </w:trPr>
        <w:tc>
          <w:tcPr>
            <w:tcW w:w="2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Debt Investments</w:t>
            </w:r>
          </w:p>
        </w:tc>
        <w:tc>
          <w:tcPr>
            <w:tcW w:w="120" w:type="dxa"/>
            <w:vAlign w:val="bottom"/>
            <w:tcBorders>
              <w:top w:val="single" w:sz="8" w:color="CFF0FC"/>
            </w:tcBorders>
            <w:shd w:val="clear" w:color="auto" w:fill="CFF0FC"/>
          </w:tcPr>
          <w:p>
            <w:pPr>
              <w:spacing w:after="0"/>
              <w:rPr>
                <w:sz w:val="18"/>
                <w:szCs w:val="18"/>
                <w:color w:val="auto"/>
              </w:rPr>
            </w:pPr>
          </w:p>
        </w:tc>
        <w:tc>
          <w:tcPr>
            <w:tcW w:w="2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2500" w:type="dxa"/>
            <w:vAlign w:val="bottom"/>
          </w:tcPr>
          <w:p>
            <w:pPr>
              <w:spacing w:after="0"/>
              <w:rPr>
                <w:sz w:val="20"/>
                <w:szCs w:val="20"/>
                <w:color w:val="auto"/>
              </w:rPr>
            </w:pPr>
            <w:r>
              <w:rPr>
                <w:rFonts w:ascii="Arial" w:cs="Arial" w:eastAsia="Arial" w:hAnsi="Arial"/>
                <w:sz w:val="16"/>
                <w:szCs w:val="16"/>
                <w:b w:val="1"/>
                <w:bCs w:val="1"/>
                <w:color w:val="auto"/>
              </w:rPr>
              <w:t>Beverage, food and tobacco</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AFS Technologies, Inc. </w:t>
            </w:r>
            <w:r>
              <w:rPr>
                <w:rFonts w:ascii="Arial" w:cs="Arial" w:eastAsia="Arial" w:hAnsi="Arial"/>
                <w:sz w:val="24"/>
                <w:szCs w:val="24"/>
                <w:color w:val="auto"/>
                <w:vertAlign w:val="superscript"/>
              </w:rPr>
              <w:t>(3)(5)(6)</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First-lien loan ($45,559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10/16/2018</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+ 6.25%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8.05%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45,004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45,673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4.1%</w:t>
            </w:r>
          </w:p>
        </w:tc>
      </w:tr>
      <w:tr>
        <w:trPr>
          <w:trHeight w:val="212"/>
        </w:trPr>
        <w:tc>
          <w:tcPr>
            <w:tcW w:w="2500" w:type="dxa"/>
            <w:vAlign w:val="bottom"/>
            <w:shd w:val="clear" w:color="auto" w:fill="CFF0FC"/>
          </w:tcPr>
          <w:p>
            <w:pPr>
              <w:spacing w:after="0"/>
              <w:rPr>
                <w:sz w:val="18"/>
                <w:szCs w:val="18"/>
                <w:color w:val="auto"/>
              </w:rPr>
            </w:pP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10/2023)</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500" w:type="dxa"/>
            <w:vAlign w:val="bottom"/>
          </w:tcPr>
          <w:p>
            <w:pPr>
              <w:spacing w:after="0"/>
              <w:rPr>
                <w:sz w:val="20"/>
                <w:szCs w:val="20"/>
                <w:color w:val="auto"/>
              </w:rPr>
            </w:pPr>
            <w:r>
              <w:rPr>
                <w:rFonts w:ascii="Arial" w:cs="Arial" w:eastAsia="Arial" w:hAnsi="Arial"/>
                <w:sz w:val="16"/>
                <w:szCs w:val="16"/>
                <w:b w:val="1"/>
                <w:bCs w:val="1"/>
                <w:color w:val="auto"/>
              </w:rPr>
              <w:t>Business services</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Acceo Solutions,</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First-lien loan (CAD 64,025 par,</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7/6/2018</w:t>
            </w: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C + 4.75%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6.83%</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48,001</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49,497</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4.4%</w:t>
            </w:r>
          </w:p>
        </w:tc>
      </w:tr>
      <w:tr>
        <w:trPr>
          <w:trHeight w:val="206"/>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(3)(4)(5)</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due 7/2023)</w:t>
            </w: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(CAD</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64,185)</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Alpha Midco, Inc. </w:t>
            </w:r>
            <w:r>
              <w:rPr>
                <w:rFonts w:ascii="Arial" w:cs="Arial" w:eastAsia="Arial" w:hAnsi="Arial"/>
                <w:sz w:val="23"/>
                <w:szCs w:val="23"/>
                <w:color w:val="auto"/>
                <w:vertAlign w:val="superscript"/>
              </w:rPr>
              <w:t>(3)(5)</w:t>
            </w:r>
          </w:p>
        </w:tc>
        <w:tc>
          <w:tcPr>
            <w:tcW w:w="2420" w:type="dxa"/>
            <w:vAlign w:val="bottom"/>
            <w:gridSpan w:val="3"/>
          </w:tcPr>
          <w:p>
            <w:pPr>
              <w:ind w:left="120"/>
              <w:spacing w:after="0"/>
              <w:rPr>
                <w:sz w:val="20"/>
                <w:szCs w:val="20"/>
                <w:color w:val="auto"/>
              </w:rPr>
            </w:pPr>
            <w:r>
              <w:rPr>
                <w:rFonts w:ascii="Arial" w:cs="Arial" w:eastAsia="Arial" w:hAnsi="Arial"/>
                <w:sz w:val="16"/>
                <w:szCs w:val="16"/>
                <w:color w:val="auto"/>
              </w:rPr>
              <w:t>First-lien loan ($45,296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8/15/2019</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+ 6.75%</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8.75%</w:t>
            </w:r>
          </w:p>
        </w:tc>
        <w:tc>
          <w:tcPr>
            <w:tcW w:w="760" w:type="dxa"/>
            <w:vAlign w:val="bottom"/>
          </w:tcPr>
          <w:p>
            <w:pPr>
              <w:jc w:val="right"/>
              <w:spacing w:after="0"/>
              <w:rPr>
                <w:sz w:val="20"/>
                <w:szCs w:val="20"/>
                <w:color w:val="auto"/>
              </w:rPr>
            </w:pPr>
            <w:r>
              <w:rPr>
                <w:rFonts w:ascii="Arial" w:cs="Arial" w:eastAsia="Arial" w:hAnsi="Arial"/>
                <w:sz w:val="16"/>
                <w:szCs w:val="16"/>
                <w:color w:val="auto"/>
              </w:rPr>
              <w:t>43,921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44,061</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3.9%</w:t>
            </w:r>
          </w:p>
        </w:tc>
      </w:tr>
      <w:tr>
        <w:trPr>
          <w:trHeight w:val="209"/>
        </w:trPr>
        <w:tc>
          <w:tcPr>
            <w:tcW w:w="2500" w:type="dxa"/>
            <w:vAlign w:val="bottom"/>
          </w:tcPr>
          <w:p>
            <w:pPr>
              <w:spacing w:after="0"/>
              <w:rPr>
                <w:sz w:val="18"/>
                <w:szCs w:val="18"/>
                <w:color w:val="auto"/>
              </w:rPr>
            </w:pPr>
          </w:p>
        </w:tc>
        <w:tc>
          <w:tcPr>
            <w:tcW w:w="2320" w:type="dxa"/>
            <w:vAlign w:val="bottom"/>
            <w:gridSpan w:val="2"/>
          </w:tcPr>
          <w:p>
            <w:pPr>
              <w:ind w:left="120"/>
              <w:spacing w:after="0"/>
              <w:rPr>
                <w:sz w:val="20"/>
                <w:szCs w:val="20"/>
                <w:color w:val="auto"/>
              </w:rPr>
            </w:pPr>
            <w:r>
              <w:rPr>
                <w:rFonts w:ascii="Arial" w:cs="Arial" w:eastAsia="Arial" w:hAnsi="Arial"/>
                <w:sz w:val="16"/>
                <w:szCs w:val="16"/>
                <w:color w:val="auto"/>
              </w:rPr>
              <w:t>8/2025)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Dye &amp; Durham Corp. </w:t>
            </w:r>
            <w:r>
              <w:rPr>
                <w:rFonts w:ascii="Arial" w:cs="Arial" w:eastAsia="Arial" w:hAnsi="Arial"/>
                <w:sz w:val="24"/>
                <w:szCs w:val="24"/>
                <w:color w:val="auto"/>
                <w:vertAlign w:val="superscript"/>
              </w:rPr>
              <w:t>(3)(4)</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First-lien loan (CAD 65,669 par,</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7/11/2019</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C + 7.00%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9.03%</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49,015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49,628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4.4%</w:t>
            </w:r>
          </w:p>
        </w:tc>
      </w:tr>
      <w:tr>
        <w:trPr>
          <w:trHeight w:val="203"/>
        </w:trPr>
        <w:tc>
          <w:tcPr>
            <w:tcW w:w="2500" w:type="dxa"/>
            <w:vAlign w:val="bottom"/>
            <w:shd w:val="clear" w:color="auto" w:fill="CFF0FC"/>
          </w:tcPr>
          <w:p>
            <w:pPr>
              <w:spacing w:after="0"/>
              <w:rPr>
                <w:sz w:val="17"/>
                <w:szCs w:val="17"/>
                <w:color w:val="auto"/>
              </w:rPr>
            </w:pP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due 7/2024)</w:t>
            </w: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(CAD</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64,355)</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rPr>
                <w:sz w:val="17"/>
                <w:szCs w:val="17"/>
                <w:color w:val="auto"/>
              </w:rPr>
            </w:pPr>
          </w:p>
        </w:tc>
        <w:tc>
          <w:tcPr>
            <w:tcW w:w="2420" w:type="dxa"/>
            <w:vAlign w:val="bottom"/>
            <w:gridSpan w:val="3"/>
          </w:tcPr>
          <w:p>
            <w:pPr>
              <w:ind w:left="120"/>
              <w:spacing w:after="0"/>
              <w:rPr>
                <w:sz w:val="20"/>
                <w:szCs w:val="20"/>
                <w:color w:val="auto"/>
              </w:rPr>
            </w:pPr>
            <w:r>
              <w:rPr>
                <w:rFonts w:ascii="Arial" w:cs="Arial" w:eastAsia="Arial" w:hAnsi="Arial"/>
                <w:sz w:val="16"/>
                <w:szCs w:val="16"/>
                <w:color w:val="auto"/>
              </w:rPr>
              <w:t>First-lien revolving loan (CAD</w:t>
            </w:r>
          </w:p>
        </w:tc>
        <w:tc>
          <w:tcPr>
            <w:tcW w:w="820" w:type="dxa"/>
            <w:vAlign w:val="bottom"/>
          </w:tcPr>
          <w:p>
            <w:pPr>
              <w:jc w:val="right"/>
              <w:spacing w:after="0"/>
              <w:rPr>
                <w:sz w:val="20"/>
                <w:szCs w:val="20"/>
                <w:color w:val="auto"/>
              </w:rPr>
            </w:pPr>
            <w:r>
              <w:rPr>
                <w:rFonts w:ascii="Arial" w:cs="Arial" w:eastAsia="Arial" w:hAnsi="Arial"/>
                <w:sz w:val="16"/>
                <w:szCs w:val="16"/>
                <w:color w:val="auto"/>
              </w:rPr>
              <w:t>7/11/2019</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P + 6.00%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10.00%</w:t>
            </w:r>
          </w:p>
        </w:tc>
        <w:tc>
          <w:tcPr>
            <w:tcW w:w="760" w:type="dxa"/>
            <w:vAlign w:val="bottom"/>
          </w:tcPr>
          <w:p>
            <w:pPr>
              <w:jc w:val="right"/>
              <w:spacing w:after="0"/>
              <w:rPr>
                <w:sz w:val="20"/>
                <w:szCs w:val="20"/>
                <w:color w:val="auto"/>
              </w:rPr>
            </w:pPr>
            <w:r>
              <w:rPr>
                <w:rFonts w:ascii="Arial" w:cs="Arial" w:eastAsia="Arial" w:hAnsi="Arial"/>
                <w:sz w:val="16"/>
                <w:szCs w:val="16"/>
                <w:color w:val="auto"/>
              </w:rPr>
              <w:t>1,269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1,296</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209"/>
        </w:trPr>
        <w:tc>
          <w:tcPr>
            <w:tcW w:w="2500" w:type="dxa"/>
            <w:vAlign w:val="bottom"/>
          </w:tcPr>
          <w:p>
            <w:pPr>
              <w:spacing w:after="0"/>
              <w:rPr>
                <w:sz w:val="18"/>
                <w:szCs w:val="18"/>
                <w:color w:val="auto"/>
              </w:rPr>
            </w:pPr>
          </w:p>
        </w:tc>
        <w:tc>
          <w:tcPr>
            <w:tcW w:w="2420" w:type="dxa"/>
            <w:vAlign w:val="bottom"/>
            <w:gridSpan w:val="3"/>
          </w:tcPr>
          <w:p>
            <w:pPr>
              <w:ind w:left="120"/>
              <w:spacing w:after="0"/>
              <w:rPr>
                <w:sz w:val="20"/>
                <w:szCs w:val="20"/>
                <w:color w:val="auto"/>
              </w:rPr>
            </w:pPr>
            <w:r>
              <w:rPr>
                <w:rFonts w:ascii="Arial" w:cs="Arial" w:eastAsia="Arial" w:hAnsi="Arial"/>
                <w:sz w:val="16"/>
                <w:szCs w:val="16"/>
                <w:color w:val="auto"/>
              </w:rPr>
              <w:t>1,750 par, due 7/2024)</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w w:val="94"/>
              </w:rPr>
              <w:t>(CAD 1,680)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Integration Appliance, Inc. </w:t>
            </w:r>
            <w:r>
              <w:rPr>
                <w:rFonts w:ascii="Arial" w:cs="Arial" w:eastAsia="Arial" w:hAnsi="Arial"/>
                <w:sz w:val="24"/>
                <w:szCs w:val="24"/>
                <w:color w:val="auto"/>
                <w:vertAlign w:val="superscript"/>
              </w:rPr>
              <w:t>(3)</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First-lien loan ($71,500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8/13/2018</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+ 7.25%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9.43%</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70,619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71,685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6.4%</w:t>
            </w:r>
          </w:p>
        </w:tc>
      </w:tr>
      <w:tr>
        <w:trPr>
          <w:trHeight w:val="212"/>
        </w:trPr>
        <w:tc>
          <w:tcPr>
            <w:tcW w:w="2500" w:type="dxa"/>
            <w:vAlign w:val="bottom"/>
            <w:shd w:val="clear" w:color="auto" w:fill="CFF0FC"/>
          </w:tcPr>
          <w:p>
            <w:pPr>
              <w:spacing w:after="0"/>
              <w:rPr>
                <w:sz w:val="18"/>
                <w:szCs w:val="18"/>
                <w:color w:val="auto"/>
              </w:rPr>
            </w:pP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8/2023)</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Motus, LLC </w:t>
            </w:r>
            <w:r>
              <w:rPr>
                <w:rFonts w:ascii="Arial" w:cs="Arial" w:eastAsia="Arial" w:hAnsi="Arial"/>
                <w:sz w:val="23"/>
                <w:szCs w:val="23"/>
                <w:color w:val="auto"/>
                <w:vertAlign w:val="superscript"/>
              </w:rPr>
              <w:t>(3)(5)</w:t>
            </w:r>
          </w:p>
        </w:tc>
        <w:tc>
          <w:tcPr>
            <w:tcW w:w="2420" w:type="dxa"/>
            <w:vAlign w:val="bottom"/>
            <w:gridSpan w:val="3"/>
          </w:tcPr>
          <w:p>
            <w:pPr>
              <w:ind w:left="120"/>
              <w:spacing w:after="0"/>
              <w:rPr>
                <w:sz w:val="20"/>
                <w:szCs w:val="20"/>
                <w:color w:val="auto"/>
              </w:rPr>
            </w:pPr>
            <w:r>
              <w:rPr>
                <w:rFonts w:ascii="Arial" w:cs="Arial" w:eastAsia="Arial" w:hAnsi="Arial"/>
                <w:sz w:val="16"/>
                <w:szCs w:val="16"/>
                <w:color w:val="auto"/>
              </w:rPr>
              <w:t>First-lien loan ($59,853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1/17/2018</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+ 5.50%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7.45%</w:t>
            </w:r>
          </w:p>
        </w:tc>
        <w:tc>
          <w:tcPr>
            <w:tcW w:w="760" w:type="dxa"/>
            <w:vAlign w:val="bottom"/>
          </w:tcPr>
          <w:p>
            <w:pPr>
              <w:jc w:val="right"/>
              <w:spacing w:after="0"/>
              <w:rPr>
                <w:sz w:val="20"/>
                <w:szCs w:val="20"/>
                <w:color w:val="auto"/>
              </w:rPr>
            </w:pPr>
            <w:r>
              <w:rPr>
                <w:rFonts w:ascii="Arial" w:cs="Arial" w:eastAsia="Arial" w:hAnsi="Arial"/>
                <w:sz w:val="16"/>
                <w:szCs w:val="16"/>
                <w:color w:val="auto"/>
              </w:rPr>
              <w:t>58,764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60,451</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5.4%</w:t>
            </w:r>
          </w:p>
        </w:tc>
      </w:tr>
      <w:tr>
        <w:trPr>
          <w:trHeight w:val="209"/>
        </w:trPr>
        <w:tc>
          <w:tcPr>
            <w:tcW w:w="2500" w:type="dxa"/>
            <w:vAlign w:val="bottom"/>
          </w:tcPr>
          <w:p>
            <w:pPr>
              <w:spacing w:after="0"/>
              <w:rPr>
                <w:sz w:val="18"/>
                <w:szCs w:val="18"/>
                <w:color w:val="auto"/>
              </w:rPr>
            </w:pPr>
          </w:p>
        </w:tc>
        <w:tc>
          <w:tcPr>
            <w:tcW w:w="2320" w:type="dxa"/>
            <w:vAlign w:val="bottom"/>
            <w:gridSpan w:val="2"/>
          </w:tcPr>
          <w:p>
            <w:pPr>
              <w:ind w:left="120"/>
              <w:spacing w:after="0"/>
              <w:rPr>
                <w:sz w:val="20"/>
                <w:szCs w:val="20"/>
                <w:color w:val="auto"/>
              </w:rPr>
            </w:pPr>
            <w:r>
              <w:rPr>
                <w:rFonts w:ascii="Arial" w:cs="Arial" w:eastAsia="Arial" w:hAnsi="Arial"/>
                <w:sz w:val="16"/>
                <w:szCs w:val="16"/>
                <w:color w:val="auto"/>
              </w:rPr>
              <w:t>1/2024)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Netwrix Corp. and Concept</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First-lien loan ($20,000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10/17/2019</w:t>
            </w: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+ 5.88%</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7.67%</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19,541</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19,650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w:t>
            </w:r>
          </w:p>
        </w:tc>
      </w:tr>
      <w:tr>
        <w:trPr>
          <w:trHeight w:val="216"/>
        </w:trPr>
        <w:tc>
          <w:tcPr>
            <w:tcW w:w="250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Searching, Inc. </w:t>
            </w:r>
            <w:r>
              <w:rPr>
                <w:rFonts w:ascii="Arial" w:cs="Arial" w:eastAsia="Arial" w:hAnsi="Arial"/>
                <w:sz w:val="25"/>
                <w:szCs w:val="25"/>
                <w:color w:val="auto"/>
                <w:vertAlign w:val="superscript"/>
              </w:rPr>
              <w:t>(3)(5)</w:t>
            </w: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10/2024)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Nintex Global, Ltd. </w:t>
            </w:r>
            <w:r>
              <w:rPr>
                <w:rFonts w:ascii="Arial" w:cs="Arial" w:eastAsia="Arial" w:hAnsi="Arial"/>
                <w:sz w:val="23"/>
                <w:szCs w:val="23"/>
                <w:color w:val="auto"/>
                <w:vertAlign w:val="superscript"/>
              </w:rPr>
              <w:t>(3)(5)</w:t>
            </w:r>
          </w:p>
        </w:tc>
        <w:tc>
          <w:tcPr>
            <w:tcW w:w="2420" w:type="dxa"/>
            <w:vAlign w:val="bottom"/>
            <w:gridSpan w:val="3"/>
          </w:tcPr>
          <w:p>
            <w:pPr>
              <w:ind w:left="120"/>
              <w:spacing w:after="0"/>
              <w:rPr>
                <w:sz w:val="20"/>
                <w:szCs w:val="20"/>
                <w:color w:val="auto"/>
              </w:rPr>
            </w:pPr>
            <w:r>
              <w:rPr>
                <w:rFonts w:ascii="Arial" w:cs="Arial" w:eastAsia="Arial" w:hAnsi="Arial"/>
                <w:sz w:val="16"/>
                <w:szCs w:val="16"/>
                <w:color w:val="auto"/>
              </w:rPr>
              <w:t>First-lien loan ($74,223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3/30/2018</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+ 6.25%</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8.05%</w:t>
            </w:r>
          </w:p>
        </w:tc>
        <w:tc>
          <w:tcPr>
            <w:tcW w:w="760" w:type="dxa"/>
            <w:vAlign w:val="bottom"/>
          </w:tcPr>
          <w:p>
            <w:pPr>
              <w:jc w:val="right"/>
              <w:spacing w:after="0"/>
              <w:rPr>
                <w:sz w:val="20"/>
                <w:szCs w:val="20"/>
                <w:color w:val="auto"/>
              </w:rPr>
            </w:pPr>
            <w:r>
              <w:rPr>
                <w:rFonts w:ascii="Arial" w:cs="Arial" w:eastAsia="Arial" w:hAnsi="Arial"/>
                <w:sz w:val="16"/>
                <w:szCs w:val="16"/>
                <w:color w:val="auto"/>
              </w:rPr>
              <w:t>72,844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75,151</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6.7%</w:t>
            </w:r>
          </w:p>
        </w:tc>
      </w:tr>
      <w:tr>
        <w:trPr>
          <w:trHeight w:val="209"/>
        </w:trPr>
        <w:tc>
          <w:tcPr>
            <w:tcW w:w="2500" w:type="dxa"/>
            <w:vAlign w:val="bottom"/>
            <w:tcBorders>
              <w:bottom w:val="single" w:sz="8" w:color="CFF0FC"/>
            </w:tcBorders>
          </w:tcPr>
          <w:p>
            <w:pPr>
              <w:spacing w:after="0"/>
              <w:rPr>
                <w:sz w:val="18"/>
                <w:szCs w:val="18"/>
                <w:color w:val="auto"/>
              </w:rPr>
            </w:pPr>
          </w:p>
        </w:tc>
        <w:tc>
          <w:tcPr>
            <w:tcW w:w="232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4/2024)</w:t>
            </w:r>
          </w:p>
        </w:tc>
        <w:tc>
          <w:tcPr>
            <w:tcW w:w="1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363,974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371,419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33.1%</w:t>
            </w:r>
          </w:p>
        </w:tc>
      </w:tr>
      <w:tr>
        <w:trPr>
          <w:trHeight w:val="207"/>
        </w:trPr>
        <w:tc>
          <w:tcPr>
            <w:tcW w:w="2500" w:type="dxa"/>
            <w:vAlign w:val="bottom"/>
          </w:tcPr>
          <w:p>
            <w:pPr>
              <w:spacing w:after="0"/>
              <w:rPr>
                <w:sz w:val="20"/>
                <w:szCs w:val="20"/>
                <w:color w:val="auto"/>
              </w:rPr>
            </w:pPr>
            <w:r>
              <w:rPr>
                <w:rFonts w:ascii="Arial" w:cs="Arial" w:eastAsia="Arial" w:hAnsi="Arial"/>
                <w:sz w:val="16"/>
                <w:szCs w:val="16"/>
                <w:b w:val="1"/>
                <w:bCs w:val="1"/>
                <w:color w:val="auto"/>
              </w:rPr>
              <w:t>Chemicals</w:t>
            </w:r>
          </w:p>
        </w:tc>
        <w:tc>
          <w:tcPr>
            <w:tcW w:w="1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Vertellus Specialties, Inc. </w:t>
            </w:r>
            <w:r>
              <w:rPr>
                <w:rFonts w:ascii="Arial" w:cs="Arial" w:eastAsia="Arial" w:hAnsi="Arial"/>
                <w:sz w:val="24"/>
                <w:szCs w:val="24"/>
                <w:color w:val="auto"/>
                <w:vertAlign w:val="superscript"/>
              </w:rPr>
              <w:t>(3)</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Second-lien loan ($4,147 par,</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10/31/2016</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+ 12.00%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13.63%</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r>
      <w:tr>
        <w:trPr>
          <w:trHeight w:val="212"/>
        </w:trPr>
        <w:tc>
          <w:tcPr>
            <w:tcW w:w="2500" w:type="dxa"/>
            <w:vAlign w:val="bottom"/>
            <w:shd w:val="clear" w:color="auto" w:fill="CFF0FC"/>
          </w:tcPr>
          <w:p>
            <w:pPr>
              <w:spacing w:after="0"/>
              <w:rPr>
                <w:sz w:val="18"/>
                <w:szCs w:val="18"/>
                <w:color w:val="auto"/>
              </w:rPr>
            </w:pP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due 10/2021)</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500" w:type="dxa"/>
            <w:vAlign w:val="bottom"/>
          </w:tcPr>
          <w:p>
            <w:pPr>
              <w:spacing w:after="0"/>
              <w:rPr>
                <w:sz w:val="20"/>
                <w:szCs w:val="20"/>
                <w:color w:val="auto"/>
              </w:rPr>
            </w:pPr>
            <w:r>
              <w:rPr>
                <w:rFonts w:ascii="Arial" w:cs="Arial" w:eastAsia="Arial" w:hAnsi="Arial"/>
                <w:sz w:val="16"/>
                <w:szCs w:val="16"/>
                <w:b w:val="1"/>
                <w:bCs w:val="1"/>
                <w:color w:val="auto"/>
              </w:rPr>
              <w:t>Communications</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IntelePeer Holdings, Inc. </w:t>
            </w:r>
            <w:r>
              <w:rPr>
                <w:rFonts w:ascii="Arial" w:cs="Arial" w:eastAsia="Arial" w:hAnsi="Arial"/>
                <w:sz w:val="24"/>
                <w:szCs w:val="24"/>
                <w:color w:val="auto"/>
                <w:vertAlign w:val="superscript"/>
              </w:rPr>
              <w:t>(3)</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First-lien loan ($35,000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12/2/2019</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+ 8.00%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9.91%</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34,711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w:t>
            </w:r>
          </w:p>
        </w:tc>
      </w:tr>
      <w:tr>
        <w:trPr>
          <w:trHeight w:val="212"/>
        </w:trPr>
        <w:tc>
          <w:tcPr>
            <w:tcW w:w="2500" w:type="dxa"/>
            <w:vAlign w:val="bottom"/>
            <w:shd w:val="clear" w:color="auto" w:fill="CFF0FC"/>
          </w:tcPr>
          <w:p>
            <w:pPr>
              <w:spacing w:after="0"/>
              <w:rPr>
                <w:sz w:val="18"/>
                <w:szCs w:val="18"/>
                <w:color w:val="auto"/>
              </w:rPr>
            </w:pP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12/2024)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500" w:type="dxa"/>
            <w:vAlign w:val="bottom"/>
          </w:tcPr>
          <w:p>
            <w:pPr>
              <w:spacing w:after="0"/>
              <w:rPr>
                <w:sz w:val="20"/>
                <w:szCs w:val="20"/>
                <w:color w:val="auto"/>
              </w:rPr>
            </w:pPr>
            <w:r>
              <w:rPr>
                <w:rFonts w:ascii="Arial" w:cs="Arial" w:eastAsia="Arial" w:hAnsi="Arial"/>
                <w:sz w:val="16"/>
                <w:szCs w:val="16"/>
                <w:b w:val="1"/>
                <w:bCs w:val="1"/>
                <w:color w:val="auto"/>
              </w:rPr>
              <w:t>Education</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Curriculum Associates,</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First-lien loan ($75,000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2/28/2018</w:t>
            </w: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+ 5.50%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7.30%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72,055</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77,438</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6.9%</w:t>
            </w:r>
          </w:p>
        </w:tc>
      </w:tr>
      <w:tr>
        <w:trPr>
          <w:trHeight w:val="216"/>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(3)(5)</w:t>
            </w: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9/2025)</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Frontline Technologies</w:t>
            </w:r>
          </w:p>
        </w:tc>
        <w:tc>
          <w:tcPr>
            <w:tcW w:w="2420" w:type="dxa"/>
            <w:vAlign w:val="bottom"/>
            <w:gridSpan w:val="3"/>
          </w:tcPr>
          <w:p>
            <w:pPr>
              <w:ind w:left="120"/>
              <w:spacing w:after="0"/>
              <w:rPr>
                <w:sz w:val="20"/>
                <w:szCs w:val="20"/>
                <w:color w:val="auto"/>
              </w:rPr>
            </w:pPr>
            <w:r>
              <w:rPr>
                <w:rFonts w:ascii="Arial" w:cs="Arial" w:eastAsia="Arial" w:hAnsi="Arial"/>
                <w:sz w:val="16"/>
                <w:szCs w:val="16"/>
                <w:color w:val="auto"/>
              </w:rPr>
              <w:t>First-lien loan ($65,798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9/18/2017</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+ 5.75%</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7.55%</w:t>
            </w:r>
          </w:p>
        </w:tc>
        <w:tc>
          <w:tcPr>
            <w:tcW w:w="760" w:type="dxa"/>
            <w:vAlign w:val="bottom"/>
          </w:tcPr>
          <w:p>
            <w:pPr>
              <w:jc w:val="right"/>
              <w:spacing w:after="0"/>
              <w:rPr>
                <w:sz w:val="20"/>
                <w:szCs w:val="20"/>
                <w:color w:val="auto"/>
              </w:rPr>
            </w:pPr>
            <w:r>
              <w:rPr>
                <w:rFonts w:ascii="Arial" w:cs="Arial" w:eastAsia="Arial" w:hAnsi="Arial"/>
                <w:sz w:val="16"/>
                <w:szCs w:val="16"/>
                <w:color w:val="auto"/>
              </w:rPr>
              <w:t>65,395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65,963</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5.9%</w:t>
            </w:r>
          </w:p>
        </w:tc>
      </w:tr>
      <w:tr>
        <w:trPr>
          <w:trHeight w:val="216"/>
        </w:trPr>
        <w:tc>
          <w:tcPr>
            <w:tcW w:w="250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Group, LLC </w:t>
            </w:r>
            <w:r>
              <w:rPr>
                <w:rFonts w:ascii="Arial" w:cs="Arial" w:eastAsia="Arial" w:hAnsi="Arial"/>
                <w:sz w:val="25"/>
                <w:szCs w:val="25"/>
                <w:color w:val="auto"/>
                <w:vertAlign w:val="superscript"/>
              </w:rPr>
              <w:t>(3)</w:t>
            </w:r>
          </w:p>
        </w:tc>
        <w:tc>
          <w:tcPr>
            <w:tcW w:w="2320" w:type="dxa"/>
            <w:vAlign w:val="bottom"/>
            <w:gridSpan w:val="2"/>
          </w:tcPr>
          <w:p>
            <w:pPr>
              <w:ind w:left="120"/>
              <w:spacing w:after="0"/>
              <w:rPr>
                <w:sz w:val="20"/>
                <w:szCs w:val="20"/>
                <w:color w:val="auto"/>
              </w:rPr>
            </w:pPr>
            <w:r>
              <w:rPr>
                <w:rFonts w:ascii="Arial" w:cs="Arial" w:eastAsia="Arial" w:hAnsi="Arial"/>
                <w:sz w:val="16"/>
                <w:szCs w:val="16"/>
                <w:color w:val="auto"/>
              </w:rPr>
              <w:t>9/2023)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Illuminate Education,</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First-lien loan ($64,025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8/25/2017</w:t>
            </w: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+ 7.25%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9.05%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63,227</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63,545</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5.7%</w:t>
            </w:r>
          </w:p>
        </w:tc>
      </w:tr>
      <w:tr>
        <w:trPr>
          <w:trHeight w:val="213"/>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Inc.</w:t>
            </w:r>
            <w:r>
              <w:rPr>
                <w:rFonts w:ascii="Arial" w:cs="Arial" w:eastAsia="Arial" w:hAnsi="Arial"/>
                <w:sz w:val="13"/>
                <w:szCs w:val="13"/>
                <w:color w:val="auto"/>
              </w:rPr>
              <w:t>(3)(5)</w:t>
            </w: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8/2022)</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200,677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206,946</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18.5%</w:t>
            </w:r>
          </w:p>
        </w:tc>
      </w:tr>
      <w:tr>
        <w:trPr>
          <w:trHeight w:val="213"/>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Electronics</w:t>
            </w:r>
          </w:p>
        </w:tc>
        <w:tc>
          <w:tcPr>
            <w:tcW w:w="120" w:type="dxa"/>
            <w:vAlign w:val="bottom"/>
            <w:tcBorders>
              <w:top w:val="single" w:sz="8" w:color="CFF0FC"/>
            </w:tcBorders>
            <w:shd w:val="clear" w:color="auto" w:fill="CFF0FC"/>
          </w:tcPr>
          <w:p>
            <w:pPr>
              <w:spacing w:after="0"/>
              <w:rPr>
                <w:sz w:val="18"/>
                <w:szCs w:val="18"/>
                <w:color w:val="auto"/>
              </w:rPr>
            </w:pPr>
          </w:p>
        </w:tc>
        <w:tc>
          <w:tcPr>
            <w:tcW w:w="2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APX Group, Inc. </w:t>
            </w:r>
            <w:r>
              <w:rPr>
                <w:rFonts w:ascii="Arial" w:cs="Arial" w:eastAsia="Arial" w:hAnsi="Arial"/>
                <w:sz w:val="23"/>
                <w:szCs w:val="23"/>
                <w:color w:val="auto"/>
                <w:vertAlign w:val="superscript"/>
              </w:rPr>
              <w:t>(11)</w:t>
            </w:r>
          </w:p>
        </w:tc>
        <w:tc>
          <w:tcPr>
            <w:tcW w:w="2420" w:type="dxa"/>
            <w:vAlign w:val="bottom"/>
            <w:gridSpan w:val="3"/>
          </w:tcPr>
          <w:p>
            <w:pPr>
              <w:ind w:left="120"/>
              <w:spacing w:after="0"/>
              <w:rPr>
                <w:sz w:val="20"/>
                <w:szCs w:val="20"/>
                <w:color w:val="auto"/>
              </w:rPr>
            </w:pPr>
            <w:r>
              <w:rPr>
                <w:rFonts w:ascii="Arial" w:cs="Arial" w:eastAsia="Arial" w:hAnsi="Arial"/>
                <w:sz w:val="16"/>
                <w:szCs w:val="16"/>
                <w:color w:val="auto"/>
              </w:rPr>
              <w:t>Secured note ($1,000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5/31/2019</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7.88%</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7.88%</w:t>
            </w:r>
          </w:p>
        </w:tc>
        <w:tc>
          <w:tcPr>
            <w:tcW w:w="760" w:type="dxa"/>
            <w:vAlign w:val="bottom"/>
          </w:tcPr>
          <w:p>
            <w:pPr>
              <w:jc w:val="right"/>
              <w:spacing w:after="0"/>
              <w:rPr>
                <w:sz w:val="20"/>
                <w:szCs w:val="20"/>
                <w:color w:val="auto"/>
              </w:rPr>
            </w:pPr>
            <w:r>
              <w:rPr>
                <w:rFonts w:ascii="Arial" w:cs="Arial" w:eastAsia="Arial" w:hAnsi="Arial"/>
                <w:sz w:val="16"/>
                <w:szCs w:val="16"/>
                <w:color w:val="auto"/>
              </w:rPr>
              <w:t>938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1,009</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209"/>
        </w:trPr>
        <w:tc>
          <w:tcPr>
            <w:tcW w:w="2500" w:type="dxa"/>
            <w:vAlign w:val="bottom"/>
          </w:tcPr>
          <w:p>
            <w:pPr>
              <w:spacing w:after="0"/>
              <w:rPr>
                <w:sz w:val="18"/>
                <w:szCs w:val="18"/>
                <w:color w:val="auto"/>
              </w:rPr>
            </w:pPr>
          </w:p>
        </w:tc>
        <w:tc>
          <w:tcPr>
            <w:tcW w:w="2320" w:type="dxa"/>
            <w:vAlign w:val="bottom"/>
            <w:gridSpan w:val="2"/>
          </w:tcPr>
          <w:p>
            <w:pPr>
              <w:ind w:left="120"/>
              <w:spacing w:after="0"/>
              <w:rPr>
                <w:sz w:val="20"/>
                <w:szCs w:val="20"/>
                <w:color w:val="auto"/>
              </w:rPr>
            </w:pPr>
            <w:r>
              <w:rPr>
                <w:rFonts w:ascii="Arial" w:cs="Arial" w:eastAsia="Arial" w:hAnsi="Arial"/>
                <w:sz w:val="16"/>
                <w:szCs w:val="16"/>
                <w:color w:val="auto"/>
              </w:rPr>
              <w:t>12/2022)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Financial services</w:t>
            </w:r>
          </w:p>
        </w:tc>
        <w:tc>
          <w:tcPr>
            <w:tcW w:w="12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AppStar Financial, LLC </w:t>
            </w:r>
            <w:r>
              <w:rPr>
                <w:rFonts w:ascii="Arial" w:cs="Arial" w:eastAsia="Arial" w:hAnsi="Arial"/>
                <w:sz w:val="23"/>
                <w:szCs w:val="23"/>
                <w:color w:val="auto"/>
                <w:vertAlign w:val="superscript"/>
              </w:rPr>
              <w:t>(3)</w:t>
            </w:r>
          </w:p>
        </w:tc>
        <w:tc>
          <w:tcPr>
            <w:tcW w:w="2420" w:type="dxa"/>
            <w:vAlign w:val="bottom"/>
            <w:gridSpan w:val="3"/>
          </w:tcPr>
          <w:p>
            <w:pPr>
              <w:ind w:left="120"/>
              <w:spacing w:after="0"/>
              <w:rPr>
                <w:sz w:val="20"/>
                <w:szCs w:val="20"/>
                <w:color w:val="auto"/>
              </w:rPr>
            </w:pPr>
            <w:r>
              <w:rPr>
                <w:rFonts w:ascii="Arial" w:cs="Arial" w:eastAsia="Arial" w:hAnsi="Arial"/>
                <w:sz w:val="16"/>
                <w:szCs w:val="16"/>
                <w:color w:val="auto"/>
              </w:rPr>
              <w:t>First-lien loan ($15,855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8/18/2015</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+ 7.50%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9.30%</w:t>
            </w:r>
          </w:p>
        </w:tc>
        <w:tc>
          <w:tcPr>
            <w:tcW w:w="760" w:type="dxa"/>
            <w:vAlign w:val="bottom"/>
          </w:tcPr>
          <w:p>
            <w:pPr>
              <w:jc w:val="right"/>
              <w:spacing w:after="0"/>
              <w:rPr>
                <w:sz w:val="20"/>
                <w:szCs w:val="20"/>
                <w:color w:val="auto"/>
              </w:rPr>
            </w:pPr>
            <w:r>
              <w:rPr>
                <w:rFonts w:ascii="Arial" w:cs="Arial" w:eastAsia="Arial" w:hAnsi="Arial"/>
                <w:sz w:val="16"/>
                <w:szCs w:val="16"/>
                <w:color w:val="auto"/>
              </w:rPr>
              <w:t>15,794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15,944</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r>
      <w:tr>
        <w:trPr>
          <w:trHeight w:val="209"/>
        </w:trPr>
        <w:tc>
          <w:tcPr>
            <w:tcW w:w="2500" w:type="dxa"/>
            <w:vAlign w:val="bottom"/>
          </w:tcPr>
          <w:p>
            <w:pPr>
              <w:spacing w:after="0"/>
              <w:rPr>
                <w:sz w:val="18"/>
                <w:szCs w:val="18"/>
                <w:color w:val="auto"/>
              </w:rPr>
            </w:pPr>
          </w:p>
        </w:tc>
        <w:tc>
          <w:tcPr>
            <w:tcW w:w="2320" w:type="dxa"/>
            <w:vAlign w:val="bottom"/>
            <w:gridSpan w:val="2"/>
          </w:tcPr>
          <w:p>
            <w:pPr>
              <w:ind w:left="120"/>
              <w:spacing w:after="0"/>
              <w:rPr>
                <w:sz w:val="20"/>
                <w:szCs w:val="20"/>
                <w:color w:val="auto"/>
              </w:rPr>
            </w:pPr>
            <w:r>
              <w:rPr>
                <w:rFonts w:ascii="Arial" w:cs="Arial" w:eastAsia="Arial" w:hAnsi="Arial"/>
                <w:sz w:val="16"/>
                <w:szCs w:val="16"/>
                <w:color w:val="auto"/>
              </w:rPr>
              <w:t>8/2020)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AvidXchange, Inc. </w:t>
            </w:r>
            <w:r>
              <w:rPr>
                <w:rFonts w:ascii="Arial" w:cs="Arial" w:eastAsia="Arial" w:hAnsi="Arial"/>
                <w:sz w:val="24"/>
                <w:szCs w:val="24"/>
                <w:color w:val="auto"/>
                <w:vertAlign w:val="superscript"/>
              </w:rPr>
              <w:t>(3)(5)</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First-lien loan ($10,350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10/1/2019</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+ 9.00%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10,195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10,236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0.9%</w:t>
            </w:r>
          </w:p>
        </w:tc>
      </w:tr>
      <w:tr>
        <w:trPr>
          <w:trHeight w:val="212"/>
        </w:trPr>
        <w:tc>
          <w:tcPr>
            <w:tcW w:w="2500" w:type="dxa"/>
            <w:vAlign w:val="bottom"/>
            <w:shd w:val="clear" w:color="auto" w:fill="CFF0FC"/>
          </w:tcPr>
          <w:p>
            <w:pPr>
              <w:spacing w:after="0"/>
              <w:rPr>
                <w:sz w:val="18"/>
                <w:szCs w:val="18"/>
                <w:color w:val="auto"/>
              </w:rPr>
            </w:pP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4/2024)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Bear OpCo, LLC </w:t>
            </w:r>
            <w:r>
              <w:rPr>
                <w:rFonts w:ascii="Arial" w:cs="Arial" w:eastAsia="Arial" w:hAnsi="Arial"/>
                <w:sz w:val="23"/>
                <w:szCs w:val="23"/>
                <w:color w:val="auto"/>
                <w:vertAlign w:val="superscript"/>
              </w:rPr>
              <w:t>(3)(5)</w:t>
            </w:r>
          </w:p>
        </w:tc>
        <w:tc>
          <w:tcPr>
            <w:tcW w:w="2420" w:type="dxa"/>
            <w:vAlign w:val="bottom"/>
            <w:gridSpan w:val="3"/>
          </w:tcPr>
          <w:p>
            <w:pPr>
              <w:ind w:left="120"/>
              <w:spacing w:after="0"/>
              <w:rPr>
                <w:sz w:val="20"/>
                <w:szCs w:val="20"/>
                <w:color w:val="auto"/>
              </w:rPr>
            </w:pPr>
            <w:r>
              <w:rPr>
                <w:rFonts w:ascii="Arial" w:cs="Arial" w:eastAsia="Arial" w:hAnsi="Arial"/>
                <w:sz w:val="16"/>
                <w:szCs w:val="16"/>
                <w:color w:val="auto"/>
              </w:rPr>
              <w:t>First-lien loan ($17,456 par, due</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10/10/2019</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+ 5.00%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6.80%</w:t>
            </w:r>
          </w:p>
        </w:tc>
        <w:tc>
          <w:tcPr>
            <w:tcW w:w="760" w:type="dxa"/>
            <w:vAlign w:val="bottom"/>
          </w:tcPr>
          <w:p>
            <w:pPr>
              <w:jc w:val="right"/>
              <w:spacing w:after="0"/>
              <w:rPr>
                <w:sz w:val="20"/>
                <w:szCs w:val="20"/>
                <w:color w:val="auto"/>
              </w:rPr>
            </w:pPr>
            <w:r>
              <w:rPr>
                <w:rFonts w:ascii="Arial" w:cs="Arial" w:eastAsia="Arial" w:hAnsi="Arial"/>
                <w:sz w:val="16"/>
                <w:szCs w:val="16"/>
                <w:color w:val="auto"/>
              </w:rPr>
              <w:t>16,978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17,063</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r>
      <w:tr>
        <w:trPr>
          <w:trHeight w:val="209"/>
        </w:trPr>
        <w:tc>
          <w:tcPr>
            <w:tcW w:w="2500" w:type="dxa"/>
            <w:vAlign w:val="bottom"/>
          </w:tcPr>
          <w:p>
            <w:pPr>
              <w:spacing w:after="0"/>
              <w:rPr>
                <w:sz w:val="18"/>
                <w:szCs w:val="18"/>
                <w:color w:val="auto"/>
              </w:rPr>
            </w:pPr>
          </w:p>
        </w:tc>
        <w:tc>
          <w:tcPr>
            <w:tcW w:w="2320" w:type="dxa"/>
            <w:vAlign w:val="bottom"/>
            <w:gridSpan w:val="2"/>
          </w:tcPr>
          <w:p>
            <w:pPr>
              <w:ind w:left="120"/>
              <w:spacing w:after="0"/>
              <w:rPr>
                <w:sz w:val="20"/>
                <w:szCs w:val="20"/>
                <w:color w:val="auto"/>
              </w:rPr>
            </w:pPr>
            <w:r>
              <w:rPr>
                <w:rFonts w:ascii="Arial" w:cs="Arial" w:eastAsia="Arial" w:hAnsi="Arial"/>
                <w:sz w:val="16"/>
                <w:szCs w:val="16"/>
                <w:color w:val="auto"/>
              </w:rPr>
              <w:t>10/2024)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BlueSnap, Inc. </w:t>
            </w:r>
            <w:r>
              <w:rPr>
                <w:rFonts w:ascii="Arial" w:cs="Arial" w:eastAsia="Arial" w:hAnsi="Arial"/>
                <w:sz w:val="24"/>
                <w:szCs w:val="24"/>
                <w:color w:val="auto"/>
                <w:vertAlign w:val="superscript"/>
              </w:rPr>
              <w:t>(3)</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First-lien loan ($35,000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10/25/2019</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+ 7.00%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8.80%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34,273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34,531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w:t>
            </w:r>
          </w:p>
        </w:tc>
      </w:tr>
      <w:tr>
        <w:trPr>
          <w:trHeight w:val="212"/>
        </w:trPr>
        <w:tc>
          <w:tcPr>
            <w:tcW w:w="2500" w:type="dxa"/>
            <w:vAlign w:val="bottom"/>
            <w:shd w:val="clear" w:color="auto" w:fill="CFF0FC"/>
          </w:tcPr>
          <w:p>
            <w:pPr>
              <w:spacing w:after="0"/>
              <w:rPr>
                <w:sz w:val="18"/>
                <w:szCs w:val="18"/>
                <w:color w:val="auto"/>
              </w:rPr>
            </w:pP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10/2024)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G Treasury SS, LLC </w:t>
            </w:r>
            <w:r>
              <w:rPr>
                <w:rFonts w:ascii="Arial" w:cs="Arial" w:eastAsia="Arial" w:hAnsi="Arial"/>
                <w:sz w:val="23"/>
                <w:szCs w:val="23"/>
                <w:color w:val="auto"/>
                <w:vertAlign w:val="superscript"/>
              </w:rPr>
              <w:t>(3)(5)</w:t>
            </w:r>
          </w:p>
        </w:tc>
        <w:tc>
          <w:tcPr>
            <w:tcW w:w="2420" w:type="dxa"/>
            <w:vAlign w:val="bottom"/>
            <w:gridSpan w:val="3"/>
          </w:tcPr>
          <w:p>
            <w:pPr>
              <w:ind w:left="120"/>
              <w:spacing w:after="0"/>
              <w:rPr>
                <w:sz w:val="20"/>
                <w:szCs w:val="20"/>
                <w:color w:val="auto"/>
              </w:rPr>
            </w:pPr>
            <w:r>
              <w:rPr>
                <w:rFonts w:ascii="Arial" w:cs="Arial" w:eastAsia="Arial" w:hAnsi="Arial"/>
                <w:sz w:val="16"/>
                <w:szCs w:val="16"/>
                <w:color w:val="auto"/>
              </w:rPr>
              <w:t>First-lien loan ($30,000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4/9/2018</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+ 8.25%</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10.03%</w:t>
            </w:r>
          </w:p>
        </w:tc>
        <w:tc>
          <w:tcPr>
            <w:tcW w:w="760" w:type="dxa"/>
            <w:vAlign w:val="bottom"/>
          </w:tcPr>
          <w:p>
            <w:pPr>
              <w:jc w:val="right"/>
              <w:spacing w:after="0"/>
              <w:rPr>
                <w:sz w:val="20"/>
                <w:szCs w:val="20"/>
                <w:color w:val="auto"/>
              </w:rPr>
            </w:pPr>
            <w:r>
              <w:rPr>
                <w:rFonts w:ascii="Arial" w:cs="Arial" w:eastAsia="Arial" w:hAnsi="Arial"/>
                <w:sz w:val="16"/>
                <w:szCs w:val="16"/>
                <w:color w:val="auto"/>
              </w:rPr>
              <w:t>29,643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30,000</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r>
      <w:tr>
        <w:trPr>
          <w:trHeight w:val="209"/>
        </w:trPr>
        <w:tc>
          <w:tcPr>
            <w:tcW w:w="2500" w:type="dxa"/>
            <w:vAlign w:val="bottom"/>
          </w:tcPr>
          <w:p>
            <w:pPr>
              <w:spacing w:after="0"/>
              <w:rPr>
                <w:sz w:val="18"/>
                <w:szCs w:val="18"/>
                <w:color w:val="auto"/>
              </w:rPr>
            </w:pPr>
          </w:p>
        </w:tc>
        <w:tc>
          <w:tcPr>
            <w:tcW w:w="2320" w:type="dxa"/>
            <w:vAlign w:val="bottom"/>
            <w:gridSpan w:val="2"/>
          </w:tcPr>
          <w:p>
            <w:pPr>
              <w:ind w:left="120"/>
              <w:spacing w:after="0"/>
              <w:rPr>
                <w:sz w:val="20"/>
                <w:szCs w:val="20"/>
                <w:color w:val="auto"/>
              </w:rPr>
            </w:pPr>
            <w:r>
              <w:rPr>
                <w:rFonts w:ascii="Arial" w:cs="Arial" w:eastAsia="Arial" w:hAnsi="Arial"/>
                <w:sz w:val="16"/>
                <w:szCs w:val="16"/>
                <w:color w:val="auto"/>
              </w:rPr>
              <w:t>4/2023)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GC Agile Holdings, Ltd. </w:t>
            </w:r>
            <w:r>
              <w:rPr>
                <w:rFonts w:ascii="Arial" w:cs="Arial" w:eastAsia="Arial" w:hAnsi="Arial"/>
                <w:sz w:val="24"/>
                <w:szCs w:val="24"/>
                <w:color w:val="auto"/>
                <w:vertAlign w:val="superscript"/>
              </w:rPr>
              <w:t>(3)(4)</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First-lien loan ($39,724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1/31/2019</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+ 7.00%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8.95%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39,099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39,128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3.5%</w:t>
            </w:r>
          </w:p>
        </w:tc>
      </w:tr>
      <w:tr>
        <w:trPr>
          <w:trHeight w:val="212"/>
        </w:trPr>
        <w:tc>
          <w:tcPr>
            <w:tcW w:w="2500" w:type="dxa"/>
            <w:vAlign w:val="bottom"/>
            <w:shd w:val="clear" w:color="auto" w:fill="CFF0FC"/>
          </w:tcPr>
          <w:p>
            <w:pPr>
              <w:spacing w:after="0"/>
              <w:rPr>
                <w:sz w:val="18"/>
                <w:szCs w:val="18"/>
                <w:color w:val="auto"/>
              </w:rPr>
            </w:pP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6/2025)</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Kyriba Corp.</w:t>
            </w:r>
            <w:r>
              <w:rPr>
                <w:rFonts w:ascii="Arial" w:cs="Arial" w:eastAsia="Arial" w:hAnsi="Arial"/>
                <w:sz w:val="23"/>
                <w:szCs w:val="23"/>
                <w:color w:val="auto"/>
                <w:vertAlign w:val="superscript"/>
              </w:rPr>
              <w:t>(3)</w:t>
            </w:r>
          </w:p>
        </w:tc>
        <w:tc>
          <w:tcPr>
            <w:tcW w:w="2420" w:type="dxa"/>
            <w:vAlign w:val="bottom"/>
            <w:gridSpan w:val="3"/>
          </w:tcPr>
          <w:p>
            <w:pPr>
              <w:ind w:left="120"/>
              <w:spacing w:after="0"/>
              <w:rPr>
                <w:sz w:val="20"/>
                <w:szCs w:val="20"/>
                <w:color w:val="auto"/>
              </w:rPr>
            </w:pPr>
            <w:r>
              <w:rPr>
                <w:rFonts w:ascii="Arial" w:cs="Arial" w:eastAsia="Arial" w:hAnsi="Arial"/>
                <w:sz w:val="16"/>
                <w:szCs w:val="16"/>
                <w:color w:val="auto"/>
              </w:rPr>
              <w:t>First-lien loan ($12,717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4/9/2019</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+ 9.00%</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10.94% (incl.</w:t>
            </w:r>
          </w:p>
        </w:tc>
        <w:tc>
          <w:tcPr>
            <w:tcW w:w="760" w:type="dxa"/>
            <w:vAlign w:val="bottom"/>
          </w:tcPr>
          <w:p>
            <w:pPr>
              <w:jc w:val="right"/>
              <w:spacing w:after="0"/>
              <w:rPr>
                <w:sz w:val="20"/>
                <w:szCs w:val="20"/>
                <w:color w:val="auto"/>
              </w:rPr>
            </w:pPr>
            <w:r>
              <w:rPr>
                <w:rFonts w:ascii="Arial" w:cs="Arial" w:eastAsia="Arial" w:hAnsi="Arial"/>
                <w:sz w:val="16"/>
                <w:szCs w:val="16"/>
                <w:color w:val="auto"/>
              </w:rPr>
              <w:t>12,391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12,866</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r>
      <w:tr>
        <w:trPr>
          <w:trHeight w:val="206"/>
        </w:trPr>
        <w:tc>
          <w:tcPr>
            <w:tcW w:w="2500" w:type="dxa"/>
            <w:vAlign w:val="bottom"/>
          </w:tcPr>
          <w:p>
            <w:pPr>
              <w:spacing w:after="0"/>
              <w:rPr>
                <w:sz w:val="17"/>
                <w:szCs w:val="17"/>
                <w:color w:val="auto"/>
              </w:rPr>
            </w:pPr>
          </w:p>
        </w:tc>
        <w:tc>
          <w:tcPr>
            <w:tcW w:w="2320" w:type="dxa"/>
            <w:vAlign w:val="bottom"/>
            <w:gridSpan w:val="2"/>
          </w:tcPr>
          <w:p>
            <w:pPr>
              <w:ind w:left="120"/>
              <w:spacing w:after="0"/>
              <w:rPr>
                <w:sz w:val="20"/>
                <w:szCs w:val="20"/>
                <w:color w:val="auto"/>
              </w:rPr>
            </w:pPr>
            <w:r>
              <w:rPr>
                <w:rFonts w:ascii="Arial" w:cs="Arial" w:eastAsia="Arial" w:hAnsi="Arial"/>
                <w:sz w:val="16"/>
                <w:szCs w:val="16"/>
                <w:color w:val="auto"/>
              </w:rPr>
              <w:t>4/2025)</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9.00% PIK)</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6"/>
        </w:trPr>
        <w:tc>
          <w:tcPr>
            <w:tcW w:w="2300" w:type="dxa"/>
            <w:vAlign w:val="bottom"/>
            <w:shd w:val="clear" w:color="auto" w:fill="CFF0FC"/>
          </w:tcPr>
          <w:p>
            <w:pPr>
              <w:spacing w:after="0"/>
              <w:rPr>
                <w:sz w:val="17"/>
                <w:szCs w:val="17"/>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First-lien loan (EUR 7,571 par,</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E + 9.00%</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9.00% PIK</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8,258</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7,759</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0.7%</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due 4/2025)</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(EUR 6,912)</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00" w:type="dxa"/>
            <w:vAlign w:val="bottom"/>
          </w:tcPr>
          <w:p>
            <w:pPr>
              <w:spacing w:after="0"/>
              <w:rPr>
                <w:sz w:val="17"/>
                <w:szCs w:val="17"/>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First-lien revolving loan ($427</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9.17%</w:t>
            </w:r>
          </w:p>
        </w:tc>
        <w:tc>
          <w:tcPr>
            <w:tcW w:w="760" w:type="dxa"/>
            <w:vAlign w:val="bottom"/>
          </w:tcPr>
          <w:p>
            <w:pPr>
              <w:jc w:val="right"/>
              <w:spacing w:after="0"/>
              <w:rPr>
                <w:sz w:val="20"/>
                <w:szCs w:val="20"/>
                <w:color w:val="auto"/>
              </w:rPr>
            </w:pPr>
            <w:r>
              <w:rPr>
                <w:rFonts w:ascii="Arial" w:cs="Arial" w:eastAsia="Arial" w:hAnsi="Arial"/>
                <w:sz w:val="16"/>
                <w:szCs w:val="16"/>
                <w:color w:val="auto"/>
              </w:rPr>
              <w:t>384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09"/>
        </w:trPr>
        <w:tc>
          <w:tcPr>
            <w:tcW w:w="2300" w:type="dxa"/>
            <w:vAlign w:val="bottom"/>
          </w:tcPr>
          <w:p>
            <w:pPr>
              <w:spacing w:after="0"/>
              <w:rPr>
                <w:sz w:val="18"/>
                <w:szCs w:val="18"/>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par, due 4/2025)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First-lien revolving loan (EUR</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E + 7.25%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183 par, due 4/2025)</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(EUR 54)</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00" w:type="dxa"/>
            <w:vAlign w:val="bottom"/>
          </w:tcPr>
          <w:p>
            <w:pPr>
              <w:spacing w:after="0" w:line="207" w:lineRule="exact"/>
              <w:rPr>
                <w:sz w:val="20"/>
                <w:szCs w:val="20"/>
                <w:color w:val="auto"/>
              </w:rPr>
            </w:pPr>
            <w:r>
              <w:rPr>
                <w:rFonts w:ascii="Arial" w:cs="Arial" w:eastAsia="Arial" w:hAnsi="Arial"/>
                <w:sz w:val="14"/>
                <w:szCs w:val="14"/>
                <w:color w:val="auto"/>
              </w:rPr>
              <w:t xml:space="preserve">PayLease, LLC </w:t>
            </w:r>
            <w:r>
              <w:rPr>
                <w:rFonts w:ascii="Arial" w:cs="Arial" w:eastAsia="Arial" w:hAnsi="Arial"/>
                <w:sz w:val="23"/>
                <w:szCs w:val="23"/>
                <w:color w:val="auto"/>
                <w:vertAlign w:val="superscript"/>
              </w:rPr>
              <w:t>(3)</w:t>
            </w:r>
          </w:p>
        </w:tc>
        <w:tc>
          <w:tcPr>
            <w:tcW w:w="2540" w:type="dxa"/>
            <w:vAlign w:val="bottom"/>
          </w:tcPr>
          <w:p>
            <w:pPr>
              <w:ind w:left="300"/>
              <w:spacing w:after="0"/>
              <w:rPr>
                <w:sz w:val="20"/>
                <w:szCs w:val="20"/>
                <w:color w:val="auto"/>
              </w:rPr>
            </w:pPr>
            <w:r>
              <w:rPr>
                <w:rFonts w:ascii="Arial" w:cs="Arial" w:eastAsia="Arial" w:hAnsi="Arial"/>
                <w:sz w:val="16"/>
                <w:szCs w:val="16"/>
                <w:color w:val="auto"/>
                <w:w w:val="97"/>
              </w:rPr>
              <w:t>First-lien loan ($64,327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7/28/2017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9.05%</w:t>
            </w:r>
          </w:p>
        </w:tc>
        <w:tc>
          <w:tcPr>
            <w:tcW w:w="760" w:type="dxa"/>
            <w:vAlign w:val="bottom"/>
          </w:tcPr>
          <w:p>
            <w:pPr>
              <w:jc w:val="right"/>
              <w:spacing w:after="0"/>
              <w:rPr>
                <w:sz w:val="20"/>
                <w:szCs w:val="20"/>
                <w:color w:val="auto"/>
              </w:rPr>
            </w:pPr>
            <w:r>
              <w:rPr>
                <w:rFonts w:ascii="Arial" w:cs="Arial" w:eastAsia="Arial" w:hAnsi="Arial"/>
                <w:sz w:val="16"/>
                <w:szCs w:val="16"/>
                <w:color w:val="auto"/>
              </w:rPr>
              <w:t>63,518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65,511</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5.9%</w:t>
            </w:r>
          </w:p>
        </w:tc>
      </w:tr>
      <w:tr>
        <w:trPr>
          <w:trHeight w:val="209"/>
        </w:trPr>
        <w:tc>
          <w:tcPr>
            <w:tcW w:w="2300" w:type="dxa"/>
            <w:vAlign w:val="bottom"/>
          </w:tcPr>
          <w:p>
            <w:pPr>
              <w:spacing w:after="0"/>
              <w:rPr>
                <w:sz w:val="18"/>
                <w:szCs w:val="18"/>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7/2022)</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PrimeRevenue, Inc. </w:t>
            </w:r>
            <w:r>
              <w:rPr>
                <w:rFonts w:ascii="Arial" w:cs="Arial" w:eastAsia="Arial" w:hAnsi="Arial"/>
                <w:sz w:val="24"/>
                <w:szCs w:val="24"/>
                <w:color w:val="auto"/>
                <w:vertAlign w:val="superscript"/>
              </w:rPr>
              <w:t>(3)</w:t>
            </w: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7"/>
              </w:rPr>
              <w:t>First-lien loan ($21,144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12/31/2018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+ 8.50%</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10.30%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20,877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21,213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12/2023)</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5.50% PIK)</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00" w:type="dxa"/>
            <w:vAlign w:val="bottom"/>
          </w:tcPr>
          <w:p>
            <w:pPr>
              <w:spacing w:after="0" w:line="207" w:lineRule="exact"/>
              <w:rPr>
                <w:sz w:val="20"/>
                <w:szCs w:val="20"/>
                <w:color w:val="auto"/>
              </w:rPr>
            </w:pPr>
            <w:r>
              <w:rPr>
                <w:rFonts w:ascii="Arial" w:cs="Arial" w:eastAsia="Arial" w:hAnsi="Arial"/>
                <w:sz w:val="14"/>
                <w:szCs w:val="14"/>
                <w:color w:val="auto"/>
              </w:rPr>
              <w:t xml:space="preserve">Swift Gift, Ltd. </w:t>
            </w:r>
            <w:r>
              <w:rPr>
                <w:rFonts w:ascii="Arial" w:cs="Arial" w:eastAsia="Arial" w:hAnsi="Arial"/>
                <w:sz w:val="23"/>
                <w:szCs w:val="23"/>
                <w:color w:val="auto"/>
                <w:vertAlign w:val="superscript"/>
              </w:rPr>
              <w:t>(3)(5)</w:t>
            </w:r>
          </w:p>
        </w:tc>
        <w:tc>
          <w:tcPr>
            <w:tcW w:w="2540" w:type="dxa"/>
            <w:vAlign w:val="bottom"/>
          </w:tcPr>
          <w:p>
            <w:pPr>
              <w:ind w:left="300"/>
              <w:spacing w:after="0"/>
              <w:rPr>
                <w:sz w:val="20"/>
                <w:szCs w:val="20"/>
                <w:color w:val="auto"/>
              </w:rPr>
            </w:pPr>
            <w:r>
              <w:rPr>
                <w:rFonts w:ascii="Arial" w:cs="Arial" w:eastAsia="Arial" w:hAnsi="Arial"/>
                <w:sz w:val="16"/>
                <w:szCs w:val="16"/>
                <w:color w:val="auto"/>
                <w:w w:val="97"/>
              </w:rPr>
              <w:t>First-lien loan ($28,146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7/31/2017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8.31%</w:t>
            </w:r>
          </w:p>
        </w:tc>
        <w:tc>
          <w:tcPr>
            <w:tcW w:w="760" w:type="dxa"/>
            <w:vAlign w:val="bottom"/>
          </w:tcPr>
          <w:p>
            <w:pPr>
              <w:jc w:val="right"/>
              <w:spacing w:after="0"/>
              <w:rPr>
                <w:sz w:val="20"/>
                <w:szCs w:val="20"/>
                <w:color w:val="auto"/>
              </w:rPr>
            </w:pPr>
            <w:r>
              <w:rPr>
                <w:rFonts w:ascii="Arial" w:cs="Arial" w:eastAsia="Arial" w:hAnsi="Arial"/>
                <w:sz w:val="16"/>
                <w:szCs w:val="16"/>
                <w:color w:val="auto"/>
              </w:rPr>
              <w:t>27,776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28,849</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09"/>
        </w:trPr>
        <w:tc>
          <w:tcPr>
            <w:tcW w:w="2300" w:type="dxa"/>
            <w:vAlign w:val="bottom"/>
            <w:tcBorders>
              <w:bottom w:val="single" w:sz="8" w:color="CFF0FC"/>
            </w:tcBorders>
          </w:tcPr>
          <w:p>
            <w:pPr>
              <w:spacing w:after="0"/>
              <w:rPr>
                <w:sz w:val="18"/>
                <w:szCs w:val="18"/>
                <w:color w:val="auto"/>
              </w:rPr>
            </w:pPr>
          </w:p>
        </w:tc>
        <w:tc>
          <w:tcPr>
            <w:tcW w:w="254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1/2022)</w:t>
            </w:r>
          </w:p>
        </w:tc>
        <w:tc>
          <w:tcPr>
            <w:tcW w:w="100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279,383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283,696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25.3%</w:t>
            </w:r>
          </w:p>
        </w:tc>
      </w:tr>
      <w:tr>
        <w:trPr>
          <w:trHeight w:val="207"/>
        </w:trPr>
        <w:tc>
          <w:tcPr>
            <w:tcW w:w="2300" w:type="dxa"/>
            <w:vAlign w:val="bottom"/>
          </w:tcPr>
          <w:p>
            <w:pPr>
              <w:spacing w:after="0"/>
              <w:rPr>
                <w:sz w:val="20"/>
                <w:szCs w:val="20"/>
                <w:color w:val="auto"/>
              </w:rPr>
            </w:pPr>
            <w:r>
              <w:rPr>
                <w:rFonts w:ascii="Arial" w:cs="Arial" w:eastAsia="Arial" w:hAnsi="Arial"/>
                <w:sz w:val="16"/>
                <w:szCs w:val="16"/>
                <w:b w:val="1"/>
                <w:bCs w:val="1"/>
                <w:color w:val="auto"/>
              </w:rPr>
              <w:t>Healthcare</w:t>
            </w:r>
          </w:p>
        </w:tc>
        <w:tc>
          <w:tcPr>
            <w:tcW w:w="2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Caris Life Sciences, Ltd.</w:t>
            </w: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First-lien loan ($5,000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11.30%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4,956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9/2023)</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00" w:type="dxa"/>
            <w:vAlign w:val="bottom"/>
          </w:tcPr>
          <w:p>
            <w:pPr>
              <w:spacing w:after="0"/>
              <w:rPr>
                <w:sz w:val="17"/>
                <w:szCs w:val="17"/>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Convertible note ($2,500 par,</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9/21/2018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8.00%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8.00%</w:t>
            </w:r>
          </w:p>
        </w:tc>
        <w:tc>
          <w:tcPr>
            <w:tcW w:w="760" w:type="dxa"/>
            <w:vAlign w:val="bottom"/>
          </w:tcPr>
          <w:p>
            <w:pPr>
              <w:jc w:val="right"/>
              <w:spacing w:after="0"/>
              <w:rPr>
                <w:sz w:val="20"/>
                <w:szCs w:val="20"/>
                <w:color w:val="auto"/>
              </w:rPr>
            </w:pPr>
            <w:r>
              <w:rPr>
                <w:rFonts w:ascii="Arial" w:cs="Arial" w:eastAsia="Arial" w:hAnsi="Arial"/>
                <w:sz w:val="16"/>
                <w:szCs w:val="16"/>
                <w:color w:val="auto"/>
              </w:rPr>
              <w:t>2,500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2,550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2300" w:type="dxa"/>
            <w:vAlign w:val="bottom"/>
          </w:tcPr>
          <w:p>
            <w:pPr>
              <w:spacing w:after="0"/>
              <w:rPr>
                <w:sz w:val="18"/>
                <w:szCs w:val="18"/>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due 9/2023)</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Clinicient, Inc.</w:t>
            </w:r>
            <w:r>
              <w:rPr>
                <w:rFonts w:ascii="Arial" w:cs="Arial" w:eastAsia="Arial" w:hAnsi="Arial"/>
                <w:sz w:val="24"/>
                <w:szCs w:val="24"/>
                <w:color w:val="auto"/>
                <w:vertAlign w:val="superscript"/>
              </w:rPr>
              <w:t>(3)</w:t>
            </w: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7"/>
              </w:rPr>
              <w:t>First-lien loan ($15,000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8.94%</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14,829</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14,858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5/2024)</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Integrated Practice</w:t>
            </w:r>
          </w:p>
        </w:tc>
        <w:tc>
          <w:tcPr>
            <w:tcW w:w="2540" w:type="dxa"/>
            <w:vAlign w:val="bottom"/>
          </w:tcPr>
          <w:p>
            <w:pPr>
              <w:ind w:left="300"/>
              <w:spacing w:after="0"/>
              <w:rPr>
                <w:sz w:val="20"/>
                <w:szCs w:val="20"/>
                <w:color w:val="auto"/>
              </w:rPr>
            </w:pPr>
            <w:r>
              <w:rPr>
                <w:rFonts w:ascii="Arial" w:cs="Arial" w:eastAsia="Arial" w:hAnsi="Arial"/>
                <w:sz w:val="16"/>
                <w:szCs w:val="16"/>
                <w:color w:val="auto"/>
                <w:w w:val="97"/>
              </w:rPr>
              <w:t>First-lien loan ($49,875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6/30/2017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760" w:type="dxa"/>
            <w:vAlign w:val="bottom"/>
          </w:tcPr>
          <w:p>
            <w:pPr>
              <w:jc w:val="right"/>
              <w:spacing w:after="0"/>
              <w:rPr>
                <w:sz w:val="20"/>
                <w:szCs w:val="20"/>
                <w:color w:val="auto"/>
              </w:rPr>
            </w:pPr>
            <w:r>
              <w:rPr>
                <w:rFonts w:ascii="Arial" w:cs="Arial" w:eastAsia="Arial" w:hAnsi="Arial"/>
                <w:sz w:val="16"/>
                <w:szCs w:val="16"/>
                <w:color w:val="auto"/>
              </w:rPr>
              <w:t>48,104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49,875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4.5%</w:t>
            </w:r>
          </w:p>
        </w:tc>
      </w:tr>
      <w:tr>
        <w:trPr>
          <w:trHeight w:val="216"/>
        </w:trPr>
        <w:tc>
          <w:tcPr>
            <w:tcW w:w="230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Solutions, Inc. </w:t>
            </w:r>
            <w:r>
              <w:rPr>
                <w:rFonts w:ascii="Arial" w:cs="Arial" w:eastAsia="Arial" w:hAnsi="Arial"/>
                <w:sz w:val="25"/>
                <w:szCs w:val="25"/>
                <w:color w:val="auto"/>
                <w:vertAlign w:val="superscript"/>
              </w:rPr>
              <w:t>(3)(5)</w:t>
            </w:r>
          </w:p>
        </w:tc>
        <w:tc>
          <w:tcPr>
            <w:tcW w:w="2540" w:type="dxa"/>
            <w:vAlign w:val="bottom"/>
          </w:tcPr>
          <w:p>
            <w:pPr>
              <w:ind w:left="300"/>
              <w:spacing w:after="0"/>
              <w:rPr>
                <w:sz w:val="20"/>
                <w:szCs w:val="20"/>
                <w:color w:val="auto"/>
              </w:rPr>
            </w:pPr>
            <w:r>
              <w:rPr>
                <w:rFonts w:ascii="Arial" w:cs="Arial" w:eastAsia="Arial" w:hAnsi="Arial"/>
                <w:sz w:val="16"/>
                <w:szCs w:val="16"/>
                <w:color w:val="auto"/>
              </w:rPr>
              <w:t>10/2024)</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0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MedeAnalytics, Inc. </w:t>
            </w:r>
            <w:r>
              <w:rPr>
                <w:rFonts w:ascii="Arial" w:cs="Arial" w:eastAsia="Arial" w:hAnsi="Arial"/>
                <w:sz w:val="23"/>
                <w:szCs w:val="23"/>
                <w:color w:val="auto"/>
                <w:vertAlign w:val="superscript"/>
              </w:rPr>
              <w:t>(3)(5)</w:t>
            </w: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7"/>
              </w:rPr>
              <w:t>First-lien loan ($40,773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9/30/2015</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40,556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40,875</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9/2020)</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00" w:type="dxa"/>
            <w:vAlign w:val="bottom"/>
          </w:tcPr>
          <w:p>
            <w:pPr>
              <w:spacing w:after="0" w:line="207" w:lineRule="exact"/>
              <w:rPr>
                <w:sz w:val="20"/>
                <w:szCs w:val="20"/>
                <w:color w:val="auto"/>
              </w:rPr>
            </w:pPr>
            <w:r>
              <w:rPr>
                <w:rFonts w:ascii="Arial" w:cs="Arial" w:eastAsia="Arial" w:hAnsi="Arial"/>
                <w:sz w:val="14"/>
                <w:szCs w:val="14"/>
                <w:color w:val="auto"/>
              </w:rPr>
              <w:t xml:space="preserve">Quantros, Inc. </w:t>
            </w:r>
            <w:r>
              <w:rPr>
                <w:rFonts w:ascii="Arial" w:cs="Arial" w:eastAsia="Arial" w:hAnsi="Arial"/>
                <w:sz w:val="23"/>
                <w:szCs w:val="23"/>
                <w:color w:val="auto"/>
                <w:vertAlign w:val="superscript"/>
              </w:rPr>
              <w:t>(3)(5)</w:t>
            </w:r>
          </w:p>
        </w:tc>
        <w:tc>
          <w:tcPr>
            <w:tcW w:w="2540" w:type="dxa"/>
            <w:vAlign w:val="bottom"/>
          </w:tcPr>
          <w:p>
            <w:pPr>
              <w:ind w:left="300"/>
              <w:spacing w:after="0"/>
              <w:rPr>
                <w:sz w:val="20"/>
                <w:szCs w:val="20"/>
                <w:color w:val="auto"/>
              </w:rPr>
            </w:pPr>
            <w:r>
              <w:rPr>
                <w:rFonts w:ascii="Arial" w:cs="Arial" w:eastAsia="Arial" w:hAnsi="Arial"/>
                <w:sz w:val="16"/>
                <w:szCs w:val="16"/>
                <w:color w:val="auto"/>
                <w:w w:val="97"/>
              </w:rPr>
              <w:t>First-lien loan ($18,444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2/29/2016</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10.41%</w:t>
            </w:r>
          </w:p>
        </w:tc>
        <w:tc>
          <w:tcPr>
            <w:tcW w:w="760" w:type="dxa"/>
            <w:vAlign w:val="bottom"/>
          </w:tcPr>
          <w:p>
            <w:pPr>
              <w:jc w:val="right"/>
              <w:spacing w:after="0"/>
              <w:rPr>
                <w:sz w:val="20"/>
                <w:szCs w:val="20"/>
                <w:color w:val="auto"/>
              </w:rPr>
            </w:pPr>
            <w:r>
              <w:rPr>
                <w:rFonts w:ascii="Arial" w:cs="Arial" w:eastAsia="Arial" w:hAnsi="Arial"/>
                <w:sz w:val="16"/>
                <w:szCs w:val="16"/>
                <w:color w:val="auto"/>
              </w:rPr>
              <w:t>18,326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18,444</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1.6%</w:t>
            </w:r>
          </w:p>
        </w:tc>
      </w:tr>
      <w:tr>
        <w:trPr>
          <w:trHeight w:val="209"/>
        </w:trPr>
        <w:tc>
          <w:tcPr>
            <w:tcW w:w="2300" w:type="dxa"/>
            <w:vAlign w:val="bottom"/>
          </w:tcPr>
          <w:p>
            <w:pPr>
              <w:spacing w:after="0"/>
              <w:rPr>
                <w:sz w:val="18"/>
                <w:szCs w:val="18"/>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12/2020)</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TherapeuticsMD, Inc. </w:t>
            </w:r>
            <w:r>
              <w:rPr>
                <w:rFonts w:ascii="Arial" w:cs="Arial" w:eastAsia="Arial" w:hAnsi="Arial"/>
                <w:sz w:val="24"/>
                <w:szCs w:val="24"/>
                <w:color w:val="auto"/>
                <w:vertAlign w:val="superscript"/>
              </w:rPr>
              <w:t>(3)(4)</w:t>
            </w: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7"/>
              </w:rPr>
              <w:t>First-lien loan ($30,000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4/24/2019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+ 7.75%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10.45%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29,333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29,100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3/2024)</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Valant Medical Solutions,</w:t>
            </w:r>
          </w:p>
        </w:tc>
        <w:tc>
          <w:tcPr>
            <w:tcW w:w="2540" w:type="dxa"/>
            <w:vAlign w:val="bottom"/>
          </w:tcPr>
          <w:p>
            <w:pPr>
              <w:ind w:left="300"/>
              <w:spacing w:after="0"/>
              <w:rPr>
                <w:sz w:val="20"/>
                <w:szCs w:val="20"/>
                <w:color w:val="auto"/>
              </w:rPr>
            </w:pPr>
            <w:r>
              <w:rPr>
                <w:rFonts w:ascii="Arial" w:cs="Arial" w:eastAsia="Arial" w:hAnsi="Arial"/>
                <w:sz w:val="16"/>
                <w:szCs w:val="16"/>
                <w:color w:val="auto"/>
                <w:w w:val="97"/>
              </w:rPr>
              <w:t>First-lien loan ($27,936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4/8/2019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+ 8.75%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10.55%</w:t>
            </w:r>
          </w:p>
        </w:tc>
        <w:tc>
          <w:tcPr>
            <w:tcW w:w="760" w:type="dxa"/>
            <w:vAlign w:val="bottom"/>
          </w:tcPr>
          <w:p>
            <w:pPr>
              <w:jc w:val="right"/>
              <w:spacing w:after="0"/>
              <w:rPr>
                <w:sz w:val="20"/>
                <w:szCs w:val="20"/>
                <w:color w:val="auto"/>
              </w:rPr>
            </w:pPr>
            <w:r>
              <w:rPr>
                <w:rFonts w:ascii="Arial" w:cs="Arial" w:eastAsia="Arial" w:hAnsi="Arial"/>
                <w:sz w:val="16"/>
                <w:szCs w:val="16"/>
                <w:color w:val="auto"/>
              </w:rPr>
              <w:t>27,117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27,372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230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Inc. </w:t>
            </w:r>
            <w:r>
              <w:rPr>
                <w:rFonts w:ascii="Arial" w:cs="Arial" w:eastAsia="Arial" w:hAnsi="Arial"/>
                <w:sz w:val="25"/>
                <w:szCs w:val="25"/>
                <w:color w:val="auto"/>
                <w:vertAlign w:val="superscript"/>
              </w:rPr>
              <w:t>(3)</w:t>
            </w:r>
          </w:p>
        </w:tc>
        <w:tc>
          <w:tcPr>
            <w:tcW w:w="2540" w:type="dxa"/>
            <w:vAlign w:val="bottom"/>
          </w:tcPr>
          <w:p>
            <w:pPr>
              <w:ind w:left="300"/>
              <w:spacing w:after="0"/>
              <w:rPr>
                <w:sz w:val="20"/>
                <w:szCs w:val="20"/>
                <w:color w:val="auto"/>
              </w:rPr>
            </w:pPr>
            <w:r>
              <w:rPr>
                <w:rFonts w:ascii="Arial" w:cs="Arial" w:eastAsia="Arial" w:hAnsi="Arial"/>
                <w:sz w:val="16"/>
                <w:szCs w:val="16"/>
                <w:color w:val="auto"/>
              </w:rPr>
              <w:t>4/2024)</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0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Vita Bidco, Inc. </w:t>
            </w:r>
            <w:r>
              <w:rPr>
                <w:rFonts w:ascii="Arial" w:cs="Arial" w:eastAsia="Arial" w:hAnsi="Arial"/>
                <w:sz w:val="23"/>
                <w:szCs w:val="23"/>
                <w:color w:val="auto"/>
                <w:vertAlign w:val="superscript"/>
              </w:rPr>
              <w:t>(3)(5)</w:t>
            </w: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7"/>
              </w:rPr>
              <w:t>First-lien loan ($21,773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+ 6.50%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21,237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21,773</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r>
      <w:tr>
        <w:trPr>
          <w:trHeight w:val="209"/>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2/2024)</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206,857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209,803</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18.6%</w:t>
            </w:r>
          </w:p>
        </w:tc>
      </w:tr>
      <w:tr>
        <w:trPr>
          <w:trHeight w:val="213"/>
        </w:trPr>
        <w:tc>
          <w:tcPr>
            <w:tcW w:w="2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Hotel, gaming, and leisure</w:t>
            </w:r>
          </w:p>
        </w:tc>
        <w:tc>
          <w:tcPr>
            <w:tcW w:w="25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300" w:type="dxa"/>
            <w:vAlign w:val="bottom"/>
          </w:tcPr>
          <w:p>
            <w:pPr>
              <w:spacing w:after="0" w:line="207"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23"/>
                <w:szCs w:val="23"/>
                <w:color w:val="auto"/>
                <w:vertAlign w:val="superscript"/>
              </w:rPr>
              <w:t>(3)(7)</w:t>
            </w:r>
          </w:p>
        </w:tc>
        <w:tc>
          <w:tcPr>
            <w:tcW w:w="2540" w:type="dxa"/>
            <w:vAlign w:val="bottom"/>
          </w:tcPr>
          <w:p>
            <w:pPr>
              <w:ind w:left="300"/>
              <w:spacing w:after="0"/>
              <w:rPr>
                <w:sz w:val="20"/>
                <w:szCs w:val="20"/>
                <w:color w:val="auto"/>
              </w:rPr>
            </w:pPr>
            <w:r>
              <w:rPr>
                <w:rFonts w:ascii="Arial" w:cs="Arial" w:eastAsia="Arial" w:hAnsi="Arial"/>
                <w:sz w:val="16"/>
                <w:szCs w:val="16"/>
                <w:color w:val="auto"/>
                <w:w w:val="97"/>
              </w:rPr>
              <w:t>First-lien loan ($31,600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9/29/2015</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+ 9.50%</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11.44% (incl.</w:t>
            </w:r>
          </w:p>
        </w:tc>
        <w:tc>
          <w:tcPr>
            <w:tcW w:w="760" w:type="dxa"/>
            <w:vAlign w:val="bottom"/>
          </w:tcPr>
          <w:p>
            <w:pPr>
              <w:jc w:val="right"/>
              <w:spacing w:after="0"/>
              <w:rPr>
                <w:sz w:val="20"/>
                <w:szCs w:val="20"/>
                <w:color w:val="auto"/>
              </w:rPr>
            </w:pPr>
            <w:r>
              <w:rPr>
                <w:rFonts w:ascii="Arial" w:cs="Arial" w:eastAsia="Arial" w:hAnsi="Arial"/>
                <w:sz w:val="16"/>
                <w:szCs w:val="16"/>
                <w:color w:val="auto"/>
              </w:rPr>
              <w:t>29,746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31,047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209"/>
        </w:trPr>
        <w:tc>
          <w:tcPr>
            <w:tcW w:w="2300" w:type="dxa"/>
            <w:vAlign w:val="bottom"/>
          </w:tcPr>
          <w:p>
            <w:pPr>
              <w:spacing w:after="0"/>
              <w:rPr>
                <w:sz w:val="18"/>
                <w:szCs w:val="18"/>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9/2021)</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5.00% PIK)</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9"/>
              </w:rPr>
              <w:t>First-lien revolving loan ($3,221</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9/29/2015</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+ 9.50%</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11.44%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3,128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par, due 9/2021)</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5.00% PIK)</w:t>
            </w:r>
          </w:p>
        </w:tc>
        <w:tc>
          <w:tcPr>
            <w:tcW w:w="7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7"/>
        </w:trPr>
        <w:tc>
          <w:tcPr>
            <w:tcW w:w="23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32,967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34,175</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199"/>
        </w:trPr>
        <w:tc>
          <w:tcPr>
            <w:tcW w:w="2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Human resource support</w:t>
            </w:r>
          </w:p>
        </w:tc>
        <w:tc>
          <w:tcPr>
            <w:tcW w:w="254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r>
      <w:tr>
        <w:trPr>
          <w:trHeight w:val="216"/>
        </w:trPr>
        <w:tc>
          <w:tcPr>
            <w:tcW w:w="230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services</w:t>
            </w:r>
          </w:p>
        </w:tc>
        <w:tc>
          <w:tcPr>
            <w:tcW w:w="2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00" w:type="dxa"/>
            <w:vAlign w:val="bottom"/>
          </w:tcPr>
          <w:p>
            <w:pPr>
              <w:spacing w:after="0" w:line="207" w:lineRule="exact"/>
              <w:rPr>
                <w:sz w:val="20"/>
                <w:szCs w:val="20"/>
                <w:color w:val="auto"/>
              </w:rPr>
            </w:pPr>
            <w:r>
              <w:rPr>
                <w:rFonts w:ascii="Arial" w:cs="Arial" w:eastAsia="Arial" w:hAnsi="Arial"/>
                <w:sz w:val="14"/>
                <w:szCs w:val="14"/>
                <w:color w:val="auto"/>
              </w:rPr>
              <w:t xml:space="preserve">Absorb Software, Inc. </w:t>
            </w:r>
            <w:r>
              <w:rPr>
                <w:rFonts w:ascii="Arial" w:cs="Arial" w:eastAsia="Arial" w:hAnsi="Arial"/>
                <w:sz w:val="23"/>
                <w:szCs w:val="23"/>
                <w:color w:val="auto"/>
                <w:vertAlign w:val="superscript"/>
              </w:rPr>
              <w:t>(3)(4)(5)</w:t>
            </w:r>
          </w:p>
        </w:tc>
        <w:tc>
          <w:tcPr>
            <w:tcW w:w="2540" w:type="dxa"/>
            <w:vAlign w:val="bottom"/>
          </w:tcPr>
          <w:p>
            <w:pPr>
              <w:ind w:left="300"/>
              <w:spacing w:after="0"/>
              <w:rPr>
                <w:sz w:val="20"/>
                <w:szCs w:val="20"/>
                <w:color w:val="auto"/>
              </w:rPr>
            </w:pPr>
            <w:r>
              <w:rPr>
                <w:rFonts w:ascii="Arial" w:cs="Arial" w:eastAsia="Arial" w:hAnsi="Arial"/>
                <w:sz w:val="16"/>
                <w:szCs w:val="16"/>
                <w:color w:val="auto"/>
                <w:w w:val="97"/>
              </w:rPr>
              <w:t>First-lien loan ($34,837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7/31/2019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8.30%</w:t>
            </w:r>
          </w:p>
        </w:tc>
        <w:tc>
          <w:tcPr>
            <w:tcW w:w="760" w:type="dxa"/>
            <w:vAlign w:val="bottom"/>
          </w:tcPr>
          <w:p>
            <w:pPr>
              <w:jc w:val="right"/>
              <w:spacing w:after="0"/>
              <w:rPr>
                <w:sz w:val="20"/>
                <w:szCs w:val="20"/>
                <w:color w:val="auto"/>
              </w:rPr>
            </w:pPr>
            <w:r>
              <w:rPr>
                <w:rFonts w:ascii="Arial" w:cs="Arial" w:eastAsia="Arial" w:hAnsi="Arial"/>
                <w:sz w:val="16"/>
                <w:szCs w:val="16"/>
                <w:color w:val="auto"/>
              </w:rPr>
              <w:t>34,122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34,228</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3.1%</w:t>
            </w:r>
          </w:p>
        </w:tc>
      </w:tr>
      <w:tr>
        <w:trPr>
          <w:trHeight w:val="209"/>
        </w:trPr>
        <w:tc>
          <w:tcPr>
            <w:tcW w:w="2300" w:type="dxa"/>
            <w:vAlign w:val="bottom"/>
          </w:tcPr>
          <w:p>
            <w:pPr>
              <w:spacing w:after="0"/>
              <w:rPr>
                <w:sz w:val="18"/>
                <w:szCs w:val="18"/>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5/2024)</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ClearCompany, LLC </w:t>
            </w:r>
            <w:r>
              <w:rPr>
                <w:rFonts w:ascii="Arial" w:cs="Arial" w:eastAsia="Arial" w:hAnsi="Arial"/>
                <w:sz w:val="24"/>
                <w:szCs w:val="24"/>
                <w:color w:val="auto"/>
                <w:vertAlign w:val="superscript"/>
              </w:rPr>
              <w:t>(3)</w:t>
            </w: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7"/>
              </w:rPr>
              <w:t>First-lien loan ($19,192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7/23/2018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+ 8.50%</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10.34%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18,993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19,140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7/2023)</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2.50% PIK)</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00" w:type="dxa"/>
            <w:vAlign w:val="bottom"/>
          </w:tcPr>
          <w:p>
            <w:pPr>
              <w:spacing w:after="0" w:line="207" w:lineRule="exact"/>
              <w:rPr>
                <w:sz w:val="20"/>
                <w:szCs w:val="20"/>
                <w:color w:val="auto"/>
              </w:rPr>
            </w:pPr>
            <w:r>
              <w:rPr>
                <w:rFonts w:ascii="Arial" w:cs="Arial" w:eastAsia="Arial" w:hAnsi="Arial"/>
                <w:sz w:val="14"/>
                <w:szCs w:val="14"/>
                <w:color w:val="auto"/>
              </w:rPr>
              <w:t xml:space="preserve">DaySmart Holdings, LLC </w:t>
            </w:r>
            <w:r>
              <w:rPr>
                <w:rFonts w:ascii="Arial" w:cs="Arial" w:eastAsia="Arial" w:hAnsi="Arial"/>
                <w:sz w:val="23"/>
                <w:szCs w:val="23"/>
                <w:color w:val="auto"/>
                <w:vertAlign w:val="superscript"/>
              </w:rPr>
              <w:t>(3)</w:t>
            </w:r>
          </w:p>
        </w:tc>
        <w:tc>
          <w:tcPr>
            <w:tcW w:w="2540" w:type="dxa"/>
            <w:vAlign w:val="bottom"/>
          </w:tcPr>
          <w:p>
            <w:pPr>
              <w:ind w:left="300"/>
              <w:spacing w:after="0"/>
              <w:rPr>
                <w:sz w:val="20"/>
                <w:szCs w:val="20"/>
                <w:color w:val="auto"/>
              </w:rPr>
            </w:pPr>
            <w:r>
              <w:rPr>
                <w:rFonts w:ascii="Arial" w:cs="Arial" w:eastAsia="Arial" w:hAnsi="Arial"/>
                <w:sz w:val="16"/>
                <w:szCs w:val="16"/>
                <w:color w:val="auto"/>
                <w:w w:val="97"/>
              </w:rPr>
              <w:t>First-lien loan ($30,247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10/1/2019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9.05%</w:t>
            </w:r>
          </w:p>
        </w:tc>
        <w:tc>
          <w:tcPr>
            <w:tcW w:w="760" w:type="dxa"/>
            <w:vAlign w:val="bottom"/>
          </w:tcPr>
          <w:p>
            <w:pPr>
              <w:jc w:val="right"/>
              <w:spacing w:after="0"/>
              <w:rPr>
                <w:sz w:val="20"/>
                <w:szCs w:val="20"/>
                <w:color w:val="auto"/>
              </w:rPr>
            </w:pPr>
            <w:r>
              <w:rPr>
                <w:rFonts w:ascii="Arial" w:cs="Arial" w:eastAsia="Arial" w:hAnsi="Arial"/>
                <w:sz w:val="16"/>
                <w:szCs w:val="16"/>
                <w:color w:val="auto"/>
              </w:rPr>
              <w:t>29,370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29,456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09"/>
        </w:trPr>
        <w:tc>
          <w:tcPr>
            <w:tcW w:w="2300" w:type="dxa"/>
            <w:vAlign w:val="bottom"/>
          </w:tcPr>
          <w:p>
            <w:pPr>
              <w:spacing w:after="0"/>
              <w:rPr>
                <w:sz w:val="18"/>
                <w:szCs w:val="18"/>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10/2024)</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PageUp People, Ltd. </w:t>
            </w:r>
            <w:r>
              <w:rPr>
                <w:rFonts w:ascii="Arial" w:cs="Arial" w:eastAsia="Arial" w:hAnsi="Arial"/>
                <w:sz w:val="24"/>
                <w:szCs w:val="24"/>
                <w:color w:val="auto"/>
                <w:vertAlign w:val="superscript"/>
              </w:rPr>
              <w:t>(3)(4)</w:t>
            </w: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8"/>
              </w:rPr>
              <w:t>First-lien loan (AUD 51,401 par,</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B + 7.25%</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8.50%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39,391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36,042</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due 12/2022)</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1.25% PIK)</w:t>
            </w:r>
          </w:p>
        </w:tc>
        <w:tc>
          <w:tcPr>
            <w:tcW w:w="76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(AUD 51,273)</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00" w:type="dxa"/>
            <w:vAlign w:val="bottom"/>
          </w:tcPr>
          <w:p>
            <w:pPr>
              <w:spacing w:after="0"/>
              <w:rPr>
                <w:sz w:val="17"/>
                <w:szCs w:val="17"/>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First-lien revolving loan (AUD</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1/11/2018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B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tcPr>
          <w:p>
            <w:pPr>
              <w:jc w:val="right"/>
              <w:spacing w:after="0"/>
              <w:rPr>
                <w:sz w:val="20"/>
                <w:szCs w:val="20"/>
                <w:color w:val="auto"/>
              </w:rPr>
            </w:pPr>
            <w:r>
              <w:rPr>
                <w:rFonts w:ascii="Arial" w:cs="Arial" w:eastAsia="Arial" w:hAnsi="Arial"/>
                <w:sz w:val="16"/>
                <w:szCs w:val="16"/>
                <w:color w:val="auto"/>
              </w:rPr>
              <w:t>714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694</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2300" w:type="dxa"/>
            <w:vAlign w:val="bottom"/>
          </w:tcPr>
          <w:p>
            <w:pPr>
              <w:spacing w:after="0"/>
              <w:rPr>
                <w:sz w:val="18"/>
                <w:szCs w:val="18"/>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1,000 par, due 12/2022)</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(AUD 988)</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PayScale Holdings, Inc. </w:t>
            </w:r>
            <w:r>
              <w:rPr>
                <w:rFonts w:ascii="Arial" w:cs="Arial" w:eastAsia="Arial" w:hAnsi="Arial"/>
                <w:sz w:val="24"/>
                <w:szCs w:val="24"/>
                <w:color w:val="auto"/>
                <w:vertAlign w:val="superscript"/>
              </w:rPr>
              <w:t>(3)(5)</w:t>
            </w: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7"/>
              </w:rPr>
              <w:t>First-lien loan ($39,900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8.80%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38,914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39,187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5/2024)</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00" w:type="dxa"/>
            <w:vAlign w:val="bottom"/>
          </w:tcPr>
          <w:p>
            <w:pPr>
              <w:spacing w:after="0" w:line="207" w:lineRule="exact"/>
              <w:rPr>
                <w:sz w:val="20"/>
                <w:szCs w:val="20"/>
                <w:color w:val="auto"/>
              </w:rPr>
            </w:pPr>
            <w:r>
              <w:rPr>
                <w:rFonts w:ascii="Arial" w:cs="Arial" w:eastAsia="Arial" w:hAnsi="Arial"/>
                <w:sz w:val="14"/>
                <w:szCs w:val="14"/>
                <w:color w:val="auto"/>
              </w:rPr>
              <w:t xml:space="preserve">Shaker International, Inc. </w:t>
            </w:r>
            <w:r>
              <w:rPr>
                <w:rFonts w:ascii="Arial" w:cs="Arial" w:eastAsia="Arial" w:hAnsi="Arial"/>
                <w:sz w:val="23"/>
                <w:szCs w:val="23"/>
                <w:color w:val="auto"/>
                <w:vertAlign w:val="superscript"/>
              </w:rPr>
              <w:t>(3)(5)</w:t>
            </w:r>
          </w:p>
        </w:tc>
        <w:tc>
          <w:tcPr>
            <w:tcW w:w="2540" w:type="dxa"/>
            <w:vAlign w:val="bottom"/>
          </w:tcPr>
          <w:p>
            <w:pPr>
              <w:ind w:left="300"/>
              <w:spacing w:after="0"/>
              <w:rPr>
                <w:sz w:val="20"/>
                <w:szCs w:val="20"/>
                <w:color w:val="auto"/>
              </w:rPr>
            </w:pPr>
            <w:r>
              <w:rPr>
                <w:rFonts w:ascii="Arial" w:cs="Arial" w:eastAsia="Arial" w:hAnsi="Arial"/>
                <w:sz w:val="16"/>
                <w:szCs w:val="16"/>
                <w:color w:val="auto"/>
                <w:w w:val="97"/>
              </w:rPr>
              <w:t>First-lien loan ($22,388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5/15/2019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8.94%</w:t>
            </w:r>
          </w:p>
        </w:tc>
        <w:tc>
          <w:tcPr>
            <w:tcW w:w="760" w:type="dxa"/>
            <w:vAlign w:val="bottom"/>
          </w:tcPr>
          <w:p>
            <w:pPr>
              <w:jc w:val="right"/>
              <w:spacing w:after="0"/>
              <w:rPr>
                <w:sz w:val="20"/>
                <w:szCs w:val="20"/>
                <w:color w:val="auto"/>
              </w:rPr>
            </w:pPr>
            <w:r>
              <w:rPr>
                <w:rFonts w:ascii="Arial" w:cs="Arial" w:eastAsia="Arial" w:hAnsi="Arial"/>
                <w:sz w:val="16"/>
                <w:szCs w:val="16"/>
                <w:color w:val="auto"/>
              </w:rPr>
              <w:t>21,879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21,940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2300" w:type="dxa"/>
            <w:vAlign w:val="bottom"/>
            <w:tcBorders>
              <w:bottom w:val="single" w:sz="8" w:color="CFF0FC"/>
            </w:tcBorders>
          </w:tcPr>
          <w:p>
            <w:pPr>
              <w:spacing w:after="0"/>
              <w:rPr>
                <w:sz w:val="18"/>
                <w:szCs w:val="18"/>
                <w:color w:val="auto"/>
              </w:rPr>
            </w:pPr>
          </w:p>
        </w:tc>
        <w:tc>
          <w:tcPr>
            <w:tcW w:w="254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5/2024)</w:t>
            </w:r>
          </w:p>
        </w:tc>
        <w:tc>
          <w:tcPr>
            <w:tcW w:w="100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183,383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180,687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16.2%</w:t>
            </w:r>
          </w:p>
        </w:tc>
      </w:tr>
      <w:tr>
        <w:trPr>
          <w:trHeight w:val="206"/>
        </w:trPr>
        <w:tc>
          <w:tcPr>
            <w:tcW w:w="2300" w:type="dxa"/>
            <w:vAlign w:val="bottom"/>
          </w:tcPr>
          <w:p>
            <w:pPr>
              <w:spacing w:after="0"/>
              <w:rPr>
                <w:sz w:val="20"/>
                <w:szCs w:val="20"/>
                <w:color w:val="auto"/>
              </w:rPr>
            </w:pPr>
            <w:r>
              <w:rPr>
                <w:rFonts w:ascii="Arial" w:cs="Arial" w:eastAsia="Arial" w:hAnsi="Arial"/>
                <w:sz w:val="16"/>
                <w:szCs w:val="16"/>
                <w:b w:val="1"/>
                <w:bCs w:val="1"/>
                <w:color w:val="auto"/>
              </w:rPr>
              <w:t>Insurance</w:t>
            </w:r>
          </w:p>
        </w:tc>
        <w:tc>
          <w:tcPr>
            <w:tcW w:w="2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Riskonnect, Inc. </w:t>
            </w:r>
            <w:r>
              <w:rPr>
                <w:rFonts w:ascii="Arial" w:cs="Arial" w:eastAsia="Arial" w:hAnsi="Arial"/>
                <w:sz w:val="24"/>
                <w:szCs w:val="24"/>
                <w:color w:val="auto"/>
                <w:vertAlign w:val="superscript"/>
              </w:rPr>
              <w:t>(3)(5)</w:t>
            </w: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7"/>
              </w:rPr>
              <w:t>First-lien loan ($49,813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6/30/2017</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49,346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50,186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10/2023)</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Internet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310"/>
        </w:trPr>
        <w:tc>
          <w:tcPr>
            <w:tcW w:w="2400" w:type="dxa"/>
            <w:vAlign w:val="bottom"/>
          </w:tcPr>
          <w:p>
            <w:pPr>
              <w:spacing w:after="0"/>
              <w:rPr>
                <w:sz w:val="20"/>
                <w:szCs w:val="20"/>
                <w:color w:val="auto"/>
              </w:rPr>
            </w:pPr>
            <w:r>
              <w:rPr>
                <w:rFonts w:ascii="Arial" w:cs="Arial" w:eastAsia="Arial" w:hAnsi="Arial"/>
                <w:sz w:val="16"/>
                <w:szCs w:val="16"/>
                <w:color w:val="auto"/>
              </w:rPr>
              <w:t xml:space="preserve">Gainsight, Inc. </w:t>
            </w:r>
            <w:r>
              <w:rPr>
                <w:rFonts w:ascii="Arial" w:cs="Arial" w:eastAsia="Arial" w:hAnsi="Arial"/>
                <w:sz w:val="27"/>
                <w:szCs w:val="27"/>
                <w:color w:val="auto"/>
                <w:vertAlign w:val="superscript"/>
              </w:rPr>
              <w:t>(9)</w:t>
            </w:r>
          </w:p>
        </w:tc>
        <w:tc>
          <w:tcPr>
            <w:tcW w:w="2480" w:type="dxa"/>
            <w:vAlign w:val="bottom"/>
          </w:tcPr>
          <w:p>
            <w:pPr>
              <w:ind w:left="200"/>
              <w:spacing w:after="0"/>
              <w:rPr>
                <w:sz w:val="20"/>
                <w:szCs w:val="20"/>
                <w:color w:val="auto"/>
              </w:rPr>
            </w:pPr>
            <w:r>
              <w:rPr>
                <w:rFonts w:ascii="Arial" w:cs="Arial" w:eastAsia="Arial" w:hAnsi="Arial"/>
                <w:sz w:val="16"/>
                <w:szCs w:val="16"/>
                <w:color w:val="auto"/>
              </w:rPr>
              <w:t>First-lien loan ($3,322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7/29/2019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13.00%</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13.00% PIK</w:t>
            </w:r>
          </w:p>
        </w:tc>
        <w:tc>
          <w:tcPr>
            <w:tcW w:w="760" w:type="dxa"/>
            <w:vAlign w:val="bottom"/>
          </w:tcPr>
          <w:p>
            <w:pPr>
              <w:jc w:val="right"/>
              <w:spacing w:after="0"/>
              <w:rPr>
                <w:sz w:val="20"/>
                <w:szCs w:val="20"/>
                <w:color w:val="auto"/>
              </w:rPr>
            </w:pPr>
            <w:r>
              <w:rPr>
                <w:rFonts w:ascii="Arial" w:cs="Arial" w:eastAsia="Arial" w:hAnsi="Arial"/>
                <w:sz w:val="16"/>
                <w:szCs w:val="16"/>
                <w:color w:val="auto"/>
              </w:rPr>
              <w:t>3,255</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3,284</w:t>
            </w:r>
          </w:p>
        </w:tc>
        <w:tc>
          <w:tcPr>
            <w:tcW w:w="2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240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6"/>
                <w:szCs w:val="16"/>
                <w:color w:val="auto"/>
              </w:rPr>
              <w:t>7/2025)</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Higher Logic, LLC </w:t>
            </w:r>
            <w:r>
              <w:rPr>
                <w:rFonts w:ascii="Arial" w:cs="Arial" w:eastAsia="Arial" w:hAnsi="Arial"/>
                <w:sz w:val="24"/>
                <w:szCs w:val="24"/>
                <w:color w:val="auto"/>
                <w:vertAlign w:val="superscript"/>
              </w:rPr>
              <w:t>(3)(5)</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9"/>
              </w:rPr>
              <w:t>First-lien loan ($37,430 par, due</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6/18/2018</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+ 6.00%</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7.80%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37,034</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37,243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w:t>
            </w:r>
          </w:p>
        </w:tc>
      </w:tr>
      <w:tr>
        <w:trPr>
          <w:trHeight w:val="212"/>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1/2022)</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Lithium Technologies, LLC </w:t>
            </w:r>
            <w:r>
              <w:rPr>
                <w:rFonts w:ascii="Arial" w:cs="Arial" w:eastAsia="Arial" w:hAnsi="Arial"/>
                <w:sz w:val="23"/>
                <w:szCs w:val="23"/>
                <w:color w:val="auto"/>
                <w:vertAlign w:val="superscript"/>
              </w:rPr>
              <w:t>(3)</w:t>
            </w:r>
          </w:p>
        </w:tc>
        <w:tc>
          <w:tcPr>
            <w:tcW w:w="2480" w:type="dxa"/>
            <w:vAlign w:val="bottom"/>
          </w:tcPr>
          <w:p>
            <w:pPr>
              <w:ind w:left="200"/>
              <w:spacing w:after="0"/>
              <w:rPr>
                <w:sz w:val="20"/>
                <w:szCs w:val="20"/>
                <w:color w:val="auto"/>
              </w:rPr>
            </w:pPr>
            <w:r>
              <w:rPr>
                <w:rFonts w:ascii="Arial" w:cs="Arial" w:eastAsia="Arial" w:hAnsi="Arial"/>
                <w:sz w:val="16"/>
                <w:szCs w:val="16"/>
                <w:color w:val="auto"/>
                <w:w w:val="99"/>
              </w:rPr>
              <w:t>First-lien loan ($54,700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10/3/2017</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+ 8.00%</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10.04%</w:t>
            </w:r>
          </w:p>
        </w:tc>
        <w:tc>
          <w:tcPr>
            <w:tcW w:w="760" w:type="dxa"/>
            <w:vAlign w:val="bottom"/>
          </w:tcPr>
          <w:p>
            <w:pPr>
              <w:jc w:val="right"/>
              <w:spacing w:after="0"/>
              <w:rPr>
                <w:sz w:val="20"/>
                <w:szCs w:val="20"/>
                <w:color w:val="auto"/>
              </w:rPr>
            </w:pPr>
            <w:r>
              <w:rPr>
                <w:rFonts w:ascii="Arial" w:cs="Arial" w:eastAsia="Arial" w:hAnsi="Arial"/>
                <w:sz w:val="16"/>
                <w:szCs w:val="16"/>
                <w:color w:val="auto"/>
              </w:rPr>
              <w:t>53,888</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53,967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240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6"/>
                <w:szCs w:val="16"/>
                <w:color w:val="auto"/>
              </w:rPr>
              <w:t>10/2022)</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Lucidworks, Inc. </w:t>
            </w:r>
            <w:r>
              <w:rPr>
                <w:rFonts w:ascii="Arial" w:cs="Arial" w:eastAsia="Arial" w:hAnsi="Arial"/>
                <w:sz w:val="24"/>
                <w:szCs w:val="24"/>
                <w:color w:val="auto"/>
                <w:vertAlign w:val="superscript"/>
              </w:rPr>
              <w:t>(9)</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9"/>
              </w:rPr>
              <w:t>First-lien loan ($12,018 par, due</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7/31/2019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12.00%</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12.00%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11,879</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11,941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w:t>
            </w:r>
          </w:p>
        </w:tc>
      </w:tr>
      <w:tr>
        <w:trPr>
          <w:trHeight w:val="212"/>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7/2024)</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7.00% PIK)</w:t>
            </w: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7"/>
        </w:trPr>
        <w:tc>
          <w:tcPr>
            <w:tcW w:w="2400" w:type="dxa"/>
            <w:vAlign w:val="bottom"/>
            <w:tcBorders>
              <w:bottom w:val="single" w:sz="8" w:color="CFF0FC"/>
            </w:tcBorders>
          </w:tcPr>
          <w:p>
            <w:pPr>
              <w:spacing w:after="0"/>
              <w:rPr>
                <w:sz w:val="17"/>
                <w:szCs w:val="17"/>
                <w:color w:val="auto"/>
              </w:rPr>
            </w:pPr>
          </w:p>
        </w:tc>
        <w:tc>
          <w:tcPr>
            <w:tcW w:w="248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1120" w:type="dxa"/>
            <w:vAlign w:val="bottom"/>
            <w:tcBorders>
              <w:bottom w:val="single" w:sz="8" w:color="CFF0FC"/>
            </w:tcBorders>
          </w:tcPr>
          <w:p>
            <w:pPr>
              <w:spacing w:after="0"/>
              <w:rPr>
                <w:sz w:val="17"/>
                <w:szCs w:val="17"/>
                <w:color w:val="auto"/>
              </w:rPr>
            </w:pPr>
          </w:p>
        </w:tc>
        <w:tc>
          <w:tcPr>
            <w:tcW w:w="136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106,056</w:t>
            </w:r>
          </w:p>
        </w:tc>
        <w:tc>
          <w:tcPr>
            <w:tcW w:w="220" w:type="dxa"/>
            <w:vAlign w:val="bottom"/>
            <w:tcBorders>
              <w:bottom w:val="single" w:sz="8" w:color="CFF0FC"/>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106,435</w:t>
            </w:r>
          </w:p>
        </w:tc>
        <w:tc>
          <w:tcPr>
            <w:tcW w:w="20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w w:val="74"/>
              </w:rPr>
              <w:t>%</w:t>
            </w:r>
          </w:p>
        </w:tc>
      </w:tr>
      <w:tr>
        <w:trPr>
          <w:trHeight w:val="212"/>
        </w:trPr>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Marketing Services</w:t>
            </w:r>
          </w:p>
        </w:tc>
        <w:tc>
          <w:tcPr>
            <w:tcW w:w="2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Acoustic, L.P. </w:t>
            </w:r>
            <w:r>
              <w:rPr>
                <w:rFonts w:ascii="Arial" w:cs="Arial" w:eastAsia="Arial" w:hAnsi="Arial"/>
                <w:sz w:val="23"/>
                <w:szCs w:val="23"/>
                <w:color w:val="auto"/>
                <w:vertAlign w:val="superscript"/>
              </w:rPr>
              <w:t>(3)</w:t>
            </w:r>
          </w:p>
        </w:tc>
        <w:tc>
          <w:tcPr>
            <w:tcW w:w="2480" w:type="dxa"/>
            <w:vAlign w:val="bottom"/>
          </w:tcPr>
          <w:p>
            <w:pPr>
              <w:ind w:left="200"/>
              <w:spacing w:after="0"/>
              <w:rPr>
                <w:sz w:val="20"/>
                <w:szCs w:val="20"/>
                <w:color w:val="auto"/>
              </w:rPr>
            </w:pPr>
            <w:r>
              <w:rPr>
                <w:rFonts w:ascii="Arial" w:cs="Arial" w:eastAsia="Arial" w:hAnsi="Arial"/>
                <w:sz w:val="16"/>
                <w:szCs w:val="16"/>
                <w:color w:val="auto"/>
                <w:w w:val="99"/>
              </w:rPr>
              <w:t>First-lien note ($33,000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12/17/2019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+ 7.00%</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8.80%</w:t>
            </w:r>
          </w:p>
        </w:tc>
        <w:tc>
          <w:tcPr>
            <w:tcW w:w="760" w:type="dxa"/>
            <w:vAlign w:val="bottom"/>
          </w:tcPr>
          <w:p>
            <w:pPr>
              <w:jc w:val="right"/>
              <w:spacing w:after="0"/>
              <w:rPr>
                <w:sz w:val="20"/>
                <w:szCs w:val="20"/>
                <w:color w:val="auto"/>
              </w:rPr>
            </w:pPr>
            <w:r>
              <w:rPr>
                <w:rFonts w:ascii="Arial" w:cs="Arial" w:eastAsia="Arial" w:hAnsi="Arial"/>
                <w:sz w:val="16"/>
                <w:szCs w:val="16"/>
                <w:color w:val="auto"/>
              </w:rPr>
              <w:t>32,230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32,175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09"/>
        </w:trPr>
        <w:tc>
          <w:tcPr>
            <w:tcW w:w="240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6"/>
                <w:szCs w:val="16"/>
                <w:color w:val="auto"/>
              </w:rPr>
              <w:t>6/2024)</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Office products</w:t>
            </w:r>
          </w:p>
        </w:tc>
        <w:tc>
          <w:tcPr>
            <w:tcW w:w="2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USR Parent, Inc. </w:t>
            </w:r>
            <w:r>
              <w:rPr>
                <w:rFonts w:ascii="Arial" w:cs="Arial" w:eastAsia="Arial" w:hAnsi="Arial"/>
                <w:sz w:val="23"/>
                <w:szCs w:val="23"/>
                <w:color w:val="auto"/>
                <w:vertAlign w:val="superscript"/>
              </w:rPr>
              <w:t>(3)(5)</w:t>
            </w:r>
          </w:p>
        </w:tc>
        <w:tc>
          <w:tcPr>
            <w:tcW w:w="2480" w:type="dxa"/>
            <w:vAlign w:val="bottom"/>
          </w:tcPr>
          <w:p>
            <w:pPr>
              <w:ind w:left="200"/>
              <w:spacing w:after="0"/>
              <w:rPr>
                <w:sz w:val="20"/>
                <w:szCs w:val="20"/>
                <w:color w:val="auto"/>
              </w:rPr>
            </w:pPr>
            <w:r>
              <w:rPr>
                <w:rFonts w:ascii="Arial" w:cs="Arial" w:eastAsia="Arial" w:hAnsi="Arial"/>
                <w:sz w:val="16"/>
                <w:szCs w:val="16"/>
                <w:color w:val="auto"/>
              </w:rPr>
              <w:t>ABL FILO term loan ($11,500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9/12/2017</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+ 7.75%</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9.45%</w:t>
            </w:r>
          </w:p>
        </w:tc>
        <w:tc>
          <w:tcPr>
            <w:tcW w:w="760" w:type="dxa"/>
            <w:vAlign w:val="bottom"/>
          </w:tcPr>
          <w:p>
            <w:pPr>
              <w:jc w:val="right"/>
              <w:spacing w:after="0"/>
              <w:rPr>
                <w:sz w:val="20"/>
                <w:szCs w:val="20"/>
                <w:color w:val="auto"/>
              </w:rPr>
            </w:pPr>
            <w:r>
              <w:rPr>
                <w:rFonts w:ascii="Arial" w:cs="Arial" w:eastAsia="Arial" w:hAnsi="Arial"/>
                <w:sz w:val="16"/>
                <w:szCs w:val="16"/>
                <w:color w:val="auto"/>
              </w:rPr>
              <w:t>11,338</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11,701</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240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6"/>
                <w:szCs w:val="16"/>
                <w:color w:val="auto"/>
              </w:rPr>
              <w:t>par, due 9/2022)</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Oil, gas and consumable fuels</w:t>
            </w:r>
          </w:p>
        </w:tc>
        <w:tc>
          <w:tcPr>
            <w:tcW w:w="2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Energy Alloys, LLC </w:t>
            </w:r>
            <w:r>
              <w:rPr>
                <w:rFonts w:ascii="Arial" w:cs="Arial" w:eastAsia="Arial" w:hAnsi="Arial"/>
                <w:sz w:val="23"/>
                <w:szCs w:val="23"/>
                <w:color w:val="auto"/>
                <w:vertAlign w:val="superscript"/>
              </w:rPr>
              <w:t>(3)(5)</w:t>
            </w:r>
          </w:p>
        </w:tc>
        <w:tc>
          <w:tcPr>
            <w:tcW w:w="2480" w:type="dxa"/>
            <w:vAlign w:val="bottom"/>
          </w:tcPr>
          <w:p>
            <w:pPr>
              <w:ind w:left="200"/>
              <w:spacing w:after="0"/>
              <w:rPr>
                <w:sz w:val="20"/>
                <w:szCs w:val="20"/>
                <w:color w:val="auto"/>
              </w:rPr>
            </w:pPr>
            <w:r>
              <w:rPr>
                <w:rFonts w:ascii="Arial" w:cs="Arial" w:eastAsia="Arial" w:hAnsi="Arial"/>
                <w:sz w:val="16"/>
                <w:szCs w:val="16"/>
                <w:color w:val="auto"/>
              </w:rPr>
              <w:t>ABL FILO term loan ($22,000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8/28/2019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+ 6.25%</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8.25%</w:t>
            </w:r>
          </w:p>
        </w:tc>
        <w:tc>
          <w:tcPr>
            <w:tcW w:w="760" w:type="dxa"/>
            <w:vAlign w:val="bottom"/>
          </w:tcPr>
          <w:p>
            <w:pPr>
              <w:jc w:val="right"/>
              <w:spacing w:after="0"/>
              <w:rPr>
                <w:sz w:val="20"/>
                <w:szCs w:val="20"/>
                <w:color w:val="auto"/>
              </w:rPr>
            </w:pPr>
            <w:r>
              <w:rPr>
                <w:rFonts w:ascii="Arial" w:cs="Arial" w:eastAsia="Arial" w:hAnsi="Arial"/>
                <w:sz w:val="16"/>
                <w:szCs w:val="16"/>
                <w:color w:val="auto"/>
              </w:rPr>
              <w:t>21,171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21,260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1.9%</w:t>
            </w:r>
          </w:p>
        </w:tc>
      </w:tr>
      <w:tr>
        <w:trPr>
          <w:trHeight w:val="209"/>
        </w:trPr>
        <w:tc>
          <w:tcPr>
            <w:tcW w:w="240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6"/>
                <w:szCs w:val="16"/>
                <w:color w:val="auto"/>
              </w:rPr>
              <w:t>par, due 8/2024)</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MD America Energy, LLC </w:t>
            </w:r>
            <w:r>
              <w:rPr>
                <w:rFonts w:ascii="Arial" w:cs="Arial" w:eastAsia="Arial" w:hAnsi="Arial"/>
                <w:sz w:val="24"/>
                <w:szCs w:val="24"/>
                <w:color w:val="auto"/>
                <w:vertAlign w:val="superscript"/>
              </w:rPr>
              <w:t>(3)</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9"/>
              </w:rPr>
              <w:t>First-lien loan ($19,069 par, due</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11/14/2018</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+ 7.75%</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9.67%</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18,836</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18,640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w:t>
            </w:r>
          </w:p>
        </w:tc>
      </w:tr>
      <w:tr>
        <w:trPr>
          <w:trHeight w:val="212"/>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11/2023)</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Mississippi Resources, LLC </w:t>
            </w:r>
            <w:r>
              <w:rPr>
                <w:rFonts w:ascii="Arial" w:cs="Arial" w:eastAsia="Arial" w:hAnsi="Arial"/>
                <w:sz w:val="23"/>
                <w:szCs w:val="23"/>
                <w:color w:val="auto"/>
                <w:vertAlign w:val="superscript"/>
              </w:rPr>
              <w:t>(3)(7)</w:t>
            </w:r>
          </w:p>
        </w:tc>
        <w:tc>
          <w:tcPr>
            <w:tcW w:w="2480" w:type="dxa"/>
            <w:vAlign w:val="bottom"/>
          </w:tcPr>
          <w:p>
            <w:pPr>
              <w:ind w:left="200"/>
              <w:spacing w:after="0"/>
              <w:rPr>
                <w:sz w:val="20"/>
                <w:szCs w:val="20"/>
                <w:color w:val="auto"/>
              </w:rPr>
            </w:pPr>
            <w:r>
              <w:rPr>
                <w:rFonts w:ascii="Arial" w:cs="Arial" w:eastAsia="Arial" w:hAnsi="Arial"/>
                <w:sz w:val="16"/>
                <w:szCs w:val="16"/>
                <w:color w:val="auto"/>
              </w:rPr>
              <w:t>First-lien loan ($8,000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6/29/2018</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+ 9.00%</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10.80%</w:t>
            </w:r>
          </w:p>
        </w:tc>
        <w:tc>
          <w:tcPr>
            <w:tcW w:w="760" w:type="dxa"/>
            <w:vAlign w:val="bottom"/>
          </w:tcPr>
          <w:p>
            <w:pPr>
              <w:jc w:val="right"/>
              <w:spacing w:after="0"/>
              <w:rPr>
                <w:sz w:val="20"/>
                <w:szCs w:val="20"/>
                <w:color w:val="auto"/>
              </w:rPr>
            </w:pPr>
            <w:r>
              <w:rPr>
                <w:rFonts w:ascii="Arial" w:cs="Arial" w:eastAsia="Arial" w:hAnsi="Arial"/>
                <w:sz w:val="16"/>
                <w:szCs w:val="16"/>
                <w:color w:val="auto"/>
              </w:rPr>
              <w:t>7,998</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8,000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0.7%</w:t>
            </w:r>
          </w:p>
        </w:tc>
      </w:tr>
      <w:tr>
        <w:trPr>
          <w:trHeight w:val="209"/>
        </w:trPr>
        <w:tc>
          <w:tcPr>
            <w:tcW w:w="240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6"/>
                <w:szCs w:val="16"/>
                <w:color w:val="auto"/>
              </w:rPr>
              <w:t>6/2020)</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Verdad Resources Intermediate</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9"/>
              </w:rPr>
              <w:t>First-lien loan ($42,222 par, due</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4/10/2019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+ 7.50%</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41,257</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41,347</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240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Holdings, LLC </w:t>
            </w:r>
            <w:r>
              <w:rPr>
                <w:rFonts w:ascii="Arial" w:cs="Arial" w:eastAsia="Arial" w:hAnsi="Arial"/>
                <w:sz w:val="25"/>
                <w:szCs w:val="25"/>
                <w:color w:val="auto"/>
                <w:vertAlign w:val="superscript"/>
              </w:rPr>
              <w:t>(3)</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10/2023)</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7"/>
        </w:trPr>
        <w:tc>
          <w:tcPr>
            <w:tcW w:w="24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89,262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89,247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8.0%</w:t>
            </w:r>
          </w:p>
        </w:tc>
      </w:tr>
      <w:tr>
        <w:trPr>
          <w:trHeight w:val="212"/>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Pharmaceuticals</w:t>
            </w:r>
          </w:p>
        </w:tc>
        <w:tc>
          <w:tcPr>
            <w:tcW w:w="24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Nektar Therapeutics </w:t>
            </w:r>
            <w:r>
              <w:rPr>
                <w:rFonts w:ascii="Arial" w:cs="Arial" w:eastAsia="Arial" w:hAnsi="Arial"/>
                <w:sz w:val="23"/>
                <w:szCs w:val="23"/>
                <w:color w:val="auto"/>
                <w:vertAlign w:val="superscript"/>
              </w:rPr>
              <w:t>(4)(5)(9)</w:t>
            </w:r>
          </w:p>
        </w:tc>
        <w:tc>
          <w:tcPr>
            <w:tcW w:w="2480" w:type="dxa"/>
            <w:vAlign w:val="bottom"/>
          </w:tcPr>
          <w:p>
            <w:pPr>
              <w:ind w:left="200"/>
              <w:spacing w:after="0"/>
              <w:rPr>
                <w:sz w:val="20"/>
                <w:szCs w:val="20"/>
                <w:color w:val="auto"/>
              </w:rPr>
            </w:pPr>
            <w:r>
              <w:rPr>
                <w:rFonts w:ascii="Arial" w:cs="Arial" w:eastAsia="Arial" w:hAnsi="Arial"/>
                <w:sz w:val="16"/>
                <w:szCs w:val="16"/>
                <w:color w:val="auto"/>
              </w:rPr>
              <w:t>Secured note ($74,950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10/5/2015</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7.75%</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7.75%</w:t>
            </w:r>
          </w:p>
        </w:tc>
        <w:tc>
          <w:tcPr>
            <w:tcW w:w="760" w:type="dxa"/>
            <w:vAlign w:val="bottom"/>
          </w:tcPr>
          <w:p>
            <w:pPr>
              <w:jc w:val="right"/>
              <w:spacing w:after="0"/>
              <w:rPr>
                <w:sz w:val="20"/>
                <w:szCs w:val="20"/>
                <w:color w:val="auto"/>
              </w:rPr>
            </w:pPr>
            <w:r>
              <w:rPr>
                <w:rFonts w:ascii="Arial" w:cs="Arial" w:eastAsia="Arial" w:hAnsi="Arial"/>
                <w:sz w:val="16"/>
                <w:szCs w:val="16"/>
                <w:color w:val="auto"/>
              </w:rPr>
              <w:t>74,774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76,074</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6.8%</w:t>
            </w:r>
          </w:p>
        </w:tc>
      </w:tr>
      <w:tr>
        <w:trPr>
          <w:trHeight w:val="209"/>
        </w:trPr>
        <w:tc>
          <w:tcPr>
            <w:tcW w:w="240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6"/>
                <w:szCs w:val="16"/>
                <w:color w:val="auto"/>
              </w:rPr>
              <w:t>10/2020)</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Real Estate</w:t>
            </w:r>
          </w:p>
        </w:tc>
        <w:tc>
          <w:tcPr>
            <w:tcW w:w="2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ResMan, LLC </w:t>
            </w:r>
            <w:r>
              <w:rPr>
                <w:rFonts w:ascii="Arial" w:cs="Arial" w:eastAsia="Arial" w:hAnsi="Arial"/>
                <w:sz w:val="23"/>
                <w:szCs w:val="23"/>
                <w:color w:val="auto"/>
                <w:vertAlign w:val="superscript"/>
              </w:rPr>
              <w:t>(3)</w:t>
            </w:r>
          </w:p>
        </w:tc>
        <w:tc>
          <w:tcPr>
            <w:tcW w:w="2480" w:type="dxa"/>
            <w:vAlign w:val="bottom"/>
          </w:tcPr>
          <w:p>
            <w:pPr>
              <w:ind w:left="200"/>
              <w:spacing w:after="0"/>
              <w:rPr>
                <w:sz w:val="20"/>
                <w:szCs w:val="20"/>
                <w:color w:val="auto"/>
              </w:rPr>
            </w:pPr>
            <w:r>
              <w:rPr>
                <w:rFonts w:ascii="Arial" w:cs="Arial" w:eastAsia="Arial" w:hAnsi="Arial"/>
                <w:sz w:val="16"/>
                <w:szCs w:val="16"/>
                <w:color w:val="auto"/>
                <w:w w:val="99"/>
              </w:rPr>
              <w:t>First-lien loan ($20,648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10/3/2019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+ 8.00%</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9.94%</w:t>
            </w:r>
          </w:p>
        </w:tc>
        <w:tc>
          <w:tcPr>
            <w:tcW w:w="760" w:type="dxa"/>
            <w:vAlign w:val="bottom"/>
          </w:tcPr>
          <w:p>
            <w:pPr>
              <w:jc w:val="right"/>
              <w:spacing w:after="0"/>
              <w:rPr>
                <w:sz w:val="20"/>
                <w:szCs w:val="20"/>
                <w:color w:val="auto"/>
              </w:rPr>
            </w:pPr>
            <w:r>
              <w:rPr>
                <w:rFonts w:ascii="Arial" w:cs="Arial" w:eastAsia="Arial" w:hAnsi="Arial"/>
                <w:sz w:val="16"/>
                <w:szCs w:val="16"/>
                <w:color w:val="auto"/>
              </w:rPr>
              <w:t>20,208</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20,303</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1.8%</w:t>
            </w:r>
          </w:p>
        </w:tc>
      </w:tr>
      <w:tr>
        <w:trPr>
          <w:trHeight w:val="209"/>
        </w:trPr>
        <w:tc>
          <w:tcPr>
            <w:tcW w:w="240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6"/>
                <w:szCs w:val="16"/>
                <w:color w:val="auto"/>
              </w:rPr>
              <w:t>10/2024)</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Retail and consumer products</w:t>
            </w:r>
          </w:p>
        </w:tc>
        <w:tc>
          <w:tcPr>
            <w:tcW w:w="2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99 Cents Only Stores LLC </w:t>
            </w:r>
            <w:r>
              <w:rPr>
                <w:rFonts w:ascii="Arial" w:cs="Arial" w:eastAsia="Arial" w:hAnsi="Arial"/>
                <w:sz w:val="23"/>
                <w:szCs w:val="23"/>
                <w:color w:val="auto"/>
                <w:vertAlign w:val="superscript"/>
              </w:rPr>
              <w:t>(3)</w:t>
            </w:r>
          </w:p>
        </w:tc>
        <w:tc>
          <w:tcPr>
            <w:tcW w:w="2480" w:type="dxa"/>
            <w:vAlign w:val="bottom"/>
          </w:tcPr>
          <w:p>
            <w:pPr>
              <w:ind w:left="200"/>
              <w:spacing w:after="0"/>
              <w:rPr>
                <w:sz w:val="20"/>
                <w:szCs w:val="20"/>
                <w:color w:val="auto"/>
              </w:rPr>
            </w:pPr>
            <w:r>
              <w:rPr>
                <w:rFonts w:ascii="Arial" w:cs="Arial" w:eastAsia="Arial" w:hAnsi="Arial"/>
                <w:sz w:val="16"/>
                <w:szCs w:val="16"/>
                <w:color w:val="auto"/>
              </w:rPr>
              <w:t>ABL FILO term loan ($32,500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9/6/2017</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+ 7.75%</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9.64%</w:t>
            </w:r>
          </w:p>
        </w:tc>
        <w:tc>
          <w:tcPr>
            <w:tcW w:w="760" w:type="dxa"/>
            <w:vAlign w:val="bottom"/>
          </w:tcPr>
          <w:p>
            <w:pPr>
              <w:jc w:val="right"/>
              <w:spacing w:after="0"/>
              <w:rPr>
                <w:sz w:val="20"/>
                <w:szCs w:val="20"/>
                <w:color w:val="auto"/>
              </w:rPr>
            </w:pPr>
            <w:r>
              <w:rPr>
                <w:rFonts w:ascii="Arial" w:cs="Arial" w:eastAsia="Arial" w:hAnsi="Arial"/>
                <w:sz w:val="16"/>
                <w:szCs w:val="16"/>
                <w:color w:val="auto"/>
              </w:rPr>
              <w:t>32,303</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32,581</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09"/>
        </w:trPr>
        <w:tc>
          <w:tcPr>
            <w:tcW w:w="240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6"/>
                <w:szCs w:val="16"/>
                <w:color w:val="auto"/>
              </w:rPr>
              <w:t>par, due 4/2021)</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American Achievement,</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9"/>
              </w:rPr>
              <w:t>First-lien loan ($22,619 par, due</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9/30/2015</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+ 8.25%</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9.95%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22,540</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22,167</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2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(3)(5)</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9/2022)</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Forever 21, Inc. </w:t>
            </w:r>
            <w:r>
              <w:rPr>
                <w:rFonts w:ascii="Arial" w:cs="Arial" w:eastAsia="Arial" w:hAnsi="Arial"/>
                <w:sz w:val="23"/>
                <w:szCs w:val="23"/>
                <w:color w:val="auto"/>
                <w:vertAlign w:val="superscript"/>
              </w:rPr>
              <w:t>(3)</w:t>
            </w:r>
          </w:p>
        </w:tc>
        <w:tc>
          <w:tcPr>
            <w:tcW w:w="2480" w:type="dxa"/>
            <w:vAlign w:val="bottom"/>
          </w:tcPr>
          <w:p>
            <w:pPr>
              <w:ind w:left="200"/>
              <w:spacing w:after="0"/>
              <w:rPr>
                <w:sz w:val="20"/>
                <w:szCs w:val="20"/>
                <w:color w:val="auto"/>
              </w:rPr>
            </w:pPr>
            <w:r>
              <w:rPr>
                <w:rFonts w:ascii="Arial" w:cs="Arial" w:eastAsia="Arial" w:hAnsi="Arial"/>
                <w:sz w:val="16"/>
                <w:szCs w:val="16"/>
                <w:color w:val="auto"/>
                <w:w w:val="97"/>
              </w:rPr>
              <w:t>ABL DIP term loan ($50,000 par,</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10/2/2019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+ 12.00%</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13.81%</w:t>
            </w:r>
          </w:p>
        </w:tc>
        <w:tc>
          <w:tcPr>
            <w:tcW w:w="760" w:type="dxa"/>
            <w:vAlign w:val="bottom"/>
          </w:tcPr>
          <w:p>
            <w:pPr>
              <w:jc w:val="right"/>
              <w:spacing w:after="0"/>
              <w:rPr>
                <w:sz w:val="20"/>
                <w:szCs w:val="20"/>
                <w:color w:val="auto"/>
              </w:rPr>
            </w:pPr>
            <w:r>
              <w:rPr>
                <w:rFonts w:ascii="Arial" w:cs="Arial" w:eastAsia="Arial" w:hAnsi="Arial"/>
                <w:sz w:val="16"/>
                <w:szCs w:val="16"/>
                <w:color w:val="auto"/>
              </w:rPr>
              <w:t>48,970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48,500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4.3%</w:t>
            </w:r>
          </w:p>
        </w:tc>
      </w:tr>
      <w:tr>
        <w:trPr>
          <w:trHeight w:val="209"/>
        </w:trPr>
        <w:tc>
          <w:tcPr>
            <w:tcW w:w="240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6"/>
                <w:szCs w:val="16"/>
                <w:color w:val="auto"/>
              </w:rPr>
              <w:t>due 7/2020)</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00" w:type="dxa"/>
            <w:vAlign w:val="bottom"/>
            <w:shd w:val="clear" w:color="auto" w:fill="CFF0FC"/>
          </w:tcPr>
          <w:p>
            <w:pPr>
              <w:spacing w:after="0" w:line="205" w:lineRule="exact"/>
              <w:rPr>
                <w:sz w:val="20"/>
                <w:szCs w:val="20"/>
                <w:color w:val="auto"/>
              </w:rPr>
            </w:pPr>
            <w:r>
              <w:rPr>
                <w:rFonts w:ascii="Arial" w:cs="Arial" w:eastAsia="Arial" w:hAnsi="Arial"/>
                <w:sz w:val="14"/>
                <w:szCs w:val="14"/>
                <w:color w:val="auto"/>
              </w:rPr>
              <w:t xml:space="preserve">J.C. Penney Company, Inc. </w:t>
            </w:r>
            <w:r>
              <w:rPr>
                <w:rFonts w:ascii="Arial" w:cs="Arial" w:eastAsia="Arial" w:hAnsi="Arial"/>
                <w:sz w:val="23"/>
                <w:szCs w:val="23"/>
                <w:color w:val="auto"/>
                <w:vertAlign w:val="superscript"/>
              </w:rPr>
              <w:t>(4)(11)</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First-lien loan ($6,201 par, due</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+ 4.25%</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6.16%</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5,358</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5,451</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w:t>
            </w:r>
          </w:p>
        </w:tc>
      </w:tr>
      <w:tr>
        <w:trPr>
          <w:trHeight w:val="216"/>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00"/>
              <w:spacing w:after="0" w:line="216" w:lineRule="exact"/>
              <w:rPr>
                <w:sz w:val="20"/>
                <w:szCs w:val="20"/>
                <w:color w:val="auto"/>
              </w:rPr>
            </w:pPr>
            <w:r>
              <w:rPr>
                <w:rFonts w:ascii="Arial" w:cs="Arial" w:eastAsia="Arial" w:hAnsi="Arial"/>
                <w:sz w:val="15"/>
                <w:szCs w:val="15"/>
                <w:color w:val="auto"/>
              </w:rPr>
              <w:t>6/2023)</w:t>
            </w:r>
            <w:r>
              <w:rPr>
                <w:rFonts w:ascii="Arial" w:cs="Arial" w:eastAsia="Arial" w:hAnsi="Arial"/>
                <w:sz w:val="25"/>
                <w:szCs w:val="25"/>
                <w:color w:val="auto"/>
                <w:vertAlign w:val="superscript"/>
              </w:rPr>
              <w:t>(3)</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rPr>
                <w:sz w:val="17"/>
                <w:szCs w:val="17"/>
                <w:color w:val="auto"/>
              </w:rPr>
            </w:pPr>
          </w:p>
        </w:tc>
        <w:tc>
          <w:tcPr>
            <w:tcW w:w="2480" w:type="dxa"/>
            <w:vAlign w:val="bottom"/>
          </w:tcPr>
          <w:p>
            <w:pPr>
              <w:ind w:left="200"/>
              <w:spacing w:after="0"/>
              <w:rPr>
                <w:sz w:val="20"/>
                <w:szCs w:val="20"/>
                <w:color w:val="auto"/>
              </w:rPr>
            </w:pPr>
            <w:r>
              <w:rPr>
                <w:rFonts w:ascii="Arial" w:cs="Arial" w:eastAsia="Arial" w:hAnsi="Arial"/>
                <w:sz w:val="16"/>
                <w:szCs w:val="16"/>
                <w:color w:val="auto"/>
              </w:rPr>
              <w:t>First-lien secured note ($11,559</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6/5/2019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5.88%</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5.88%</w:t>
            </w:r>
          </w:p>
        </w:tc>
        <w:tc>
          <w:tcPr>
            <w:tcW w:w="760" w:type="dxa"/>
            <w:vAlign w:val="bottom"/>
          </w:tcPr>
          <w:p>
            <w:pPr>
              <w:jc w:val="right"/>
              <w:spacing w:after="0"/>
              <w:rPr>
                <w:sz w:val="20"/>
                <w:szCs w:val="20"/>
                <w:color w:val="auto"/>
              </w:rPr>
            </w:pPr>
            <w:r>
              <w:rPr>
                <w:rFonts w:ascii="Arial" w:cs="Arial" w:eastAsia="Arial" w:hAnsi="Arial"/>
                <w:sz w:val="16"/>
                <w:szCs w:val="16"/>
                <w:color w:val="auto"/>
              </w:rPr>
              <w:t>9,761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9,911</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0.9%</w:t>
            </w:r>
          </w:p>
        </w:tc>
      </w:tr>
      <w:tr>
        <w:trPr>
          <w:trHeight w:val="209"/>
        </w:trPr>
        <w:tc>
          <w:tcPr>
            <w:tcW w:w="240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6"/>
                <w:szCs w:val="16"/>
                <w:color w:val="auto"/>
              </w:rPr>
              <w:t>par, due 7/2023)</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Maurices, Inc. </w:t>
            </w:r>
            <w:r>
              <w:rPr>
                <w:rFonts w:ascii="Arial" w:cs="Arial" w:eastAsia="Arial" w:hAnsi="Arial"/>
                <w:sz w:val="24"/>
                <w:szCs w:val="24"/>
                <w:color w:val="auto"/>
                <w:vertAlign w:val="superscript"/>
              </w:rPr>
              <w:t>(3)(5)</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ABL FILO term loan ($27,778</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+ 6.50%</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8.21%</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27,014</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28,958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212"/>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par, due 5/2024)</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Moran Foods, LLC </w:t>
            </w:r>
            <w:r>
              <w:rPr>
                <w:rFonts w:ascii="Arial" w:cs="Arial" w:eastAsia="Arial" w:hAnsi="Arial"/>
                <w:sz w:val="23"/>
                <w:szCs w:val="23"/>
                <w:color w:val="auto"/>
                <w:vertAlign w:val="superscript"/>
              </w:rPr>
              <w:t>(3)</w:t>
            </w:r>
          </w:p>
        </w:tc>
        <w:tc>
          <w:tcPr>
            <w:tcW w:w="2480" w:type="dxa"/>
            <w:vAlign w:val="bottom"/>
          </w:tcPr>
          <w:p>
            <w:pPr>
              <w:ind w:left="200"/>
              <w:spacing w:after="0"/>
              <w:rPr>
                <w:sz w:val="20"/>
                <w:szCs w:val="20"/>
                <w:color w:val="auto"/>
              </w:rPr>
            </w:pPr>
            <w:r>
              <w:rPr>
                <w:rFonts w:ascii="Arial" w:cs="Arial" w:eastAsia="Arial" w:hAnsi="Arial"/>
                <w:sz w:val="16"/>
                <w:szCs w:val="16"/>
                <w:color w:val="auto"/>
              </w:rPr>
              <w:t>ABL FILO term loan ($39,138</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6/21/2019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+ 6.75%</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8.69%</w:t>
            </w:r>
          </w:p>
        </w:tc>
        <w:tc>
          <w:tcPr>
            <w:tcW w:w="760" w:type="dxa"/>
            <w:vAlign w:val="bottom"/>
          </w:tcPr>
          <w:p>
            <w:pPr>
              <w:jc w:val="right"/>
              <w:spacing w:after="0"/>
              <w:rPr>
                <w:sz w:val="20"/>
                <w:szCs w:val="20"/>
                <w:color w:val="auto"/>
              </w:rPr>
            </w:pPr>
            <w:r>
              <w:rPr>
                <w:rFonts w:ascii="Arial" w:cs="Arial" w:eastAsia="Arial" w:hAnsi="Arial"/>
                <w:sz w:val="16"/>
                <w:szCs w:val="16"/>
                <w:color w:val="auto"/>
              </w:rPr>
              <w:t>38,750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39,138</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3.5%</w:t>
            </w:r>
          </w:p>
        </w:tc>
      </w:tr>
      <w:tr>
        <w:trPr>
          <w:trHeight w:val="209"/>
        </w:trPr>
        <w:tc>
          <w:tcPr>
            <w:tcW w:w="240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6"/>
                <w:szCs w:val="16"/>
                <w:color w:val="auto"/>
              </w:rPr>
              <w:t>par, due 12/2021)</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Neiman Marcus Group</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ABL FILO term loan ($72,000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9/11/2019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+ 6.00%</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7.89%</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71,086</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71,100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w:t>
            </w:r>
          </w:p>
        </w:tc>
      </w:tr>
      <w:tr>
        <w:trPr>
          <w:trHeight w:val="216"/>
        </w:trPr>
        <w:tc>
          <w:tcPr>
            <w:tcW w:w="240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Ltd., LLC </w:t>
            </w:r>
            <w:r>
              <w:rPr>
                <w:rFonts w:ascii="Arial" w:cs="Arial" w:eastAsia="Arial" w:hAnsi="Arial"/>
                <w:sz w:val="25"/>
                <w:szCs w:val="25"/>
                <w:color w:val="auto"/>
                <w:vertAlign w:val="superscript"/>
              </w:rPr>
              <w:t>(3)</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par, due 7/2021)</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00" w:type="dxa"/>
            <w:vAlign w:val="bottom"/>
          </w:tcPr>
          <w:p>
            <w:pPr>
              <w:spacing w:after="0"/>
              <w:rPr>
                <w:sz w:val="17"/>
                <w:szCs w:val="17"/>
                <w:color w:val="auto"/>
              </w:rPr>
            </w:pPr>
          </w:p>
        </w:tc>
        <w:tc>
          <w:tcPr>
            <w:tcW w:w="2480" w:type="dxa"/>
            <w:vAlign w:val="bottom"/>
          </w:tcPr>
          <w:p>
            <w:pPr>
              <w:ind w:left="200"/>
              <w:spacing w:after="0"/>
              <w:rPr>
                <w:sz w:val="20"/>
                <w:szCs w:val="20"/>
                <w:color w:val="auto"/>
              </w:rPr>
            </w:pPr>
            <w:r>
              <w:rPr>
                <w:rFonts w:ascii="Arial" w:cs="Arial" w:eastAsia="Arial" w:hAnsi="Arial"/>
                <w:sz w:val="16"/>
                <w:szCs w:val="16"/>
                <w:color w:val="auto"/>
              </w:rPr>
              <w:t>First-lien loan ($996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9/12/2019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+ 6.00%</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7.71%</w:t>
            </w:r>
          </w:p>
        </w:tc>
        <w:tc>
          <w:tcPr>
            <w:tcW w:w="760" w:type="dxa"/>
            <w:vAlign w:val="bottom"/>
          </w:tcPr>
          <w:p>
            <w:pPr>
              <w:jc w:val="right"/>
              <w:spacing w:after="0"/>
              <w:rPr>
                <w:sz w:val="20"/>
                <w:szCs w:val="20"/>
                <w:color w:val="auto"/>
              </w:rPr>
            </w:pPr>
            <w:r>
              <w:rPr>
                <w:rFonts w:ascii="Arial" w:cs="Arial" w:eastAsia="Arial" w:hAnsi="Arial"/>
                <w:sz w:val="16"/>
                <w:szCs w:val="16"/>
                <w:color w:val="auto"/>
              </w:rPr>
              <w:t>799</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819</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2400" w:type="dxa"/>
            <w:vAlign w:val="bottom"/>
          </w:tcPr>
          <w:p>
            <w:pPr>
              <w:spacing w:after="0"/>
              <w:rPr>
                <w:sz w:val="18"/>
                <w:szCs w:val="18"/>
                <w:color w:val="auto"/>
              </w:rPr>
            </w:pPr>
          </w:p>
        </w:tc>
        <w:tc>
          <w:tcPr>
            <w:tcW w:w="2480" w:type="dxa"/>
            <w:vAlign w:val="bottom"/>
          </w:tcPr>
          <w:p>
            <w:pPr>
              <w:ind w:left="200"/>
              <w:spacing w:after="0" w:line="216" w:lineRule="exact"/>
              <w:rPr>
                <w:sz w:val="20"/>
                <w:szCs w:val="20"/>
                <w:color w:val="auto"/>
              </w:rPr>
            </w:pPr>
            <w:r>
              <w:rPr>
                <w:rFonts w:ascii="Arial" w:cs="Arial" w:eastAsia="Arial" w:hAnsi="Arial"/>
                <w:sz w:val="15"/>
                <w:szCs w:val="15"/>
                <w:color w:val="auto"/>
              </w:rPr>
              <w:t xml:space="preserve">10/2023) </w:t>
            </w:r>
            <w:r>
              <w:rPr>
                <w:rFonts w:ascii="Arial" w:cs="Arial" w:eastAsia="Arial" w:hAnsi="Arial"/>
                <w:sz w:val="25"/>
                <w:szCs w:val="25"/>
                <w:color w:val="auto"/>
                <w:vertAlign w:val="superscript"/>
              </w:rPr>
              <w:t>(11)</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0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Transform SR Holdings, LLC </w:t>
            </w:r>
            <w:r>
              <w:rPr>
                <w:rFonts w:ascii="Arial" w:cs="Arial" w:eastAsia="Arial" w:hAnsi="Arial"/>
                <w:sz w:val="23"/>
                <w:szCs w:val="23"/>
                <w:color w:val="auto"/>
                <w:vertAlign w:val="superscript"/>
              </w:rPr>
              <w:t>(3)</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ABL FILO term loan ($75,000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2/11/2019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+ 7.25%</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9.18%</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74,359</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75,750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6.8%</w:t>
            </w:r>
          </w:p>
        </w:tc>
      </w:tr>
      <w:tr>
        <w:trPr>
          <w:trHeight w:val="209"/>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par, due 2/2024)</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9"/>
        </w:trPr>
        <w:tc>
          <w:tcPr>
            <w:tcW w:w="24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330,940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334,375</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30.0%</w:t>
            </w:r>
          </w:p>
        </w:tc>
      </w:tr>
      <w:tr>
        <w:trPr>
          <w:trHeight w:val="213"/>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Transportation</w:t>
            </w:r>
          </w:p>
        </w:tc>
        <w:tc>
          <w:tcPr>
            <w:tcW w:w="24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Ferrellgas, L.P. </w:t>
            </w:r>
            <w:r>
              <w:rPr>
                <w:rFonts w:ascii="Arial" w:cs="Arial" w:eastAsia="Arial" w:hAnsi="Arial"/>
                <w:sz w:val="23"/>
                <w:szCs w:val="23"/>
                <w:color w:val="auto"/>
                <w:vertAlign w:val="superscript"/>
              </w:rPr>
              <w:t>(3)(4)(5)</w:t>
            </w:r>
          </w:p>
        </w:tc>
        <w:tc>
          <w:tcPr>
            <w:tcW w:w="2480" w:type="dxa"/>
            <w:vAlign w:val="bottom"/>
          </w:tcPr>
          <w:p>
            <w:pPr>
              <w:ind w:left="200"/>
              <w:spacing w:after="0"/>
              <w:rPr>
                <w:sz w:val="20"/>
                <w:szCs w:val="20"/>
                <w:color w:val="auto"/>
              </w:rPr>
            </w:pPr>
            <w:r>
              <w:rPr>
                <w:rFonts w:ascii="Arial" w:cs="Arial" w:eastAsia="Arial" w:hAnsi="Arial"/>
                <w:sz w:val="16"/>
                <w:szCs w:val="16"/>
                <w:color w:val="auto"/>
                <w:w w:val="99"/>
              </w:rPr>
              <w:t>First-lien loan ($85,159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5/4/2018</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+ 5.75%</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7.45%</w:t>
            </w:r>
          </w:p>
        </w:tc>
        <w:tc>
          <w:tcPr>
            <w:tcW w:w="760" w:type="dxa"/>
            <w:vAlign w:val="bottom"/>
          </w:tcPr>
          <w:p>
            <w:pPr>
              <w:jc w:val="right"/>
              <w:spacing w:after="0"/>
              <w:rPr>
                <w:sz w:val="20"/>
                <w:szCs w:val="20"/>
                <w:color w:val="auto"/>
              </w:rPr>
            </w:pPr>
            <w:r>
              <w:rPr>
                <w:rFonts w:ascii="Arial" w:cs="Arial" w:eastAsia="Arial" w:hAnsi="Arial"/>
                <w:sz w:val="16"/>
                <w:szCs w:val="16"/>
                <w:color w:val="auto"/>
              </w:rPr>
              <w:t>83,994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90,053</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8.0%</w:t>
            </w:r>
          </w:p>
        </w:tc>
      </w:tr>
      <w:tr>
        <w:trPr>
          <w:trHeight w:val="209"/>
        </w:trPr>
        <w:tc>
          <w:tcPr>
            <w:tcW w:w="2400" w:type="dxa"/>
            <w:vAlign w:val="bottom"/>
            <w:tcBorders>
              <w:bottom w:val="single" w:sz="8" w:color="CFF0FC"/>
            </w:tcBorders>
          </w:tcPr>
          <w:p>
            <w:pPr>
              <w:spacing w:after="0"/>
              <w:rPr>
                <w:sz w:val="18"/>
                <w:szCs w:val="18"/>
                <w:color w:val="auto"/>
              </w:rPr>
            </w:pPr>
          </w:p>
        </w:tc>
        <w:tc>
          <w:tcPr>
            <w:tcW w:w="24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5/2023)</w:t>
            </w:r>
          </w:p>
        </w:tc>
        <w:tc>
          <w:tcPr>
            <w:tcW w:w="96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09"/>
        </w:trPr>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Debt Investments</w:t>
            </w:r>
          </w:p>
        </w:tc>
        <w:tc>
          <w:tcPr>
            <w:tcW w:w="2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2,150,478</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2,182,815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195.0%</w:t>
            </w:r>
          </w:p>
        </w:tc>
      </w:tr>
      <w:tr>
        <w:trPr>
          <w:trHeight w:val="20"/>
        </w:trPr>
        <w:tc>
          <w:tcPr>
            <w:tcW w:w="24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2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Equity and Other Investments</w:t>
            </w:r>
          </w:p>
        </w:tc>
        <w:tc>
          <w:tcPr>
            <w:tcW w:w="2580" w:type="dxa"/>
            <w:vAlign w:val="bottom"/>
            <w:shd w:val="clear" w:color="auto" w:fill="CFF0FC"/>
          </w:tcPr>
          <w:p>
            <w:pPr>
              <w:spacing w:after="0"/>
              <w:rPr>
                <w:sz w:val="18"/>
                <w:szCs w:val="18"/>
                <w:color w:val="auto"/>
              </w:rPr>
            </w:pPr>
          </w:p>
        </w:tc>
        <w:tc>
          <w:tcPr>
            <w:tcW w:w="3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420" w:type="dxa"/>
            <w:vAlign w:val="bottom"/>
          </w:tcPr>
          <w:p>
            <w:pPr>
              <w:spacing w:after="0"/>
              <w:rPr>
                <w:sz w:val="20"/>
                <w:szCs w:val="20"/>
                <w:color w:val="auto"/>
              </w:rPr>
            </w:pPr>
            <w:r>
              <w:rPr>
                <w:rFonts w:ascii="Arial" w:cs="Arial" w:eastAsia="Arial" w:hAnsi="Arial"/>
                <w:sz w:val="16"/>
                <w:szCs w:val="16"/>
                <w:b w:val="1"/>
                <w:bCs w:val="1"/>
                <w:color w:val="auto"/>
              </w:rPr>
              <w:t>Beverage, food and tobacco</w:t>
            </w:r>
          </w:p>
        </w:tc>
        <w:tc>
          <w:tcPr>
            <w:tcW w:w="2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AFS Technologies, Inc. </w:t>
            </w:r>
            <w:r>
              <w:rPr>
                <w:rFonts w:ascii="Arial" w:cs="Arial" w:eastAsia="Arial" w:hAnsi="Arial"/>
                <w:sz w:val="25"/>
                <w:szCs w:val="25"/>
                <w:color w:val="auto"/>
                <w:vertAlign w:val="superscript"/>
              </w:rPr>
              <w:t>(6)(13)</w:t>
            </w: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9"/>
              </w:rPr>
              <w:t>Preferred Units (4,441,090 units)</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10/16/2018</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4,441</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4,463</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r>
      <w:tr>
        <w:trPr>
          <w:trHeight w:val="213"/>
        </w:trPr>
        <w:tc>
          <w:tcPr>
            <w:tcW w:w="2420" w:type="dxa"/>
            <w:vAlign w:val="bottom"/>
          </w:tcPr>
          <w:p>
            <w:pPr>
              <w:spacing w:after="0"/>
              <w:rPr>
                <w:sz w:val="20"/>
                <w:szCs w:val="20"/>
                <w:color w:val="auto"/>
              </w:rPr>
            </w:pPr>
            <w:r>
              <w:rPr>
                <w:rFonts w:ascii="Arial" w:cs="Arial" w:eastAsia="Arial" w:hAnsi="Arial"/>
                <w:sz w:val="16"/>
                <w:szCs w:val="16"/>
                <w:b w:val="1"/>
                <w:bCs w:val="1"/>
                <w:color w:val="auto"/>
              </w:rPr>
              <w:t>Business Services</w:t>
            </w:r>
          </w:p>
        </w:tc>
        <w:tc>
          <w:tcPr>
            <w:tcW w:w="2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Motus, LLC </w:t>
            </w:r>
            <w:r>
              <w:rPr>
                <w:rFonts w:ascii="Arial" w:cs="Arial" w:eastAsia="Arial" w:hAnsi="Arial"/>
                <w:sz w:val="25"/>
                <w:szCs w:val="25"/>
                <w:color w:val="auto"/>
                <w:vertAlign w:val="superscript"/>
              </w:rPr>
              <w:t>(13)</w:t>
            </w: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Class A Units (1,262 units)</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1/17/2018</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1,262</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2,738</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r>
      <w:tr>
        <w:trPr>
          <w:trHeight w:val="213"/>
        </w:trPr>
        <w:tc>
          <w:tcPr>
            <w:tcW w:w="2420" w:type="dxa"/>
            <w:vAlign w:val="bottom"/>
          </w:tcPr>
          <w:p>
            <w:pPr>
              <w:spacing w:after="0"/>
              <w:rPr>
                <w:sz w:val="18"/>
                <w:szCs w:val="18"/>
                <w:color w:val="auto"/>
              </w:rPr>
            </w:pPr>
          </w:p>
        </w:tc>
        <w:tc>
          <w:tcPr>
            <w:tcW w:w="2580" w:type="dxa"/>
            <w:vAlign w:val="bottom"/>
          </w:tcPr>
          <w:p>
            <w:pPr>
              <w:ind w:left="240"/>
              <w:spacing w:after="0"/>
              <w:rPr>
                <w:sz w:val="20"/>
                <w:szCs w:val="20"/>
                <w:color w:val="auto"/>
              </w:rPr>
            </w:pPr>
            <w:r>
              <w:rPr>
                <w:rFonts w:ascii="Arial" w:cs="Arial" w:eastAsia="Arial" w:hAnsi="Arial"/>
                <w:sz w:val="16"/>
                <w:szCs w:val="16"/>
                <w:color w:val="auto"/>
              </w:rPr>
              <w:t>Class B Units (517,020 units)</w:t>
            </w:r>
          </w:p>
        </w:tc>
        <w:tc>
          <w:tcPr>
            <w:tcW w:w="3320" w:type="dxa"/>
            <w:vAlign w:val="bottom"/>
          </w:tcPr>
          <w:p>
            <w:pPr>
              <w:jc w:val="right"/>
              <w:ind w:right="2399"/>
              <w:spacing w:after="0"/>
              <w:rPr>
                <w:sz w:val="20"/>
                <w:szCs w:val="20"/>
                <w:color w:val="auto"/>
              </w:rPr>
            </w:pPr>
            <w:r>
              <w:rPr>
                <w:rFonts w:ascii="Arial" w:cs="Arial" w:eastAsia="Arial" w:hAnsi="Arial"/>
                <w:sz w:val="16"/>
                <w:szCs w:val="16"/>
                <w:color w:val="auto"/>
              </w:rPr>
              <w:t>1/17/2018</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19"/>
        </w:trPr>
        <w:tc>
          <w:tcPr>
            <w:tcW w:w="24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Nintex Global, Ltd. </w:t>
            </w:r>
            <w:r>
              <w:rPr>
                <w:rFonts w:ascii="Arial" w:cs="Arial" w:eastAsia="Arial" w:hAnsi="Arial"/>
                <w:sz w:val="25"/>
                <w:szCs w:val="25"/>
                <w:color w:val="auto"/>
                <w:vertAlign w:val="superscript"/>
              </w:rPr>
              <w:t>(13)</w:t>
            </w: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Class A Shares (1,197 shares)</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3/30/2018</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1,939</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r>
      <w:tr>
        <w:trPr>
          <w:trHeight w:val="213"/>
        </w:trPr>
        <w:tc>
          <w:tcPr>
            <w:tcW w:w="2420" w:type="dxa"/>
            <w:vAlign w:val="bottom"/>
          </w:tcPr>
          <w:p>
            <w:pPr>
              <w:spacing w:after="0"/>
              <w:rPr>
                <w:sz w:val="18"/>
                <w:szCs w:val="18"/>
                <w:color w:val="auto"/>
              </w:rPr>
            </w:pPr>
          </w:p>
        </w:tc>
        <w:tc>
          <w:tcPr>
            <w:tcW w:w="2580" w:type="dxa"/>
            <w:vAlign w:val="bottom"/>
          </w:tcPr>
          <w:p>
            <w:pPr>
              <w:ind w:left="240"/>
              <w:spacing w:after="0"/>
              <w:rPr>
                <w:sz w:val="20"/>
                <w:szCs w:val="20"/>
                <w:color w:val="auto"/>
              </w:rPr>
            </w:pPr>
            <w:r>
              <w:rPr>
                <w:rFonts w:ascii="Arial" w:cs="Arial" w:eastAsia="Arial" w:hAnsi="Arial"/>
                <w:sz w:val="16"/>
                <w:szCs w:val="16"/>
                <w:color w:val="auto"/>
                <w:w w:val="98"/>
              </w:rPr>
              <w:t>Class B Shares (398,557 shares)</w:t>
            </w:r>
          </w:p>
        </w:tc>
        <w:tc>
          <w:tcPr>
            <w:tcW w:w="3320" w:type="dxa"/>
            <w:vAlign w:val="bottom"/>
          </w:tcPr>
          <w:p>
            <w:pPr>
              <w:jc w:val="right"/>
              <w:ind w:right="2399"/>
              <w:spacing w:after="0"/>
              <w:rPr>
                <w:sz w:val="20"/>
                <w:szCs w:val="20"/>
                <w:color w:val="auto"/>
              </w:rPr>
            </w:pPr>
            <w:r>
              <w:rPr>
                <w:rFonts w:ascii="Arial" w:cs="Arial" w:eastAsia="Arial" w:hAnsi="Arial"/>
                <w:sz w:val="16"/>
                <w:szCs w:val="16"/>
                <w:color w:val="auto"/>
              </w:rPr>
              <w:t>3/30/2018</w:t>
            </w: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0"/>
        </w:trPr>
        <w:tc>
          <w:tcPr>
            <w:tcW w:w="242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33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3"/>
        </w:trPr>
        <w:tc>
          <w:tcPr>
            <w:tcW w:w="2420" w:type="dxa"/>
            <w:vAlign w:val="bottom"/>
            <w:shd w:val="clear" w:color="auto" w:fill="CFF0FC"/>
          </w:tcPr>
          <w:p>
            <w:pPr>
              <w:spacing w:after="0"/>
              <w:rPr>
                <w:sz w:val="18"/>
                <w:szCs w:val="18"/>
                <w:color w:val="auto"/>
              </w:rPr>
            </w:pPr>
          </w:p>
        </w:tc>
        <w:tc>
          <w:tcPr>
            <w:tcW w:w="2580" w:type="dxa"/>
            <w:vAlign w:val="bottom"/>
            <w:shd w:val="clear" w:color="auto" w:fill="CFF0FC"/>
          </w:tcPr>
          <w:p>
            <w:pPr>
              <w:spacing w:after="0"/>
              <w:rPr>
                <w:sz w:val="18"/>
                <w:szCs w:val="18"/>
                <w:color w:val="auto"/>
              </w:rPr>
            </w:pPr>
          </w:p>
        </w:tc>
        <w:tc>
          <w:tcPr>
            <w:tcW w:w="33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r>
      <w:tr>
        <w:trPr>
          <w:trHeight w:val="207"/>
        </w:trPr>
        <w:tc>
          <w:tcPr>
            <w:tcW w:w="2420" w:type="dxa"/>
            <w:vAlign w:val="bottom"/>
          </w:tcPr>
          <w:p>
            <w:pPr>
              <w:spacing w:after="0"/>
              <w:rPr>
                <w:sz w:val="20"/>
                <w:szCs w:val="20"/>
                <w:color w:val="auto"/>
              </w:rPr>
            </w:pPr>
            <w:r>
              <w:rPr>
                <w:rFonts w:ascii="Arial" w:cs="Arial" w:eastAsia="Arial" w:hAnsi="Arial"/>
                <w:sz w:val="16"/>
                <w:szCs w:val="16"/>
                <w:b w:val="1"/>
                <w:bCs w:val="1"/>
                <w:color w:val="auto"/>
              </w:rPr>
              <w:t>Chemicals</w:t>
            </w:r>
          </w:p>
        </w:tc>
        <w:tc>
          <w:tcPr>
            <w:tcW w:w="25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9"/>
        </w:trPr>
        <w:tc>
          <w:tcPr>
            <w:tcW w:w="24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Vertellus Specialties, Inc. </w:t>
            </w:r>
            <w:r>
              <w:rPr>
                <w:rFonts w:ascii="Arial" w:cs="Arial" w:eastAsia="Arial" w:hAnsi="Arial"/>
                <w:sz w:val="25"/>
                <w:szCs w:val="25"/>
                <w:color w:val="auto"/>
                <w:vertAlign w:val="superscript"/>
              </w:rPr>
              <w:t>(13)(14)</w:t>
            </w: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Common Units (3,386,630 units)</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10/31/2016</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4,575</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3,614</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r>
      <w:tr>
        <w:trPr>
          <w:trHeight w:val="213"/>
        </w:trPr>
        <w:tc>
          <w:tcPr>
            <w:tcW w:w="2420" w:type="dxa"/>
            <w:vAlign w:val="bottom"/>
          </w:tcPr>
          <w:p>
            <w:pPr>
              <w:spacing w:after="0"/>
              <w:rPr>
                <w:sz w:val="20"/>
                <w:szCs w:val="20"/>
                <w:color w:val="auto"/>
              </w:rPr>
            </w:pPr>
            <w:r>
              <w:rPr>
                <w:rFonts w:ascii="Arial" w:cs="Arial" w:eastAsia="Arial" w:hAnsi="Arial"/>
                <w:sz w:val="16"/>
                <w:szCs w:val="16"/>
                <w:b w:val="1"/>
                <w:bCs w:val="1"/>
                <w:color w:val="auto"/>
              </w:rPr>
              <w:t>Financial services</w:t>
            </w:r>
          </w:p>
        </w:tc>
        <w:tc>
          <w:tcPr>
            <w:tcW w:w="2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AvidXchange, Inc. </w:t>
            </w:r>
            <w:r>
              <w:rPr>
                <w:rFonts w:ascii="Arial" w:cs="Arial" w:eastAsia="Arial" w:hAnsi="Arial"/>
                <w:sz w:val="25"/>
                <w:szCs w:val="25"/>
                <w:color w:val="auto"/>
                <w:vertAlign w:val="superscript"/>
              </w:rPr>
              <w:t>(14)</w:t>
            </w: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3"/>
              </w:rPr>
              <w:t>Preferred Shares (293,232 shares)</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10/1/2019</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14,423</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14,423</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w:t>
            </w: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Oxford Square Capital</w:t>
            </w:r>
          </w:p>
        </w:tc>
        <w:tc>
          <w:tcPr>
            <w:tcW w:w="2580" w:type="dxa"/>
            <w:vAlign w:val="bottom"/>
          </w:tcPr>
          <w:p>
            <w:pPr>
              <w:ind w:left="240"/>
              <w:spacing w:after="0"/>
              <w:rPr>
                <w:sz w:val="20"/>
                <w:szCs w:val="20"/>
                <w:color w:val="auto"/>
              </w:rPr>
            </w:pPr>
            <w:r>
              <w:rPr>
                <w:rFonts w:ascii="Arial" w:cs="Arial" w:eastAsia="Arial" w:hAnsi="Arial"/>
                <w:sz w:val="16"/>
                <w:szCs w:val="16"/>
                <w:color w:val="auto"/>
              </w:rPr>
              <w:t>Common Shares (1,059 shares)</w:t>
            </w:r>
          </w:p>
        </w:tc>
        <w:tc>
          <w:tcPr>
            <w:tcW w:w="3320" w:type="dxa"/>
            <w:vAlign w:val="bottom"/>
          </w:tcPr>
          <w:p>
            <w:pPr>
              <w:jc w:val="right"/>
              <w:ind w:right="2399"/>
              <w:spacing w:after="0"/>
              <w:rPr>
                <w:sz w:val="20"/>
                <w:szCs w:val="20"/>
                <w:color w:val="auto"/>
              </w:rPr>
            </w:pPr>
            <w:r>
              <w:rPr>
                <w:rFonts w:ascii="Arial" w:cs="Arial" w:eastAsia="Arial" w:hAnsi="Arial"/>
                <w:sz w:val="16"/>
                <w:szCs w:val="16"/>
                <w:color w:val="auto"/>
              </w:rPr>
              <w:t>8/5/2015</w:t>
            </w: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13"/>
        </w:trPr>
        <w:tc>
          <w:tcPr>
            <w:tcW w:w="2420" w:type="dxa"/>
            <w:vAlign w:val="bottom"/>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(4)(12)</w:t>
            </w:r>
          </w:p>
        </w:tc>
        <w:tc>
          <w:tcPr>
            <w:tcW w:w="2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Swift Gift, Ltd. </w:t>
            </w:r>
            <w:r>
              <w:rPr>
                <w:rFonts w:ascii="Arial" w:cs="Arial" w:eastAsia="Arial" w:hAnsi="Arial"/>
                <w:sz w:val="25"/>
                <w:szCs w:val="25"/>
                <w:color w:val="auto"/>
                <w:vertAlign w:val="superscript"/>
              </w:rPr>
              <w:t>(13)</w:t>
            </w: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8"/>
              </w:rPr>
              <w:t>Common Shares (35,000 shares)</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7/31/2017</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10,255</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0.9%</w:t>
            </w:r>
          </w:p>
        </w:tc>
      </w:tr>
      <w:tr>
        <w:trPr>
          <w:trHeight w:val="20"/>
        </w:trPr>
        <w:tc>
          <w:tcPr>
            <w:tcW w:w="2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7"/>
        </w:trPr>
        <w:tc>
          <w:tcPr>
            <w:tcW w:w="2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17,930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24,684</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r>
      <w:tr>
        <w:trPr>
          <w:trHeight w:val="213"/>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Healthcare</w:t>
            </w:r>
          </w:p>
        </w:tc>
        <w:tc>
          <w:tcPr>
            <w:tcW w:w="2580" w:type="dxa"/>
            <w:vAlign w:val="bottom"/>
            <w:tcBorders>
              <w:top w:val="single" w:sz="8" w:color="CFF0FC"/>
            </w:tcBorders>
            <w:shd w:val="clear" w:color="auto" w:fill="CFF0FC"/>
          </w:tcPr>
          <w:p>
            <w:pPr>
              <w:spacing w:after="0"/>
              <w:rPr>
                <w:sz w:val="18"/>
                <w:szCs w:val="18"/>
                <w:color w:val="auto"/>
              </w:rPr>
            </w:pPr>
          </w:p>
        </w:tc>
        <w:tc>
          <w:tcPr>
            <w:tcW w:w="33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6"/>
        </w:trPr>
        <w:tc>
          <w:tcPr>
            <w:tcW w:w="2420" w:type="dxa"/>
            <w:vAlign w:val="bottom"/>
          </w:tcPr>
          <w:p>
            <w:pPr>
              <w:spacing w:after="0" w:line="216" w:lineRule="exact"/>
              <w:rPr>
                <w:sz w:val="20"/>
                <w:szCs w:val="20"/>
                <w:color w:val="auto"/>
              </w:rPr>
            </w:pPr>
            <w:r>
              <w:rPr>
                <w:rFonts w:ascii="Arial" w:cs="Arial" w:eastAsia="Arial" w:hAnsi="Arial"/>
                <w:sz w:val="15"/>
                <w:szCs w:val="15"/>
                <w:color w:val="auto"/>
              </w:rPr>
              <w:t xml:space="preserve">Caris Life Sciences, Ltd. </w:t>
            </w:r>
            <w:r>
              <w:rPr>
                <w:rFonts w:ascii="Arial" w:cs="Arial" w:eastAsia="Arial" w:hAnsi="Arial"/>
                <w:sz w:val="25"/>
                <w:szCs w:val="25"/>
                <w:color w:val="auto"/>
                <w:vertAlign w:val="superscript"/>
              </w:rPr>
              <w:t>(13)</w:t>
            </w:r>
          </w:p>
        </w:tc>
        <w:tc>
          <w:tcPr>
            <w:tcW w:w="2580" w:type="dxa"/>
            <w:vAlign w:val="bottom"/>
          </w:tcPr>
          <w:p>
            <w:pPr>
              <w:ind w:left="240"/>
              <w:spacing w:after="0"/>
              <w:rPr>
                <w:sz w:val="20"/>
                <w:szCs w:val="20"/>
                <w:color w:val="auto"/>
              </w:rPr>
            </w:pPr>
            <w:r>
              <w:rPr>
                <w:rFonts w:ascii="Arial" w:cs="Arial" w:eastAsia="Arial" w:hAnsi="Arial"/>
                <w:sz w:val="16"/>
                <w:szCs w:val="16"/>
                <w:color w:val="auto"/>
              </w:rPr>
              <w:t>633,376 Warrants</w:t>
            </w:r>
          </w:p>
        </w:tc>
        <w:tc>
          <w:tcPr>
            <w:tcW w:w="3320" w:type="dxa"/>
            <w:vAlign w:val="bottom"/>
          </w:tcPr>
          <w:p>
            <w:pPr>
              <w:jc w:val="right"/>
              <w:ind w:right="2399"/>
              <w:spacing w:after="0"/>
              <w:rPr>
                <w:sz w:val="20"/>
                <w:szCs w:val="20"/>
                <w:color w:val="auto"/>
              </w:rPr>
            </w:pPr>
            <w:r>
              <w:rPr>
                <w:rFonts w:ascii="Arial" w:cs="Arial" w:eastAsia="Arial" w:hAnsi="Arial"/>
                <w:sz w:val="16"/>
                <w:szCs w:val="16"/>
                <w:color w:val="auto"/>
              </w:rPr>
              <w:t>9/21/2018</w:t>
            </w:r>
          </w:p>
        </w:tc>
        <w:tc>
          <w:tcPr>
            <w:tcW w:w="760" w:type="dxa"/>
            <w:vAlign w:val="bottom"/>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192</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16"/>
        </w:trPr>
        <w:tc>
          <w:tcPr>
            <w:tcW w:w="242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Quantros, Inc. </w:t>
            </w:r>
            <w:r>
              <w:rPr>
                <w:rFonts w:ascii="Arial" w:cs="Arial" w:eastAsia="Arial" w:hAnsi="Arial"/>
                <w:sz w:val="25"/>
                <w:szCs w:val="25"/>
                <w:color w:val="auto"/>
                <w:vertAlign w:val="superscript"/>
              </w:rPr>
              <w:t>(13)(14)</w:t>
            </w: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4,685,068 Warrants</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10/7/2019</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Valant Medical Solutions,</w:t>
            </w:r>
          </w:p>
        </w:tc>
        <w:tc>
          <w:tcPr>
            <w:tcW w:w="2580" w:type="dxa"/>
            <w:vAlign w:val="bottom"/>
          </w:tcPr>
          <w:p>
            <w:pPr>
              <w:ind w:left="240"/>
              <w:spacing w:after="0"/>
              <w:rPr>
                <w:sz w:val="20"/>
                <w:szCs w:val="20"/>
                <w:color w:val="auto"/>
              </w:rPr>
            </w:pPr>
            <w:r>
              <w:rPr>
                <w:rFonts w:ascii="Arial" w:cs="Arial" w:eastAsia="Arial" w:hAnsi="Arial"/>
                <w:sz w:val="16"/>
                <w:szCs w:val="16"/>
                <w:color w:val="auto"/>
              </w:rPr>
              <w:t>954,478 Warrants</w:t>
            </w:r>
          </w:p>
        </w:tc>
        <w:tc>
          <w:tcPr>
            <w:tcW w:w="3320" w:type="dxa"/>
            <w:vAlign w:val="bottom"/>
          </w:tcPr>
          <w:p>
            <w:pPr>
              <w:jc w:val="right"/>
              <w:ind w:right="2399"/>
              <w:spacing w:after="0"/>
              <w:rPr>
                <w:sz w:val="20"/>
                <w:szCs w:val="20"/>
                <w:color w:val="auto"/>
              </w:rPr>
            </w:pPr>
            <w:r>
              <w:rPr>
                <w:rFonts w:ascii="Arial" w:cs="Arial" w:eastAsia="Arial" w:hAnsi="Arial"/>
                <w:sz w:val="16"/>
                <w:szCs w:val="16"/>
                <w:color w:val="auto"/>
              </w:rPr>
              <w:t>4/8/2019</w:t>
            </w:r>
          </w:p>
        </w:tc>
        <w:tc>
          <w:tcPr>
            <w:tcW w:w="760" w:type="dxa"/>
            <w:vAlign w:val="bottom"/>
          </w:tcPr>
          <w:p>
            <w:pPr>
              <w:jc w:val="right"/>
              <w:spacing w:after="0"/>
              <w:rPr>
                <w:sz w:val="20"/>
                <w:szCs w:val="20"/>
                <w:color w:val="auto"/>
              </w:rPr>
            </w:pPr>
            <w:r>
              <w:rPr>
                <w:rFonts w:ascii="Arial" w:cs="Arial" w:eastAsia="Arial" w:hAnsi="Arial"/>
                <w:sz w:val="16"/>
                <w:szCs w:val="16"/>
                <w:color w:val="auto"/>
              </w:rPr>
              <w:t>281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281</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13"/>
        </w:trPr>
        <w:tc>
          <w:tcPr>
            <w:tcW w:w="2420" w:type="dxa"/>
            <w:vAlign w:val="bottom"/>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(13)(14)(15)</w:t>
            </w:r>
          </w:p>
        </w:tc>
        <w:tc>
          <w:tcPr>
            <w:tcW w:w="2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Vita Topco, Inc. </w:t>
            </w:r>
            <w:r>
              <w:rPr>
                <w:rFonts w:ascii="Arial" w:cs="Arial" w:eastAsia="Arial" w:hAnsi="Arial"/>
                <w:sz w:val="25"/>
                <w:szCs w:val="25"/>
                <w:color w:val="auto"/>
                <w:vertAlign w:val="superscript"/>
              </w:rPr>
              <w:t>(13)(14)(15)</w:t>
            </w: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Common Shares (1,000 shares)</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2/11/2019</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1,442</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r>
      <w:tr>
        <w:trPr>
          <w:trHeight w:val="20"/>
        </w:trPr>
        <w:tc>
          <w:tcPr>
            <w:tcW w:w="2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7"/>
        </w:trPr>
        <w:tc>
          <w:tcPr>
            <w:tcW w:w="2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1,612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2,054</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212"/>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Hotel, gaming, and leisure</w:t>
            </w:r>
          </w:p>
        </w:tc>
        <w:tc>
          <w:tcPr>
            <w:tcW w:w="2580" w:type="dxa"/>
            <w:vAlign w:val="bottom"/>
            <w:tcBorders>
              <w:top w:val="single" w:sz="8" w:color="CFF0FC"/>
            </w:tcBorders>
            <w:shd w:val="clear" w:color="auto" w:fill="CFF0FC"/>
          </w:tcPr>
          <w:p>
            <w:pPr>
              <w:spacing w:after="0"/>
              <w:rPr>
                <w:sz w:val="18"/>
                <w:szCs w:val="18"/>
                <w:color w:val="auto"/>
              </w:rPr>
            </w:pPr>
          </w:p>
        </w:tc>
        <w:tc>
          <w:tcPr>
            <w:tcW w:w="33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3"/>
        </w:trPr>
        <w:tc>
          <w:tcPr>
            <w:tcW w:w="2420" w:type="dxa"/>
            <w:vAlign w:val="bottom"/>
          </w:tcPr>
          <w:p>
            <w:pPr>
              <w:spacing w:after="0" w:line="203"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23"/>
                <w:szCs w:val="23"/>
                <w:color w:val="auto"/>
                <w:vertAlign w:val="superscript"/>
              </w:rPr>
              <w:t>(7)(13)</w:t>
            </w:r>
          </w:p>
        </w:tc>
        <w:tc>
          <w:tcPr>
            <w:tcW w:w="2580" w:type="dxa"/>
            <w:vAlign w:val="bottom"/>
          </w:tcPr>
          <w:p>
            <w:pPr>
              <w:ind w:left="240"/>
              <w:spacing w:after="0"/>
              <w:rPr>
                <w:sz w:val="20"/>
                <w:szCs w:val="20"/>
                <w:color w:val="auto"/>
              </w:rPr>
            </w:pPr>
            <w:r>
              <w:rPr>
                <w:rFonts w:ascii="Arial" w:cs="Arial" w:eastAsia="Arial" w:hAnsi="Arial"/>
                <w:sz w:val="16"/>
                <w:szCs w:val="16"/>
                <w:color w:val="auto"/>
              </w:rPr>
              <w:t>Class A Units (29,440,171 units)</w:t>
            </w:r>
          </w:p>
        </w:tc>
        <w:tc>
          <w:tcPr>
            <w:tcW w:w="3320" w:type="dxa"/>
            <w:vAlign w:val="bottom"/>
          </w:tcPr>
          <w:p>
            <w:pPr>
              <w:jc w:val="right"/>
              <w:ind w:right="2399"/>
              <w:spacing w:after="0"/>
              <w:rPr>
                <w:sz w:val="20"/>
                <w:szCs w:val="20"/>
                <w:color w:val="auto"/>
              </w:rPr>
            </w:pPr>
            <w:r>
              <w:rPr>
                <w:rFonts w:ascii="Arial" w:cs="Arial" w:eastAsia="Arial" w:hAnsi="Arial"/>
                <w:sz w:val="16"/>
                <w:szCs w:val="16"/>
                <w:color w:val="auto"/>
              </w:rPr>
              <w:t>12/21/2018</w:t>
            </w:r>
          </w:p>
        </w:tc>
        <w:tc>
          <w:tcPr>
            <w:tcW w:w="760" w:type="dxa"/>
            <w:vAlign w:val="bottom"/>
          </w:tcPr>
          <w:p>
            <w:pPr>
              <w:jc w:val="right"/>
              <w:spacing w:after="0"/>
              <w:rPr>
                <w:sz w:val="20"/>
                <w:szCs w:val="20"/>
                <w:color w:val="auto"/>
              </w:rPr>
            </w:pPr>
            <w:r>
              <w:rPr>
                <w:rFonts w:ascii="Arial" w:cs="Arial" w:eastAsia="Arial" w:hAnsi="Arial"/>
                <w:sz w:val="16"/>
                <w:szCs w:val="16"/>
                <w:color w:val="auto"/>
              </w:rPr>
              <w:t>21,813</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589</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175"/>
        </w:trPr>
        <w:tc>
          <w:tcPr>
            <w:tcW w:w="2420" w:type="dxa"/>
            <w:vAlign w:val="bottom"/>
          </w:tcPr>
          <w:p>
            <w:pPr>
              <w:spacing w:after="0"/>
              <w:rPr>
                <w:sz w:val="15"/>
                <w:szCs w:val="15"/>
                <w:color w:val="auto"/>
              </w:rPr>
            </w:pPr>
          </w:p>
        </w:tc>
        <w:tc>
          <w:tcPr>
            <w:tcW w:w="2580" w:type="dxa"/>
            <w:vAlign w:val="bottom"/>
          </w:tcPr>
          <w:p>
            <w:pPr>
              <w:ind w:left="240"/>
              <w:spacing w:after="0"/>
              <w:rPr>
                <w:sz w:val="20"/>
                <w:szCs w:val="20"/>
                <w:color w:val="auto"/>
              </w:rPr>
            </w:pPr>
            <w:r>
              <w:rPr>
                <w:rFonts w:ascii="Arial" w:cs="Arial" w:eastAsia="Arial" w:hAnsi="Arial"/>
                <w:sz w:val="14"/>
                <w:szCs w:val="14"/>
                <w:color w:val="auto"/>
              </w:rPr>
              <w:t>(14)</w:t>
            </w:r>
          </w:p>
        </w:tc>
        <w:tc>
          <w:tcPr>
            <w:tcW w:w="3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3"/>
        </w:trPr>
        <w:tc>
          <w:tcPr>
            <w:tcW w:w="2420" w:type="dxa"/>
            <w:vAlign w:val="bottom"/>
            <w:shd w:val="clear" w:color="auto" w:fill="CFF0FC"/>
          </w:tcPr>
          <w:p>
            <w:pPr>
              <w:spacing w:after="0"/>
              <w:rPr>
                <w:sz w:val="18"/>
                <w:szCs w:val="18"/>
                <w:color w:val="auto"/>
              </w:rPr>
            </w:pP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8"/>
              </w:rPr>
              <w:t>Class C-1 Units (8,800,000 units)</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12/21/2018</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0"/>
        </w:trPr>
        <w:tc>
          <w:tcPr>
            <w:tcW w:w="2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21,913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637</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199"/>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Human resource support</w:t>
            </w:r>
          </w:p>
        </w:tc>
        <w:tc>
          <w:tcPr>
            <w:tcW w:w="2580" w:type="dxa"/>
            <w:vAlign w:val="bottom"/>
            <w:tcBorders>
              <w:top w:val="single" w:sz="8" w:color="CFF0FC"/>
            </w:tcBorders>
            <w:shd w:val="clear" w:color="auto" w:fill="CFF0FC"/>
          </w:tcPr>
          <w:p>
            <w:pPr>
              <w:spacing w:after="0"/>
              <w:rPr>
                <w:sz w:val="17"/>
                <w:szCs w:val="17"/>
                <w:color w:val="auto"/>
              </w:rPr>
            </w:pPr>
          </w:p>
        </w:tc>
        <w:tc>
          <w:tcPr>
            <w:tcW w:w="33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r>
      <w:tr>
        <w:trPr>
          <w:trHeight w:val="216"/>
        </w:trPr>
        <w:tc>
          <w:tcPr>
            <w:tcW w:w="242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services</w:t>
            </w:r>
          </w:p>
        </w:tc>
        <w:tc>
          <w:tcPr>
            <w:tcW w:w="2580" w:type="dxa"/>
            <w:vAlign w:val="bottom"/>
            <w:shd w:val="clear" w:color="auto" w:fill="CFF0FC"/>
          </w:tcPr>
          <w:p>
            <w:pPr>
              <w:spacing w:after="0"/>
              <w:rPr>
                <w:sz w:val="18"/>
                <w:szCs w:val="18"/>
                <w:color w:val="auto"/>
              </w:rPr>
            </w:pPr>
          </w:p>
        </w:tc>
        <w:tc>
          <w:tcPr>
            <w:tcW w:w="3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420" w:type="dxa"/>
            <w:vAlign w:val="bottom"/>
          </w:tcPr>
          <w:p>
            <w:pPr>
              <w:spacing w:after="0" w:line="216" w:lineRule="exact"/>
              <w:rPr>
                <w:sz w:val="20"/>
                <w:szCs w:val="20"/>
                <w:color w:val="auto"/>
              </w:rPr>
            </w:pPr>
            <w:r>
              <w:rPr>
                <w:rFonts w:ascii="Arial" w:cs="Arial" w:eastAsia="Arial" w:hAnsi="Arial"/>
                <w:sz w:val="15"/>
                <w:szCs w:val="15"/>
                <w:color w:val="auto"/>
              </w:rPr>
              <w:t xml:space="preserve">ClearCompany, LLC </w:t>
            </w:r>
            <w:r>
              <w:rPr>
                <w:rFonts w:ascii="Arial" w:cs="Arial" w:eastAsia="Arial" w:hAnsi="Arial"/>
                <w:sz w:val="25"/>
                <w:szCs w:val="25"/>
                <w:color w:val="auto"/>
                <w:vertAlign w:val="superscript"/>
              </w:rPr>
              <w:t>(13)(15)</w:t>
            </w:r>
          </w:p>
        </w:tc>
        <w:tc>
          <w:tcPr>
            <w:tcW w:w="2580" w:type="dxa"/>
            <w:vAlign w:val="bottom"/>
          </w:tcPr>
          <w:p>
            <w:pPr>
              <w:ind w:left="240"/>
              <w:spacing w:after="0"/>
              <w:rPr>
                <w:sz w:val="20"/>
                <w:szCs w:val="20"/>
                <w:color w:val="auto"/>
              </w:rPr>
            </w:pPr>
            <w:r>
              <w:rPr>
                <w:rFonts w:ascii="Arial" w:cs="Arial" w:eastAsia="Arial" w:hAnsi="Arial"/>
                <w:sz w:val="16"/>
                <w:szCs w:val="16"/>
                <w:color w:val="auto"/>
              </w:rPr>
              <w:t>Class A Units (44,944 units)</w:t>
            </w:r>
          </w:p>
        </w:tc>
        <w:tc>
          <w:tcPr>
            <w:tcW w:w="3320" w:type="dxa"/>
            <w:vAlign w:val="bottom"/>
          </w:tcPr>
          <w:p>
            <w:pPr>
              <w:jc w:val="right"/>
              <w:ind w:right="2399"/>
              <w:spacing w:after="0"/>
              <w:rPr>
                <w:sz w:val="20"/>
                <w:szCs w:val="20"/>
                <w:color w:val="auto"/>
              </w:rPr>
            </w:pPr>
            <w:r>
              <w:rPr>
                <w:rFonts w:ascii="Arial" w:cs="Arial" w:eastAsia="Arial" w:hAnsi="Arial"/>
                <w:sz w:val="16"/>
                <w:szCs w:val="16"/>
                <w:color w:val="auto"/>
              </w:rPr>
              <w:t>8/24/2018</w:t>
            </w:r>
          </w:p>
        </w:tc>
        <w:tc>
          <w:tcPr>
            <w:tcW w:w="760" w:type="dxa"/>
            <w:vAlign w:val="bottom"/>
          </w:tcPr>
          <w:p>
            <w:pPr>
              <w:jc w:val="right"/>
              <w:spacing w:after="0"/>
              <w:rPr>
                <w:sz w:val="20"/>
                <w:szCs w:val="20"/>
                <w:color w:val="auto"/>
              </w:rPr>
            </w:pPr>
            <w:r>
              <w:rPr>
                <w:rFonts w:ascii="Arial" w:cs="Arial" w:eastAsia="Arial" w:hAnsi="Arial"/>
                <w:sz w:val="16"/>
                <w:szCs w:val="16"/>
                <w:color w:val="auto"/>
              </w:rPr>
              <w:t>2,014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2,255</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r>
      <w:tr>
        <w:trPr>
          <w:trHeight w:val="203"/>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DaySmart Holdings,</w:t>
            </w: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Class A Units (125,810 units)</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10/1/2019</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r>
      <w:tr>
        <w:trPr>
          <w:trHeight w:val="213"/>
        </w:trPr>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(13)(14)(15)</w:t>
            </w:r>
          </w:p>
        </w:tc>
        <w:tc>
          <w:tcPr>
            <w:tcW w:w="2580" w:type="dxa"/>
            <w:vAlign w:val="bottom"/>
            <w:shd w:val="clear" w:color="auto" w:fill="CFF0FC"/>
          </w:tcPr>
          <w:p>
            <w:pPr>
              <w:spacing w:after="0"/>
              <w:rPr>
                <w:sz w:val="18"/>
                <w:szCs w:val="18"/>
                <w:color w:val="auto"/>
              </w:rPr>
            </w:pPr>
          </w:p>
        </w:tc>
        <w:tc>
          <w:tcPr>
            <w:tcW w:w="33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3,014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3,255</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r>
      <w:tr>
        <w:trPr>
          <w:trHeight w:val="213"/>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Insurance</w:t>
            </w:r>
          </w:p>
        </w:tc>
        <w:tc>
          <w:tcPr>
            <w:tcW w:w="2580" w:type="dxa"/>
            <w:vAlign w:val="bottom"/>
            <w:tcBorders>
              <w:top w:val="single" w:sz="8" w:color="CFF0FC"/>
            </w:tcBorders>
            <w:shd w:val="clear" w:color="auto" w:fill="CFF0FC"/>
          </w:tcPr>
          <w:p>
            <w:pPr>
              <w:spacing w:after="0"/>
              <w:rPr>
                <w:sz w:val="18"/>
                <w:szCs w:val="18"/>
                <w:color w:val="auto"/>
              </w:rPr>
            </w:pPr>
          </w:p>
        </w:tc>
        <w:tc>
          <w:tcPr>
            <w:tcW w:w="33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420" w:type="dxa"/>
            <w:vAlign w:val="bottom"/>
          </w:tcPr>
          <w:p>
            <w:pPr>
              <w:spacing w:after="0" w:line="207" w:lineRule="exact"/>
              <w:rPr>
                <w:sz w:val="20"/>
                <w:szCs w:val="20"/>
                <w:color w:val="auto"/>
              </w:rPr>
            </w:pPr>
            <w:r>
              <w:rPr>
                <w:rFonts w:ascii="Arial" w:cs="Arial" w:eastAsia="Arial" w:hAnsi="Arial"/>
                <w:sz w:val="14"/>
                <w:szCs w:val="14"/>
                <w:color w:val="auto"/>
              </w:rPr>
              <w:t xml:space="preserve">Riskonnect, Inc. </w:t>
            </w:r>
            <w:r>
              <w:rPr>
                <w:rFonts w:ascii="Arial" w:cs="Arial" w:eastAsia="Arial" w:hAnsi="Arial"/>
                <w:sz w:val="23"/>
                <w:szCs w:val="23"/>
                <w:color w:val="auto"/>
                <w:vertAlign w:val="superscript"/>
              </w:rPr>
              <w:t>(13)</w:t>
            </w:r>
          </w:p>
        </w:tc>
        <w:tc>
          <w:tcPr>
            <w:tcW w:w="2580" w:type="dxa"/>
            <w:vAlign w:val="bottom"/>
          </w:tcPr>
          <w:p>
            <w:pPr>
              <w:ind w:left="240"/>
              <w:spacing w:after="0"/>
              <w:rPr>
                <w:sz w:val="20"/>
                <w:szCs w:val="20"/>
                <w:color w:val="auto"/>
              </w:rPr>
            </w:pPr>
            <w:r>
              <w:rPr>
                <w:rFonts w:ascii="Arial" w:cs="Arial" w:eastAsia="Arial" w:hAnsi="Arial"/>
                <w:sz w:val="16"/>
                <w:szCs w:val="16"/>
                <w:color w:val="auto"/>
              </w:rPr>
              <w:t>Common Shares Class A (1,020</w:t>
            </w:r>
          </w:p>
        </w:tc>
        <w:tc>
          <w:tcPr>
            <w:tcW w:w="3320" w:type="dxa"/>
            <w:vAlign w:val="bottom"/>
          </w:tcPr>
          <w:p>
            <w:pPr>
              <w:jc w:val="right"/>
              <w:ind w:right="2399"/>
              <w:spacing w:after="0"/>
              <w:rPr>
                <w:sz w:val="20"/>
                <w:szCs w:val="20"/>
                <w:color w:val="auto"/>
              </w:rPr>
            </w:pPr>
            <w:r>
              <w:rPr>
                <w:rFonts w:ascii="Arial" w:cs="Arial" w:eastAsia="Arial" w:hAnsi="Arial"/>
                <w:sz w:val="16"/>
                <w:szCs w:val="16"/>
                <w:color w:val="auto"/>
              </w:rPr>
              <w:t>6/30/2017</w:t>
            </w:r>
          </w:p>
        </w:tc>
        <w:tc>
          <w:tcPr>
            <w:tcW w:w="760" w:type="dxa"/>
            <w:vAlign w:val="bottom"/>
          </w:tcPr>
          <w:p>
            <w:pPr>
              <w:jc w:val="right"/>
              <w:spacing w:after="0"/>
              <w:rPr>
                <w:sz w:val="20"/>
                <w:szCs w:val="20"/>
                <w:color w:val="auto"/>
              </w:rPr>
            </w:pPr>
            <w:r>
              <w:rPr>
                <w:rFonts w:ascii="Arial" w:cs="Arial" w:eastAsia="Arial" w:hAnsi="Arial"/>
                <w:sz w:val="16"/>
                <w:szCs w:val="16"/>
                <w:color w:val="auto"/>
              </w:rPr>
              <w:t>1,020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1,412</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209"/>
        </w:trPr>
        <w:tc>
          <w:tcPr>
            <w:tcW w:w="2420" w:type="dxa"/>
            <w:vAlign w:val="bottom"/>
          </w:tcPr>
          <w:p>
            <w:pPr>
              <w:spacing w:after="0"/>
              <w:rPr>
                <w:sz w:val="18"/>
                <w:szCs w:val="18"/>
                <w:color w:val="auto"/>
              </w:rPr>
            </w:pPr>
          </w:p>
        </w:tc>
        <w:tc>
          <w:tcPr>
            <w:tcW w:w="2580" w:type="dxa"/>
            <w:vAlign w:val="bottom"/>
          </w:tcPr>
          <w:p>
            <w:pPr>
              <w:ind w:left="240"/>
              <w:spacing w:after="0"/>
              <w:rPr>
                <w:sz w:val="20"/>
                <w:szCs w:val="20"/>
                <w:color w:val="auto"/>
              </w:rPr>
            </w:pPr>
            <w:r>
              <w:rPr>
                <w:rFonts w:ascii="Arial" w:cs="Arial" w:eastAsia="Arial" w:hAnsi="Arial"/>
                <w:sz w:val="16"/>
                <w:szCs w:val="16"/>
                <w:color w:val="auto"/>
              </w:rPr>
              <w:t>units)</w:t>
            </w: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20" w:type="dxa"/>
            <w:vAlign w:val="bottom"/>
            <w:shd w:val="clear" w:color="auto" w:fill="CFF0FC"/>
          </w:tcPr>
          <w:p>
            <w:pPr>
              <w:spacing w:after="0"/>
              <w:rPr>
                <w:sz w:val="18"/>
                <w:szCs w:val="18"/>
                <w:color w:val="auto"/>
              </w:rPr>
            </w:pP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3"/>
              </w:rPr>
              <w:t>Common Shares Class B (987,929</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6/30/2017</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09"/>
        </w:trPr>
        <w:tc>
          <w:tcPr>
            <w:tcW w:w="2420" w:type="dxa"/>
            <w:vAlign w:val="bottom"/>
            <w:shd w:val="clear" w:color="auto" w:fill="CFF0FC"/>
          </w:tcPr>
          <w:p>
            <w:pPr>
              <w:spacing w:after="0"/>
              <w:rPr>
                <w:sz w:val="18"/>
                <w:szCs w:val="18"/>
                <w:color w:val="auto"/>
              </w:rPr>
            </w:pP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units)</w:t>
            </w:r>
          </w:p>
        </w:tc>
        <w:tc>
          <w:tcPr>
            <w:tcW w:w="33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1,030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1,426</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212"/>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Internet Services</w:t>
            </w:r>
          </w:p>
        </w:tc>
        <w:tc>
          <w:tcPr>
            <w:tcW w:w="2580" w:type="dxa"/>
            <w:vAlign w:val="bottom"/>
            <w:tcBorders>
              <w:top w:val="single" w:sz="8" w:color="CFF0FC"/>
            </w:tcBorders>
            <w:shd w:val="clear" w:color="auto" w:fill="CFF0FC"/>
          </w:tcPr>
          <w:p>
            <w:pPr>
              <w:spacing w:after="0"/>
              <w:rPr>
                <w:sz w:val="18"/>
                <w:szCs w:val="18"/>
                <w:color w:val="auto"/>
              </w:rPr>
            </w:pPr>
          </w:p>
        </w:tc>
        <w:tc>
          <w:tcPr>
            <w:tcW w:w="33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420" w:type="dxa"/>
            <w:vAlign w:val="bottom"/>
          </w:tcPr>
          <w:p>
            <w:pPr>
              <w:spacing w:after="0" w:line="207" w:lineRule="exact"/>
              <w:rPr>
                <w:sz w:val="20"/>
                <w:szCs w:val="20"/>
                <w:color w:val="auto"/>
              </w:rPr>
            </w:pPr>
            <w:r>
              <w:rPr>
                <w:rFonts w:ascii="Arial" w:cs="Arial" w:eastAsia="Arial" w:hAnsi="Arial"/>
                <w:sz w:val="14"/>
                <w:szCs w:val="14"/>
                <w:color w:val="auto"/>
              </w:rPr>
              <w:t xml:space="preserve">Lucidworks, Inc. </w:t>
            </w:r>
            <w:r>
              <w:rPr>
                <w:rFonts w:ascii="Arial" w:cs="Arial" w:eastAsia="Arial" w:hAnsi="Arial"/>
                <w:sz w:val="23"/>
                <w:szCs w:val="23"/>
                <w:color w:val="auto"/>
                <w:vertAlign w:val="superscript"/>
              </w:rPr>
              <w:t>(13)(14)</w:t>
            </w:r>
          </w:p>
        </w:tc>
        <w:tc>
          <w:tcPr>
            <w:tcW w:w="2580" w:type="dxa"/>
            <w:vAlign w:val="bottom"/>
          </w:tcPr>
          <w:p>
            <w:pPr>
              <w:ind w:left="240"/>
              <w:spacing w:after="0"/>
              <w:rPr>
                <w:sz w:val="20"/>
                <w:szCs w:val="20"/>
                <w:color w:val="auto"/>
              </w:rPr>
            </w:pPr>
            <w:r>
              <w:rPr>
                <w:rFonts w:ascii="Arial" w:cs="Arial" w:eastAsia="Arial" w:hAnsi="Arial"/>
                <w:sz w:val="16"/>
                <w:szCs w:val="16"/>
                <w:color w:val="auto"/>
              </w:rPr>
              <w:t>Series F Preferred Shares</w:t>
            </w:r>
          </w:p>
        </w:tc>
        <w:tc>
          <w:tcPr>
            <w:tcW w:w="3320" w:type="dxa"/>
            <w:vAlign w:val="bottom"/>
          </w:tcPr>
          <w:p>
            <w:pPr>
              <w:jc w:val="right"/>
              <w:ind w:right="2399"/>
              <w:spacing w:after="0"/>
              <w:rPr>
                <w:sz w:val="20"/>
                <w:szCs w:val="20"/>
                <w:color w:val="auto"/>
              </w:rPr>
            </w:pPr>
            <w:r>
              <w:rPr>
                <w:rFonts w:ascii="Arial" w:cs="Arial" w:eastAsia="Arial" w:hAnsi="Arial"/>
                <w:sz w:val="16"/>
                <w:szCs w:val="16"/>
                <w:color w:val="auto"/>
              </w:rPr>
              <w:t>8/2/2019</w:t>
            </w:r>
          </w:p>
        </w:tc>
        <w:tc>
          <w:tcPr>
            <w:tcW w:w="760" w:type="dxa"/>
            <w:vAlign w:val="bottom"/>
          </w:tcPr>
          <w:p>
            <w:pPr>
              <w:jc w:val="right"/>
              <w:spacing w:after="0"/>
              <w:rPr>
                <w:sz w:val="20"/>
                <w:szCs w:val="20"/>
                <w:color w:val="auto"/>
              </w:rPr>
            </w:pPr>
            <w:r>
              <w:rPr>
                <w:rFonts w:ascii="Arial" w:cs="Arial" w:eastAsia="Arial" w:hAnsi="Arial"/>
                <w:sz w:val="16"/>
                <w:szCs w:val="16"/>
                <w:color w:val="auto"/>
              </w:rPr>
              <w:t>800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800</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209"/>
        </w:trPr>
        <w:tc>
          <w:tcPr>
            <w:tcW w:w="2420" w:type="dxa"/>
            <w:vAlign w:val="bottom"/>
          </w:tcPr>
          <w:p>
            <w:pPr>
              <w:spacing w:after="0"/>
              <w:rPr>
                <w:sz w:val="18"/>
                <w:szCs w:val="18"/>
                <w:color w:val="auto"/>
              </w:rPr>
            </w:pPr>
          </w:p>
        </w:tc>
        <w:tc>
          <w:tcPr>
            <w:tcW w:w="2580" w:type="dxa"/>
            <w:vAlign w:val="bottom"/>
          </w:tcPr>
          <w:p>
            <w:pPr>
              <w:ind w:left="240"/>
              <w:spacing w:after="0"/>
              <w:rPr>
                <w:sz w:val="20"/>
                <w:szCs w:val="20"/>
                <w:color w:val="auto"/>
              </w:rPr>
            </w:pPr>
            <w:r>
              <w:rPr>
                <w:rFonts w:ascii="Arial" w:cs="Arial" w:eastAsia="Arial" w:hAnsi="Arial"/>
                <w:sz w:val="16"/>
                <w:szCs w:val="16"/>
                <w:color w:val="auto"/>
              </w:rPr>
              <w:t>(199,054 shares)</w:t>
            </w: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Marketing services</w:t>
            </w:r>
          </w:p>
        </w:tc>
        <w:tc>
          <w:tcPr>
            <w:tcW w:w="2580" w:type="dxa"/>
            <w:vAlign w:val="bottom"/>
            <w:shd w:val="clear" w:color="auto" w:fill="CFF0FC"/>
          </w:tcPr>
          <w:p>
            <w:pPr>
              <w:spacing w:after="0"/>
              <w:rPr>
                <w:sz w:val="19"/>
                <w:szCs w:val="19"/>
                <w:color w:val="auto"/>
              </w:rPr>
            </w:pPr>
          </w:p>
        </w:tc>
        <w:tc>
          <w:tcPr>
            <w:tcW w:w="3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420" w:type="dxa"/>
            <w:vAlign w:val="bottom"/>
          </w:tcPr>
          <w:p>
            <w:pPr>
              <w:spacing w:after="0" w:line="207" w:lineRule="exact"/>
              <w:rPr>
                <w:sz w:val="20"/>
                <w:szCs w:val="20"/>
                <w:color w:val="auto"/>
              </w:rPr>
            </w:pPr>
            <w:r>
              <w:rPr>
                <w:rFonts w:ascii="Arial" w:cs="Arial" w:eastAsia="Arial" w:hAnsi="Arial"/>
                <w:sz w:val="14"/>
                <w:szCs w:val="14"/>
                <w:color w:val="auto"/>
              </w:rPr>
              <w:t xml:space="preserve">Validity, Inc. </w:t>
            </w:r>
            <w:r>
              <w:rPr>
                <w:rFonts w:ascii="Arial" w:cs="Arial" w:eastAsia="Arial" w:hAnsi="Arial"/>
                <w:sz w:val="23"/>
                <w:szCs w:val="23"/>
                <w:color w:val="auto"/>
                <w:vertAlign w:val="superscript"/>
              </w:rPr>
              <w:t>(13)</w:t>
            </w:r>
          </w:p>
        </w:tc>
        <w:tc>
          <w:tcPr>
            <w:tcW w:w="2580" w:type="dxa"/>
            <w:vAlign w:val="bottom"/>
          </w:tcPr>
          <w:p>
            <w:pPr>
              <w:ind w:left="240"/>
              <w:spacing w:after="0"/>
              <w:rPr>
                <w:sz w:val="20"/>
                <w:szCs w:val="20"/>
                <w:color w:val="auto"/>
              </w:rPr>
            </w:pPr>
            <w:r>
              <w:rPr>
                <w:rFonts w:ascii="Arial" w:cs="Arial" w:eastAsia="Arial" w:hAnsi="Arial"/>
                <w:sz w:val="16"/>
                <w:szCs w:val="16"/>
                <w:color w:val="auto"/>
              </w:rPr>
              <w:t>Series A Preferred Shares</w:t>
            </w:r>
          </w:p>
        </w:tc>
        <w:tc>
          <w:tcPr>
            <w:tcW w:w="3320" w:type="dxa"/>
            <w:vAlign w:val="bottom"/>
          </w:tcPr>
          <w:p>
            <w:pPr>
              <w:jc w:val="right"/>
              <w:ind w:right="2399"/>
              <w:spacing w:after="0"/>
              <w:rPr>
                <w:sz w:val="20"/>
                <w:szCs w:val="20"/>
                <w:color w:val="auto"/>
              </w:rPr>
            </w:pPr>
            <w:r>
              <w:rPr>
                <w:rFonts w:ascii="Arial" w:cs="Arial" w:eastAsia="Arial" w:hAnsi="Arial"/>
                <w:sz w:val="16"/>
                <w:szCs w:val="16"/>
                <w:color w:val="auto"/>
              </w:rPr>
              <w:t>5/31/2018</w:t>
            </w:r>
          </w:p>
        </w:tc>
        <w:tc>
          <w:tcPr>
            <w:tcW w:w="760" w:type="dxa"/>
            <w:vAlign w:val="bottom"/>
          </w:tcPr>
          <w:p>
            <w:pPr>
              <w:jc w:val="right"/>
              <w:spacing w:after="0"/>
              <w:rPr>
                <w:sz w:val="20"/>
                <w:szCs w:val="20"/>
                <w:color w:val="auto"/>
              </w:rPr>
            </w:pPr>
            <w:r>
              <w:rPr>
                <w:rFonts w:ascii="Arial" w:cs="Arial" w:eastAsia="Arial" w:hAnsi="Arial"/>
                <w:sz w:val="16"/>
                <w:szCs w:val="16"/>
                <w:color w:val="auto"/>
              </w:rPr>
              <w:t>3,840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12,379</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r>
      <w:tr>
        <w:trPr>
          <w:trHeight w:val="206"/>
        </w:trPr>
        <w:tc>
          <w:tcPr>
            <w:tcW w:w="2420" w:type="dxa"/>
            <w:vAlign w:val="bottom"/>
          </w:tcPr>
          <w:p>
            <w:pPr>
              <w:spacing w:after="0"/>
              <w:rPr>
                <w:sz w:val="17"/>
                <w:szCs w:val="17"/>
                <w:color w:val="auto"/>
              </w:rPr>
            </w:pPr>
          </w:p>
        </w:tc>
        <w:tc>
          <w:tcPr>
            <w:tcW w:w="2580" w:type="dxa"/>
            <w:vAlign w:val="bottom"/>
          </w:tcPr>
          <w:p>
            <w:pPr>
              <w:ind w:left="240"/>
              <w:spacing w:after="0"/>
              <w:rPr>
                <w:sz w:val="20"/>
                <w:szCs w:val="20"/>
                <w:color w:val="auto"/>
              </w:rPr>
            </w:pPr>
            <w:r>
              <w:rPr>
                <w:rFonts w:ascii="Arial" w:cs="Arial" w:eastAsia="Arial" w:hAnsi="Arial"/>
                <w:sz w:val="16"/>
                <w:szCs w:val="16"/>
                <w:color w:val="auto"/>
              </w:rPr>
              <w:t>(3,840,000 shares)</w:t>
            </w:r>
          </w:p>
        </w:tc>
        <w:tc>
          <w:tcPr>
            <w:tcW w:w="3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90"/>
              </w:rPr>
              <w:t>Oil, gas and consumable fuels</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20"/>
                <w:szCs w:val="20"/>
                <w:color w:val="auto"/>
              </w:rPr>
            </w:pPr>
            <w:r>
              <w:rPr>
                <w:rFonts w:ascii="Arial" w:cs="Arial" w:eastAsia="Arial" w:hAnsi="Arial"/>
                <w:sz w:val="16"/>
                <w:szCs w:val="16"/>
                <w:color w:val="auto"/>
              </w:rPr>
              <w:t>Mississippi Resources,</w:t>
            </w:r>
          </w:p>
        </w:tc>
        <w:tc>
          <w:tcPr>
            <w:tcW w:w="2640" w:type="dxa"/>
            <w:vAlign w:val="bottom"/>
            <w:gridSpan w:val="4"/>
          </w:tcPr>
          <w:p>
            <w:pPr>
              <w:ind w:left="540"/>
              <w:spacing w:after="0"/>
              <w:rPr>
                <w:sz w:val="20"/>
                <w:szCs w:val="20"/>
                <w:color w:val="auto"/>
              </w:rPr>
            </w:pPr>
            <w:r>
              <w:rPr>
                <w:rFonts w:ascii="Arial" w:cs="Arial" w:eastAsia="Arial" w:hAnsi="Arial"/>
                <w:sz w:val="16"/>
                <w:szCs w:val="16"/>
                <w:color w:val="auto"/>
                <w:w w:val="93"/>
              </w:rPr>
              <w:t>Class A-0 Member Units (1,000</w:t>
            </w:r>
          </w:p>
        </w:tc>
        <w:tc>
          <w:tcPr>
            <w:tcW w:w="1180" w:type="dxa"/>
            <w:vAlign w:val="bottom"/>
          </w:tcPr>
          <w:p>
            <w:pPr>
              <w:jc w:val="right"/>
              <w:ind w:right="34"/>
              <w:spacing w:after="0"/>
              <w:rPr>
                <w:sz w:val="20"/>
                <w:szCs w:val="20"/>
                <w:color w:val="auto"/>
              </w:rPr>
            </w:pPr>
            <w:r>
              <w:rPr>
                <w:rFonts w:ascii="Arial" w:cs="Arial" w:eastAsia="Arial" w:hAnsi="Arial"/>
                <w:sz w:val="16"/>
                <w:szCs w:val="16"/>
                <w:color w:val="auto"/>
              </w:rPr>
              <w:t>12/12/2019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6,693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color w:val="auto"/>
                <w:w w:val="89"/>
              </w:rPr>
              <w:t>5,104</w:t>
            </w:r>
          </w:p>
        </w:tc>
        <w:tc>
          <w:tcPr>
            <w:tcW w:w="1100" w:type="dxa"/>
            <w:vAlign w:val="bottom"/>
            <w:gridSpan w:val="4"/>
          </w:tcPr>
          <w:p>
            <w:pPr>
              <w:jc w:val="right"/>
              <w:ind w:right="4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(7)(13)</w:t>
            </w:r>
          </w:p>
        </w:tc>
        <w:tc>
          <w:tcPr>
            <w:tcW w:w="1300" w:type="dxa"/>
            <w:vAlign w:val="bottom"/>
            <w:gridSpan w:val="2"/>
          </w:tcPr>
          <w:p>
            <w:pPr>
              <w:ind w:left="540"/>
              <w:spacing w:after="0" w:line="216" w:lineRule="exact"/>
              <w:rPr>
                <w:sz w:val="20"/>
                <w:szCs w:val="20"/>
                <w:color w:val="auto"/>
              </w:rPr>
            </w:pPr>
            <w:r>
              <w:rPr>
                <w:rFonts w:ascii="Arial" w:cs="Arial" w:eastAsia="Arial" w:hAnsi="Arial"/>
                <w:sz w:val="15"/>
                <w:szCs w:val="15"/>
                <w:color w:val="auto"/>
              </w:rPr>
              <w:t xml:space="preserve">units) </w:t>
            </w:r>
            <w:r>
              <w:rPr>
                <w:rFonts w:ascii="Arial" w:cs="Arial" w:eastAsia="Arial" w:hAnsi="Arial"/>
                <w:sz w:val="25"/>
                <w:szCs w:val="25"/>
                <w:color w:val="auto"/>
                <w:vertAlign w:val="superscript"/>
              </w:rPr>
              <w:t>(14)</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100" w:type="dxa"/>
            <w:vAlign w:val="bottom"/>
            <w:shd w:val="clear" w:color="auto" w:fill="CFF0FC"/>
          </w:tcPr>
          <w:p>
            <w:pPr>
              <w:spacing w:after="0"/>
              <w:rPr>
                <w:sz w:val="17"/>
                <w:szCs w:val="17"/>
                <w:color w:val="auto"/>
              </w:rPr>
            </w:pPr>
          </w:p>
        </w:tc>
        <w:tc>
          <w:tcPr>
            <w:tcW w:w="2640" w:type="dxa"/>
            <w:vAlign w:val="bottom"/>
            <w:gridSpan w:val="4"/>
            <w:shd w:val="clear" w:color="auto" w:fill="CFF0FC"/>
          </w:tcPr>
          <w:p>
            <w:pPr>
              <w:ind w:left="540"/>
              <w:spacing w:after="0"/>
              <w:rPr>
                <w:sz w:val="20"/>
                <w:szCs w:val="20"/>
                <w:color w:val="auto"/>
              </w:rPr>
            </w:pPr>
            <w:r>
              <w:rPr>
                <w:rFonts w:ascii="Arial" w:cs="Arial" w:eastAsia="Arial" w:hAnsi="Arial"/>
                <w:sz w:val="16"/>
                <w:szCs w:val="16"/>
                <w:color w:val="auto"/>
                <w:w w:val="93"/>
              </w:rPr>
              <w:t>Class A-1 Member Units (1,360</w:t>
            </w:r>
          </w:p>
        </w:tc>
        <w:tc>
          <w:tcPr>
            <w:tcW w:w="1180" w:type="dxa"/>
            <w:vAlign w:val="bottom"/>
            <w:shd w:val="clear" w:color="auto" w:fill="CFF0FC"/>
          </w:tcPr>
          <w:p>
            <w:pPr>
              <w:jc w:val="right"/>
              <w:ind w:right="34"/>
              <w:spacing w:after="0"/>
              <w:rPr>
                <w:sz w:val="20"/>
                <w:szCs w:val="20"/>
                <w:color w:val="auto"/>
              </w:rPr>
            </w:pPr>
            <w:r>
              <w:rPr>
                <w:rFonts w:ascii="Arial" w:cs="Arial" w:eastAsia="Arial" w:hAnsi="Arial"/>
                <w:sz w:val="16"/>
                <w:szCs w:val="16"/>
                <w:color w:val="auto"/>
              </w:rPr>
              <w:t>5/3/2017</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3"/>
              </w:rPr>
              <w:t>10,366</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2"/>
        </w:trPr>
        <w:tc>
          <w:tcPr>
            <w:tcW w:w="2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540"/>
              <w:spacing w:after="0"/>
              <w:rPr>
                <w:sz w:val="20"/>
                <w:szCs w:val="20"/>
                <w:color w:val="auto"/>
              </w:rPr>
            </w:pPr>
            <w:r>
              <w:rPr>
                <w:rFonts w:ascii="Arial" w:cs="Arial" w:eastAsia="Arial" w:hAnsi="Arial"/>
                <w:sz w:val="16"/>
                <w:szCs w:val="16"/>
                <w:color w:val="auto"/>
              </w:rPr>
              <w:t>units)</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640" w:type="dxa"/>
            <w:vAlign w:val="bottom"/>
            <w:gridSpan w:val="4"/>
          </w:tcPr>
          <w:p>
            <w:pPr>
              <w:ind w:left="540"/>
              <w:spacing w:after="0"/>
              <w:rPr>
                <w:sz w:val="20"/>
                <w:szCs w:val="20"/>
                <w:color w:val="auto"/>
              </w:rPr>
            </w:pPr>
            <w:r>
              <w:rPr>
                <w:rFonts w:ascii="Arial" w:cs="Arial" w:eastAsia="Arial" w:hAnsi="Arial"/>
                <w:sz w:val="16"/>
                <w:szCs w:val="16"/>
                <w:color w:val="auto"/>
                <w:w w:val="99"/>
              </w:rPr>
              <w:t>Class A-2 Member Units (933</w:t>
            </w:r>
          </w:p>
        </w:tc>
        <w:tc>
          <w:tcPr>
            <w:tcW w:w="1180" w:type="dxa"/>
            <w:vAlign w:val="bottom"/>
          </w:tcPr>
          <w:p>
            <w:pPr>
              <w:jc w:val="right"/>
              <w:ind w:right="34"/>
              <w:spacing w:after="0"/>
              <w:rPr>
                <w:sz w:val="20"/>
                <w:szCs w:val="20"/>
                <w:color w:val="auto"/>
              </w:rPr>
            </w:pPr>
            <w:r>
              <w:rPr>
                <w:rFonts w:ascii="Arial" w:cs="Arial" w:eastAsia="Arial" w:hAnsi="Arial"/>
                <w:sz w:val="16"/>
                <w:szCs w:val="16"/>
                <w:color w:val="auto"/>
              </w:rPr>
              <w:t>6/4/2014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8,874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4"/>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9"/>
        </w:trPr>
        <w:tc>
          <w:tcPr>
            <w:tcW w:w="210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gridSpan w:val="2"/>
          </w:tcPr>
          <w:p>
            <w:pPr>
              <w:ind w:left="540"/>
              <w:spacing w:after="0"/>
              <w:rPr>
                <w:sz w:val="20"/>
                <w:szCs w:val="20"/>
                <w:color w:val="auto"/>
              </w:rPr>
            </w:pPr>
            <w:r>
              <w:rPr>
                <w:rFonts w:ascii="Arial" w:cs="Arial" w:eastAsia="Arial" w:hAnsi="Arial"/>
                <w:sz w:val="16"/>
                <w:szCs w:val="16"/>
                <w:color w:val="auto"/>
              </w:rPr>
              <w:t>units)</w:t>
            </w:r>
          </w:p>
        </w:tc>
        <w:tc>
          <w:tcPr>
            <w:tcW w:w="10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w w:val="93"/>
              </w:rPr>
              <w:t>25,933</w:t>
            </w:r>
          </w:p>
        </w:tc>
        <w:tc>
          <w:tcPr>
            <w:tcW w:w="2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w w:val="89"/>
              </w:rPr>
              <w:t>5,104</w:t>
            </w:r>
          </w:p>
        </w:tc>
        <w:tc>
          <w:tcPr>
            <w:tcW w:w="22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1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20"/>
                <w:szCs w:val="20"/>
                <w:color w:val="auto"/>
              </w:rPr>
            </w:pPr>
            <w:r>
              <w:rPr>
                <w:rFonts w:ascii="Arial" w:cs="Arial" w:eastAsia="Arial" w:hAnsi="Arial"/>
                <w:sz w:val="16"/>
                <w:szCs w:val="16"/>
                <w:b w:val="1"/>
                <w:bCs w:val="1"/>
                <w:color w:val="auto"/>
              </w:rPr>
              <w:t>Total Equity and Other</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w w:val="93"/>
              </w:rPr>
              <w:t>87,559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4"/>
          </w:tcPr>
          <w:p>
            <w:pPr>
              <w:jc w:val="right"/>
              <w:spacing w:after="0"/>
              <w:rPr>
                <w:sz w:val="20"/>
                <w:szCs w:val="20"/>
                <w:color w:val="auto"/>
              </w:rPr>
            </w:pPr>
            <w:r>
              <w:rPr>
                <w:rFonts w:ascii="Arial" w:cs="Arial" w:eastAsia="Arial" w:hAnsi="Arial"/>
                <w:sz w:val="16"/>
                <w:szCs w:val="16"/>
                <w:color w:val="auto"/>
              </w:rPr>
              <w:t>63,113</w:t>
            </w:r>
          </w:p>
        </w:tc>
        <w:tc>
          <w:tcPr>
            <w:tcW w:w="1100" w:type="dxa"/>
            <w:vAlign w:val="bottom"/>
            <w:gridSpan w:val="4"/>
          </w:tcPr>
          <w:p>
            <w:pPr>
              <w:jc w:val="right"/>
              <w:ind w:right="4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3"/>
        </w:trPr>
        <w:tc>
          <w:tcPr>
            <w:tcW w:w="210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Investments</w:t>
            </w:r>
          </w:p>
        </w:tc>
        <w:tc>
          <w:tcPr>
            <w:tcW w:w="10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Investments</w:t>
            </w:r>
          </w:p>
        </w:tc>
        <w:tc>
          <w:tcPr>
            <w:tcW w:w="10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$ 2,238,037</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gridSpan w:val="5"/>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2,245,928</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200.6</w:t>
            </w:r>
          </w:p>
        </w:tc>
        <w:tc>
          <w:tcPr>
            <w:tcW w:w="1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20" w:type="dxa"/>
            <w:vAlign w:val="bottom"/>
            <w:gridSpan w:val="9"/>
          </w:tcPr>
          <w:p>
            <w:pPr>
              <w:jc w:val="center"/>
              <w:ind w:right="80"/>
              <w:spacing w:after="0"/>
              <w:rPr>
                <w:sz w:val="20"/>
                <w:szCs w:val="20"/>
                <w:color w:val="auto"/>
              </w:rPr>
            </w:pPr>
            <w:r>
              <w:rPr>
                <w:rFonts w:ascii="Arial" w:cs="Arial" w:eastAsia="Arial" w:hAnsi="Arial"/>
                <w:sz w:val="14"/>
                <w:szCs w:val="14"/>
                <w:b w:val="1"/>
                <w:bCs w:val="1"/>
                <w:color w:val="auto"/>
                <w:w w:val="91"/>
              </w:rPr>
              <w:t>Interest Rate Swaps as of December 31, 2019</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100" w:type="dxa"/>
            <w:vAlign w:val="bottom"/>
          </w:tcPr>
          <w:p>
            <w:pPr>
              <w:spacing w:after="0"/>
              <w:rPr>
                <w:sz w:val="11"/>
                <w:szCs w:val="11"/>
                <w:color w:val="auto"/>
              </w:rPr>
            </w:pPr>
          </w:p>
        </w:tc>
        <w:tc>
          <w:tcPr>
            <w:tcW w:w="13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134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1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Notional</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jc w:val="center"/>
              <w:ind w:right="320"/>
              <w:spacing w:after="0" w:line="133" w:lineRule="exact"/>
              <w:rPr>
                <w:sz w:val="20"/>
                <w:szCs w:val="20"/>
                <w:color w:val="auto"/>
              </w:rPr>
            </w:pPr>
            <w:r>
              <w:rPr>
                <w:rFonts w:ascii="Arial" w:cs="Arial" w:eastAsia="Arial" w:hAnsi="Arial"/>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center"/>
              <w:ind w:left="201"/>
              <w:spacing w:after="0" w:line="133" w:lineRule="exact"/>
              <w:rPr>
                <w:sz w:val="20"/>
                <w:szCs w:val="20"/>
                <w:color w:val="auto"/>
              </w:rPr>
            </w:pPr>
            <w:r>
              <w:rPr>
                <w:rFonts w:ascii="Arial" w:cs="Arial" w:eastAsia="Arial" w:hAnsi="Arial"/>
                <w:sz w:val="14"/>
                <w:szCs w:val="14"/>
                <w:b w:val="1"/>
                <w:bCs w:val="1"/>
                <w:color w:val="auto"/>
                <w:w w:val="98"/>
              </w:rPr>
              <w:t>Upfront</w:t>
            </w:r>
          </w:p>
        </w:tc>
        <w:tc>
          <w:tcPr>
            <w:tcW w:w="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jc w:val="center"/>
              <w:ind w:right="39"/>
              <w:spacing w:after="0" w:line="133" w:lineRule="exact"/>
              <w:rPr>
                <w:sz w:val="20"/>
                <w:szCs w:val="20"/>
                <w:color w:val="auto"/>
              </w:rPr>
            </w:pPr>
            <w:r>
              <w:rPr>
                <w:rFonts w:ascii="Arial" w:cs="Arial" w:eastAsia="Arial" w:hAnsi="Arial"/>
                <w:sz w:val="14"/>
                <w:szCs w:val="14"/>
                <w:b w:val="1"/>
                <w:bCs w:val="1"/>
                <w:color w:val="auto"/>
                <w:w w:val="91"/>
              </w:rPr>
              <w:t>Change in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500" w:type="dxa"/>
            <w:vAlign w:val="bottom"/>
            <w:gridSpan w:val="3"/>
            <w:vMerge w:val="restart"/>
          </w:tcPr>
          <w:p>
            <w:pPr>
              <w:jc w:val="right"/>
              <w:ind w:right="407"/>
              <w:spacing w:after="0"/>
              <w:rPr>
                <w:sz w:val="20"/>
                <w:szCs w:val="20"/>
                <w:color w:val="auto"/>
              </w:rPr>
            </w:pPr>
            <w:r>
              <w:rPr>
                <w:rFonts w:ascii="Arial" w:cs="Arial" w:eastAsia="Arial" w:hAnsi="Arial"/>
                <w:sz w:val="14"/>
                <w:szCs w:val="14"/>
                <w:b w:val="1"/>
                <w:bCs w:val="1"/>
                <w:color w:val="auto"/>
              </w:rPr>
              <w:t>Maturity Date</w:t>
            </w: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12"/>
                <w:szCs w:val="12"/>
                <w:color w:val="auto"/>
              </w:rPr>
            </w:pPr>
          </w:p>
        </w:tc>
        <w:tc>
          <w:tcPr>
            <w:tcW w:w="10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(Payments) /</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Receives</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Pays</w:t>
            </w:r>
          </w:p>
        </w:tc>
        <w:tc>
          <w:tcPr>
            <w:tcW w:w="1500" w:type="dxa"/>
            <w:vAlign w:val="bottom"/>
            <w:gridSpan w:val="3"/>
            <w:vMerge w:val="continue"/>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840" w:type="dxa"/>
            <w:vAlign w:val="bottom"/>
            <w:gridSpan w:val="4"/>
          </w:tcPr>
          <w:p>
            <w:pPr>
              <w:jc w:val="center"/>
              <w:ind w:left="161"/>
              <w:spacing w:after="0"/>
              <w:rPr>
                <w:sz w:val="20"/>
                <w:szCs w:val="20"/>
                <w:color w:val="auto"/>
              </w:rPr>
            </w:pPr>
            <w:r>
              <w:rPr>
                <w:rFonts w:ascii="Arial" w:cs="Arial" w:eastAsia="Arial" w:hAnsi="Arial"/>
                <w:sz w:val="14"/>
                <w:szCs w:val="14"/>
                <w:b w:val="1"/>
                <w:bCs w:val="1"/>
                <w:color w:val="auto"/>
                <w:w w:val="89"/>
              </w:rPr>
              <w:t>Receipts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Gains / (Losses)</w:t>
            </w:r>
          </w:p>
        </w:tc>
        <w:tc>
          <w:tcPr>
            <w:tcW w:w="0" w:type="dxa"/>
            <w:vAlign w:val="bottom"/>
          </w:tcPr>
          <w:p>
            <w:pPr>
              <w:spacing w:after="0"/>
              <w:rPr>
                <w:sz w:val="1"/>
                <w:szCs w:val="1"/>
                <w:color w:val="auto"/>
              </w:rPr>
            </w:pPr>
          </w:p>
        </w:tc>
      </w:tr>
      <w:tr>
        <w:trPr>
          <w:trHeight w:val="223"/>
        </w:trPr>
        <w:tc>
          <w:tcPr>
            <w:tcW w:w="2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L</w:t>
            </w:r>
          </w:p>
        </w:tc>
        <w:tc>
          <w:tcPr>
            <w:tcW w:w="2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1.97%</w:t>
            </w:r>
          </w:p>
        </w:tc>
        <w:tc>
          <w:tcPr>
            <w:tcW w:w="26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6/25/2020</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8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1.47%</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7/30/2021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1.36%</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7/29/2022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 + 2.37%</w:t>
            </w:r>
          </w:p>
        </w:tc>
        <w:tc>
          <w:tcPr>
            <w:tcW w:w="1180" w:type="dxa"/>
            <w:vAlign w:val="bottom"/>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3"/>
              </w:rPr>
              <w:t>L + 1.59%</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 + 1.60%</w:t>
            </w:r>
          </w:p>
        </w:tc>
        <w:tc>
          <w:tcPr>
            <w:tcW w:w="1180" w:type="dxa"/>
            <w:vAlign w:val="bottom"/>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3"/>
              </w:rPr>
              <w:t>L + 1.99%</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3,562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1.72%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1/10/2020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3"/>
              </w:rPr>
              <w:t>L + 2.86%</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12/15/2019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2.66%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6/27/2019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428,900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6,531</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9,194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(a)(c)</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3.88%</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3"/>
              </w:rPr>
              <w:t>L + 2.25%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(1,787)</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23"/>
        </w:trPr>
        <w:tc>
          <w:tcPr>
            <w:tcW w:w="210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Cash collateral</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(3,737)</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00" w:type="dxa"/>
            <w:vAlign w:val="bottom"/>
          </w:tcPr>
          <w:p>
            <w:pPr>
              <w:ind w:left="260"/>
              <w:spacing w:after="0"/>
              <w:rPr>
                <w:sz w:val="20"/>
                <w:szCs w:val="20"/>
                <w:color w:val="auto"/>
              </w:rPr>
            </w:pPr>
            <w:r>
              <w:rPr>
                <w:rFonts w:ascii="Arial" w:cs="Arial" w:eastAsia="Arial" w:hAnsi="Arial"/>
                <w:sz w:val="18"/>
                <w:szCs w:val="18"/>
                <w:b w:val="1"/>
                <w:bCs w:val="1"/>
                <w:color w:val="auto"/>
              </w:rPr>
              <w:t>Total derivatives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728,900</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00" w:hanging="493"/>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Interest rate swap was terminated or matured in 2019.</w:t>
      </w:r>
    </w:p>
    <w:p>
      <w:pPr>
        <w:spacing w:after="0" w:line="9" w:lineRule="exact"/>
        <w:rPr>
          <w:rFonts w:ascii="Arial" w:cs="Arial" w:eastAsia="Arial" w:hAnsi="Arial"/>
          <w:sz w:val="18"/>
          <w:szCs w:val="18"/>
          <w:color w:val="auto"/>
        </w:rPr>
      </w:pPr>
    </w:p>
    <w:p>
      <w:pPr>
        <w:ind w:left="1000" w:right="200" w:hanging="493"/>
        <w:spacing w:after="0" w:line="260"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Instrument is used in a hedge accounting relationship. The associated change in fair value is recorded along with the change in fair value of the hedged item within interest expense.</w:t>
      </w:r>
    </w:p>
    <w:p>
      <w:pPr>
        <w:spacing w:after="0" w:line="90"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00" w:right="20" w:hanging="492"/>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00" w:right="20" w:hanging="492"/>
        <w:spacing w:after="0" w:line="281"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 Rate (“Euribor” or “E”) (which can include one-, two-, three-, or six-month Euribor), Canadian Dollar Offered Rate (“CDOR” or “C”), Bank Bill Swap Bid Rate (“BBSY” or “B”) or an alternate base rate (which can include the Federal Funds Effective Rate, the Toronto-Dominion Bank rate, or the Prime Rate or “P”), at the borrower’s option, which reset periodically based on the terms of the credit agreement. For investments with multiple interest rate contracts, the interest rate shown is the weighted average interest rate in effect at December 31, 2019.</w:t>
      </w:r>
    </w:p>
    <w:p>
      <w:pPr>
        <w:spacing w:after="0" w:line="3" w:lineRule="exact"/>
        <w:rPr>
          <w:rFonts w:ascii="Arial" w:cs="Arial" w:eastAsia="Arial" w:hAnsi="Arial"/>
          <w:sz w:val="16"/>
          <w:szCs w:val="16"/>
          <w:color w:val="auto"/>
        </w:rPr>
      </w:pPr>
    </w:p>
    <w:p>
      <w:pPr>
        <w:ind w:left="500" w:right="20" w:hanging="492"/>
        <w:spacing w:after="0" w:line="277"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18.5% of total assets as of December 31, 2019.</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7" w:name="page18"/>
    <w:bookmarkEnd w:id="17"/>
    <w:p>
      <w:pPr>
        <w:ind w:left="500" w:right="60" w:hanging="492"/>
        <w:spacing w:after="0" w:line="269"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 w:lineRule="exact"/>
        <w:rPr>
          <w:rFonts w:ascii="Arial" w:cs="Arial" w:eastAsia="Arial" w:hAnsi="Arial"/>
          <w:sz w:val="17"/>
          <w:szCs w:val="17"/>
          <w:color w:val="auto"/>
        </w:rPr>
      </w:pPr>
    </w:p>
    <w:p>
      <w:pPr>
        <w:ind w:left="500" w:right="220" w:hanging="492"/>
        <w:spacing w:after="0" w:line="255"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year ended December 31, 2019 in which the Company was an Affiliated Person of the portfolio company are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Non-controlled, Affiliated Investments during the year ended December 31, 2019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Net Change</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21"/>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4"/>
              </w:rPr>
              <w:t>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2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December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81"/>
              <w:spacing w:after="0"/>
              <w:rPr>
                <w:sz w:val="20"/>
                <w:szCs w:val="20"/>
                <w:color w:val="auto"/>
              </w:rPr>
            </w:pPr>
            <w:r>
              <w:rPr>
                <w:rFonts w:ascii="Arial" w:cs="Arial" w:eastAsia="Arial" w:hAnsi="Arial"/>
                <w:sz w:val="14"/>
                <w:szCs w:val="14"/>
                <w:b w:val="1"/>
                <w:bCs w:val="1"/>
                <w:color w:val="auto"/>
                <w:w w:val="87"/>
              </w:rPr>
              <w:t>Transfers</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31, 2018</w:t>
            </w: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Additions (a)</w:t>
            </w:r>
          </w:p>
        </w:tc>
        <w:tc>
          <w:tcPr>
            <w:tcW w:w="1340" w:type="dxa"/>
            <w:vAlign w:val="bottom"/>
            <w:gridSpan w:val="4"/>
          </w:tcPr>
          <w:p>
            <w:pPr>
              <w:ind w:left="220"/>
              <w:spacing w:after="0"/>
              <w:rPr>
                <w:sz w:val="20"/>
                <w:szCs w:val="20"/>
                <w:color w:val="auto"/>
              </w:rPr>
            </w:pPr>
            <w:r>
              <w:rPr>
                <w:rFonts w:ascii="Arial" w:cs="Arial" w:eastAsia="Arial" w:hAnsi="Arial"/>
                <w:sz w:val="14"/>
                <w:szCs w:val="14"/>
                <w:b w:val="1"/>
                <w:bCs w:val="1"/>
                <w:color w:val="auto"/>
              </w:rPr>
              <w:t>Reductions (b)</w:t>
            </w: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Gain/(Loss)</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Gain/(Losses)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45,342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50,136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5,207</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tcPr>
          <w:p>
            <w:pPr>
              <w:spacing w:after="0"/>
              <w:rPr>
                <w:sz w:val="20"/>
                <w:szCs w:val="20"/>
                <w:color w:val="auto"/>
              </w:rPr>
            </w:pPr>
            <w:r>
              <w:rPr>
                <w:rFonts w:ascii="Arial" w:cs="Arial" w:eastAsia="Arial" w:hAnsi="Arial"/>
                <w:sz w:val="18"/>
                <w:szCs w:val="18"/>
                <w:color w:val="auto"/>
              </w:rPr>
              <w:t>Validity, Inc.</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38,590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(39,993)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83,932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(1,409</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(39,993</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50,136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6,370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right="100" w:hanging="493"/>
        <w:spacing w:after="0" w:line="258"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5"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81" w:lineRule="exact"/>
        <w:rPr>
          <w:rFonts w:ascii="Arial" w:cs="Arial" w:eastAsia="Arial" w:hAnsi="Arial"/>
          <w:sz w:val="18"/>
          <w:szCs w:val="18"/>
          <w:color w:val="auto"/>
        </w:rPr>
      </w:pPr>
    </w:p>
    <w:p>
      <w:pPr>
        <w:ind w:left="500" w:right="200" w:hanging="492"/>
        <w:spacing w:after="0" w:line="301"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2019 in which the Company was an Affiliated Person of and was deemed to Control a portfolio company are as follows: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year ended December 31, 2019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8"/>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61"/>
              <w:spacing w:after="0"/>
              <w:rPr>
                <w:sz w:val="20"/>
                <w:szCs w:val="20"/>
                <w:color w:val="auto"/>
              </w:rPr>
            </w:pPr>
            <w:r>
              <w:rPr>
                <w:rFonts w:ascii="Arial" w:cs="Arial" w:eastAsia="Arial" w:hAnsi="Arial"/>
                <w:sz w:val="14"/>
                <w:szCs w:val="14"/>
                <w:b w:val="1"/>
                <w:bCs w:val="1"/>
                <w:color w:val="auto"/>
                <w:w w:val="89"/>
              </w:rPr>
              <w:t>Net Change</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21"/>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w w:val="94"/>
              </w:rPr>
              <w:t>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6"/>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2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December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60" w:type="dxa"/>
            <w:vAlign w:val="bottom"/>
            <w:gridSpan w:val="3"/>
          </w:tcPr>
          <w:p>
            <w:pPr>
              <w:jc w:val="right"/>
              <w:ind w:right="201"/>
              <w:spacing w:after="0" w:line="149" w:lineRule="exact"/>
              <w:rPr>
                <w:sz w:val="20"/>
                <w:szCs w:val="20"/>
                <w:color w:val="auto"/>
              </w:rPr>
            </w:pPr>
            <w:r>
              <w:rPr>
                <w:rFonts w:ascii="Arial" w:cs="Arial" w:eastAsia="Arial" w:hAnsi="Arial"/>
                <w:sz w:val="14"/>
                <w:szCs w:val="14"/>
                <w:b w:val="1"/>
                <w:bCs w:val="1"/>
                <w:color w:val="auto"/>
                <w:w w:val="98"/>
              </w:rPr>
              <w:t>In Unrealized</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rPr>
              <w:t>Transfers</w:t>
            </w:r>
          </w:p>
        </w:tc>
        <w:tc>
          <w:tcPr>
            <w:tcW w:w="1040" w:type="dxa"/>
            <w:vAlign w:val="bottom"/>
            <w:gridSpan w:val="3"/>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31, 2018</w:t>
            </w:r>
          </w:p>
        </w:tc>
        <w:tc>
          <w:tcPr>
            <w:tcW w:w="1020" w:type="dxa"/>
            <w:vAlign w:val="bottom"/>
            <w:gridSpan w:val="3"/>
          </w:tcPr>
          <w:p>
            <w:pPr>
              <w:ind w:left="220"/>
              <w:spacing w:after="0"/>
              <w:rPr>
                <w:sz w:val="20"/>
                <w:szCs w:val="20"/>
                <w:color w:val="auto"/>
              </w:rPr>
            </w:pPr>
            <w:r>
              <w:rPr>
                <w:rFonts w:ascii="Arial" w:cs="Arial" w:eastAsia="Arial" w:hAnsi="Arial"/>
                <w:sz w:val="14"/>
                <w:szCs w:val="14"/>
                <w:b w:val="1"/>
                <w:bCs w:val="1"/>
                <w:color w:val="auto"/>
                <w:w w:val="91"/>
              </w:rPr>
              <w:t>Additions (a)</w:t>
            </w:r>
          </w:p>
        </w:tc>
        <w:tc>
          <w:tcPr>
            <w:tcW w:w="1340" w:type="dxa"/>
            <w:vAlign w:val="bottom"/>
            <w:gridSpan w:val="4"/>
          </w:tcPr>
          <w:p>
            <w:pPr>
              <w:ind w:left="220"/>
              <w:spacing w:after="0"/>
              <w:rPr>
                <w:sz w:val="20"/>
                <w:szCs w:val="20"/>
                <w:color w:val="auto"/>
              </w:rPr>
            </w:pPr>
            <w:r>
              <w:rPr>
                <w:rFonts w:ascii="Arial" w:cs="Arial" w:eastAsia="Arial" w:hAnsi="Arial"/>
                <w:sz w:val="14"/>
                <w:szCs w:val="14"/>
                <w:b w:val="1"/>
                <w:bCs w:val="1"/>
                <w:color w:val="auto"/>
              </w:rPr>
              <w:t>Reductions (b)</w:t>
            </w:r>
          </w:p>
        </w:tc>
        <w:tc>
          <w:tcPr>
            <w:tcW w:w="100" w:type="dxa"/>
            <w:vAlign w:val="bottom"/>
          </w:tcPr>
          <w:p>
            <w:pPr>
              <w:spacing w:after="0"/>
              <w:rPr>
                <w:sz w:val="14"/>
                <w:szCs w:val="14"/>
                <w:color w:val="auto"/>
              </w:rPr>
            </w:pPr>
          </w:p>
        </w:tc>
        <w:tc>
          <w:tcPr>
            <w:tcW w:w="106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w w:val="90"/>
              </w:rPr>
              <w:t>Gain/(Loss)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Gain/(Losses)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IRGSE Holding Corp.</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34,527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8,279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(6,244)</w:t>
            </w:r>
          </w:p>
        </w:tc>
        <w:tc>
          <w:tcPr>
            <w:tcW w:w="120" w:type="dxa"/>
            <w:vAlign w:val="bottom"/>
          </w:tcPr>
          <w:p>
            <w:pPr>
              <w:spacing w:after="0"/>
              <w:rPr>
                <w:sz w:val="19"/>
                <w:szCs w:val="19"/>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34,812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3,963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Mississippi Resources,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LLC</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21,978</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(6,137)</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(4,164)</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1,995</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56,505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9,706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(1,750</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(12,381</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(3,594</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47,916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right="100" w:hanging="493"/>
        <w:spacing w:after="0" w:line="258"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5"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95" w:lineRule="exact"/>
        <w:rPr>
          <w:rFonts w:ascii="Arial" w:cs="Arial" w:eastAsia="Arial" w:hAnsi="Arial"/>
          <w:sz w:val="18"/>
          <w:szCs w:val="18"/>
          <w:color w:val="auto"/>
        </w:rPr>
      </w:pPr>
    </w:p>
    <w:p>
      <w:pPr>
        <w:ind w:left="500" w:right="640" w:hanging="492"/>
        <w:spacing w:after="0" w:line="258"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December 31, 2019, the estimated cost basis of investments for U.S. federal tax purposes was $2,230,116, resulting in estimated gross unrealized gains and losses of $87,386 and $78,478, respectively.</w:t>
      </w:r>
    </w:p>
    <w:p>
      <w:pPr>
        <w:spacing w:after="0" w:line="1" w:lineRule="exact"/>
        <w:rPr>
          <w:rFonts w:ascii="Arial" w:cs="Arial" w:eastAsia="Arial" w:hAnsi="Arial"/>
          <w:sz w:val="18"/>
          <w:szCs w:val="18"/>
          <w:color w:val="auto"/>
        </w:rPr>
      </w:pPr>
    </w:p>
    <w:p>
      <w:pPr>
        <w:ind w:left="500" w:right="80" w:hanging="492"/>
        <w:spacing w:after="0" w:line="26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ind w:left="492" w:hanging="492"/>
        <w:spacing w:after="0" w:line="255" w:lineRule="auto"/>
        <w:tabs>
          <w:tab w:leader="none" w:pos="4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(“Topic ASC 820”), unless otherwise indicated, the fair values of all investments were determined using significant unobservable inputs and are considered Level 3 investments. See Note 6 for further information related to investments at fair value.</w:t>
      </w:r>
    </w:p>
    <w:p>
      <w:pPr>
        <w:spacing w:after="0" w:line="2" w:lineRule="exact"/>
        <w:rPr>
          <w:rFonts w:ascii="Arial" w:cs="Arial" w:eastAsia="Arial" w:hAnsi="Arial"/>
          <w:sz w:val="18"/>
          <w:szCs w:val="18"/>
          <w:color w:val="auto"/>
        </w:rPr>
      </w:pPr>
    </w:p>
    <w:p>
      <w:pPr>
        <w:ind w:left="492" w:right="40" w:hanging="492"/>
        <w:spacing w:after="0" w:line="250" w:lineRule="auto"/>
        <w:tabs>
          <w:tab w:leader="none" w:pos="4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492" w:right="40" w:hanging="492"/>
        <w:spacing w:after="0" w:line="250" w:lineRule="auto"/>
        <w:tabs>
          <w:tab w:leader="none" w:pos="4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492" w:hanging="492"/>
        <w:spacing w:after="0"/>
        <w:tabs>
          <w:tab w:leader="none" w:pos="4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492" w:right="280" w:hanging="492"/>
        <w:spacing w:after="0" w:line="250" w:lineRule="auto"/>
        <w:tabs>
          <w:tab w:leader="none" w:pos="4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transaction exempt from registration under the Securities Act of 1933, and may be deemed to be “restricted securities” under the Securities Act. As of December 31, 2019, the aggregate fair value of these securities is $23,986, or 2.1% of the Company’s net assets.</w:t>
      </w:r>
    </w:p>
    <w:p>
      <w:pPr>
        <w:spacing w:after="0" w:line="1" w:lineRule="exact"/>
        <w:rPr>
          <w:rFonts w:ascii="Arial" w:cs="Arial" w:eastAsia="Arial" w:hAnsi="Arial"/>
          <w:sz w:val="18"/>
          <w:szCs w:val="18"/>
          <w:color w:val="auto"/>
        </w:rPr>
      </w:pPr>
    </w:p>
    <w:p>
      <w:pPr>
        <w:ind w:left="492" w:hanging="492"/>
        <w:spacing w:after="0"/>
        <w:tabs>
          <w:tab w:leader="none" w:pos="4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21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52"/>
          </w:cols>
          <w:pgMar w:left="328" w:top="341" w:right="41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540" w:type="dxa"/>
            <w:vAlign w:val="bottom"/>
            <w:tcBorders>
              <w:bottom w:val="single" w:sz="8" w:color="auto"/>
            </w:tcBorders>
            <w:gridSpan w:val="4"/>
          </w:tcPr>
          <w:p>
            <w:pPr>
              <w:jc w:val="right"/>
              <w:ind w:right="224"/>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36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Paid in Capital in</w:t>
            </w:r>
          </w:p>
        </w:tc>
        <w:tc>
          <w:tcPr>
            <w:tcW w:w="112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Distributable</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 Net</w:t>
            </w: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82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Shares</w:t>
            </w:r>
          </w:p>
        </w:tc>
        <w:tc>
          <w:tcPr>
            <w:tcW w:w="2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64"/>
              <w:spacing w:after="0" w:line="133" w:lineRule="exact"/>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1"/>
                <w:szCs w:val="11"/>
                <w:color w:val="auto"/>
              </w:rPr>
            </w:pPr>
          </w:p>
        </w:tc>
        <w:tc>
          <w:tcPr>
            <w:tcW w:w="62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Shares</w:t>
            </w:r>
          </w:p>
        </w:tc>
        <w:tc>
          <w:tcPr>
            <w:tcW w:w="220" w:type="dxa"/>
            <w:vAlign w:val="bottom"/>
            <w:vMerge w:val="restart"/>
          </w:tcPr>
          <w:p>
            <w:pPr>
              <w:spacing w:after="0"/>
              <w:rPr>
                <w:sz w:val="11"/>
                <w:szCs w:val="11"/>
                <w:color w:val="auto"/>
              </w:rPr>
            </w:pPr>
          </w:p>
        </w:tc>
        <w:tc>
          <w:tcPr>
            <w:tcW w:w="52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rPr>
              <w:t>Cost</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Borders>
              <w:bottom w:val="single" w:sz="8" w:color="CFF0FC"/>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Excess of Par</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Assets</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2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Balance at December 31, 2019</w:t>
            </w: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66,524,591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4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666</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89,080</w:t>
            </w:r>
          </w:p>
        </w:tc>
        <w:tc>
          <w:tcPr>
            <w:tcW w:w="2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w w:val="93"/>
              </w:rPr>
              <w:t>$ (1,359)</w:t>
            </w:r>
          </w:p>
        </w:tc>
        <w:tc>
          <w:tcPr>
            <w:tcW w:w="2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3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1,009,270</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110,720</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0"/>
              </w:rPr>
              <w:t>$ 1,119,297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140"/>
              <w:spacing w:after="0"/>
              <w:rPr>
                <w:sz w:val="20"/>
                <w:szCs w:val="20"/>
                <w:color w:val="auto"/>
              </w:rPr>
            </w:pPr>
            <w:r>
              <w:rPr>
                <w:rFonts w:ascii="Arial" w:cs="Arial" w:eastAsia="Arial" w:hAnsi="Arial"/>
                <w:sz w:val="15"/>
                <w:szCs w:val="15"/>
                <w:color w:val="auto"/>
              </w:rPr>
              <w:t>Net decrease in net assets resulting from operations:</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investment income</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33,662</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33,662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20" w:type="dxa"/>
            <w:vAlign w:val="bottom"/>
          </w:tcPr>
          <w:p>
            <w:pPr>
              <w:ind w:left="260"/>
              <w:spacing w:after="0" w:line="162" w:lineRule="exact"/>
              <w:rPr>
                <w:sz w:val="20"/>
                <w:szCs w:val="20"/>
                <w:color w:val="auto"/>
              </w:rPr>
            </w:pPr>
            <w:r>
              <w:rPr>
                <w:rFonts w:ascii="Arial" w:cs="Arial" w:eastAsia="Arial" w:hAnsi="Arial"/>
                <w:sz w:val="15"/>
                <w:szCs w:val="15"/>
                <w:color w:val="auto"/>
              </w:rPr>
              <w:t>Net change in unrealized gains (losses) on investments and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tcPr>
          <w:p>
            <w:pPr>
              <w:ind w:left="360"/>
              <w:spacing w:after="0"/>
              <w:rPr>
                <w:sz w:val="20"/>
                <w:szCs w:val="20"/>
                <w:color w:val="auto"/>
              </w:rPr>
            </w:pPr>
            <w:r>
              <w:rPr>
                <w:rFonts w:ascii="Arial" w:cs="Arial" w:eastAsia="Arial" w:hAnsi="Arial"/>
                <w:sz w:val="15"/>
                <w:szCs w:val="15"/>
                <w:color w:val="auto"/>
              </w:rPr>
              <w:t>foreign currency translation</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(84,680)</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(84,680)</w:t>
            </w:r>
          </w:p>
        </w:tc>
        <w:tc>
          <w:tcPr>
            <w:tcW w:w="0" w:type="dxa"/>
            <w:vAlign w:val="bottom"/>
          </w:tcPr>
          <w:p>
            <w:pPr>
              <w:spacing w:after="0"/>
              <w:rPr>
                <w:sz w:val="1"/>
                <w:szCs w:val="1"/>
                <w:color w:val="auto"/>
              </w:rPr>
            </w:pPr>
          </w:p>
        </w:tc>
      </w:tr>
      <w:tr>
        <w:trPr>
          <w:trHeight w:val="162"/>
        </w:trPr>
        <w:tc>
          <w:tcPr>
            <w:tcW w:w="432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Net realized gains (losses) on investments and foreign</w:t>
            </w: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currency transactions</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(2,081)</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(2,081)</w:t>
            </w:r>
          </w:p>
        </w:tc>
        <w:tc>
          <w:tcPr>
            <w:tcW w:w="0" w:type="dxa"/>
            <w:vAlign w:val="bottom"/>
          </w:tcPr>
          <w:p>
            <w:pPr>
              <w:spacing w:after="0"/>
              <w:rPr>
                <w:sz w:val="1"/>
                <w:szCs w:val="1"/>
                <w:color w:val="auto"/>
              </w:rPr>
            </w:pPr>
          </w:p>
        </w:tc>
      </w:tr>
      <w:tr>
        <w:trPr>
          <w:trHeight w:val="162"/>
        </w:trPr>
        <w:tc>
          <w:tcPr>
            <w:tcW w:w="4320" w:type="dxa"/>
            <w:vAlign w:val="bottom"/>
          </w:tcPr>
          <w:p>
            <w:pPr>
              <w:ind w:left="140"/>
              <w:spacing w:after="0" w:line="162" w:lineRule="exact"/>
              <w:rPr>
                <w:sz w:val="20"/>
                <w:szCs w:val="20"/>
                <w:color w:val="auto"/>
              </w:rPr>
            </w:pPr>
            <w:r>
              <w:rPr>
                <w:rFonts w:ascii="Arial" w:cs="Arial" w:eastAsia="Arial" w:hAnsi="Arial"/>
                <w:sz w:val="15"/>
                <w:szCs w:val="15"/>
                <w:color w:val="auto"/>
              </w:rPr>
              <w:t>Decrease in Net Assets Resulting from Capital Share</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tcPr>
          <w:p>
            <w:pPr>
              <w:ind w:left="240"/>
              <w:spacing w:after="0"/>
              <w:rPr>
                <w:sz w:val="20"/>
                <w:szCs w:val="20"/>
                <w:color w:val="auto"/>
              </w:rPr>
            </w:pPr>
            <w:r>
              <w:rPr>
                <w:rFonts w:ascii="Arial" w:cs="Arial" w:eastAsia="Arial" w:hAnsi="Arial"/>
                <w:sz w:val="15"/>
                <w:szCs w:val="15"/>
                <w:color w:val="auto"/>
              </w:rPr>
              <w:t>Transactions:</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Purchases of Treasury Stock</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(206,964)</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206,964</w:t>
            </w:r>
          </w:p>
        </w:tc>
        <w:tc>
          <w:tcPr>
            <w:tcW w:w="2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
              <w:spacing w:after="0"/>
              <w:rPr>
                <w:sz w:val="20"/>
                <w:szCs w:val="20"/>
                <w:color w:val="auto"/>
              </w:rPr>
            </w:pPr>
            <w:r>
              <w:rPr>
                <w:rFonts w:ascii="Arial" w:cs="Arial" w:eastAsia="Arial" w:hAnsi="Arial"/>
                <w:sz w:val="15"/>
                <w:szCs w:val="15"/>
                <w:color w:val="auto"/>
              </w:rPr>
              <w:t>(2,932)</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(2,932)</w:t>
            </w:r>
          </w:p>
        </w:tc>
        <w:tc>
          <w:tcPr>
            <w:tcW w:w="0" w:type="dxa"/>
            <w:vAlign w:val="bottom"/>
          </w:tcPr>
          <w:p>
            <w:pPr>
              <w:spacing w:after="0"/>
              <w:rPr>
                <w:sz w:val="1"/>
                <w:szCs w:val="1"/>
                <w:color w:val="auto"/>
              </w:rPr>
            </w:pPr>
          </w:p>
        </w:tc>
      </w:tr>
      <w:tr>
        <w:trPr>
          <w:trHeight w:val="175"/>
        </w:trPr>
        <w:tc>
          <w:tcPr>
            <w:tcW w:w="4320" w:type="dxa"/>
            <w:vAlign w:val="bottom"/>
          </w:tcPr>
          <w:p>
            <w:pPr>
              <w:ind w:left="140"/>
              <w:spacing w:after="0"/>
              <w:rPr>
                <w:sz w:val="20"/>
                <w:szCs w:val="20"/>
                <w:color w:val="auto"/>
              </w:rPr>
            </w:pPr>
            <w:r>
              <w:rPr>
                <w:rFonts w:ascii="Arial" w:cs="Arial" w:eastAsia="Arial" w:hAnsi="Arial"/>
                <w:sz w:val="15"/>
                <w:szCs w:val="15"/>
                <w:color w:val="auto"/>
              </w:rPr>
              <w:t>Dividends to stockholders:</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Stock issued in connection with dividend reinvestment plan</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252,144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4,825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4,828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tcPr>
          <w:p>
            <w:pPr>
              <w:ind w:left="260"/>
              <w:spacing w:after="0"/>
              <w:rPr>
                <w:sz w:val="20"/>
                <w:szCs w:val="20"/>
                <w:color w:val="auto"/>
              </w:rPr>
            </w:pPr>
            <w:r>
              <w:rPr>
                <w:rFonts w:ascii="Arial" w:cs="Arial" w:eastAsia="Arial" w:hAnsi="Arial"/>
                <w:sz w:val="15"/>
                <w:szCs w:val="15"/>
                <w:color w:val="auto"/>
              </w:rPr>
              <w:t>Dividends declared from net investment income</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(31,358)</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(31,358)</w:t>
            </w:r>
          </w:p>
        </w:tc>
        <w:tc>
          <w:tcPr>
            <w:tcW w:w="0" w:type="dxa"/>
            <w:vAlign w:val="bottom"/>
          </w:tcPr>
          <w:p>
            <w:pPr>
              <w:spacing w:after="0"/>
              <w:rPr>
                <w:sz w:val="1"/>
                <w:szCs w:val="1"/>
                <w:color w:val="auto"/>
              </w:rPr>
            </w:pPr>
          </w:p>
        </w:tc>
      </w:tr>
      <w:tr>
        <w:trPr>
          <w:trHeight w:val="162"/>
        </w:trPr>
        <w:tc>
          <w:tcPr>
            <w:tcW w:w="432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Tax reclassification of stockholders' equity in accordance with</w:t>
            </w: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FF0FC"/>
          </w:tcPr>
          <w:p>
            <w:pPr>
              <w:ind w:left="240"/>
              <w:spacing w:after="0"/>
              <w:rPr>
                <w:sz w:val="20"/>
                <w:szCs w:val="20"/>
                <w:color w:val="auto"/>
              </w:rPr>
            </w:pPr>
            <w:r>
              <w:rPr>
                <w:rFonts w:ascii="Arial" w:cs="Arial" w:eastAsia="Arial" w:hAnsi="Arial"/>
                <w:sz w:val="15"/>
                <w:szCs w:val="15"/>
                <w:color w:val="auto"/>
              </w:rPr>
              <w:t xml:space="preserve">GAAP </w:t>
            </w:r>
            <w:r>
              <w:rPr>
                <w:rFonts w:ascii="Arial" w:cs="Arial" w:eastAsia="Arial" w:hAnsi="Arial"/>
                <w:sz w:val="13"/>
                <w:szCs w:val="13"/>
                <w:color w:val="auto"/>
              </w:rPr>
              <w:t>(1)</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(1,016)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1,016</w:t>
            </w: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CFF0FC"/>
            </w:tcBorders>
          </w:tcPr>
          <w:p>
            <w:pPr>
              <w:spacing w:after="0" w:line="169" w:lineRule="exact"/>
              <w:rPr>
                <w:sz w:val="20"/>
                <w:szCs w:val="20"/>
                <w:color w:val="auto"/>
              </w:rPr>
            </w:pPr>
            <w:r>
              <w:rPr>
                <w:rFonts w:ascii="Arial" w:cs="Arial" w:eastAsia="Arial" w:hAnsi="Arial"/>
                <w:sz w:val="15"/>
                <w:szCs w:val="15"/>
                <w:b w:val="1"/>
                <w:bCs w:val="1"/>
                <w:color w:val="auto"/>
              </w:rPr>
              <w:t>Balance at March 31, 2020</w:t>
            </w: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66,569,771</w:t>
            </w:r>
          </w:p>
        </w:tc>
        <w:tc>
          <w:tcPr>
            <w:tcW w:w="22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w w:val="95"/>
              </w:rPr>
              <w:t>$</w:t>
            </w: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669</w:t>
            </w:r>
          </w:p>
        </w:tc>
        <w:tc>
          <w:tcPr>
            <w:tcW w:w="220" w:type="dxa"/>
            <w:vAlign w:val="bottom"/>
            <w:tcBorders>
              <w:bottom w:val="single" w:sz="8" w:color="CFF0FC"/>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296,044</w:t>
            </w:r>
          </w:p>
        </w:tc>
        <w:tc>
          <w:tcPr>
            <w:tcW w:w="220" w:type="dxa"/>
            <w:vAlign w:val="bottom"/>
            <w:tcBorders>
              <w:bottom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(4,291</w:t>
            </w:r>
          </w:p>
        </w:tc>
        <w:tc>
          <w:tcPr>
            <w:tcW w:w="140" w:type="dxa"/>
            <w:vAlign w:val="bottom"/>
            <w:tcBorders>
              <w:bottom w:val="single" w:sz="8" w:color="CFF0FC"/>
            </w:tcBorders>
          </w:tcPr>
          <w:p>
            <w:pPr>
              <w:jc w:val="right"/>
              <w:ind w:right="4"/>
              <w:spacing w:after="0" w:line="169" w:lineRule="exact"/>
              <w:rPr>
                <w:sz w:val="20"/>
                <w:szCs w:val="20"/>
                <w:color w:val="auto"/>
              </w:rPr>
            </w:pPr>
            <w:r>
              <w:rPr>
                <w:rFonts w:ascii="Arial" w:cs="Arial" w:eastAsia="Arial" w:hAnsi="Arial"/>
                <w:sz w:val="15"/>
                <w:szCs w:val="15"/>
                <w:b w:val="1"/>
                <w:bCs w:val="1"/>
                <w:color w:val="auto"/>
                <w:w w:val="79"/>
              </w:rPr>
              <w:t>)</w:t>
            </w:r>
          </w:p>
        </w:tc>
        <w:tc>
          <w:tcPr>
            <w:tcW w:w="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1,013,079</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27,279</w:t>
            </w:r>
          </w:p>
        </w:tc>
        <w:tc>
          <w:tcPr>
            <w:tcW w:w="200" w:type="dxa"/>
            <w:vAlign w:val="bottom"/>
            <w:tcBorders>
              <w:bottom w:val="single" w:sz="8" w:color="CFF0FC"/>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$ 1,036,736</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320" w:type="dxa"/>
            <w:vAlign w:val="bottom"/>
            <w:shd w:val="clear" w:color="auto" w:fill="CFF0FC"/>
          </w:tcPr>
          <w:p>
            <w:pPr>
              <w:ind w:left="140"/>
              <w:spacing w:after="0" w:line="156" w:lineRule="exact"/>
              <w:rPr>
                <w:sz w:val="20"/>
                <w:szCs w:val="20"/>
                <w:color w:val="auto"/>
              </w:rPr>
            </w:pPr>
            <w:r>
              <w:rPr>
                <w:rFonts w:ascii="Arial" w:cs="Arial" w:eastAsia="Arial" w:hAnsi="Arial"/>
                <w:sz w:val="15"/>
                <w:szCs w:val="15"/>
                <w:color w:val="auto"/>
              </w:rPr>
              <w:t>Net increase in net assets resulting from operations:</w:t>
            </w: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260"/>
              <w:spacing w:after="0"/>
              <w:rPr>
                <w:sz w:val="20"/>
                <w:szCs w:val="20"/>
                <w:color w:val="auto"/>
              </w:rPr>
            </w:pPr>
            <w:r>
              <w:rPr>
                <w:rFonts w:ascii="Arial" w:cs="Arial" w:eastAsia="Arial" w:hAnsi="Arial"/>
                <w:sz w:val="15"/>
                <w:szCs w:val="15"/>
                <w:color w:val="auto"/>
              </w:rPr>
              <w:t>Net investment income</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39,469</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39,469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2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Net change in unrealized gains (losses) on investments and</w:t>
            </w: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foreign currency translation</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57,234</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57,234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20" w:type="dxa"/>
            <w:vAlign w:val="bottom"/>
          </w:tcPr>
          <w:p>
            <w:pPr>
              <w:ind w:left="260"/>
              <w:spacing w:after="0" w:line="162" w:lineRule="exact"/>
              <w:rPr>
                <w:sz w:val="20"/>
                <w:szCs w:val="20"/>
                <w:color w:val="auto"/>
              </w:rPr>
            </w:pPr>
            <w:r>
              <w:rPr>
                <w:rFonts w:ascii="Arial" w:cs="Arial" w:eastAsia="Arial" w:hAnsi="Arial"/>
                <w:sz w:val="15"/>
                <w:szCs w:val="15"/>
                <w:color w:val="auto"/>
              </w:rPr>
              <w:t>Net realized gains (losses) on investments, foreign</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tcPr>
          <w:p>
            <w:pPr>
              <w:ind w:left="360"/>
              <w:spacing w:after="0"/>
              <w:rPr>
                <w:sz w:val="20"/>
                <w:szCs w:val="20"/>
                <w:color w:val="auto"/>
              </w:rPr>
            </w:pPr>
            <w:r>
              <w:rPr>
                <w:rFonts w:ascii="Arial" w:cs="Arial" w:eastAsia="Arial" w:hAnsi="Arial"/>
                <w:sz w:val="15"/>
                <w:szCs w:val="15"/>
                <w:color w:val="auto"/>
              </w:rPr>
              <w:t>currency transactions, and extinguishment of debt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(833)</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(833)</w:t>
            </w:r>
          </w:p>
        </w:tc>
        <w:tc>
          <w:tcPr>
            <w:tcW w:w="0" w:type="dxa"/>
            <w:vAlign w:val="bottom"/>
          </w:tcPr>
          <w:p>
            <w:pPr>
              <w:spacing w:after="0"/>
              <w:rPr>
                <w:sz w:val="1"/>
                <w:szCs w:val="1"/>
                <w:color w:val="auto"/>
              </w:rPr>
            </w:pPr>
          </w:p>
        </w:tc>
      </w:tr>
      <w:tr>
        <w:trPr>
          <w:trHeight w:val="162"/>
        </w:trPr>
        <w:tc>
          <w:tcPr>
            <w:tcW w:w="432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Decrease in Net Assets Resulting from Capital Share</w:t>
            </w: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FF0FC"/>
          </w:tcPr>
          <w:p>
            <w:pPr>
              <w:ind w:left="240"/>
              <w:spacing w:after="0"/>
              <w:rPr>
                <w:sz w:val="20"/>
                <w:szCs w:val="20"/>
                <w:color w:val="auto"/>
              </w:rPr>
            </w:pPr>
            <w:r>
              <w:rPr>
                <w:rFonts w:ascii="Arial" w:cs="Arial" w:eastAsia="Arial" w:hAnsi="Arial"/>
                <w:sz w:val="15"/>
                <w:szCs w:val="15"/>
                <w:color w:val="auto"/>
              </w:rPr>
              <w:t>Transactions:</w:t>
            </w: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tcPr>
          <w:p>
            <w:pPr>
              <w:ind w:left="260"/>
              <w:spacing w:after="0"/>
              <w:rPr>
                <w:sz w:val="20"/>
                <w:szCs w:val="20"/>
                <w:color w:val="auto"/>
              </w:rPr>
            </w:pPr>
            <w:r>
              <w:rPr>
                <w:rFonts w:ascii="Arial" w:cs="Arial" w:eastAsia="Arial" w:hAnsi="Arial"/>
                <w:sz w:val="15"/>
                <w:szCs w:val="15"/>
                <w:color w:val="auto"/>
              </w:rPr>
              <w:t>Repurchase of convertible notes</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5"/>
                <w:szCs w:val="15"/>
                <w:color w:val="auto"/>
              </w:rPr>
              <w:t>(910)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(910)</w:t>
            </w: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ind w:left="140"/>
              <w:spacing w:after="0"/>
              <w:rPr>
                <w:sz w:val="20"/>
                <w:szCs w:val="20"/>
                <w:color w:val="auto"/>
              </w:rPr>
            </w:pPr>
            <w:r>
              <w:rPr>
                <w:rFonts w:ascii="Arial" w:cs="Arial" w:eastAsia="Arial" w:hAnsi="Arial"/>
                <w:sz w:val="15"/>
                <w:szCs w:val="15"/>
                <w:color w:val="auto"/>
              </w:rPr>
              <w:t>Dividends to stockholders:</w:t>
            </w: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tcPr>
          <w:p>
            <w:pPr>
              <w:ind w:left="260"/>
              <w:spacing w:after="0"/>
              <w:rPr>
                <w:sz w:val="20"/>
                <w:szCs w:val="20"/>
                <w:color w:val="auto"/>
              </w:rPr>
            </w:pPr>
            <w:r>
              <w:rPr>
                <w:rFonts w:ascii="Arial" w:cs="Arial" w:eastAsia="Arial" w:hAnsi="Arial"/>
                <w:sz w:val="15"/>
                <w:szCs w:val="15"/>
                <w:color w:val="auto"/>
              </w:rPr>
              <w:t>Stock issued in connection with dividend reinvestment plan</w:t>
            </w:r>
          </w:p>
        </w:tc>
        <w:tc>
          <w:tcPr>
            <w:tcW w:w="820" w:type="dxa"/>
            <w:vAlign w:val="bottom"/>
          </w:tcPr>
          <w:p>
            <w:pPr>
              <w:jc w:val="right"/>
              <w:spacing w:after="0"/>
              <w:rPr>
                <w:sz w:val="20"/>
                <w:szCs w:val="20"/>
                <w:color w:val="auto"/>
              </w:rPr>
            </w:pPr>
            <w:r>
              <w:rPr>
                <w:rFonts w:ascii="Arial" w:cs="Arial" w:eastAsia="Arial" w:hAnsi="Arial"/>
                <w:sz w:val="15"/>
                <w:szCs w:val="15"/>
                <w:color w:val="auto"/>
              </w:rPr>
              <w:t>772,642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7</w:t>
            </w:r>
          </w:p>
        </w:tc>
        <w:tc>
          <w:tcPr>
            <w:tcW w:w="2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11,876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11,883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Dividends declared from net investment income</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(60,978)</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(60,978)</w:t>
            </w:r>
          </w:p>
        </w:tc>
        <w:tc>
          <w:tcPr>
            <w:tcW w:w="0" w:type="dxa"/>
            <w:vAlign w:val="bottom"/>
          </w:tcPr>
          <w:p>
            <w:pPr>
              <w:spacing w:after="0"/>
              <w:rPr>
                <w:sz w:val="1"/>
                <w:szCs w:val="1"/>
                <w:color w:val="auto"/>
              </w:rPr>
            </w:pPr>
          </w:p>
        </w:tc>
      </w:tr>
      <w:tr>
        <w:trPr>
          <w:trHeight w:val="169"/>
        </w:trPr>
        <w:tc>
          <w:tcPr>
            <w:tcW w:w="4320" w:type="dxa"/>
            <w:vAlign w:val="bottom"/>
          </w:tcPr>
          <w:p>
            <w:pPr>
              <w:spacing w:after="0" w:line="169" w:lineRule="exact"/>
              <w:rPr>
                <w:sz w:val="20"/>
                <w:szCs w:val="20"/>
                <w:color w:val="auto"/>
              </w:rPr>
            </w:pPr>
            <w:r>
              <w:rPr>
                <w:rFonts w:ascii="Arial" w:cs="Arial" w:eastAsia="Arial" w:hAnsi="Arial"/>
                <w:sz w:val="15"/>
                <w:szCs w:val="15"/>
                <w:b w:val="1"/>
                <w:bCs w:val="1"/>
                <w:color w:val="auto"/>
              </w:rPr>
              <w:t>Balance at June 30, 2020</w:t>
            </w: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67,342,413</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w w:val="95"/>
              </w:rPr>
              <w:t>$</w:t>
            </w: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676</w:t>
            </w:r>
          </w:p>
        </w:tc>
        <w:tc>
          <w:tcPr>
            <w:tcW w:w="22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296,044</w:t>
            </w:r>
          </w:p>
        </w:tc>
        <w:tc>
          <w:tcPr>
            <w:tcW w:w="22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(4,291</w:t>
            </w:r>
          </w:p>
        </w:tc>
        <w:tc>
          <w:tcPr>
            <w:tcW w:w="140" w:type="dxa"/>
            <w:vAlign w:val="bottom"/>
          </w:tcPr>
          <w:p>
            <w:pPr>
              <w:jc w:val="right"/>
              <w:ind w:right="4"/>
              <w:spacing w:after="0" w:line="169" w:lineRule="exact"/>
              <w:rPr>
                <w:sz w:val="20"/>
                <w:szCs w:val="20"/>
                <w:color w:val="auto"/>
              </w:rPr>
            </w:pPr>
            <w:r>
              <w:rPr>
                <w:rFonts w:ascii="Arial" w:cs="Arial" w:eastAsia="Arial" w:hAnsi="Arial"/>
                <w:sz w:val="15"/>
                <w:szCs w:val="15"/>
                <w:b w:val="1"/>
                <w:bCs w:val="1"/>
                <w:color w:val="auto"/>
                <w:w w:val="79"/>
              </w:rPr>
              <w:t>)</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1,024,045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62,171</w:t>
            </w:r>
          </w:p>
        </w:tc>
        <w:tc>
          <w:tcPr>
            <w:tcW w:w="2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$ 1,082,601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tax year end is March 31</w:t>
      </w:r>
      <w:r>
        <w:rPr>
          <w:rFonts w:ascii="Arial" w:cs="Arial" w:eastAsia="Arial" w:hAnsi="Arial"/>
          <w:sz w:val="15"/>
          <w:szCs w:val="15"/>
          <w:color w:val="auto"/>
        </w:rPr>
        <w:t>st</w:t>
      </w:r>
      <w:r>
        <w:rPr>
          <w:rFonts w:ascii="Arial" w:cs="Arial" w:eastAsia="Arial" w:hAnsi="Arial"/>
          <w:sz w:val="18"/>
          <w:szCs w:val="18"/>
          <w:color w:val="auto"/>
        </w:rPr>
        <w: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540" w:type="dxa"/>
            <w:vAlign w:val="bottom"/>
            <w:tcBorders>
              <w:bottom w:val="single" w:sz="8" w:color="auto"/>
            </w:tcBorders>
            <w:gridSpan w:val="4"/>
          </w:tcPr>
          <w:p>
            <w:pPr>
              <w:jc w:val="right"/>
              <w:ind w:right="224"/>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4"/>
                <w:szCs w:val="14"/>
                <w:b w:val="1"/>
                <w:bCs w:val="1"/>
                <w:color w:val="auto"/>
              </w:rPr>
              <w:t>Treasury Stock</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9"/>
              </w:rPr>
              <w:t>Paid in Capital in</w:t>
            </w:r>
          </w:p>
        </w:tc>
        <w:tc>
          <w:tcPr>
            <w:tcW w:w="112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Distributable</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 Net</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82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rPr>
              <w:t>Shares</w:t>
            </w:r>
          </w:p>
        </w:tc>
        <w:tc>
          <w:tcPr>
            <w:tcW w:w="2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ind w:right="84"/>
              <w:spacing w:after="0" w:line="133" w:lineRule="exact"/>
              <w:rPr>
                <w:sz w:val="20"/>
                <w:szCs w:val="20"/>
                <w:color w:val="auto"/>
              </w:rPr>
            </w:pPr>
            <w:r>
              <w:rPr>
                <w:rFonts w:ascii="Arial" w:cs="Arial" w:eastAsia="Arial" w:hAnsi="Arial"/>
                <w:sz w:val="14"/>
                <w:szCs w:val="14"/>
                <w:b w:val="1"/>
                <w:bCs w:val="1"/>
                <w:color w:val="auto"/>
                <w:w w:val="97"/>
              </w:rPr>
              <w:t>Par</w:t>
            </w:r>
          </w:p>
        </w:tc>
        <w:tc>
          <w:tcPr>
            <w:tcW w:w="220" w:type="dxa"/>
            <w:vAlign w:val="bottom"/>
          </w:tcPr>
          <w:p>
            <w:pPr>
              <w:spacing w:after="0"/>
              <w:rPr>
                <w:sz w:val="11"/>
                <w:szCs w:val="11"/>
                <w:color w:val="auto"/>
              </w:rPr>
            </w:pPr>
          </w:p>
        </w:tc>
        <w:tc>
          <w:tcPr>
            <w:tcW w:w="56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auto"/>
                <w:w w:val="98"/>
              </w:rPr>
              <w:t>Shares</w:t>
            </w:r>
          </w:p>
        </w:tc>
        <w:tc>
          <w:tcPr>
            <w:tcW w:w="200" w:type="dxa"/>
            <w:vAlign w:val="bottom"/>
          </w:tcPr>
          <w:p>
            <w:pPr>
              <w:spacing w:after="0"/>
              <w:rPr>
                <w:sz w:val="11"/>
                <w:szCs w:val="11"/>
                <w:color w:val="auto"/>
              </w:rPr>
            </w:pPr>
          </w:p>
        </w:tc>
        <w:tc>
          <w:tcPr>
            <w:tcW w:w="54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rPr>
              <w:t>Cost</w:t>
            </w:r>
          </w:p>
        </w:tc>
        <w:tc>
          <w:tcPr>
            <w:tcW w:w="2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40" w:type="dxa"/>
            <w:vAlign w:val="bottom"/>
            <w:tcBorders>
              <w:bottom w:val="single" w:sz="8" w:color="CFF0FC"/>
            </w:tcBorders>
          </w:tcPr>
          <w:p>
            <w:pPr>
              <w:spacing w:after="0"/>
              <w:rPr>
                <w:sz w:val="14"/>
                <w:szCs w:val="14"/>
                <w:color w:val="auto"/>
              </w:rPr>
            </w:pPr>
          </w:p>
        </w:tc>
        <w:tc>
          <w:tcPr>
            <w:tcW w:w="414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Excess of Par</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Assets</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8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Balance at December 31, 2018</w:t>
            </w: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65,412,817</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655</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89,080</w:t>
            </w:r>
          </w:p>
        </w:tc>
        <w:tc>
          <w:tcPr>
            <w:tcW w:w="940" w:type="dxa"/>
            <w:vAlign w:val="bottom"/>
            <w:gridSpan w:val="3"/>
            <w:shd w:val="clear" w:color="auto" w:fill="CFF0FC"/>
          </w:tcPr>
          <w:p>
            <w:pPr>
              <w:jc w:val="right"/>
              <w:ind w:right="122"/>
              <w:spacing w:after="0" w:line="169" w:lineRule="exact"/>
              <w:rPr>
                <w:sz w:val="20"/>
                <w:szCs w:val="20"/>
                <w:color w:val="auto"/>
              </w:rPr>
            </w:pPr>
            <w:r>
              <w:rPr>
                <w:rFonts w:ascii="Arial" w:cs="Arial" w:eastAsia="Arial" w:hAnsi="Arial"/>
                <w:sz w:val="15"/>
                <w:szCs w:val="15"/>
                <w:color w:val="auto"/>
              </w:rPr>
              <w:t>$ (1,359)</w:t>
            </w:r>
          </w:p>
        </w:tc>
        <w:tc>
          <w:tcPr>
            <w:tcW w:w="160" w:type="dxa"/>
            <w:vAlign w:val="bottom"/>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991,919</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71,987</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0"/>
              </w:rPr>
              <w:t>$ 1,063,202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80" w:type="dxa"/>
            <w:vAlign w:val="bottom"/>
            <w:gridSpan w:val="2"/>
          </w:tcPr>
          <w:p>
            <w:pPr>
              <w:ind w:left="140"/>
              <w:spacing w:after="0"/>
              <w:rPr>
                <w:sz w:val="20"/>
                <w:szCs w:val="20"/>
                <w:color w:val="auto"/>
              </w:rPr>
            </w:pPr>
            <w:r>
              <w:rPr>
                <w:rFonts w:ascii="Arial" w:cs="Arial" w:eastAsia="Arial" w:hAnsi="Arial"/>
                <w:sz w:val="15"/>
                <w:szCs w:val="15"/>
                <w:color w:val="auto"/>
              </w:rPr>
              <w:t>Net increase in net assets resulting from operations:</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shd w:val="clear" w:color="auto" w:fill="CFF0FC"/>
          </w:tcPr>
          <w:p>
            <w:pPr>
              <w:spacing w:after="0"/>
              <w:rPr>
                <w:sz w:val="15"/>
                <w:szCs w:val="15"/>
                <w:color w:val="auto"/>
              </w:rPr>
            </w:pPr>
          </w:p>
        </w:tc>
        <w:tc>
          <w:tcPr>
            <w:tcW w:w="414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investment income</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26,638</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26,638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140" w:type="dxa"/>
            <w:vAlign w:val="bottom"/>
          </w:tcPr>
          <w:p>
            <w:pPr>
              <w:ind w:left="20"/>
              <w:spacing w:after="0" w:line="162" w:lineRule="exact"/>
              <w:rPr>
                <w:sz w:val="20"/>
                <w:szCs w:val="20"/>
                <w:color w:val="auto"/>
              </w:rPr>
            </w:pPr>
            <w:r>
              <w:rPr>
                <w:rFonts w:ascii="Arial" w:cs="Arial" w:eastAsia="Arial" w:hAnsi="Arial"/>
                <w:sz w:val="15"/>
                <w:szCs w:val="15"/>
                <w:color w:val="auto"/>
              </w:rPr>
              <w:t>Net change in unrealized gains (losses) on investments and</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140" w:type="dxa"/>
            <w:vAlign w:val="bottom"/>
          </w:tcPr>
          <w:p>
            <w:pPr>
              <w:ind w:left="120"/>
              <w:spacing w:after="0"/>
              <w:rPr>
                <w:sz w:val="20"/>
                <w:szCs w:val="20"/>
                <w:color w:val="auto"/>
              </w:rPr>
            </w:pPr>
            <w:r>
              <w:rPr>
                <w:rFonts w:ascii="Arial" w:cs="Arial" w:eastAsia="Arial" w:hAnsi="Arial"/>
                <w:sz w:val="15"/>
                <w:szCs w:val="15"/>
                <w:color w:val="auto"/>
              </w:rPr>
              <w:t>foreign currency translation</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11,460</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11,460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shd w:val="clear" w:color="auto" w:fill="CFF0FC"/>
          </w:tcPr>
          <w:p>
            <w:pPr>
              <w:spacing w:after="0"/>
              <w:rPr>
                <w:sz w:val="14"/>
                <w:szCs w:val="14"/>
                <w:color w:val="auto"/>
              </w:rPr>
            </w:pPr>
          </w:p>
        </w:tc>
        <w:tc>
          <w:tcPr>
            <w:tcW w:w="4140" w:type="dxa"/>
            <w:vAlign w:val="bottom"/>
            <w:shd w:val="clear" w:color="auto" w:fill="CFF0FC"/>
          </w:tcPr>
          <w:p>
            <w:pPr>
              <w:ind w:left="20"/>
              <w:spacing w:after="0" w:line="162" w:lineRule="exact"/>
              <w:rPr>
                <w:sz w:val="20"/>
                <w:szCs w:val="20"/>
                <w:color w:val="auto"/>
              </w:rPr>
            </w:pPr>
            <w:r>
              <w:rPr>
                <w:rFonts w:ascii="Arial" w:cs="Arial" w:eastAsia="Arial" w:hAnsi="Arial"/>
                <w:sz w:val="15"/>
                <w:szCs w:val="15"/>
                <w:color w:val="auto"/>
              </w:rPr>
              <w:t>Net realized gains (losses) on investments and foreign</w:t>
            </w: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1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currency transactions</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647</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80" w:type="dxa"/>
            <w:vAlign w:val="bottom"/>
            <w:gridSpan w:val="2"/>
          </w:tcPr>
          <w:p>
            <w:pPr>
              <w:ind w:left="140"/>
              <w:spacing w:after="0"/>
              <w:rPr>
                <w:sz w:val="20"/>
                <w:szCs w:val="20"/>
                <w:color w:val="auto"/>
              </w:rPr>
            </w:pPr>
            <w:r>
              <w:rPr>
                <w:rFonts w:ascii="Arial" w:cs="Arial" w:eastAsia="Arial" w:hAnsi="Arial"/>
                <w:sz w:val="15"/>
                <w:szCs w:val="15"/>
                <w:color w:val="auto"/>
              </w:rPr>
              <w:t>Dividends to stockholders:</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140" w:type="dxa"/>
            <w:vAlign w:val="bottom"/>
            <w:shd w:val="clear" w:color="auto" w:fill="CFF0FC"/>
          </w:tcPr>
          <w:p>
            <w:pPr>
              <w:ind w:left="20"/>
              <w:spacing w:after="0"/>
              <w:rPr>
                <w:sz w:val="20"/>
                <w:szCs w:val="20"/>
                <w:color w:val="auto"/>
              </w:rPr>
            </w:pPr>
            <w:r>
              <w:rPr>
                <w:rFonts w:ascii="Arial" w:cs="Arial" w:eastAsia="Arial" w:hAnsi="Arial"/>
                <w:sz w:val="15"/>
                <w:szCs w:val="15"/>
                <w:color w:val="auto"/>
              </w:rPr>
              <w:t>Stock issued in connection with dividend reinvestment plan</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300,145</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5,583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5,586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4140" w:type="dxa"/>
            <w:vAlign w:val="bottom"/>
          </w:tcPr>
          <w:p>
            <w:pPr>
              <w:ind w:left="20"/>
              <w:spacing w:after="0"/>
              <w:rPr>
                <w:sz w:val="20"/>
                <w:szCs w:val="20"/>
                <w:color w:val="auto"/>
              </w:rPr>
            </w:pPr>
            <w:r>
              <w:rPr>
                <w:rFonts w:ascii="Arial" w:cs="Arial" w:eastAsia="Arial" w:hAnsi="Arial"/>
                <w:sz w:val="15"/>
                <w:szCs w:val="15"/>
                <w:color w:val="auto"/>
              </w:rPr>
              <w:t>Dividends declared from net investment income</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(33,469)</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(33,469)</w:t>
            </w:r>
          </w:p>
        </w:tc>
        <w:tc>
          <w:tcPr>
            <w:tcW w:w="0" w:type="dxa"/>
            <w:vAlign w:val="bottom"/>
          </w:tcPr>
          <w:p>
            <w:pPr>
              <w:spacing w:after="0"/>
              <w:rPr>
                <w:sz w:val="1"/>
                <w:szCs w:val="1"/>
                <w:color w:val="auto"/>
              </w:rPr>
            </w:pPr>
          </w:p>
        </w:tc>
      </w:tr>
      <w:tr>
        <w:trPr>
          <w:trHeight w:val="162"/>
        </w:trPr>
        <w:tc>
          <w:tcPr>
            <w:tcW w:w="4380" w:type="dxa"/>
            <w:vAlign w:val="bottom"/>
            <w:gridSpan w:val="2"/>
            <w:shd w:val="clear" w:color="auto" w:fill="CFF0FC"/>
          </w:tcPr>
          <w:p>
            <w:pPr>
              <w:ind w:left="140"/>
              <w:spacing w:after="0" w:line="162" w:lineRule="exact"/>
              <w:rPr>
                <w:sz w:val="20"/>
                <w:szCs w:val="20"/>
                <w:color w:val="auto"/>
              </w:rPr>
            </w:pPr>
            <w:r>
              <w:rPr>
                <w:rFonts w:ascii="Arial" w:cs="Arial" w:eastAsia="Arial" w:hAnsi="Arial"/>
                <w:sz w:val="15"/>
                <w:szCs w:val="15"/>
                <w:color w:val="auto"/>
              </w:rPr>
              <w:t>Tax reclassification of stockholders' equity in accordance with</w:t>
            </w: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5"/>
                <w:szCs w:val="15"/>
                <w:color w:val="auto"/>
              </w:rPr>
              <w:t xml:space="preserve">GAAP </w:t>
            </w:r>
            <w:r>
              <w:rPr>
                <w:rFonts w:ascii="Arial" w:cs="Arial" w:eastAsia="Arial" w:hAnsi="Arial"/>
                <w:sz w:val="13"/>
                <w:szCs w:val="13"/>
                <w:color w:val="auto"/>
              </w:rPr>
              <w:t>(1)</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(304)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304</w:t>
            </w: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FF0FC"/>
            </w:tcBorders>
            <w:gridSpan w:val="2"/>
          </w:tcPr>
          <w:p>
            <w:pPr>
              <w:spacing w:after="0" w:line="169" w:lineRule="exact"/>
              <w:rPr>
                <w:sz w:val="20"/>
                <w:szCs w:val="20"/>
                <w:color w:val="auto"/>
              </w:rPr>
            </w:pPr>
            <w:r>
              <w:rPr>
                <w:rFonts w:ascii="Arial" w:cs="Arial" w:eastAsia="Arial" w:hAnsi="Arial"/>
                <w:sz w:val="15"/>
                <w:szCs w:val="15"/>
                <w:b w:val="1"/>
                <w:bCs w:val="1"/>
                <w:color w:val="auto"/>
              </w:rPr>
              <w:t>Balance at March 31, 2019</w:t>
            </w: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65,712,962</w:t>
            </w:r>
          </w:p>
        </w:tc>
        <w:tc>
          <w:tcPr>
            <w:tcW w:w="20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w:t>
            </w: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658</w:t>
            </w:r>
          </w:p>
        </w:tc>
        <w:tc>
          <w:tcPr>
            <w:tcW w:w="220" w:type="dxa"/>
            <w:vAlign w:val="bottom"/>
            <w:tcBorders>
              <w:bottom w:val="single" w:sz="8" w:color="CFF0FC"/>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89,080</w:t>
            </w:r>
          </w:p>
        </w:tc>
        <w:tc>
          <w:tcPr>
            <w:tcW w:w="200" w:type="dxa"/>
            <w:vAlign w:val="bottom"/>
            <w:tcBorders>
              <w:bottom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(1,359</w:t>
            </w:r>
          </w:p>
        </w:tc>
        <w:tc>
          <w:tcPr>
            <w:tcW w:w="200" w:type="dxa"/>
            <w:vAlign w:val="bottom"/>
            <w:tcBorders>
              <w:bottom w:val="single" w:sz="8" w:color="CFF0FC"/>
            </w:tcBorders>
          </w:tcPr>
          <w:p>
            <w:pPr>
              <w:jc w:val="right"/>
              <w:ind w:right="122"/>
              <w:spacing w:after="0"/>
              <w:rPr>
                <w:sz w:val="20"/>
                <w:szCs w:val="20"/>
                <w:color w:val="auto"/>
              </w:rPr>
            </w:pPr>
            <w:r>
              <w:rPr>
                <w:rFonts w:ascii="Arial" w:cs="Arial" w:eastAsia="Arial" w:hAnsi="Arial"/>
                <w:sz w:val="8"/>
                <w:szCs w:val="8"/>
                <w:b w:val="1"/>
                <w:bCs w:val="1"/>
                <w:color w:val="auto"/>
                <w:w w:val="73"/>
              </w:rPr>
              <w:t>)</w:t>
            </w:r>
          </w:p>
        </w:tc>
        <w:tc>
          <w:tcPr>
            <w:tcW w:w="160" w:type="dxa"/>
            <w:vAlign w:val="bottom"/>
            <w:tcBorders>
              <w:top w:val="single" w:sz="8" w:color="auto"/>
              <w:bottom w:val="single" w:sz="8" w:color="auto"/>
            </w:tcBorders>
          </w:tcPr>
          <w:p>
            <w:pPr>
              <w:jc w:val="right"/>
              <w:ind w:right="4"/>
              <w:spacing w:after="0" w:line="169" w:lineRule="exact"/>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997,198</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77,567</w:t>
            </w:r>
          </w:p>
        </w:tc>
        <w:tc>
          <w:tcPr>
            <w:tcW w:w="200" w:type="dxa"/>
            <w:vAlign w:val="bottom"/>
            <w:tcBorders>
              <w:bottom w:val="single" w:sz="8" w:color="CFF0FC"/>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$ 1,074,064</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380" w:type="dxa"/>
            <w:vAlign w:val="bottom"/>
            <w:gridSpan w:val="2"/>
            <w:shd w:val="clear" w:color="auto" w:fill="CFF0FC"/>
          </w:tcPr>
          <w:p>
            <w:pPr>
              <w:ind w:left="140"/>
              <w:spacing w:after="0" w:line="156" w:lineRule="exact"/>
              <w:rPr>
                <w:sz w:val="20"/>
                <w:szCs w:val="20"/>
                <w:color w:val="auto"/>
              </w:rPr>
            </w:pPr>
            <w:r>
              <w:rPr>
                <w:rFonts w:ascii="Arial" w:cs="Arial" w:eastAsia="Arial" w:hAnsi="Arial"/>
                <w:sz w:val="15"/>
                <w:szCs w:val="15"/>
                <w:color w:val="auto"/>
              </w:rPr>
              <w:t>Net increase in net assets resulting from operations:</w:t>
            </w: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140" w:type="dxa"/>
            <w:vAlign w:val="bottom"/>
          </w:tcPr>
          <w:p>
            <w:pPr>
              <w:ind w:left="20"/>
              <w:spacing w:after="0"/>
              <w:rPr>
                <w:sz w:val="20"/>
                <w:szCs w:val="20"/>
                <w:color w:val="auto"/>
              </w:rPr>
            </w:pPr>
            <w:r>
              <w:rPr>
                <w:rFonts w:ascii="Arial" w:cs="Arial" w:eastAsia="Arial" w:hAnsi="Arial"/>
                <w:sz w:val="15"/>
                <w:szCs w:val="15"/>
                <w:color w:val="auto"/>
              </w:rPr>
              <w:t>Net investment income</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31,142</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31,142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shd w:val="clear" w:color="auto" w:fill="CFF0FC"/>
          </w:tcPr>
          <w:p>
            <w:pPr>
              <w:spacing w:after="0"/>
              <w:rPr>
                <w:sz w:val="14"/>
                <w:szCs w:val="14"/>
                <w:color w:val="auto"/>
              </w:rPr>
            </w:pPr>
          </w:p>
        </w:tc>
        <w:tc>
          <w:tcPr>
            <w:tcW w:w="4140" w:type="dxa"/>
            <w:vAlign w:val="bottom"/>
            <w:shd w:val="clear" w:color="auto" w:fill="CFF0FC"/>
          </w:tcPr>
          <w:p>
            <w:pPr>
              <w:ind w:left="20"/>
              <w:spacing w:after="0" w:line="162" w:lineRule="exact"/>
              <w:rPr>
                <w:sz w:val="20"/>
                <w:szCs w:val="20"/>
                <w:color w:val="auto"/>
              </w:rPr>
            </w:pPr>
            <w:r>
              <w:rPr>
                <w:rFonts w:ascii="Arial" w:cs="Arial" w:eastAsia="Arial" w:hAnsi="Arial"/>
                <w:sz w:val="15"/>
                <w:szCs w:val="15"/>
                <w:color w:val="auto"/>
              </w:rPr>
              <w:t>Net change in unrealized gains (losses) on investments and</w:t>
            </w: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1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foreign currency translation</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16,423</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16,423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140" w:type="dxa"/>
            <w:vAlign w:val="bottom"/>
          </w:tcPr>
          <w:p>
            <w:pPr>
              <w:ind w:left="20"/>
              <w:spacing w:after="0" w:line="162" w:lineRule="exact"/>
              <w:rPr>
                <w:sz w:val="20"/>
                <w:szCs w:val="20"/>
                <w:color w:val="auto"/>
              </w:rPr>
            </w:pPr>
            <w:r>
              <w:rPr>
                <w:rFonts w:ascii="Arial" w:cs="Arial" w:eastAsia="Arial" w:hAnsi="Arial"/>
                <w:sz w:val="15"/>
                <w:szCs w:val="15"/>
                <w:color w:val="auto"/>
              </w:rPr>
              <w:t>Net realized gains (losses) on investments and foreign</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140" w:type="dxa"/>
            <w:vAlign w:val="bottom"/>
          </w:tcPr>
          <w:p>
            <w:pPr>
              <w:ind w:left="120"/>
              <w:spacing w:after="0"/>
              <w:rPr>
                <w:sz w:val="20"/>
                <w:szCs w:val="20"/>
                <w:color w:val="auto"/>
              </w:rPr>
            </w:pPr>
            <w:r>
              <w:rPr>
                <w:rFonts w:ascii="Arial" w:cs="Arial" w:eastAsia="Arial" w:hAnsi="Arial"/>
                <w:sz w:val="15"/>
                <w:szCs w:val="15"/>
                <w:color w:val="auto"/>
              </w:rPr>
              <w:t>currency transactions</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230</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8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rPr>
              <w:t>Dividends to stockholders:</w:t>
            </w: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140" w:type="dxa"/>
            <w:vAlign w:val="bottom"/>
          </w:tcPr>
          <w:p>
            <w:pPr>
              <w:ind w:left="20"/>
              <w:spacing w:after="0"/>
              <w:rPr>
                <w:sz w:val="20"/>
                <w:szCs w:val="20"/>
                <w:color w:val="auto"/>
              </w:rPr>
            </w:pPr>
            <w:r>
              <w:rPr>
                <w:rFonts w:ascii="Arial" w:cs="Arial" w:eastAsia="Arial" w:hAnsi="Arial"/>
                <w:sz w:val="15"/>
                <w:szCs w:val="15"/>
                <w:color w:val="auto"/>
              </w:rPr>
              <w:t>Stock issued in connection with dividend reinvestment plan</w:t>
            </w:r>
          </w:p>
        </w:tc>
        <w:tc>
          <w:tcPr>
            <w:tcW w:w="820" w:type="dxa"/>
            <w:vAlign w:val="bottom"/>
          </w:tcPr>
          <w:p>
            <w:pPr>
              <w:jc w:val="right"/>
              <w:spacing w:after="0"/>
              <w:rPr>
                <w:sz w:val="20"/>
                <w:szCs w:val="20"/>
                <w:color w:val="auto"/>
              </w:rPr>
            </w:pPr>
            <w:r>
              <w:rPr>
                <w:rFonts w:ascii="Arial" w:cs="Arial" w:eastAsia="Arial" w:hAnsi="Arial"/>
                <w:sz w:val="15"/>
                <w:szCs w:val="15"/>
                <w:color w:val="auto"/>
              </w:rPr>
              <w:t>325,328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6,193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6,196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shd w:val="clear" w:color="auto" w:fill="CFF0FC"/>
          </w:tcPr>
          <w:p>
            <w:pPr>
              <w:spacing w:after="0"/>
              <w:rPr>
                <w:sz w:val="15"/>
                <w:szCs w:val="15"/>
                <w:color w:val="auto"/>
              </w:rPr>
            </w:pPr>
          </w:p>
        </w:tc>
        <w:tc>
          <w:tcPr>
            <w:tcW w:w="4140" w:type="dxa"/>
            <w:vAlign w:val="bottom"/>
            <w:shd w:val="clear" w:color="auto" w:fill="CFF0FC"/>
          </w:tcPr>
          <w:p>
            <w:pPr>
              <w:ind w:left="20"/>
              <w:spacing w:after="0"/>
              <w:rPr>
                <w:sz w:val="20"/>
                <w:szCs w:val="20"/>
                <w:color w:val="auto"/>
              </w:rPr>
            </w:pPr>
            <w:r>
              <w:rPr>
                <w:rFonts w:ascii="Arial" w:cs="Arial" w:eastAsia="Arial" w:hAnsi="Arial"/>
                <w:sz w:val="15"/>
                <w:szCs w:val="15"/>
                <w:color w:val="auto"/>
              </w:rPr>
              <w:t>Dividends declared from net investment income</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(26,412)</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(26,412)</w:t>
            </w:r>
          </w:p>
        </w:tc>
        <w:tc>
          <w:tcPr>
            <w:tcW w:w="0" w:type="dxa"/>
            <w:vAlign w:val="bottom"/>
          </w:tcPr>
          <w:p>
            <w:pPr>
              <w:spacing w:after="0"/>
              <w:rPr>
                <w:sz w:val="1"/>
                <w:szCs w:val="1"/>
                <w:color w:val="auto"/>
              </w:rPr>
            </w:pPr>
          </w:p>
        </w:tc>
      </w:tr>
      <w:tr>
        <w:trPr>
          <w:trHeight w:val="169"/>
        </w:trPr>
        <w:tc>
          <w:tcPr>
            <w:tcW w:w="438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Balance at June 30, 2019</w:t>
            </w: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66,038,290</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w:t>
            </w: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661</w:t>
            </w:r>
          </w:p>
        </w:tc>
        <w:tc>
          <w:tcPr>
            <w:tcW w:w="22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89,080</w:t>
            </w:r>
          </w:p>
        </w:tc>
        <w:tc>
          <w:tcPr>
            <w:tcW w:w="2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(1,359</w:t>
            </w:r>
          </w:p>
        </w:tc>
        <w:tc>
          <w:tcPr>
            <w:tcW w:w="200" w:type="dxa"/>
            <w:vAlign w:val="bottom"/>
          </w:tcPr>
          <w:p>
            <w:pPr>
              <w:jc w:val="right"/>
              <w:ind w:right="122"/>
              <w:spacing w:after="0"/>
              <w:rPr>
                <w:sz w:val="20"/>
                <w:szCs w:val="20"/>
                <w:color w:val="auto"/>
              </w:rPr>
            </w:pPr>
            <w:r>
              <w:rPr>
                <w:rFonts w:ascii="Arial" w:cs="Arial" w:eastAsia="Arial" w:hAnsi="Arial"/>
                <w:sz w:val="8"/>
                <w:szCs w:val="8"/>
                <w:b w:val="1"/>
                <w:bCs w:val="1"/>
                <w:color w:val="auto"/>
                <w:w w:val="73"/>
              </w:rPr>
              <w:t>)</w:t>
            </w:r>
          </w:p>
        </w:tc>
        <w:tc>
          <w:tcPr>
            <w:tcW w:w="160" w:type="dxa"/>
            <w:vAlign w:val="bottom"/>
            <w:tcBorders>
              <w:top w:val="single" w:sz="8" w:color="auto"/>
              <w:bottom w:val="single" w:sz="8" w:color="auto"/>
            </w:tcBorders>
          </w:tcPr>
          <w:p>
            <w:pPr>
              <w:jc w:val="right"/>
              <w:ind w:right="4"/>
              <w:spacing w:after="0" w:line="169" w:lineRule="exact"/>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1,003,391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98,950</w:t>
            </w:r>
          </w:p>
        </w:tc>
        <w:tc>
          <w:tcPr>
            <w:tcW w:w="2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$ 1,101,643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color w:val="auto"/>
                <w:w w:val="99"/>
              </w:rPr>
              <w:t>(1)</w:t>
            </w:r>
          </w:p>
        </w:tc>
        <w:tc>
          <w:tcPr>
            <w:tcW w:w="4140" w:type="dxa"/>
            <w:vAlign w:val="bottom"/>
            <w:vMerge w:val="restart"/>
          </w:tcPr>
          <w:p>
            <w:pPr>
              <w:ind w:left="260"/>
              <w:spacing w:after="0"/>
              <w:rPr>
                <w:sz w:val="20"/>
                <w:szCs w:val="20"/>
                <w:color w:val="auto"/>
              </w:rPr>
            </w:pPr>
            <w:r>
              <w:rPr>
                <w:rFonts w:ascii="Arial" w:cs="Arial" w:eastAsia="Arial" w:hAnsi="Arial"/>
                <w:sz w:val="18"/>
                <w:szCs w:val="18"/>
                <w:color w:val="auto"/>
              </w:rPr>
              <w:t>The Company’s tax year end is March 31</w:t>
            </w:r>
            <w:r>
              <w:rPr>
                <w:rFonts w:ascii="Arial" w:cs="Arial" w:eastAsia="Arial" w:hAnsi="Arial"/>
                <w:sz w:val="15"/>
                <w:szCs w:val="15"/>
                <w:color w:val="auto"/>
              </w:rPr>
              <w:t>st</w:t>
            </w:r>
            <w:r>
              <w:rPr>
                <w:rFonts w:ascii="Arial" w:cs="Arial" w:eastAsia="Arial" w:hAnsi="Arial"/>
                <w:sz w:val="18"/>
                <w:szCs w:val="18"/>
                <w:color w:val="auto"/>
              </w:rPr>
              <w:t>.</w:t>
            </w: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40" w:type="dxa"/>
            <w:vAlign w:val="bottom"/>
            <w:vMerge w:val="continue"/>
          </w:tcPr>
          <w:p>
            <w:pPr>
              <w:spacing w:after="0"/>
              <w:rPr>
                <w:sz w:val="24"/>
                <w:szCs w:val="24"/>
                <w:color w:val="auto"/>
              </w:rPr>
            </w:pPr>
          </w:p>
        </w:tc>
        <w:tc>
          <w:tcPr>
            <w:tcW w:w="41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7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4"/>
                <w:szCs w:val="14"/>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 2019</w:t>
            </w: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42,771</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86,541</w:t>
            </w:r>
          </w:p>
        </w:tc>
        <w:tc>
          <w:tcPr>
            <w:tcW w:w="120" w:type="dxa"/>
            <w:vAlign w:val="bottom"/>
          </w:tcPr>
          <w:p>
            <w:pPr>
              <w:spacing w:after="0"/>
              <w:rPr>
                <w:sz w:val="19"/>
                <w:szCs w:val="19"/>
                <w:color w:val="auto"/>
              </w:rPr>
            </w:pP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increase in net assets resulting from operations</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net cash provided by (used) in operating activities:</w:t>
            </w:r>
          </w:p>
        </w:tc>
        <w:tc>
          <w:tcPr>
            <w:tcW w:w="2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investments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42,564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(20,637)</w:t>
            </w: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(gains) losses on foreign currency transactions</w:t>
            </w:r>
          </w:p>
        </w:tc>
        <w:tc>
          <w:tcPr>
            <w:tcW w:w="2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(5,420)</w:t>
            </w: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Net change in unrealized gains on interest rate swaps</w:t>
            </w:r>
          </w:p>
        </w:tc>
        <w:tc>
          <w:tcPr>
            <w:tcW w:w="2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(9,698)</w:t>
            </w: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(9,443)</w:t>
            </w: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losses on investments</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(1,025)</w:t>
            </w: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Net realized gains on extinguishment of debt</w:t>
            </w:r>
          </w:p>
        </w:tc>
        <w:tc>
          <w:tcPr>
            <w:tcW w:w="2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19"/>
                <w:szCs w:val="19"/>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losses on foreign currency transactions</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Net amortization of discount on investments</w:t>
            </w:r>
          </w:p>
        </w:tc>
        <w:tc>
          <w:tcPr>
            <w:tcW w:w="2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(13,078)</w:t>
            </w: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(7,302)</w:t>
            </w: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w:t>
            </w: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Amortization of discount on debt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and originations of investments, net</w:t>
            </w:r>
          </w:p>
        </w:tc>
        <w:tc>
          <w:tcPr>
            <w:tcW w:w="2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(211,013)</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(504,367)</w:t>
            </w: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Proceeds from investments,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5,229</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Repayments on investments</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443,138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176,691</w:t>
            </w: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Paid-in-kind interest</w:t>
            </w:r>
          </w:p>
        </w:tc>
        <w:tc>
          <w:tcPr>
            <w:tcW w:w="2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(3,897)</w:t>
            </w: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(3,226)</w:t>
            </w: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Interest receivable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3,339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(1,709)</w:t>
            </w: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receivable paid-in-kind</w:t>
            </w:r>
          </w:p>
        </w:tc>
        <w:tc>
          <w:tcPr>
            <w:tcW w:w="2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(474)</w:t>
            </w: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(2,480)</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Management fees payable to affiliate</w:t>
            </w:r>
          </w:p>
        </w:tc>
        <w:tc>
          <w:tcPr>
            <w:tcW w:w="2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(568)</w:t>
            </w: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Incentive fees payable to affiliate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1,211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(2,750)</w:t>
            </w: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Payable to affiliate</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24,997</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w:t>
            </w:r>
          </w:p>
        </w:tc>
        <w:tc>
          <w:tcPr>
            <w:tcW w:w="120" w:type="dxa"/>
            <w:vAlign w:val="bottom"/>
            <w:tcBorders>
              <w:bottom w:val="single" w:sz="8" w:color="CFF0FC"/>
            </w:tcBorders>
          </w:tcPr>
          <w:p>
            <w:pPr>
              <w:spacing w:after="0"/>
              <w:rPr>
                <w:sz w:val="19"/>
                <w:szCs w:val="19"/>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319,621</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(269,760)</w:t>
            </w:r>
          </w:p>
        </w:tc>
        <w:tc>
          <w:tcPr>
            <w:tcW w:w="120" w:type="dxa"/>
            <w:vAlign w:val="bottom"/>
            <w:shd w:val="clear" w:color="auto" w:fill="CFF0FC"/>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Borrowings on debt</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322,481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638,253</w:t>
            </w: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Repayments on debt</w:t>
            </w:r>
          </w:p>
        </w:tc>
        <w:tc>
          <w:tcPr>
            <w:tcW w:w="2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(527,307)</w:t>
            </w: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(317,706)</w:t>
            </w: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Repurchases of debt</w:t>
            </w:r>
          </w:p>
        </w:tc>
        <w:tc>
          <w:tcPr>
            <w:tcW w:w="2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(31,829)</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(4,182)</w:t>
            </w: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(3,553)</w:t>
            </w: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Purchases of treasury stock</w:t>
            </w:r>
          </w:p>
        </w:tc>
        <w:tc>
          <w:tcPr>
            <w:tcW w:w="2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(2,932)</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2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(74,058)</w:t>
            </w: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(47,847)</w:t>
            </w:r>
          </w:p>
        </w:tc>
      </w:tr>
      <w:tr>
        <w:trPr>
          <w:trHeight w:val="223"/>
        </w:trPr>
        <w:tc>
          <w:tcPr>
            <w:tcW w:w="73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(317,827)</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269,147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1,794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14,143</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10,575</w:t>
            </w:r>
          </w:p>
        </w:tc>
        <w:tc>
          <w:tcPr>
            <w:tcW w:w="120" w:type="dxa"/>
            <w:vAlign w:val="bottom"/>
            <w:shd w:val="clear" w:color="auto" w:fill="CFF0FC"/>
          </w:tcPr>
          <w:p>
            <w:pPr>
              <w:spacing w:after="0"/>
              <w:rPr>
                <w:sz w:val="19"/>
                <w:szCs w:val="19"/>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15,937</w:t>
            </w:r>
          </w:p>
        </w:tc>
        <w:tc>
          <w:tcPr>
            <w:tcW w:w="2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9,962</w:t>
            </w:r>
          </w:p>
        </w:tc>
        <w:tc>
          <w:tcPr>
            <w:tcW w:w="120" w:type="dxa"/>
            <w:vAlign w:val="bottom"/>
            <w:tcBorders>
              <w:bottom w:val="single" w:sz="8" w:color="CFF0FC"/>
            </w:tcBorders>
          </w:tcPr>
          <w:p>
            <w:pPr>
              <w:spacing w:after="0"/>
              <w:rPr>
                <w:sz w:val="22"/>
                <w:szCs w:val="22"/>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Supplemental Information:</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Interest paid during the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20,078</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19,741</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Excise and other taxes paid during the period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3,100</w:t>
            </w: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Dividends declared during the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92,336</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59,881</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Reinvestment of dividends during the period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11,781</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120" w:firstLine="255"/>
        <w:spacing w:after="0" w:line="290" w:lineRule="auto"/>
        <w:rPr>
          <w:sz w:val="20"/>
          <w:szCs w:val="20"/>
          <w:color w:val="auto"/>
        </w:rPr>
      </w:pPr>
      <w:r>
        <w:rPr>
          <w:rFonts w:ascii="Arial" w:cs="Arial" w:eastAsia="Arial" w:hAnsi="Arial"/>
          <w:sz w:val="16"/>
          <w:szCs w:val="16"/>
          <w:color w:val="auto"/>
        </w:rPr>
        <w:t>Sixth Street Specialty Lending, Inc. (formerly known as 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Sixth Street Specialty Lending Advisers, LLC (formerly known as TSL Advisers, LLC) (the “Adviser”). On June 1, 2011, the Company formed a wholly-owned subsidiary, TC Lending, LLC, a Delaware limited liability company. On March 22, 2012, the Company formed a wholly-owned subsidiary, Sixth Street SL SPV, LLC (formerly known as TPG SL SPV, LLC), a Delaware limited liability company. On May 19, 2014, the Company formed a wholly-owned subsidiary, Sixth Street SL Holding, LLC (formerly known as TSL MR, LLC), a Delaware limited liability company.</w:t>
      </w:r>
    </w:p>
    <w:p>
      <w:pPr>
        <w:spacing w:after="0" w:line="165" w:lineRule="exact"/>
        <w:rPr>
          <w:sz w:val="20"/>
          <w:szCs w:val="20"/>
          <w:color w:val="auto"/>
        </w:rPr>
      </w:pPr>
    </w:p>
    <w:p>
      <w:pPr>
        <w:ind w:right="620" w:firstLine="255"/>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June 15, 2020, the Company changed its name from TPG Specialty Lending, Inc. to Sixth Street Specialty Lending,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0" w:firstLine="255"/>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8"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2019, which was filed with the Securities and Exchange Commission (“SEC”), on February 19, 2020.</w:t>
      </w:r>
    </w:p>
    <w:p>
      <w:pPr>
        <w:spacing w:after="0" w:line="188" w:lineRule="exact"/>
        <w:rPr>
          <w:sz w:val="20"/>
          <w:szCs w:val="20"/>
          <w:color w:val="auto"/>
        </w:rPr>
      </w:pPr>
    </w:p>
    <w:p>
      <w:pPr>
        <w:ind w:right="580" w:firstLine="255"/>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920" w:firstLine="255"/>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20" w:firstLine="255"/>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40" w:firstLine="255"/>
        <w:spacing w:after="0" w:line="296" w:lineRule="auto"/>
        <w:rPr>
          <w:sz w:val="20"/>
          <w:szCs w:val="20"/>
          <w:color w:val="auto"/>
        </w:rPr>
      </w:pPr>
      <w:r>
        <w:rPr>
          <w:rFonts w:ascii="Arial" w:cs="Arial" w:eastAsia="Arial" w:hAnsi="Arial"/>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1" w:lineRule="exact"/>
        <w:rPr>
          <w:sz w:val="20"/>
          <w:szCs w:val="20"/>
          <w:color w:val="auto"/>
        </w:rPr>
      </w:pPr>
    </w:p>
    <w:p>
      <w:pPr>
        <w:ind w:right="320" w:firstLine="255"/>
        <w:spacing w:after="0" w:line="296" w:lineRule="auto"/>
        <w:rPr>
          <w:sz w:val="20"/>
          <w:szCs w:val="20"/>
          <w:color w:val="auto"/>
        </w:rPr>
      </w:pPr>
      <w:r>
        <w:rPr>
          <w:rFonts w:ascii="Arial" w:cs="Arial" w:eastAsia="Arial" w:hAnsi="Arial"/>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61"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00" w:right="100" w:hanging="249"/>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00" w:right="440" w:hanging="249"/>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00" w:right="120" w:hanging="249"/>
        <w:spacing w:after="0" w:line="26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conducts this valuation process on a quarterly basis.</w:t>
      </w:r>
    </w:p>
    <w:p>
      <w:pPr>
        <w:spacing w:after="0" w:line="225" w:lineRule="exact"/>
        <w:rPr>
          <w:sz w:val="20"/>
          <w:szCs w:val="20"/>
          <w:color w:val="auto"/>
        </w:rPr>
      </w:pPr>
    </w:p>
    <w:p>
      <w:pPr>
        <w:ind w:right="140" w:firstLine="255"/>
        <w:spacing w:after="0" w:line="279"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June 30, 2020,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ind w:right="60" w:firstLine="255"/>
        <w:spacing w:after="0" w:line="254" w:lineRule="auto"/>
        <w:rPr>
          <w:sz w:val="20"/>
          <w:szCs w:val="20"/>
          <w:color w:val="auto"/>
        </w:rPr>
      </w:pPr>
      <w:r>
        <w:rPr>
          <w:rFonts w:ascii="Arial" w:cs="Arial" w:eastAsia="Arial" w:hAnsi="Arial"/>
          <w:sz w:val="18"/>
          <w:szCs w:val="18"/>
          <w:color w:val="auto"/>
        </w:rPr>
        <w:t xml:space="preserve">The Company applies Financial Accounting Standards Board Accounting Standards Codification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84" w:lineRule="exact"/>
        <w:rPr>
          <w:sz w:val="20"/>
          <w:szCs w:val="20"/>
          <w:color w:val="auto"/>
        </w:rPr>
      </w:pPr>
    </w:p>
    <w:p>
      <w:pPr>
        <w:ind w:left="500" w:hanging="249"/>
        <w:spacing w:after="0"/>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28" w:lineRule="exact"/>
        <w:rPr>
          <w:rFonts w:ascii="Arial" w:cs="Arial" w:eastAsia="Arial" w:hAnsi="Arial"/>
          <w:sz w:val="17"/>
          <w:szCs w:val="17"/>
          <w:color w:val="auto"/>
        </w:rPr>
      </w:pPr>
    </w:p>
    <w:p>
      <w:pPr>
        <w:ind w:left="500" w:right="620" w:hanging="249"/>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140" w:firstLine="255"/>
        <w:spacing w:after="0" w:line="253"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96" w:lineRule="exact"/>
        <w:rPr>
          <w:sz w:val="20"/>
          <w:szCs w:val="20"/>
          <w:color w:val="auto"/>
        </w:rPr>
      </w:pPr>
    </w:p>
    <w:p>
      <w:pPr>
        <w:ind w:right="100" w:firstLine="255"/>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2"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 xml:space="preserve">The Company recognizes all derivative instruments as assets or liabilities at fair value in its consolidated financial statements, pursuant to ASC Topic 815 </w:t>
      </w:r>
      <w:r>
        <w:rPr>
          <w:rFonts w:ascii="Arial" w:cs="Arial" w:eastAsia="Arial" w:hAnsi="Arial"/>
          <w:sz w:val="17"/>
          <w:szCs w:val="17"/>
          <w:i w:val="1"/>
          <w:iCs w:val="1"/>
          <w:color w:val="auto"/>
        </w:rPr>
        <w:t>Derivatives and Hedgin</w:t>
      </w:r>
      <w:r>
        <w:rPr>
          <w:rFonts w:ascii="Arial" w:cs="Arial" w:eastAsia="Arial" w:hAnsi="Arial"/>
          <w:sz w:val="17"/>
          <w:szCs w:val="17"/>
          <w:color w:val="auto"/>
        </w:rPr>
        <w:t xml:space="preserve">g, further clarified by the FASB’s issuance of the Accounting Standards Update (“ASU”) No. 2017-12,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 which was adopted in 2019 by the Company. For all derivative instruments designated in a hedge accounting relationship, the entire change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178" w:lineRule="exact"/>
        <w:rPr>
          <w:sz w:val="20"/>
          <w:szCs w:val="20"/>
          <w:color w:val="auto"/>
        </w:rPr>
      </w:pPr>
    </w:p>
    <w:p>
      <w:pPr>
        <w:ind w:right="220" w:firstLine="255"/>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Derivatives, including the Company’s interest rate swaps, for which broker quotes are available are typically valued at those broker quotes.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00" w:right="600" w:hanging="249"/>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00" w:right="20" w:hanging="249"/>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00" w:firstLine="255"/>
        <w:spacing w:after="0" w:line="254"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95" w:lineRule="exact"/>
        <w:rPr>
          <w:sz w:val="20"/>
          <w:szCs w:val="20"/>
          <w:color w:val="auto"/>
        </w:rPr>
      </w:pPr>
    </w:p>
    <w:p>
      <w:pPr>
        <w:ind w:right="140" w:firstLine="255"/>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260" w:firstLine="255"/>
        <w:spacing w:after="0" w:line="277" w:lineRule="auto"/>
        <w:rPr>
          <w:sz w:val="20"/>
          <w:szCs w:val="20"/>
          <w:color w:val="auto"/>
        </w:rPr>
      </w:pPr>
      <w:r>
        <w:rPr>
          <w:rFonts w:ascii="Arial" w:cs="Arial" w:eastAsia="Arial" w:hAnsi="Arial"/>
          <w:sz w:val="18"/>
          <w:szCs w:val="18"/>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220" w:firstLine="255"/>
        <w:spacing w:after="0" w:line="263"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100" w:firstLine="255"/>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5"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70"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7" w:lineRule="exact"/>
        <w:rPr>
          <w:sz w:val="20"/>
          <w:szCs w:val="20"/>
          <w:color w:val="auto"/>
        </w:rPr>
      </w:pPr>
    </w:p>
    <w:p>
      <w:pPr>
        <w:ind w:right="600" w:firstLine="255"/>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Including Excise Taxes</w:t>
      </w:r>
    </w:p>
    <w:p>
      <w:pPr>
        <w:spacing w:after="0" w:line="117" w:lineRule="exact"/>
        <w:rPr>
          <w:sz w:val="20"/>
          <w:szCs w:val="20"/>
          <w:color w:val="auto"/>
        </w:rPr>
      </w:pPr>
    </w:p>
    <w:p>
      <w:pPr>
        <w:ind w:right="100" w:firstLine="255"/>
        <w:spacing w:after="0" w:line="257" w:lineRule="auto"/>
        <w:rPr>
          <w:sz w:val="20"/>
          <w:szCs w:val="20"/>
          <w:color w:val="auto"/>
        </w:rPr>
      </w:pPr>
      <w:r>
        <w:rPr>
          <w:rFonts w:ascii="Arial" w:cs="Arial" w:eastAsia="Arial" w:hAnsi="Arial"/>
          <w:sz w:val="18"/>
          <w:szCs w:val="18"/>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88" w:lineRule="exact"/>
        <w:rPr>
          <w:sz w:val="20"/>
          <w:szCs w:val="20"/>
          <w:color w:val="auto"/>
        </w:rPr>
      </w:pPr>
    </w:p>
    <w:p>
      <w:pPr>
        <w:ind w:right="80" w:firstLine="255"/>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8" w:lineRule="exact"/>
        <w:rPr>
          <w:sz w:val="20"/>
          <w:szCs w:val="20"/>
          <w:color w:val="auto"/>
        </w:rPr>
      </w:pPr>
    </w:p>
    <w:p>
      <w:pPr>
        <w:ind w:right="100" w:firstLine="255"/>
        <w:spacing w:after="0" w:line="301" w:lineRule="auto"/>
        <w:rPr>
          <w:sz w:val="20"/>
          <w:szCs w:val="20"/>
          <w:color w:val="auto"/>
        </w:rPr>
      </w:pPr>
      <w:r>
        <w:rPr>
          <w:rFonts w:ascii="Arial" w:cs="Arial" w:eastAsia="Arial" w:hAnsi="Arial"/>
          <w:sz w:val="16"/>
          <w:szCs w:val="16"/>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57"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For the three and six months ended June 30, 2020, we recorded a net expense of $1.0 million and $2.0 million, respectively, for U.S. federal excise tax and other taxes. For the three and six months ended June 30, 2019, we recorded a net expense of $1.0 million and $1.3 million, respectively, for U.S. federal excise tax and other taxes.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260" w:firstLine="255"/>
        <w:spacing w:after="0" w:line="263"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84" w:lineRule="exact"/>
        <w:rPr>
          <w:sz w:val="20"/>
          <w:szCs w:val="20"/>
          <w:color w:val="auto"/>
        </w:rPr>
      </w:pPr>
    </w:p>
    <w:p>
      <w:pPr>
        <w:ind w:right="80" w:firstLine="255"/>
        <w:spacing w:after="0" w:line="301"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120" w:firstLine="255"/>
        <w:spacing w:after="0" w:line="255" w:lineRule="auto"/>
        <w:rPr>
          <w:sz w:val="20"/>
          <w:szCs w:val="20"/>
          <w:color w:val="auto"/>
        </w:rPr>
      </w:pPr>
      <w:r>
        <w:rPr>
          <w:rFonts w:ascii="Arial" w:cs="Arial" w:eastAsia="Arial" w:hAnsi="Arial"/>
          <w:sz w:val="18"/>
          <w:szCs w:val="18"/>
          <w:color w:val="auto"/>
        </w:rPr>
        <w:t>In August 2018, the Financial Accounting Standards Board issued Accounting Standards Update 2018-13 (“ASU 2018-13”) “Fair Value Measurement (Topic 820): Disclosure Framework – Changes to the Disclosure Requirements for Fair Value Measurement.” This guidance modifies the disclosure requirements on fair value measurements in ASC Topic 820, by eliminating, amending, and adding certain disclosure requirements. ASU 2018-13 is effective for financial statements issued for fiscal years beginning after December 15, 2019, including interim periods within those fiscal years. The Company’s adoption of this guidance did not have a material impact on the Company’s financial position, results of operations, cash flows or notes to the consolidated financial statements.</w:t>
      </w:r>
    </w:p>
    <w:p>
      <w:pPr>
        <w:spacing w:after="0" w:line="192" w:lineRule="exact"/>
        <w:rPr>
          <w:sz w:val="20"/>
          <w:szCs w:val="20"/>
          <w:color w:val="auto"/>
        </w:rPr>
      </w:pPr>
    </w:p>
    <w:p>
      <w:pPr>
        <w:ind w:right="140" w:firstLine="255"/>
        <w:spacing w:after="0" w:line="255" w:lineRule="auto"/>
        <w:rPr>
          <w:sz w:val="20"/>
          <w:szCs w:val="20"/>
          <w:color w:val="auto"/>
        </w:rPr>
      </w:pPr>
      <w:r>
        <w:rPr>
          <w:rFonts w:ascii="Arial" w:cs="Arial" w:eastAsia="Arial" w:hAnsi="Arial"/>
          <w:sz w:val="18"/>
          <w:szCs w:val="18"/>
          <w:color w:val="auto"/>
        </w:rPr>
        <w:t>In March 2020, the Financial Accounting Standards Board issued Accounting Standards Update 2020-04 (“ASU 2020-04”) “Reference Rate Reform (Topic 848): Facilitation of the Effects of Reference Rate Reform on Financial Reporting.” This guidance provides optional expedients and exceptions for applying generally accepted accounting principles to contract modifications and hedging relationships, subject to meeting certain criteria, that reference LIBOR or another reference rate expected to be discontinued. ASU 2020-04 is effective for all entities as of March 12, 2020 through December 31, 2022. The Company expects that the adoption of this guidance will not have a material impact on the Company’s financial position, result of operations or cash flows.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64" w:lineRule="exact"/>
        <w:rPr>
          <w:sz w:val="20"/>
          <w:szCs w:val="20"/>
          <w:color w:val="auto"/>
        </w:rPr>
      </w:pPr>
    </w:p>
    <w:p>
      <w:pPr>
        <w:ind w:right="180" w:firstLine="255"/>
        <w:spacing w:after="0" w:line="263" w:lineRule="auto"/>
        <w:rPr>
          <w:sz w:val="20"/>
          <w:szCs w:val="20"/>
          <w:color w:val="auto"/>
        </w:rPr>
      </w:pPr>
      <w:r>
        <w:rPr>
          <w:rFonts w:ascii="Arial" w:cs="Arial" w:eastAsia="Arial" w:hAnsi="Arial"/>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84"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In November 2019, the Board renewed the Administration Agreement. Unless earlier terminated as described below, the Administration Agreement will remain in effect until November 2020, and may be extended subject to required approvals. The Administration Agreement may be terminated by either party without penalty on 60 days’ written notice to the other party.</w:t>
      </w:r>
    </w:p>
    <w:p>
      <w:pPr>
        <w:spacing w:after="0" w:line="184"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179"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For the three and six months ended June 30, 2020, the Company incurred expenses of $1.3 million and $2.3 million, respectively, for administrative services payable to the Adviser under the terms of the Administration Agreement. For the three and six months ended June 30, 2019, the Company incurred expenses of $1.0 million and $2.1 million, respectively, for administrative services payable to the Adviser under the terms of the Administration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100" w:firstLine="255"/>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4" w:lineRule="exact"/>
        <w:rPr>
          <w:sz w:val="20"/>
          <w:szCs w:val="20"/>
          <w:color w:val="auto"/>
        </w:rPr>
      </w:pPr>
    </w:p>
    <w:p>
      <w:pPr>
        <w:ind w:right="260" w:firstLine="255"/>
        <w:spacing w:after="0" w:line="277" w:lineRule="auto"/>
        <w:rPr>
          <w:sz w:val="20"/>
          <w:szCs w:val="20"/>
          <w:color w:val="auto"/>
        </w:rPr>
      </w:pPr>
      <w:r>
        <w:rPr>
          <w:rFonts w:ascii="Arial" w:cs="Arial" w:eastAsia="Arial" w:hAnsi="Arial"/>
          <w:sz w:val="18"/>
          <w:szCs w:val="18"/>
          <w:color w:val="auto"/>
        </w:rPr>
        <w:t>For the three and six months ended June 30, 2020, Management Fees were $7.7 million and $15.8 million, respectively. For the three and six months ended June 30, 2019, Management Fees were $7.4 million and $14.0 million, respectively.</w:t>
      </w:r>
    </w:p>
    <w:p>
      <w:pPr>
        <w:spacing w:after="0" w:line="170"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Any waived Management Fees are not subject to recoupment by the Adviser. As of June 30, 2020, no Management Fees have been waived pursuant to the Leverage Waiver.</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00" w:right="160" w:hanging="249"/>
        <w:spacing w:after="0" w:line="291"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58" w:lineRule="exact"/>
        <w:rPr>
          <w:sz w:val="20"/>
          <w:szCs w:val="20"/>
          <w:color w:val="auto"/>
        </w:rPr>
      </w:pPr>
    </w:p>
    <w:p>
      <w:pPr>
        <w:ind w:left="520" w:right="140"/>
        <w:spacing w:after="0" w:line="293" w:lineRule="auto"/>
        <w:rPr>
          <w:sz w:val="20"/>
          <w:szCs w:val="20"/>
          <w:color w:val="auto"/>
        </w:rPr>
      </w:pPr>
      <w:r>
        <w:rPr>
          <w:rFonts w:ascii="Arial" w:cs="Arial" w:eastAsia="Arial" w:hAnsi="Arial"/>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56" w:lineRule="exact"/>
        <w:rPr>
          <w:sz w:val="20"/>
          <w:szCs w:val="20"/>
          <w:color w:val="auto"/>
        </w:rPr>
      </w:pPr>
    </w:p>
    <w:p>
      <w:pPr>
        <w:ind w:left="500" w:hanging="249"/>
        <w:spacing w:after="0" w:line="269"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was intended to ensure that for each fiscal year following the completion of the IPO, the portion of the Company’s realized capital gains that accrued prior to March 31, 2014, was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182" w:lineRule="exact"/>
        <w:rPr>
          <w:sz w:val="20"/>
          <w:szCs w:val="20"/>
          <w:color w:val="auto"/>
        </w:rPr>
      </w:pPr>
    </w:p>
    <w:p>
      <w:pPr>
        <w:ind w:right="440" w:firstLine="255"/>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ind w:right="180" w:firstLine="255"/>
        <w:spacing w:after="0" w:line="308" w:lineRule="auto"/>
        <w:rPr>
          <w:sz w:val="20"/>
          <w:szCs w:val="20"/>
          <w:color w:val="auto"/>
        </w:rPr>
      </w:pPr>
      <w:r>
        <w:rPr>
          <w:rFonts w:ascii="Arial" w:cs="Arial" w:eastAsia="Arial" w:hAnsi="Arial"/>
          <w:sz w:val="17"/>
          <w:szCs w:val="17"/>
          <w:color w:val="auto"/>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p>
    <w:p>
      <w:pPr>
        <w:spacing w:after="0" w:line="146" w:lineRule="exact"/>
        <w:rPr>
          <w:sz w:val="20"/>
          <w:szCs w:val="20"/>
          <w:color w:val="auto"/>
        </w:rPr>
      </w:pPr>
    </w:p>
    <w:p>
      <w:pPr>
        <w:ind w:right="260" w:firstLine="255"/>
        <w:spacing w:after="0" w:line="263" w:lineRule="auto"/>
        <w:rPr>
          <w:sz w:val="20"/>
          <w:szCs w:val="20"/>
          <w:color w:val="auto"/>
        </w:rPr>
      </w:pPr>
      <w:r>
        <w:rPr>
          <w:rFonts w:ascii="Arial" w:cs="Arial" w:eastAsia="Arial" w:hAnsi="Arial"/>
          <w:sz w:val="18"/>
          <w:szCs w:val="18"/>
          <w:color w:val="auto"/>
        </w:rPr>
        <w:t>For the three and six months ended June 30, 2020, Incentive Fees were $8.4 million and $15.5 million, respectively, all of which were realized and payable to the Adviser. For the three and six months ended June 30, 2019, Incentive Fees were $6.6 million and $12.3 million, respectively, all of which were realized and payable to the Adviser.</w:t>
      </w:r>
    </w:p>
    <w:p>
      <w:pPr>
        <w:spacing w:after="0" w:line="184"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spacing w:after="0" w:line="184" w:lineRule="exact"/>
        <w:rPr>
          <w:sz w:val="20"/>
          <w:szCs w:val="20"/>
          <w:color w:val="auto"/>
        </w:rPr>
      </w:pPr>
    </w:p>
    <w:p>
      <w:pPr>
        <w:ind w:firstLine="255"/>
        <w:spacing w:after="0" w:line="311" w:lineRule="auto"/>
        <w:rPr>
          <w:sz w:val="20"/>
          <w:szCs w:val="20"/>
          <w:color w:val="auto"/>
        </w:rPr>
      </w:pPr>
      <w:r>
        <w:rPr>
          <w:rFonts w:ascii="Arial" w:cs="Arial" w:eastAsia="Arial" w:hAnsi="Arial"/>
          <w:sz w:val="16"/>
          <w:szCs w:val="16"/>
          <w:color w:val="auto"/>
        </w:rPr>
        <w:t>In November 2019, the Board renewed the Investment Advisory Agreement. Unless earlier terminated as described below, the Investment Advisory Agreement will remain in effect until November 2020,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9"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160" w:firstLine="255"/>
        <w:spacing w:after="0" w:line="291"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at fair value consisted of the following at June 30, 2020 and December 31, 2019:</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b w:val="1"/>
                <w:bCs w:val="1"/>
                <w:color w:val="auto"/>
                <w:w w:val="94"/>
              </w:rPr>
              <w:t>June 30, 2020</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1,909,537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1,897,559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8,939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93,505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69,861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(23,644)</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2,018,517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1,983,844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(34,673)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2019</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2,143,831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2,176,118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87,559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63,113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(24,446)</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2,238,037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2,245,928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100" w:hanging="492"/>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0" w:name="page31"/>
    <w:bookmarkEnd w:id="30"/>
    <w:p>
      <w:pPr>
        <w:ind w:left="260"/>
        <w:spacing w:after="0"/>
        <w:rPr>
          <w:sz w:val="20"/>
          <w:szCs w:val="20"/>
          <w:color w:val="auto"/>
        </w:rPr>
      </w:pPr>
      <w:r>
        <w:rPr>
          <w:rFonts w:ascii="Arial" w:cs="Arial" w:eastAsia="Arial" w:hAnsi="Arial"/>
          <w:sz w:val="18"/>
          <w:szCs w:val="18"/>
          <w:color w:val="auto"/>
        </w:rPr>
        <w:t>The industry composition of investments at fair value at June 30, 2020 and December 31, 2019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1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June 30, 2020</w:t>
            </w:r>
          </w:p>
        </w:tc>
        <w:tc>
          <w:tcPr>
            <w:tcW w:w="300" w:type="dxa"/>
            <w:vAlign w:val="bottom"/>
            <w:vMerge w:val="restart"/>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16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Business services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Chemicals</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Communications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Education</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Electronics</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Financial services</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16.7%</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Healthcare</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Hotel, gaming and leisure</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Internet services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Marketing services</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Office products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Oil, gas and consumable fuels</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Pharmaceuticals</w:t>
            </w: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Real Estate</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Retail and consumer products</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11.3%</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Transportation</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16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vMerge w:val="continue"/>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geographic composition of investments at fair value at June 30, 2020 and December 31, 2019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June 30, 2020</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Midwest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14.0%</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South</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40.8%</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Australia</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Canada</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16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vMerge w:val="continue"/>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180" w:firstLine="255"/>
        <w:spacing w:after="0" w:line="286" w:lineRule="auto"/>
        <w:rPr>
          <w:sz w:val="20"/>
          <w:szCs w:val="20"/>
          <w:color w:val="auto"/>
        </w:rPr>
      </w:pPr>
      <w:r>
        <w:rPr>
          <w:rFonts w:ascii="Arial" w:cs="Arial" w:eastAsia="Arial" w:hAnsi="Arial"/>
          <w:sz w:val="17"/>
          <w:szCs w:val="17"/>
          <w:color w:val="auto"/>
        </w:rPr>
        <w:t>In February 2017, in connection with the issuance of the 2022 Convertible Notes, the Company entered into an interest rate swap transaction with a $115.0 million notional amount. The Company receives fixed rate interest at 4.50% and pays variable rate interest based on three-month LIBOR plus 2.37%. The swap transaction matures on August 1, 2022, matching the maturity date of the 2022 Convertible Notes.</w:t>
      </w:r>
    </w:p>
    <w:p>
      <w:pPr>
        <w:spacing w:after="0" w:line="165" w:lineRule="exact"/>
        <w:rPr>
          <w:sz w:val="20"/>
          <w:szCs w:val="20"/>
          <w:color w:val="auto"/>
        </w:rPr>
      </w:pPr>
    </w:p>
    <w:p>
      <w:pPr>
        <w:jc w:val="both"/>
        <w:ind w:right="60" w:firstLine="255"/>
        <w:spacing w:after="0" w:line="263" w:lineRule="auto"/>
        <w:rPr>
          <w:sz w:val="20"/>
          <w:szCs w:val="20"/>
          <w:color w:val="auto"/>
        </w:rPr>
      </w:pPr>
      <w:r>
        <w:rPr>
          <w:rFonts w:ascii="Arial" w:cs="Arial" w:eastAsia="Arial" w:hAnsi="Arial"/>
          <w:sz w:val="18"/>
          <w:szCs w:val="18"/>
          <w:color w:val="auto"/>
        </w:rPr>
        <w:t>In January 2018, in connection with the issuance of the 2023 Notes, the Company entered into an interest rate swap transaction with a $150.0 million notional amount. The Company receives fixed rate interest at 4.50% and pays variable rate interest based on three-month LIBOR plus 1.99%. The swap transaction matures on January 22, 2023, matching the maturity date of the 2023 Notes.</w:t>
      </w:r>
    </w:p>
    <w:p>
      <w:pPr>
        <w:spacing w:after="0" w:line="184"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In June 2018, in connection with the reopening and issuance of additional 2022 Convertible Notes, the Company entered into two interest rate swap transactions with notional amounts of $50.0 million and $7.5 million, respectively. The Company receives fixed rate interest on each swap at 4.50%, and pays variable rate interest based on three-month LIBOR plus 1.59%, and 1.60%, respectively. The swap transactions mature on August 1, 2022, matching the maturity date of the 2022 Convertible Notes.</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320" w:top="557" w:right="519" w:bottom="1440" w:gutter="0" w:footer="0" w:header="0"/>
        </w:sectPr>
      </w:pPr>
    </w:p>
    <w:bookmarkStart w:id="31" w:name="page32"/>
    <w:bookmarkEnd w:id="31"/>
    <w:p>
      <w:pPr>
        <w:jc w:val="both"/>
        <w:ind w:right="500" w:firstLine="255"/>
        <w:spacing w:after="0" w:line="286" w:lineRule="auto"/>
        <w:rPr>
          <w:sz w:val="20"/>
          <w:szCs w:val="20"/>
          <w:color w:val="auto"/>
        </w:rPr>
      </w:pPr>
      <w:r>
        <w:rPr>
          <w:rFonts w:ascii="Arial" w:cs="Arial" w:eastAsia="Arial" w:hAnsi="Arial"/>
          <w:sz w:val="17"/>
          <w:szCs w:val="17"/>
          <w:color w:val="auto"/>
        </w:rPr>
        <w:t>In June 2019, upon maturity of the original swap transaction on an existing fixed rate investment, the Company entered into an interest rate swap transaction with a $91.5 million notional amount. The Company received three-month LIBOR and paid fixed rate interest at 1.97%. In April 2020, in connection with the repayment of the underlying investment, the Company terminated this interest rate swap.</w:t>
      </w:r>
    </w:p>
    <w:p>
      <w:pPr>
        <w:spacing w:after="0" w:line="165" w:lineRule="exact"/>
        <w:rPr>
          <w:sz w:val="20"/>
          <w:szCs w:val="20"/>
          <w:color w:val="auto"/>
        </w:rPr>
      </w:pPr>
    </w:p>
    <w:p>
      <w:pPr>
        <w:ind w:right="40" w:firstLine="255"/>
        <w:spacing w:after="0" w:line="311" w:lineRule="auto"/>
        <w:rPr>
          <w:sz w:val="20"/>
          <w:szCs w:val="20"/>
          <w:color w:val="auto"/>
        </w:rPr>
      </w:pPr>
      <w:r>
        <w:rPr>
          <w:rFonts w:ascii="Arial" w:cs="Arial" w:eastAsia="Arial" w:hAnsi="Arial"/>
          <w:sz w:val="16"/>
          <w:szCs w:val="16"/>
          <w:color w:val="auto"/>
        </w:rPr>
        <w:t>In August 2019, in connection with two fixed rate investments, the Company entered into two interest rate swap transactions with notional amounts of $11.7 million and $3.2 million, respectively. The Company receives three-month LIBOR and pays fixed rate interest at 1.47% and 1.36%, respectively. The swap transactions mature on July 30, 2021 and July 29, 2022, respectively, matching the expected repayment dates of each investment.</w:t>
      </w:r>
    </w:p>
    <w:p>
      <w:pPr>
        <w:spacing w:after="0" w:line="149"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In November 2019, in connection with the issuance of the 2024 Notes, the Company entered into an interest rate swap transaction with a $300.0 million notional amount. The Company receives fixed rate interest at 3.88% and pays variable rate interest based on three-month LIBOR plus 2.25%. The swap transaction matures on November 1, 2024, matching the maturity date of the 2024 Notes. The Company designated this interest rate swap as the hedging instrument in a hedge accounting relationship with the 2024 Notes.</w:t>
      </w:r>
    </w:p>
    <w:p>
      <w:pPr>
        <w:spacing w:after="0" w:line="187" w:lineRule="exact"/>
        <w:rPr>
          <w:sz w:val="20"/>
          <w:szCs w:val="20"/>
          <w:color w:val="auto"/>
        </w:rPr>
      </w:pPr>
    </w:p>
    <w:p>
      <w:pPr>
        <w:ind w:right="80" w:firstLine="255"/>
        <w:spacing w:after="0" w:line="279" w:lineRule="auto"/>
        <w:rPr>
          <w:sz w:val="20"/>
          <w:szCs w:val="20"/>
          <w:color w:val="auto"/>
        </w:rPr>
      </w:pPr>
      <w:r>
        <w:rPr>
          <w:rFonts w:ascii="Arial" w:cs="Arial" w:eastAsia="Arial" w:hAnsi="Arial"/>
          <w:sz w:val="17"/>
          <w:szCs w:val="17"/>
          <w:color w:val="auto"/>
        </w:rPr>
        <w:t>In February 2020, in connection with the reopening and issuance of additional 2024 Notes, the Company entered into an interest rate swap transaction with a $50.0 million notional amount. The Company receives fixed rate interest at 3.88% and pays variable rate interest based on three-month LIBOR plus 2.46%. The swap transaction matures on November 1, 2024, matching the maturity date of the additional 2024 Notes. The Company designated this interest rate swap as the hedging instrument in a hedge accounting relationship with the additional 2024 Notes.</w:t>
      </w:r>
    </w:p>
    <w:p>
      <w:pPr>
        <w:spacing w:after="0" w:line="171" w:lineRule="exact"/>
        <w:rPr>
          <w:sz w:val="20"/>
          <w:szCs w:val="20"/>
          <w:color w:val="auto"/>
        </w:rPr>
      </w:pPr>
    </w:p>
    <w:p>
      <w:pPr>
        <w:ind w:right="180" w:firstLine="255"/>
        <w:spacing w:after="0" w:line="311" w:lineRule="auto"/>
        <w:rPr>
          <w:sz w:val="20"/>
          <w:szCs w:val="20"/>
          <w:color w:val="auto"/>
        </w:rPr>
      </w:pPr>
      <w:r>
        <w:rPr>
          <w:rFonts w:ascii="Arial" w:cs="Arial" w:eastAsia="Arial" w:hAnsi="Arial"/>
          <w:sz w:val="16"/>
          <w:szCs w:val="16"/>
          <w:color w:val="auto"/>
        </w:rPr>
        <w:t>In May 2020, in connection with the repurchase of $29.7 million of the 2022 Convertible Notes, the Company entered into two interest rate swap transactions with $27.5 million and $2.2 million notional amounts. The Company pays fixed rate interest at 4.5% and receives variable rate interest based on three-month LIBOR plus 2.11%. The swap transactions mature on August 1, 2022, matching the maturity date of the 2022 Convertible Notes.</w:t>
      </w:r>
    </w:p>
    <w:p>
      <w:pPr>
        <w:spacing w:after="0" w:line="149" w:lineRule="exact"/>
        <w:rPr>
          <w:sz w:val="20"/>
          <w:szCs w:val="20"/>
          <w:color w:val="auto"/>
        </w:rPr>
      </w:pPr>
    </w:p>
    <w:p>
      <w:pPr>
        <w:ind w:right="40" w:firstLine="255"/>
        <w:spacing w:after="0" w:line="301" w:lineRule="auto"/>
        <w:rPr>
          <w:sz w:val="20"/>
          <w:szCs w:val="20"/>
          <w:color w:val="auto"/>
        </w:rPr>
      </w:pPr>
      <w:r>
        <w:rPr>
          <w:rFonts w:ascii="Arial" w:cs="Arial" w:eastAsia="Arial" w:hAnsi="Arial"/>
          <w:sz w:val="16"/>
          <w:szCs w:val="16"/>
          <w:color w:val="auto"/>
        </w:rPr>
        <w:t>In May 2020, in connection with the repurchase of $2.5 million of the 2024 Notes, the Company entered into an interest rate swap transaction with $2.5 million notional amount. The Company pays fixed rate interest at 3.88% and receives variable rate interest based on three-month LIBOR plus 2.28%. The swap transaction matures on November 1, 2024, matching the maturity date of the 2024 Notes. The Company de-designated $2.5 million notional amount of the existing interest rate swaps related to the 2024 Notes as hedging instruments in a hedge accounting relationship with the 2024 Notes.</w:t>
      </w:r>
    </w:p>
    <w:p>
      <w:pPr>
        <w:spacing w:after="0" w:line="157" w:lineRule="exact"/>
        <w:rPr>
          <w:sz w:val="20"/>
          <w:szCs w:val="20"/>
          <w:color w:val="auto"/>
        </w:rPr>
      </w:pPr>
    </w:p>
    <w:p>
      <w:pPr>
        <w:ind w:right="340" w:firstLine="255"/>
        <w:spacing w:after="0" w:line="311" w:lineRule="auto"/>
        <w:rPr>
          <w:sz w:val="20"/>
          <w:szCs w:val="20"/>
          <w:color w:val="auto"/>
        </w:rPr>
      </w:pPr>
      <w:r>
        <w:rPr>
          <w:rFonts w:ascii="Arial" w:cs="Arial" w:eastAsia="Arial" w:hAnsi="Arial"/>
          <w:sz w:val="16"/>
          <w:szCs w:val="16"/>
          <w:color w:val="auto"/>
        </w:rPr>
        <w:t>In June 2020, in connection with two fixed rate investments, the Company entered into two interest rate swap transactions with notional amounts of $5.0 million and $2.2 million. The Company receives three-month LIBOR and pays fixed rate interest at 0.33% and 0.26%, respectively. The swap transactions mature on June 9, 2023 and July 29, 2022, respectively, matching the expected repayment dates of each investment.</w:t>
      </w:r>
    </w:p>
    <w:p>
      <w:pPr>
        <w:spacing w:after="0" w:line="149"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The following tables present the amounts paid and received on the Company’s interest rate swap transactions, excluding upfront fees, for the three and six months ended June 30, 2020 and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Maturity Date</w:t>
            </w:r>
          </w:p>
        </w:tc>
        <w:tc>
          <w:tcPr>
            <w:tcW w:w="100" w:type="dxa"/>
            <w:vAlign w:val="bottom"/>
          </w:tcPr>
          <w:p>
            <w:pPr>
              <w:spacing w:after="0"/>
              <w:rPr>
                <w:sz w:val="14"/>
                <w:szCs w:val="14"/>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Notional Amount</w:t>
            </w:r>
          </w:p>
        </w:tc>
        <w:tc>
          <w:tcPr>
            <w:tcW w:w="160" w:type="dxa"/>
            <w:vAlign w:val="bottom"/>
          </w:tcPr>
          <w:p>
            <w:pPr>
              <w:spacing w:after="0"/>
              <w:rPr>
                <w:sz w:val="14"/>
                <w:szCs w:val="14"/>
                <w:color w:val="auto"/>
              </w:rPr>
            </w:pPr>
          </w:p>
        </w:tc>
        <w:tc>
          <w:tcPr>
            <w:tcW w:w="318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w w:val="94"/>
              </w:rPr>
              <w:t>For the Three Months Ended June 30, 2020</w:t>
            </w:r>
          </w:p>
        </w:tc>
        <w:tc>
          <w:tcPr>
            <w:tcW w:w="220" w:type="dxa"/>
            <w:vAlign w:val="bottom"/>
          </w:tcPr>
          <w:p>
            <w:pPr>
              <w:spacing w:after="0"/>
              <w:rPr>
                <w:sz w:val="14"/>
                <w:szCs w:val="14"/>
                <w:color w:val="auto"/>
              </w:rPr>
            </w:pPr>
          </w:p>
        </w:tc>
        <w:tc>
          <w:tcPr>
            <w:tcW w:w="324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For the Six Months Ended June 30, 2020</w:t>
            </w:r>
          </w:p>
        </w:tc>
        <w:tc>
          <w:tcPr>
            <w:tcW w:w="0" w:type="dxa"/>
            <w:vAlign w:val="bottom"/>
          </w:tcPr>
          <w:p>
            <w:pPr>
              <w:spacing w:after="0"/>
              <w:rPr>
                <w:sz w:val="1"/>
                <w:szCs w:val="1"/>
                <w:color w:val="auto"/>
              </w:rPr>
            </w:pPr>
          </w:p>
        </w:tc>
      </w:tr>
      <w:tr>
        <w:trPr>
          <w:trHeight w:val="155"/>
        </w:trPr>
        <w:tc>
          <w:tcPr>
            <w:tcW w:w="21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Paid</w:t>
            </w: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w w:val="94"/>
              </w:rPr>
              <w:t>Received</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Paid</w:t>
            </w: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w w:val="97"/>
              </w:rPr>
              <w:t>Received</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(1)(2)</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6/25/2020</w:t>
            </w: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91,500</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(456)</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440</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920" w:type="dxa"/>
            <w:vAlign w:val="bottom"/>
          </w:tcPr>
          <w:p>
            <w:pPr>
              <w:jc w:val="right"/>
              <w:spacing w:after="0"/>
              <w:rPr>
                <w:sz w:val="20"/>
                <w:szCs w:val="20"/>
                <w:color w:val="auto"/>
              </w:rPr>
            </w:pPr>
            <w:r>
              <w:rPr>
                <w:rFonts w:ascii="Arial" w:cs="Arial" w:eastAsia="Arial" w:hAnsi="Arial"/>
                <w:sz w:val="17"/>
                <w:szCs w:val="17"/>
                <w:color w:val="auto"/>
              </w:rPr>
              <w:t>7/30/2021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11,700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(44)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(87)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7/29/2022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(22)</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920" w:type="dxa"/>
            <w:vAlign w:val="bottom"/>
          </w:tcPr>
          <w:p>
            <w:pPr>
              <w:jc w:val="right"/>
              <w:spacing w:after="0"/>
              <w:rPr>
                <w:sz w:val="20"/>
                <w:szCs w:val="20"/>
                <w:color w:val="auto"/>
              </w:rPr>
            </w:pPr>
            <w:r>
              <w:rPr>
                <w:rFonts w:ascii="Arial" w:cs="Arial" w:eastAsia="Arial" w:hAnsi="Arial"/>
                <w:sz w:val="17"/>
                <w:szCs w:val="17"/>
                <w:color w:val="auto"/>
              </w:rPr>
              <w:t>7/29/2022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(1,089)</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(2,348)</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2,588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(375)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(824)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(56)</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(124)</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27,531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(317)</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(74)</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(317)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(25)</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(6)</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(25)</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1/22/2023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(1,277)</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411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(2,777)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6/9/2023</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11/1/2024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(2,659)</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(5,808)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5,813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11/1/2024</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(470)</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(753)</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11/1/2024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21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7"/>
                <w:szCs w:val="17"/>
                <w:b w:val="1"/>
                <w:bCs w:val="1"/>
                <w:color w:val="auto"/>
              </w:rPr>
              <w:t>Total</w:t>
            </w:r>
          </w:p>
        </w:tc>
        <w:tc>
          <w:tcPr>
            <w:tcW w:w="9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818,241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(6,348</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7,351</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(13,566)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14,667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1,101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Maturity Date</w:t>
            </w:r>
          </w:p>
        </w:tc>
        <w:tc>
          <w:tcPr>
            <w:tcW w:w="100" w:type="dxa"/>
            <w:vAlign w:val="bottom"/>
          </w:tcPr>
          <w:p>
            <w:pPr>
              <w:spacing w:after="0"/>
              <w:rPr>
                <w:sz w:val="14"/>
                <w:szCs w:val="14"/>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Notional Amount</w:t>
            </w:r>
          </w:p>
        </w:tc>
        <w:tc>
          <w:tcPr>
            <w:tcW w:w="160" w:type="dxa"/>
            <w:vAlign w:val="bottom"/>
          </w:tcPr>
          <w:p>
            <w:pPr>
              <w:spacing w:after="0"/>
              <w:rPr>
                <w:sz w:val="14"/>
                <w:szCs w:val="14"/>
                <w:color w:val="auto"/>
              </w:rPr>
            </w:pPr>
          </w:p>
        </w:tc>
        <w:tc>
          <w:tcPr>
            <w:tcW w:w="318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w w:val="94"/>
              </w:rPr>
              <w:t>For the Three Months Ended June 30, 2019</w:t>
            </w:r>
          </w:p>
        </w:tc>
        <w:tc>
          <w:tcPr>
            <w:tcW w:w="220" w:type="dxa"/>
            <w:vAlign w:val="bottom"/>
          </w:tcPr>
          <w:p>
            <w:pPr>
              <w:spacing w:after="0"/>
              <w:rPr>
                <w:sz w:val="14"/>
                <w:szCs w:val="14"/>
                <w:color w:val="auto"/>
              </w:rPr>
            </w:pPr>
          </w:p>
        </w:tc>
        <w:tc>
          <w:tcPr>
            <w:tcW w:w="324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3"/>
              </w:rPr>
              <w:t>For the Six Months Ended June 30, 2019</w:t>
            </w:r>
          </w:p>
        </w:tc>
        <w:tc>
          <w:tcPr>
            <w:tcW w:w="0" w:type="dxa"/>
            <w:vAlign w:val="bottom"/>
          </w:tcPr>
          <w:p>
            <w:pPr>
              <w:spacing w:after="0"/>
              <w:rPr>
                <w:sz w:val="1"/>
                <w:szCs w:val="1"/>
                <w:color w:val="auto"/>
              </w:rPr>
            </w:pPr>
          </w:p>
        </w:tc>
      </w:tr>
      <w:tr>
        <w:trPr>
          <w:trHeight w:val="156"/>
        </w:trPr>
        <w:tc>
          <w:tcPr>
            <w:tcW w:w="21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Paid</w:t>
            </w: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w w:val="94"/>
              </w:rPr>
              <w:t>Received</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Paid</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1"/>
              </w:rPr>
              <w:t>Received</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6/27/2019</w:t>
            </w: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91,500</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(623)</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610</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(1,233)</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1,256</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12/15/2019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115,000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(1,643)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(349)</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(3,231)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2,588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(643)</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1/10/2020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33,333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(698)</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(1,396)</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1,575</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115,000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(1,446)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(152)</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(2,900)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(530)</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(1,067)</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1,125</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(80)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(160)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1/22/2023</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(1,742)</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(55)</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(3,501)</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3,375</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10"/>
        </w:trPr>
        <w:tc>
          <w:tcPr>
            <w:tcW w:w="2100" w:type="dxa"/>
            <w:vAlign w:val="bottom"/>
          </w:tcPr>
          <w:p>
            <w:pPr>
              <w:ind w:left="260"/>
              <w:spacing w:after="0"/>
              <w:rPr>
                <w:sz w:val="20"/>
                <w:szCs w:val="20"/>
                <w:color w:val="auto"/>
              </w:rPr>
            </w:pPr>
            <w:r>
              <w:rPr>
                <w:rFonts w:ascii="Arial" w:cs="Arial" w:eastAsia="Arial" w:hAnsi="Arial"/>
                <w:sz w:val="17"/>
                <w:szCs w:val="17"/>
                <w:b w:val="1"/>
                <w:bCs w:val="1"/>
                <w:color w:val="auto"/>
              </w:rPr>
              <w:t>Total</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562,333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(6,762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6,337</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(425)</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(13,488)</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12,675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200" w:hanging="492"/>
        <w:spacing w:after="0" w:line="273"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be more or less than the Company’s investment in individual portfolio companies as a result of arrangements with other lenders in the syndicate, amortization, or interest income paid-in-kind.</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June 30, 2020 this interest rate swap had been terminated due to repayment of the underlying investment.</w:t>
      </w:r>
    </w:p>
    <w:p>
      <w:pPr>
        <w:spacing w:after="0" w:line="225" w:lineRule="exact"/>
        <w:rPr>
          <w:sz w:val="20"/>
          <w:szCs w:val="20"/>
          <w:color w:val="auto"/>
        </w:rPr>
      </w:pPr>
    </w:p>
    <w:p>
      <w:pPr>
        <w:ind w:right="40" w:firstLine="255"/>
        <w:spacing w:after="0" w:line="254" w:lineRule="auto"/>
        <w:rPr>
          <w:sz w:val="20"/>
          <w:szCs w:val="20"/>
          <w:color w:val="auto"/>
        </w:rPr>
      </w:pPr>
      <w:r>
        <w:rPr>
          <w:rFonts w:ascii="Arial" w:cs="Arial" w:eastAsia="Arial" w:hAnsi="Arial"/>
          <w:sz w:val="18"/>
          <w:szCs w:val="18"/>
          <w:color w:val="auto"/>
        </w:rPr>
        <w:t>For the three and six months ended June 30, 2020, the Company recognized $0.5 million and $9.7 million, respectively, in net change in unrealized gains on interest rate swaps not designated as hedging instruments in the consolidated statement of operations related to the swap transactions. For the three and six months ended June 30, 2020, the Company recognized $2.3 million and $21.1 million, respectively, in net change in unrealized gains on interest rate swaps designated as hedging instruments as a component of interest expense in the consolidated statement of operations. This amount is offset by $2.3 million and $21.1 million, respectively, for a change in the carrying value of the 2024 Notes. For the three and six months ended June 30, 2019, the Company recognized $6.1 million and $9.4 million, respectively, in net change in unrealized gains on interest rate swaps in the consolidated statement of operations related to the swap transactions.</w:t>
      </w:r>
    </w:p>
    <w:p>
      <w:pPr>
        <w:spacing w:after="0" w:line="195"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As of June 30, 2020, the swap transactions had a fair value of $34.0 million which is netted against cash collateral received on the Company’s consolidated balance sheet. As of December 31, 2019, the swap transactions had a fair value of $4.7 million which is netted against cash collateral received on the Company’s consolidated balance sheet.</w:t>
      </w:r>
    </w:p>
    <w:p>
      <w:pPr>
        <w:spacing w:after="0" w:line="184" w:lineRule="exact"/>
        <w:rPr>
          <w:sz w:val="20"/>
          <w:szCs w:val="20"/>
          <w:color w:val="auto"/>
        </w:rPr>
      </w:pPr>
    </w:p>
    <w:p>
      <w:pPr>
        <w:ind w:right="100" w:firstLine="255"/>
        <w:spacing w:after="0" w:line="327" w:lineRule="auto"/>
        <w:rPr>
          <w:sz w:val="20"/>
          <w:szCs w:val="20"/>
          <w:color w:val="auto"/>
        </w:rPr>
      </w:pPr>
      <w:r>
        <w:rPr>
          <w:rFonts w:ascii="Arial" w:cs="Arial" w:eastAsia="Arial" w:hAnsi="Arial"/>
          <w:sz w:val="15"/>
          <w:szCs w:val="15"/>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40" w:lineRule="exact"/>
        <w:rPr>
          <w:sz w:val="20"/>
          <w:szCs w:val="20"/>
          <w:color w:val="auto"/>
        </w:rPr>
      </w:pPr>
    </w:p>
    <w:p>
      <w:pPr>
        <w:ind w:right="160" w:firstLine="255"/>
        <w:spacing w:after="0" w:line="259" w:lineRule="auto"/>
        <w:rPr>
          <w:sz w:val="20"/>
          <w:szCs w:val="20"/>
          <w:color w:val="auto"/>
        </w:rPr>
      </w:pPr>
      <w:r>
        <w:rPr>
          <w:rFonts w:ascii="Arial" w:cs="Arial" w:eastAsia="Arial" w:hAnsi="Arial"/>
          <w:sz w:val="18"/>
          <w:szCs w:val="18"/>
          <w:color w:val="auto"/>
        </w:rPr>
        <w:t>As of June 30, 2020, $12.8 million of cash is pledged as collateral under the Company’s derivative instruments and is included in restricted cash as a component of cash and cash equivalents on the Company’s consolidated balance sheet. As of December 31, 2019, $9.3 million of cash is pledged as collateral under the Company’s derivative instruments and is included in restricted cash as a component of cash and cash equivalents on the Company’s consolidated balance sheet.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June 30, 2020 and December 31, 2019:</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7"/>
          </w:tcPr>
          <w:p>
            <w:pPr>
              <w:ind w:left="200"/>
              <w:spacing w:after="0"/>
              <w:rPr>
                <w:sz w:val="20"/>
                <w:szCs w:val="20"/>
                <w:color w:val="auto"/>
              </w:rPr>
            </w:pPr>
            <w:r>
              <w:rPr>
                <w:rFonts w:ascii="Arial" w:cs="Arial" w:eastAsia="Arial" w:hAnsi="Arial"/>
                <w:sz w:val="14"/>
                <w:szCs w:val="14"/>
                <w:b w:val="1"/>
                <w:bCs w:val="1"/>
                <w:color w:val="auto"/>
              </w:rPr>
              <w:t>Fair Value Hierarchy at June 30, 2020</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5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27,114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1,870,445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1,897,559</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8,939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5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5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66,003</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69,861</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15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1,952,872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1,983,844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Interest rate swaps</w:t>
            </w:r>
          </w:p>
        </w:tc>
        <w:tc>
          <w:tcPr>
            <w:tcW w:w="1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34,042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1,952,872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2,017,886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57" w:right="319" w:bottom="1440" w:gutter="0" w:footer="0" w:header="0"/>
        </w:sectPr>
      </w:pPr>
    </w:p>
    <w:bookmarkStart w:id="33" w:name="page34"/>
    <w:bookmarkEnd w:id="33"/>
    <w:tbl>
      <w:tblPr>
        <w:tblLayout w:type="fixed"/>
        <w:tblInd w:w="58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7"/>
          </w:tcPr>
          <w:p>
            <w:pPr>
              <w:ind w:left="40"/>
              <w:spacing w:after="0"/>
              <w:rPr>
                <w:sz w:val="20"/>
                <w:szCs w:val="20"/>
                <w:color w:val="auto"/>
              </w:rPr>
            </w:pPr>
            <w:r>
              <w:rPr>
                <w:rFonts w:ascii="Arial" w:cs="Arial" w:eastAsia="Arial" w:hAnsi="Arial"/>
                <w:sz w:val="14"/>
                <w:szCs w:val="14"/>
                <w:b w:val="1"/>
                <w:bCs w:val="1"/>
                <w:color w:val="auto"/>
                <w:w w:val="94"/>
              </w:rPr>
              <w:t>Fair Value Hierarchy at December 31, 2019</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155"/>
        </w:trPr>
        <w:tc>
          <w:tcPr>
            <w:tcW w:w="5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17,191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2,158,927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2,176,118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4,147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63,107</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63,113</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2,228,731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2,245,928</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Interest rate swaps</w:t>
            </w: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4,744</w:t>
            </w:r>
          </w:p>
        </w:tc>
        <w:tc>
          <w:tcPr>
            <w:tcW w:w="100" w:type="dxa"/>
            <w:vAlign w:val="bottom"/>
          </w:tcPr>
          <w:p>
            <w:pPr>
              <w:spacing w:after="0"/>
              <w:rPr>
                <w:sz w:val="19"/>
                <w:szCs w:val="19"/>
                <w:color w:val="auto"/>
              </w:rPr>
            </w:pPr>
          </w:p>
        </w:tc>
      </w:tr>
      <w:tr>
        <w:trPr>
          <w:trHeight w:val="223"/>
        </w:trPr>
        <w:tc>
          <w:tcPr>
            <w:tcW w:w="52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2,228,731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2,250,672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six months ended June 30,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gridSpan w:val="8"/>
          </w:tcPr>
          <w:p>
            <w:pPr>
              <w:jc w:val="center"/>
              <w:ind w:right="14"/>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30, 2020</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First-lien</w:t>
            </w: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Second-lien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5"/>
              <w:spacing w:after="0" w:line="133" w:lineRule="exact"/>
              <w:rPr>
                <w:sz w:val="20"/>
                <w:szCs w:val="20"/>
                <w:color w:val="auto"/>
              </w:rPr>
            </w:pPr>
            <w:r>
              <w:rPr>
                <w:rFonts w:ascii="Arial" w:cs="Arial" w:eastAsia="Arial" w:hAnsi="Arial"/>
                <w:sz w:val="14"/>
                <w:szCs w:val="14"/>
                <w:b w:val="1"/>
                <w:bCs w:val="1"/>
                <w:color w:val="auto"/>
                <w:w w:val="94"/>
              </w:rPr>
              <w:t>Mezzanine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8"/>
              </w:rPr>
              <w:t>Equity</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debt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3"/>
              </w:rPr>
              <w:t>and other</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1,976,913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52,484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2,036,282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63,452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73,256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(225,032)</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(225,032)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48,894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Net realized losses</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1,870,445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66,003</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1,952,872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8"/>
          </w:tcPr>
          <w:p>
            <w:pPr>
              <w:jc w:val="center"/>
              <w:ind w:right="34"/>
              <w:spacing w:after="0"/>
              <w:rPr>
                <w:sz w:val="20"/>
                <w:szCs w:val="20"/>
                <w:color w:val="auto"/>
              </w:rPr>
            </w:pPr>
            <w:r>
              <w:rPr>
                <w:rFonts w:ascii="Arial" w:cs="Arial" w:eastAsia="Arial" w:hAnsi="Arial"/>
                <w:sz w:val="14"/>
                <w:szCs w:val="14"/>
                <w:b w:val="1"/>
                <w:bCs w:val="1"/>
                <w:color w:val="auto"/>
                <w:w w:val="93"/>
              </w:rPr>
              <w:t>As of and for the Six Months Ended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30, 2020</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First-lien</w:t>
            </w: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Second-lien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5"/>
              <w:spacing w:after="0" w:line="133" w:lineRule="exact"/>
              <w:rPr>
                <w:sz w:val="20"/>
                <w:szCs w:val="20"/>
                <w:color w:val="auto"/>
              </w:rPr>
            </w:pPr>
            <w:r>
              <w:rPr>
                <w:rFonts w:ascii="Arial" w:cs="Arial" w:eastAsia="Arial" w:hAnsi="Arial"/>
                <w:sz w:val="14"/>
                <w:szCs w:val="14"/>
                <w:b w:val="1"/>
                <w:bCs w:val="1"/>
                <w:color w:val="auto"/>
                <w:w w:val="94"/>
              </w:rPr>
              <w:t>Mezzanine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8"/>
              </w:rPr>
              <w:t>Equity</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debt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3"/>
              </w:rPr>
              <w:t>and other</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2,158,927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63,107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2,228,731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178,746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3,839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189,541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(443,051)</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(443,051)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(36,776)</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(35,192)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Net realized losses</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(3,432)</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1,870,445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66,003</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1,952,872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374"/>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34" w:name="page35"/>
    <w:bookmarkEnd w:id="34"/>
    <w:p>
      <w:pPr>
        <w:ind w:right="40" w:firstLine="255"/>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six months ended June 30,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30, 2019</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First-lien</w:t>
            </w: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Second-lien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5"/>
              <w:spacing w:after="0" w:line="133" w:lineRule="exact"/>
              <w:rPr>
                <w:sz w:val="20"/>
                <w:szCs w:val="20"/>
                <w:color w:val="auto"/>
              </w:rPr>
            </w:pPr>
            <w:r>
              <w:rPr>
                <w:rFonts w:ascii="Arial" w:cs="Arial" w:eastAsia="Arial" w:hAnsi="Arial"/>
                <w:sz w:val="14"/>
                <w:szCs w:val="14"/>
                <w:b w:val="1"/>
                <w:bCs w:val="1"/>
                <w:color w:val="auto"/>
                <w:w w:val="94"/>
              </w:rPr>
              <w:t>Mezzanine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debt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and 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1,775,769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40,097</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1,822,534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348,929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(135,475)</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(795)</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(136,270)</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2,001,181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46,096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2,053,154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3"/>
              </w:rPr>
              <w:t>As of and for the Six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30, 2019</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First-lien</w:t>
            </w: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Second-lien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5"/>
              <w:spacing w:after="0" w:line="133" w:lineRule="exact"/>
              <w:rPr>
                <w:sz w:val="20"/>
                <w:szCs w:val="20"/>
                <w:color w:val="auto"/>
              </w:rPr>
            </w:pPr>
            <w:r>
              <w:rPr>
                <w:rFonts w:ascii="Arial" w:cs="Arial" w:eastAsia="Arial" w:hAnsi="Arial"/>
                <w:sz w:val="14"/>
                <w:szCs w:val="14"/>
                <w:b w:val="1"/>
                <w:bCs w:val="1"/>
                <w:color w:val="auto"/>
                <w:w w:val="94"/>
              </w:rPr>
              <w:t>Mezzanine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debt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and 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1,628,037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43,234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1,677,889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494,905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496,463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(150,496)</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(795)</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(1,635)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(152,926)</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Net realized losses</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2,001,181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46,096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2,053,154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80" w:firstLine="255"/>
        <w:spacing w:after="0" w:line="277" w:lineRule="auto"/>
        <w:rPr>
          <w:sz w:val="20"/>
          <w:szCs w:val="20"/>
          <w:color w:val="auto"/>
        </w:rPr>
      </w:pPr>
      <w:r>
        <w:rPr>
          <w:rFonts w:ascii="Arial" w:cs="Arial" w:eastAsia="Arial" w:hAnsi="Arial"/>
          <w:sz w:val="18"/>
          <w:szCs w:val="18"/>
          <w:color w:val="auto"/>
        </w:rPr>
        <w:t>The following tables present information with respect to the net change in unrealized gains or losses on investments for which Level 3 inputs were used in determining fair value that are still held by the Company at June 30, 2020 and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Net Change in Unrealized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Net Change in Unrealized</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Gains or (Losses)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Gains or (Losses)</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 the Three Months Ended</w:t>
            </w:r>
          </w:p>
        </w:tc>
        <w:tc>
          <w:tcPr>
            <w:tcW w:w="160" w:type="dxa"/>
            <w:vAlign w:val="bottom"/>
          </w:tcPr>
          <w:p>
            <w:pPr>
              <w:spacing w:after="0"/>
              <w:rPr>
                <w:sz w:val="14"/>
                <w:szCs w:val="14"/>
                <w:color w:val="auto"/>
              </w:rPr>
            </w:pPr>
          </w:p>
        </w:tc>
        <w:tc>
          <w:tcPr>
            <w:tcW w:w="1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for the Three Months Ended</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June 30, 2020 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June 30, 2019 on</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Investments Held at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Investments Held at</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June 30, 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June 30, 2019</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0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58,786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6,708</w:t>
            </w: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0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5,718</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9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71,872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12,431</w:t>
            </w:r>
          </w:p>
        </w:tc>
        <w:tc>
          <w:tcPr>
            <w:tcW w:w="80" w:type="dxa"/>
            <w:vAlign w:val="bottom"/>
            <w:tcBorders>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35" w:name="page36"/>
    <w:bookmarkEnd w:id="35"/>
    <w:tbl>
      <w:tblPr>
        <w:tblLayout w:type="fixed"/>
        <w:tblInd w:w="170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Net Change in Unrealized</w:t>
            </w:r>
          </w:p>
        </w:tc>
        <w:tc>
          <w:tcPr>
            <w:tcW w:w="1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Net Change in Unrealized</w:t>
            </w:r>
          </w:p>
        </w:tc>
      </w:tr>
      <w:tr>
        <w:trPr>
          <w:trHeight w:val="162"/>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Gains or (Losses)</w:t>
            </w:r>
          </w:p>
        </w:tc>
        <w:tc>
          <w:tcPr>
            <w:tcW w:w="160" w:type="dxa"/>
            <w:vAlign w:val="bottom"/>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Gains or (Losses)</w:t>
            </w:r>
          </w:p>
        </w:tc>
      </w:tr>
      <w:tr>
        <w:trPr>
          <w:trHeight w:val="162"/>
        </w:trPr>
        <w:tc>
          <w:tcPr>
            <w:tcW w:w="4140" w:type="dxa"/>
            <w:vAlign w:val="bottom"/>
          </w:tcPr>
          <w:p>
            <w:pPr>
              <w:spacing w:after="0"/>
              <w:rPr>
                <w:sz w:val="14"/>
                <w:szCs w:val="14"/>
                <w:color w:val="auto"/>
              </w:rPr>
            </w:pPr>
          </w:p>
        </w:tc>
        <w:tc>
          <w:tcPr>
            <w:tcW w:w="1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for the Six Months Ended</w:t>
            </w:r>
          </w:p>
        </w:tc>
        <w:tc>
          <w:tcPr>
            <w:tcW w:w="1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62"/>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June 30, 2020 on</w:t>
            </w:r>
          </w:p>
        </w:tc>
        <w:tc>
          <w:tcPr>
            <w:tcW w:w="16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2019 on</w:t>
            </w:r>
          </w:p>
        </w:tc>
      </w:tr>
      <w:tr>
        <w:trPr>
          <w:trHeight w:val="162"/>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Investments Held at</w:t>
            </w:r>
          </w:p>
        </w:tc>
        <w:tc>
          <w:tcPr>
            <w:tcW w:w="16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 2020</w:t>
            </w:r>
          </w:p>
        </w:tc>
        <w:tc>
          <w:tcPr>
            <w:tcW w:w="16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2019</w:t>
            </w: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(22,017)</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18,816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6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r>
      <w:tr>
        <w:trPr>
          <w:trHeight w:val="230"/>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80" w:type="dxa"/>
            <w:vAlign w:val="bottom"/>
            <w:tcBorders>
              <w:bottom w:val="single" w:sz="8" w:color="CFF0FC"/>
            </w:tcBorders>
          </w:tcPr>
          <w:p>
            <w:pPr>
              <w:spacing w:after="0"/>
              <w:rPr>
                <w:sz w:val="19"/>
                <w:szCs w:val="19"/>
                <w:color w:val="auto"/>
              </w:rPr>
            </w:pPr>
          </w:p>
        </w:tc>
      </w:tr>
      <w:tr>
        <w:trPr>
          <w:trHeight w:val="223"/>
        </w:trPr>
        <w:tc>
          <w:tcPr>
            <w:tcW w:w="41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(20,433)</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21,243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tables present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2020 and December 31, 2019. The tables are not intended to be all-inclusive, but instead capture the significant unobservable inputs relevant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determination of fair values.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w w:val="92"/>
              </w:rPr>
              <w:t>June 30, 2020</w:t>
            </w:r>
          </w:p>
        </w:tc>
        <w:tc>
          <w:tcPr>
            <w:tcW w:w="2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Valuation</w:t>
            </w:r>
          </w:p>
        </w:tc>
        <w:tc>
          <w:tcPr>
            <w:tcW w:w="17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Unobservable</w:t>
            </w: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20" w:type="dxa"/>
            <w:vAlign w:val="bottom"/>
          </w:tcPr>
          <w:p>
            <w:pPr>
              <w:spacing w:after="0"/>
              <w:rPr>
                <w:sz w:val="11"/>
                <w:szCs w:val="11"/>
                <w:color w:val="auto"/>
              </w:rPr>
            </w:pPr>
          </w:p>
        </w:tc>
        <w:tc>
          <w:tcPr>
            <w:tcW w:w="1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71"/>
        </w:trPr>
        <w:tc>
          <w:tcPr>
            <w:tcW w:w="27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Technique</w:t>
            </w:r>
          </w:p>
        </w:tc>
        <w:tc>
          <w:tcPr>
            <w:tcW w:w="120" w:type="dxa"/>
            <w:vAlign w:val="bottom"/>
            <w:tcBorders>
              <w:bottom w:val="single" w:sz="8" w:color="CFF0FC"/>
            </w:tcBorders>
          </w:tcPr>
          <w:p>
            <w:pPr>
              <w:spacing w:after="0"/>
              <w:rPr>
                <w:sz w:val="14"/>
                <w:szCs w:val="14"/>
                <w:color w:val="auto"/>
              </w:rPr>
            </w:pPr>
          </w:p>
        </w:tc>
        <w:tc>
          <w:tcPr>
            <w:tcW w:w="16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Input</w:t>
            </w:r>
          </w:p>
        </w:tc>
        <w:tc>
          <w:tcPr>
            <w:tcW w:w="120" w:type="dxa"/>
            <w:vAlign w:val="bottom"/>
            <w:tcBorders>
              <w:bottom w:val="single" w:sz="8" w:color="CFF0FC"/>
            </w:tcBorders>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09"/>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1,870,445</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spacing w:after="0" w:line="210" w:lineRule="exact"/>
              <w:rPr>
                <w:sz w:val="20"/>
                <w:szCs w:val="20"/>
                <w:color w:val="auto"/>
              </w:rPr>
            </w:pPr>
            <w:r>
              <w:rPr>
                <w:rFonts w:ascii="Arial" w:cs="Arial" w:eastAsia="Arial" w:hAnsi="Arial"/>
                <w:sz w:val="15"/>
                <w:szCs w:val="15"/>
                <w:color w:val="auto"/>
              </w:rPr>
              <w:t xml:space="preserve">Income approach </w:t>
            </w:r>
            <w:r>
              <w:rPr>
                <w:rFonts w:ascii="Arial" w:cs="Arial" w:eastAsia="Arial" w:hAnsi="Arial"/>
                <w:sz w:val="24"/>
                <w:szCs w:val="24"/>
                <w:color w:val="auto"/>
                <w:vertAlign w:val="superscript"/>
              </w:rPr>
              <w:t>(1)</w:t>
            </w:r>
          </w:p>
        </w:tc>
        <w:tc>
          <w:tcPr>
            <w:tcW w:w="17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Discount rate</w:t>
            </w:r>
          </w:p>
        </w:tc>
        <w:tc>
          <w:tcPr>
            <w:tcW w:w="2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6.5% — 21.9% (10.5%)</w:t>
            </w:r>
          </w:p>
        </w:tc>
        <w:tc>
          <w:tcPr>
            <w:tcW w:w="1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3"/>
        </w:trPr>
        <w:tc>
          <w:tcPr>
            <w:tcW w:w="2760" w:type="dxa"/>
            <w:vAlign w:val="bottom"/>
          </w:tcPr>
          <w:p>
            <w:pPr>
              <w:spacing w:after="0"/>
              <w:rPr>
                <w:sz w:val="20"/>
                <w:szCs w:val="20"/>
                <w:color w:val="auto"/>
              </w:rPr>
            </w:pPr>
            <w:r>
              <w:rPr>
                <w:rFonts w:ascii="Arial" w:cs="Arial" w:eastAsia="Arial" w:hAnsi="Arial"/>
                <w:sz w:val="16"/>
                <w:szCs w:val="16"/>
                <w:color w:val="auto"/>
              </w:rPr>
              <w:t>Second-lien debt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8,939</w:t>
            </w:r>
          </w:p>
        </w:tc>
        <w:tc>
          <w:tcPr>
            <w:tcW w:w="2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6"/>
                <w:szCs w:val="16"/>
                <w:color w:val="auto"/>
              </w:rPr>
              <w:t>Income approach</w:t>
            </w:r>
          </w:p>
        </w:tc>
        <w:tc>
          <w:tcPr>
            <w:tcW w:w="1780" w:type="dxa"/>
            <w:vAlign w:val="bottom"/>
            <w:gridSpan w:val="2"/>
          </w:tcPr>
          <w:p>
            <w:pPr>
              <w:spacing w:after="0"/>
              <w:rPr>
                <w:sz w:val="20"/>
                <w:szCs w:val="20"/>
                <w:color w:val="auto"/>
              </w:rPr>
            </w:pPr>
            <w:r>
              <w:rPr>
                <w:rFonts w:ascii="Arial" w:cs="Arial" w:eastAsia="Arial" w:hAnsi="Arial"/>
                <w:sz w:val="16"/>
                <w:szCs w:val="16"/>
                <w:color w:val="auto"/>
              </w:rPr>
              <w:t>Discount rate</w:t>
            </w:r>
          </w:p>
        </w:tc>
        <w:tc>
          <w:tcPr>
            <w:tcW w:w="2000" w:type="dxa"/>
            <w:vAlign w:val="bottom"/>
          </w:tcPr>
          <w:p>
            <w:pPr>
              <w:jc w:val="center"/>
              <w:spacing w:after="0"/>
              <w:rPr>
                <w:sz w:val="20"/>
                <w:szCs w:val="20"/>
                <w:color w:val="auto"/>
              </w:rPr>
            </w:pPr>
            <w:r>
              <w:rPr>
                <w:rFonts w:ascii="Arial" w:cs="Arial" w:eastAsia="Arial" w:hAnsi="Arial"/>
                <w:sz w:val="16"/>
                <w:szCs w:val="16"/>
                <w:color w:val="auto"/>
                <w:w w:val="94"/>
              </w:rPr>
              <w:t>12.8% — 14.3% (13.5%)</w:t>
            </w:r>
          </w:p>
        </w:tc>
        <w:tc>
          <w:tcPr>
            <w:tcW w:w="1800" w:type="dxa"/>
            <w:vAlign w:val="bottom"/>
            <w:gridSpan w:val="2"/>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9"/>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Mezzanine debt investments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7,485</w:t>
            </w:r>
          </w:p>
        </w:tc>
        <w:tc>
          <w:tcPr>
            <w:tcW w:w="2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Income approach </w:t>
            </w:r>
            <w:r>
              <w:rPr>
                <w:rFonts w:ascii="Arial" w:cs="Arial" w:eastAsia="Arial" w:hAnsi="Arial"/>
                <w:sz w:val="25"/>
                <w:szCs w:val="25"/>
                <w:color w:val="auto"/>
                <w:vertAlign w:val="superscript"/>
              </w:rPr>
              <w:t>(2)</w:t>
            </w:r>
          </w:p>
        </w:tc>
        <w:tc>
          <w:tcPr>
            <w:tcW w:w="17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Discount rate</w:t>
            </w:r>
          </w:p>
        </w:tc>
        <w:tc>
          <w:tcPr>
            <w:tcW w:w="2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14.4% — 14.4% (14.4%)</w:t>
            </w:r>
          </w:p>
        </w:tc>
        <w:tc>
          <w:tcPr>
            <w:tcW w:w="1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6"/>
                <w:szCs w:val="16"/>
                <w:color w:val="auto"/>
              </w:rPr>
              <w:t>Equity and other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66,003</w:t>
            </w:r>
          </w:p>
        </w:tc>
        <w:tc>
          <w:tcPr>
            <w:tcW w:w="200" w:type="dxa"/>
            <w:vAlign w:val="bottom"/>
          </w:tcPr>
          <w:p>
            <w:pPr>
              <w:spacing w:after="0"/>
              <w:rPr>
                <w:sz w:val="18"/>
                <w:szCs w:val="18"/>
                <w:color w:val="auto"/>
              </w:rPr>
            </w:pPr>
          </w:p>
        </w:tc>
        <w:tc>
          <w:tcPr>
            <w:tcW w:w="180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Market Multiple </w:t>
            </w:r>
            <w:r>
              <w:rPr>
                <w:rFonts w:ascii="Arial" w:cs="Arial" w:eastAsia="Arial" w:hAnsi="Arial"/>
                <w:sz w:val="25"/>
                <w:szCs w:val="25"/>
                <w:color w:val="auto"/>
                <w:vertAlign w:val="superscript"/>
              </w:rPr>
              <w:t>(3)</w:t>
            </w:r>
          </w:p>
        </w:tc>
        <w:tc>
          <w:tcPr>
            <w:tcW w:w="1780" w:type="dxa"/>
            <w:vAlign w:val="bottom"/>
            <w:gridSpan w:val="2"/>
          </w:tcPr>
          <w:p>
            <w:pPr>
              <w:spacing w:after="0"/>
              <w:rPr>
                <w:sz w:val="20"/>
                <w:szCs w:val="20"/>
                <w:color w:val="auto"/>
              </w:rPr>
            </w:pPr>
            <w:r>
              <w:rPr>
                <w:rFonts w:ascii="Arial" w:cs="Arial" w:eastAsia="Arial" w:hAnsi="Arial"/>
                <w:sz w:val="16"/>
                <w:szCs w:val="16"/>
                <w:color w:val="auto"/>
              </w:rPr>
              <w:t>Comparable multiple</w:t>
            </w:r>
          </w:p>
        </w:tc>
        <w:tc>
          <w:tcPr>
            <w:tcW w:w="2000" w:type="dxa"/>
            <w:vAlign w:val="bottom"/>
          </w:tcPr>
          <w:p>
            <w:pPr>
              <w:jc w:val="center"/>
              <w:spacing w:after="0"/>
              <w:rPr>
                <w:sz w:val="20"/>
                <w:szCs w:val="20"/>
                <w:color w:val="auto"/>
              </w:rPr>
            </w:pPr>
            <w:r>
              <w:rPr>
                <w:rFonts w:ascii="Arial" w:cs="Arial" w:eastAsia="Arial" w:hAnsi="Arial"/>
                <w:sz w:val="16"/>
                <w:szCs w:val="16"/>
                <w:color w:val="auto"/>
                <w:w w:val="94"/>
              </w:rPr>
              <w:t>3.0x — 14.7x (8.2x)</w:t>
            </w:r>
          </w:p>
        </w:tc>
        <w:tc>
          <w:tcPr>
            <w:tcW w:w="1800" w:type="dxa"/>
            <w:vAlign w:val="bottom"/>
            <w:gridSpan w:val="2"/>
          </w:tcPr>
          <w:p>
            <w:pPr>
              <w:ind w:left="120"/>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06"/>
        </w:trPr>
        <w:tc>
          <w:tcPr>
            <w:tcW w:w="2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1,952,872</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68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0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8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$16.0 million of debt investments which were valued using an asset valuation waterfall.</w:t>
      </w:r>
    </w:p>
    <w:p>
      <w:pPr>
        <w:spacing w:after="0" w:line="49" w:lineRule="exact"/>
        <w:rPr>
          <w:rFonts w:ascii="Arial" w:cs="Arial" w:eastAsia="Arial" w:hAnsi="Arial"/>
          <w:sz w:val="18"/>
          <w:szCs w:val="18"/>
          <w:color w:val="auto"/>
        </w:rPr>
      </w:pPr>
    </w:p>
    <w:p>
      <w:pPr>
        <w:ind w:left="500" w:right="300" w:hanging="492"/>
        <w:spacing w:after="0" w:line="273"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$3.9 million of debt investments which, due to the proximity of the transactions relative to the measurement date, were valued using the cost of the investments.</w:t>
      </w:r>
    </w:p>
    <w:p>
      <w:pPr>
        <w:spacing w:after="0" w:line="1" w:lineRule="exact"/>
        <w:rPr>
          <w:rFonts w:ascii="Arial" w:cs="Arial" w:eastAsia="Arial" w:hAnsi="Arial"/>
          <w:sz w:val="18"/>
          <w:szCs w:val="18"/>
          <w:color w:val="auto"/>
        </w:rPr>
      </w:pPr>
    </w:p>
    <w:p>
      <w:pPr>
        <w:ind w:left="500" w:right="60" w:hanging="492"/>
        <w:spacing w:after="0" w:line="286"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$0.1 million of equity investments which were valued using a weighted valuation approach, $1.2 million of equity investments using a Black-Scholes model, $14.1 million of equity investments using a discounted cash flow approach and $1.7 million of equity investments which, due to the proximity of the transactions relative to the measurement date, were valued using the cost of the investments.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1"/>
              </w:rPr>
              <w:t>December 31, 2019</w:t>
            </w:r>
          </w:p>
        </w:tc>
        <w:tc>
          <w:tcPr>
            <w:tcW w:w="1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Valuation</w:t>
            </w:r>
          </w:p>
        </w:tc>
        <w:tc>
          <w:tcPr>
            <w:tcW w:w="194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Unobservable</w:t>
            </w:r>
          </w:p>
        </w:tc>
        <w:tc>
          <w:tcPr>
            <w:tcW w:w="184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2"/>
              </w:rPr>
              <w:t>Range (Weighted</w:t>
            </w:r>
          </w:p>
        </w:tc>
        <w:tc>
          <w:tcPr>
            <w:tcW w:w="120" w:type="dxa"/>
            <w:vAlign w:val="bottom"/>
          </w:tcPr>
          <w:p>
            <w:pPr>
              <w:spacing w:after="0"/>
              <w:rPr>
                <w:sz w:val="11"/>
                <w:szCs w:val="11"/>
                <w:color w:val="auto"/>
              </w:rPr>
            </w:pPr>
          </w:p>
        </w:tc>
        <w:tc>
          <w:tcPr>
            <w:tcW w:w="1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71"/>
        </w:trPr>
        <w:tc>
          <w:tcPr>
            <w:tcW w:w="27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Technique</w:t>
            </w:r>
          </w:p>
        </w:tc>
        <w:tc>
          <w:tcPr>
            <w:tcW w:w="120" w:type="dxa"/>
            <w:vAlign w:val="bottom"/>
            <w:tcBorders>
              <w:bottom w:val="single" w:sz="8" w:color="CFF0FC"/>
            </w:tcBorders>
          </w:tcPr>
          <w:p>
            <w:pPr>
              <w:spacing w:after="0"/>
              <w:rPr>
                <w:sz w:val="14"/>
                <w:szCs w:val="14"/>
                <w:color w:val="auto"/>
              </w:rPr>
            </w:pPr>
          </w:p>
        </w:tc>
        <w:tc>
          <w:tcPr>
            <w:tcW w:w="16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Input</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10"/>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2,158,927</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spacing w:after="0" w:line="210" w:lineRule="exact"/>
              <w:rPr>
                <w:sz w:val="20"/>
                <w:szCs w:val="20"/>
                <w:color w:val="auto"/>
              </w:rPr>
            </w:pPr>
            <w:r>
              <w:rPr>
                <w:rFonts w:ascii="Arial" w:cs="Arial" w:eastAsia="Arial" w:hAnsi="Arial"/>
                <w:sz w:val="15"/>
                <w:szCs w:val="15"/>
                <w:color w:val="auto"/>
              </w:rPr>
              <w:t xml:space="preserve">Income approach </w:t>
            </w:r>
            <w:r>
              <w:rPr>
                <w:rFonts w:ascii="Arial" w:cs="Arial" w:eastAsia="Arial" w:hAnsi="Arial"/>
                <w:sz w:val="24"/>
                <w:szCs w:val="24"/>
                <w:color w:val="auto"/>
                <w:vertAlign w:val="superscript"/>
              </w:rPr>
              <w:t>(1)</w:t>
            </w:r>
          </w:p>
        </w:tc>
        <w:tc>
          <w:tcPr>
            <w:tcW w:w="19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Discount rate</w:t>
            </w:r>
          </w:p>
        </w:tc>
        <w:tc>
          <w:tcPr>
            <w:tcW w:w="1840" w:type="dxa"/>
            <w:vAlign w:val="bottom"/>
            <w:shd w:val="clear" w:color="auto" w:fill="CFF0FC"/>
          </w:tcPr>
          <w:p>
            <w:pPr>
              <w:jc w:val="center"/>
              <w:ind w:right="102"/>
              <w:spacing w:after="0"/>
              <w:rPr>
                <w:sz w:val="20"/>
                <w:szCs w:val="20"/>
                <w:color w:val="auto"/>
              </w:rPr>
            </w:pPr>
            <w:r>
              <w:rPr>
                <w:rFonts w:ascii="Arial" w:cs="Arial" w:eastAsia="Arial" w:hAnsi="Arial"/>
                <w:sz w:val="16"/>
                <w:szCs w:val="16"/>
                <w:color w:val="auto"/>
                <w:w w:val="94"/>
              </w:rPr>
              <w:t>5.5% — 17.9% (10.0%)</w:t>
            </w:r>
          </w:p>
        </w:tc>
        <w:tc>
          <w:tcPr>
            <w:tcW w:w="1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3"/>
        </w:trPr>
        <w:tc>
          <w:tcPr>
            <w:tcW w:w="2760" w:type="dxa"/>
            <w:vAlign w:val="bottom"/>
          </w:tcPr>
          <w:p>
            <w:pPr>
              <w:spacing w:after="0"/>
              <w:rPr>
                <w:sz w:val="20"/>
                <w:szCs w:val="20"/>
                <w:color w:val="auto"/>
              </w:rPr>
            </w:pPr>
            <w:r>
              <w:rPr>
                <w:rFonts w:ascii="Arial" w:cs="Arial" w:eastAsia="Arial" w:hAnsi="Arial"/>
                <w:sz w:val="16"/>
                <w:szCs w:val="16"/>
                <w:color w:val="auto"/>
              </w:rPr>
              <w:t>Second-lien debt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4,147</w:t>
            </w:r>
          </w:p>
        </w:tc>
        <w:tc>
          <w:tcPr>
            <w:tcW w:w="2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6"/>
                <w:szCs w:val="16"/>
                <w:color w:val="auto"/>
              </w:rPr>
              <w:t>Income approach</w:t>
            </w:r>
          </w:p>
        </w:tc>
        <w:tc>
          <w:tcPr>
            <w:tcW w:w="1940" w:type="dxa"/>
            <w:vAlign w:val="bottom"/>
            <w:gridSpan w:val="3"/>
          </w:tcPr>
          <w:p>
            <w:pPr>
              <w:spacing w:after="0"/>
              <w:rPr>
                <w:sz w:val="20"/>
                <w:szCs w:val="20"/>
                <w:color w:val="auto"/>
              </w:rPr>
            </w:pPr>
            <w:r>
              <w:rPr>
                <w:rFonts w:ascii="Arial" w:cs="Arial" w:eastAsia="Arial" w:hAnsi="Arial"/>
                <w:sz w:val="16"/>
                <w:szCs w:val="16"/>
                <w:color w:val="auto"/>
              </w:rPr>
              <w:t>Discount rate</w:t>
            </w:r>
          </w:p>
        </w:tc>
        <w:tc>
          <w:tcPr>
            <w:tcW w:w="1840" w:type="dxa"/>
            <w:vAlign w:val="bottom"/>
          </w:tcPr>
          <w:p>
            <w:pPr>
              <w:jc w:val="center"/>
              <w:ind w:right="102"/>
              <w:spacing w:after="0"/>
              <w:rPr>
                <w:sz w:val="20"/>
                <w:szCs w:val="20"/>
                <w:color w:val="auto"/>
              </w:rPr>
            </w:pPr>
            <w:r>
              <w:rPr>
                <w:rFonts w:ascii="Arial" w:cs="Arial" w:eastAsia="Arial" w:hAnsi="Arial"/>
                <w:sz w:val="16"/>
                <w:szCs w:val="16"/>
                <w:color w:val="auto"/>
                <w:w w:val="94"/>
              </w:rPr>
              <w:t>14.9% — 14.9% (14.9%)</w:t>
            </w:r>
          </w:p>
        </w:tc>
        <w:tc>
          <w:tcPr>
            <w:tcW w:w="1800" w:type="dxa"/>
            <w:vAlign w:val="bottom"/>
            <w:gridSpan w:val="2"/>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9"/>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Mezzanine debt investments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2,550</w:t>
            </w:r>
          </w:p>
        </w:tc>
        <w:tc>
          <w:tcPr>
            <w:tcW w:w="2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Income approach</w:t>
            </w:r>
          </w:p>
        </w:tc>
        <w:tc>
          <w:tcPr>
            <w:tcW w:w="19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Discount rate</w:t>
            </w:r>
          </w:p>
        </w:tc>
        <w:tc>
          <w:tcPr>
            <w:tcW w:w="1840" w:type="dxa"/>
            <w:vAlign w:val="bottom"/>
            <w:shd w:val="clear" w:color="auto" w:fill="CFF0FC"/>
          </w:tcPr>
          <w:p>
            <w:pPr>
              <w:jc w:val="center"/>
              <w:ind w:right="102"/>
              <w:spacing w:after="0"/>
              <w:rPr>
                <w:sz w:val="20"/>
                <w:szCs w:val="20"/>
                <w:color w:val="auto"/>
              </w:rPr>
            </w:pPr>
            <w:r>
              <w:rPr>
                <w:rFonts w:ascii="Arial" w:cs="Arial" w:eastAsia="Arial" w:hAnsi="Arial"/>
                <w:sz w:val="16"/>
                <w:szCs w:val="16"/>
                <w:color w:val="auto"/>
                <w:w w:val="94"/>
              </w:rPr>
              <w:t>16.4% — 16.4% (16.4%)</w:t>
            </w:r>
          </w:p>
        </w:tc>
        <w:tc>
          <w:tcPr>
            <w:tcW w:w="1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6"/>
                <w:szCs w:val="16"/>
                <w:color w:val="auto"/>
              </w:rPr>
              <w:t>Equity and other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63,107</w:t>
            </w:r>
          </w:p>
        </w:tc>
        <w:tc>
          <w:tcPr>
            <w:tcW w:w="200" w:type="dxa"/>
            <w:vAlign w:val="bottom"/>
          </w:tcPr>
          <w:p>
            <w:pPr>
              <w:spacing w:after="0"/>
              <w:rPr>
                <w:sz w:val="18"/>
                <w:szCs w:val="18"/>
                <w:color w:val="auto"/>
              </w:rPr>
            </w:pPr>
          </w:p>
        </w:tc>
        <w:tc>
          <w:tcPr>
            <w:tcW w:w="180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Market Multiple </w:t>
            </w:r>
            <w:r>
              <w:rPr>
                <w:rFonts w:ascii="Arial" w:cs="Arial" w:eastAsia="Arial" w:hAnsi="Arial"/>
                <w:sz w:val="25"/>
                <w:szCs w:val="25"/>
                <w:color w:val="auto"/>
                <w:vertAlign w:val="superscript"/>
              </w:rPr>
              <w:t>(2)</w:t>
            </w:r>
          </w:p>
        </w:tc>
        <w:tc>
          <w:tcPr>
            <w:tcW w:w="1940" w:type="dxa"/>
            <w:vAlign w:val="bottom"/>
            <w:gridSpan w:val="3"/>
          </w:tcPr>
          <w:p>
            <w:pPr>
              <w:spacing w:after="0"/>
              <w:rPr>
                <w:sz w:val="20"/>
                <w:szCs w:val="20"/>
                <w:color w:val="auto"/>
              </w:rPr>
            </w:pPr>
            <w:r>
              <w:rPr>
                <w:rFonts w:ascii="Arial" w:cs="Arial" w:eastAsia="Arial" w:hAnsi="Arial"/>
                <w:sz w:val="16"/>
                <w:szCs w:val="16"/>
                <w:color w:val="auto"/>
              </w:rPr>
              <w:t>Comparable multiple</w:t>
            </w:r>
          </w:p>
        </w:tc>
        <w:tc>
          <w:tcPr>
            <w:tcW w:w="1840" w:type="dxa"/>
            <w:vAlign w:val="bottom"/>
          </w:tcPr>
          <w:p>
            <w:pPr>
              <w:jc w:val="center"/>
              <w:ind w:right="82"/>
              <w:spacing w:after="0"/>
              <w:rPr>
                <w:sz w:val="20"/>
                <w:szCs w:val="20"/>
                <w:color w:val="auto"/>
              </w:rPr>
            </w:pPr>
            <w:r>
              <w:rPr>
                <w:rFonts w:ascii="Arial" w:cs="Arial" w:eastAsia="Arial" w:hAnsi="Arial"/>
                <w:sz w:val="16"/>
                <w:szCs w:val="16"/>
                <w:color w:val="auto"/>
                <w:w w:val="94"/>
              </w:rPr>
              <w:t>3.0x — 14.5x (11.3x)</w:t>
            </w:r>
          </w:p>
        </w:tc>
        <w:tc>
          <w:tcPr>
            <w:tcW w:w="1800" w:type="dxa"/>
            <w:vAlign w:val="bottom"/>
            <w:gridSpan w:val="2"/>
          </w:tcPr>
          <w:p>
            <w:pPr>
              <w:ind w:left="120"/>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06"/>
        </w:trPr>
        <w:tc>
          <w:tcPr>
            <w:tcW w:w="2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2,228,731</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68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184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8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240" w:hanging="492"/>
        <w:spacing w:after="0" w:line="273"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$32.2 million of first-lien debt investments which, due to the proximity of the transactions relative to the measurement date, were valued using the cost of the investments.</w:t>
      </w:r>
    </w:p>
    <w:p>
      <w:pPr>
        <w:spacing w:after="0" w:line="1" w:lineRule="exact"/>
        <w:rPr>
          <w:rFonts w:ascii="Arial" w:cs="Arial" w:eastAsia="Arial" w:hAnsi="Arial"/>
          <w:sz w:val="18"/>
          <w:szCs w:val="18"/>
          <w:color w:val="auto"/>
        </w:rPr>
      </w:pPr>
    </w:p>
    <w:p>
      <w:pPr>
        <w:ind w:left="500" w:right="80" w:hanging="492"/>
        <w:spacing w:after="0" w:line="308"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$5.7 million of equity investments which were valued using a weighted valuation approach and $16.6 million of equity investments which, due to the proximity of the transactions relative to the measurement date, were valued using the cost of the investments.</w:t>
      </w:r>
    </w:p>
    <w:p>
      <w:pPr>
        <w:spacing w:after="0" w:line="160" w:lineRule="exact"/>
        <w:rPr>
          <w:sz w:val="20"/>
          <w:szCs w:val="20"/>
          <w:color w:val="auto"/>
        </w:rPr>
      </w:pPr>
    </w:p>
    <w:p>
      <w:pPr>
        <w:ind w:right="280" w:firstLine="255"/>
        <w:spacing w:after="0" w:line="275" w:lineRule="auto"/>
        <w:rPr>
          <w:sz w:val="20"/>
          <w:szCs w:val="20"/>
          <w:color w:val="auto"/>
        </w:rPr>
      </w:pPr>
      <w:r>
        <w:rPr>
          <w:rFonts w:ascii="Arial" w:cs="Arial" w:eastAsia="Arial" w:hAnsi="Arial"/>
          <w:sz w:val="17"/>
          <w:szCs w:val="17"/>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6" w:name="page37"/>
    <w:bookmarkEnd w:id="36"/>
    <w:p>
      <w:pPr>
        <w:ind w:right="240" w:firstLine="255"/>
        <w:spacing w:after="0" w:line="273"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420" w:firstLine="255"/>
        <w:spacing w:after="0" w:line="277" w:lineRule="auto"/>
        <w:rPr>
          <w:sz w:val="20"/>
          <w:szCs w:val="20"/>
          <w:color w:val="auto"/>
        </w:rPr>
      </w:pPr>
      <w:r>
        <w:rPr>
          <w:rFonts w:ascii="Arial" w:cs="Arial" w:eastAsia="Arial" w:hAnsi="Arial"/>
          <w:sz w:val="18"/>
          <w:szCs w:val="18"/>
          <w:color w:val="auto"/>
        </w:rPr>
        <w:t>The fair value of the Company’s Revolving Credit Facility, which is categorized as Level 3 within the fair value hierarchy, as of June 30, 2020 and December 31, 2019, approximates its carrying value as the outstanding balance is callable at carrying value.</w:t>
      </w:r>
    </w:p>
    <w:p>
      <w:pPr>
        <w:spacing w:after="0" w:line="170"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The fair value of the Company’s 2022 Convertible Notes, 2023 Notes and 2024 Notes, which are categorized as Level 2 within the fair value hierarchy, as of June 30, 2020 and December 31, 2019, was $644.5 million and $640.1 million, respectively, based on broker quotes received by the Company. The aggregate principal amount of the Company’s 2022 Convertible Notes, 2023 Notes and 2024 Notes, as of June 30, 2020 and December 31, 2019, was $640.3 million and $622.5 million,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The carrying amounts of the Company’s assets and liabilities, other than investments at fair value and the 2022 Convertible Notes, 2023 Notes and 2024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jc w:val="both"/>
        <w:ind w:right="360" w:firstLine="255"/>
        <w:spacing w:after="0" w:line="263"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150% after such borrowing. As of June 30, 2020 and December 31, 2019, the Company’s asset coverage was 224.0% and 200.4%, respectively.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June 30, 2020 and December 31, 2019:</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234,633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1,080,367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222,606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478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142,809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142,809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140,823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4780" w:type="dxa"/>
            <w:vAlign w:val="bottom"/>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360,757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1,955,309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874,942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1,080,367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872,509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900" w:hanging="492"/>
        <w:spacing w:after="0" w:line="258"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240" w:hanging="492"/>
        <w:spacing w:after="0" w:line="250"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of $12.0 million, $2.0 million, $1.7 million and $6.0 million, respectively.</w:t>
      </w:r>
    </w:p>
    <w:p>
      <w:pPr>
        <w:ind w:left="500" w:right="60" w:hanging="492"/>
        <w:spacing w:after="0" w:line="260"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inclusive of an incremental $19.3 million, which represents an adjustment in the carrying value of the 2024 Notes resulting from a hedge accounting relationship.</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495,689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749,311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485,711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478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169,420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4780" w:type="dxa"/>
            <w:vAlign w:val="bottom"/>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1,867,500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1,118,189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1,094,467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880" w:hanging="492"/>
        <w:spacing w:after="0" w:line="258"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220" w:hanging="492"/>
        <w:spacing w:after="0" w:line="250"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of $10.0 million, $3.1 million, $2.0 million and $6.9 million, respectively.</w:t>
      </w:r>
    </w:p>
    <w:p>
      <w:pPr>
        <w:ind w:left="500" w:right="520" w:hanging="492"/>
        <w:spacing w:after="0" w:line="260"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net of $1.8 million, which represents an adjustment in the carrying value of the 2024 Notes resulting from a hedge accounting relationship.</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and six months ended June 30, 2020 and 2019, the components of interest expense were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00" w:type="dxa"/>
            <w:vAlign w:val="bottom"/>
            <w:gridSpan w:val="3"/>
          </w:tcPr>
          <w:p>
            <w:pPr>
              <w:jc w:val="right"/>
              <w:ind w:right="380"/>
              <w:spacing w:after="0" w:line="155" w:lineRule="exact"/>
              <w:rPr>
                <w:sz w:val="20"/>
                <w:szCs w:val="20"/>
                <w:color w:val="auto"/>
              </w:rPr>
            </w:pPr>
            <w:r>
              <w:rPr>
                <w:rFonts w:ascii="Arial" w:cs="Arial" w:eastAsia="Arial" w:hAnsi="Arial"/>
                <w:sz w:val="14"/>
                <w:szCs w:val="14"/>
                <w:b w:val="1"/>
                <w:bCs w:val="1"/>
                <w:color w:val="auto"/>
                <w:w w:val="98"/>
              </w:rPr>
              <w:t>June 30, 2020</w:t>
            </w:r>
          </w:p>
        </w:tc>
        <w:tc>
          <w:tcPr>
            <w:tcW w:w="102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w w:val="98"/>
              </w:rPr>
              <w:t>June 30, 2019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tcPr>
          <w:p>
            <w:pPr>
              <w:jc w:val="right"/>
              <w:ind w:right="380"/>
              <w:spacing w:after="0" w:line="155" w:lineRule="exact"/>
              <w:rPr>
                <w:sz w:val="20"/>
                <w:szCs w:val="20"/>
                <w:color w:val="auto"/>
              </w:rPr>
            </w:pPr>
            <w:r>
              <w:rPr>
                <w:rFonts w:ascii="Arial" w:cs="Arial" w:eastAsia="Arial" w:hAnsi="Arial"/>
                <w:sz w:val="14"/>
                <w:szCs w:val="14"/>
                <w:b w:val="1"/>
                <w:bCs w:val="1"/>
                <w:color w:val="auto"/>
                <w:w w:val="98"/>
              </w:rPr>
              <w:t>June 30, 2020</w:t>
            </w:r>
          </w:p>
        </w:tc>
        <w:tc>
          <w:tcPr>
            <w:tcW w:w="102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w w:val="98"/>
              </w:rPr>
              <w:t>June 30, 2019</w:t>
            </w:r>
          </w:p>
        </w:tc>
        <w:tc>
          <w:tcPr>
            <w:tcW w:w="180" w:type="dxa"/>
            <w:vAlign w:val="bottom"/>
          </w:tcPr>
          <w:p>
            <w:pPr>
              <w:spacing w:after="0"/>
              <w:rPr>
                <w:sz w:val="13"/>
                <w:szCs w:val="13"/>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8,363</w:t>
            </w:r>
          </w:p>
        </w:tc>
        <w:tc>
          <w:tcPr>
            <w:tcW w:w="3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5"/>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10,127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19,229</w:t>
            </w:r>
          </w:p>
        </w:tc>
        <w:tc>
          <w:tcPr>
            <w:tcW w:w="3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5"/>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17,942</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Commitment fees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1,013</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1,812</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1,419</w:t>
            </w:r>
          </w:p>
        </w:tc>
        <w:tc>
          <w:tcPr>
            <w:tcW w:w="180" w:type="dxa"/>
            <w:vAlign w:val="bottom"/>
          </w:tcPr>
          <w:p>
            <w:pPr>
              <w:spacing w:after="0"/>
              <w:rPr>
                <w:sz w:val="19"/>
                <w:szCs w:val="19"/>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w:t>
            </w:r>
          </w:p>
        </w:tc>
        <w:tc>
          <w:tcPr>
            <w:tcW w:w="180" w:type="dxa"/>
            <w:vAlign w:val="bottom"/>
            <w:shd w:val="clear" w:color="auto" w:fill="CFF0FC"/>
          </w:tcPr>
          <w:p>
            <w:pPr>
              <w:spacing w:after="0"/>
              <w:rPr>
                <w:sz w:val="19"/>
                <w:szCs w:val="19"/>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9"/>
                <w:szCs w:val="19"/>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Swap settlement</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(1,011)</w:t>
            </w:r>
          </w:p>
        </w:tc>
        <w:tc>
          <w:tcPr>
            <w:tcW w:w="5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(1,106)</w:t>
            </w:r>
          </w:p>
        </w:tc>
        <w:tc>
          <w:tcPr>
            <w:tcW w:w="4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180" w:type="dxa"/>
            <w:vAlign w:val="bottom"/>
            <w:shd w:val="clear" w:color="auto" w:fill="CFF0FC"/>
          </w:tcPr>
          <w:p>
            <w:pPr>
              <w:spacing w:after="0"/>
              <w:rPr>
                <w:sz w:val="19"/>
                <w:szCs w:val="19"/>
                <w:color w:val="auto"/>
              </w:rPr>
            </w:pPr>
          </w:p>
        </w:tc>
      </w:tr>
      <w:tr>
        <w:trPr>
          <w:trHeight w:val="263"/>
        </w:trPr>
        <w:tc>
          <w:tcPr>
            <w:tcW w:w="3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0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9,851</w:t>
            </w:r>
          </w:p>
        </w:tc>
        <w:tc>
          <w:tcPr>
            <w:tcW w:w="300" w:type="dxa"/>
            <w:vAlign w:val="bottom"/>
            <w:tcBorders>
              <w:bottom w:val="single" w:sz="8" w:color="CFF0FC"/>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12,724</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22,760</w:t>
            </w:r>
          </w:p>
        </w:tc>
        <w:tc>
          <w:tcPr>
            <w:tcW w:w="300" w:type="dxa"/>
            <w:vAlign w:val="bottom"/>
            <w:tcBorders>
              <w:bottom w:val="single" w:sz="8" w:color="CFF0FC"/>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23,094</w:t>
            </w:r>
          </w:p>
        </w:tc>
        <w:tc>
          <w:tcPr>
            <w:tcW w:w="180" w:type="dxa"/>
            <w:vAlign w:val="bottom"/>
            <w:tcBorders>
              <w:bottom w:val="single" w:sz="8" w:color="CFF0FC"/>
            </w:tcBorders>
          </w:tcPr>
          <w:p>
            <w:pPr>
              <w:spacing w:after="0"/>
              <w:rPr>
                <w:sz w:val="22"/>
                <w:szCs w:val="22"/>
                <w:color w:val="auto"/>
              </w:rPr>
            </w:pPr>
          </w:p>
        </w:tc>
      </w:tr>
      <w:tr>
        <w:trPr>
          <w:trHeight w:val="21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903.9</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1,005.8</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813.4</w:t>
            </w:r>
          </w:p>
        </w:tc>
        <w:tc>
          <w:tcPr>
            <w:tcW w:w="180" w:type="dxa"/>
            <w:vAlign w:val="bottom"/>
            <w:shd w:val="clear" w:color="auto" w:fill="CFF0FC"/>
          </w:tcPr>
          <w:p>
            <w:pPr>
              <w:spacing w:after="0"/>
              <w:rPr>
                <w:sz w:val="18"/>
                <w:szCs w:val="18"/>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Average 1-month LIBOR rate</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0.4%</w:t>
            </w:r>
          </w:p>
        </w:tc>
        <w:tc>
          <w:tcPr>
            <w:tcW w:w="5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0.9%</w:t>
            </w:r>
          </w:p>
        </w:tc>
        <w:tc>
          <w:tcPr>
            <w:tcW w:w="4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320" w:firstLine="255"/>
        <w:spacing w:after="0" w:line="263" w:lineRule="auto"/>
        <w:rPr>
          <w:sz w:val="20"/>
          <w:szCs w:val="20"/>
          <w:color w:val="auto"/>
        </w:rPr>
      </w:pPr>
      <w:r>
        <w:rPr>
          <w:rFonts w:ascii="Arial" w:cs="Arial" w:eastAsia="Arial" w:hAnsi="Arial"/>
          <w:sz w:val="18"/>
          <w:szCs w:val="18"/>
          <w:color w:val="auto"/>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84" w:lineRule="exact"/>
        <w:rPr>
          <w:sz w:val="20"/>
          <w:szCs w:val="20"/>
          <w:color w:val="auto"/>
        </w:rPr>
      </w:pPr>
    </w:p>
    <w:p>
      <w:pPr>
        <w:ind w:right="20" w:firstLine="255"/>
        <w:spacing w:after="0" w:line="311" w:lineRule="auto"/>
        <w:rPr>
          <w:sz w:val="20"/>
          <w:szCs w:val="20"/>
          <w:color w:val="auto"/>
        </w:rPr>
      </w:pPr>
      <w:r>
        <w:rPr>
          <w:rFonts w:ascii="Arial" w:cs="Arial" w:eastAsia="Arial" w:hAnsi="Arial"/>
          <w:sz w:val="16"/>
          <w:szCs w:val="16"/>
          <w:color w:val="auto"/>
        </w:rPr>
        <w:t>As of December 31 2019, aggregate commitments under the facility were $1.245 billion. Pursuant to an amendment to the Revolving Credit Facility dated as of January 31, 2020 (the “Ninth Amendment”), the aggregate commitments under the facility were increased to $1.315 billion. The facility includes an uncommitted accordion feature that allows the Company, under certain circumstances, to increase the size of the facility to up to $1.750 billion.</w:t>
      </w:r>
    </w:p>
    <w:p>
      <w:pPr>
        <w:spacing w:after="0" w:line="149"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Pursuant to the Ninth Amendment, the revolving period, during which period the Company, subject to certain conditions, may make borrowings under the facility, was extended from February 14, 2023 to January 31, 2024 and the stated maturity date was extended from February 14, 2024 to January 31, 2025.</w:t>
      </w:r>
    </w:p>
    <w:p>
      <w:pPr>
        <w:spacing w:after="0" w:line="184"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The Company may borrow amounts in U.S. dollars or certain other permitted currencies. As of June 30, 2020, the Company had outstanding debt denominated in Australian dollars (AUD) of 52.6 million, Canadian dollars (CAD) of 129.9 million, and Euro (EUR) of 8.1 million on its Revolving Credit Facility, included in the Outstanding Principal amount in the table above.</w:t>
      </w:r>
    </w:p>
    <w:p>
      <w:pPr>
        <w:spacing w:after="0" w:line="184" w:lineRule="exact"/>
        <w:rPr>
          <w:sz w:val="20"/>
          <w:szCs w:val="20"/>
          <w:color w:val="auto"/>
        </w:rPr>
      </w:pPr>
    </w:p>
    <w:p>
      <w:pPr>
        <w:ind w:right="260" w:firstLine="255"/>
        <w:spacing w:after="0" w:line="286" w:lineRule="auto"/>
        <w:rPr>
          <w:sz w:val="20"/>
          <w:szCs w:val="20"/>
          <w:color w:val="auto"/>
        </w:rPr>
      </w:pPr>
      <w:r>
        <w:rPr>
          <w:rFonts w:ascii="Arial" w:cs="Arial" w:eastAsia="Arial" w:hAnsi="Arial"/>
          <w:sz w:val="17"/>
          <w:szCs w:val="17"/>
          <w:color w:val="auto"/>
        </w:rPr>
        <w:t>The Revolving Credit Facility also provides for the issuance of letters of credit up to an aggregate amount of $75 million. As of June 30, 2020 and December 31, 2019,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08" w:right="359" w:bottom="1440" w:gutter="0" w:footer="0" w:header="0"/>
        </w:sectPr>
      </w:pPr>
    </w:p>
    <w:bookmarkStart w:id="38" w:name="page39"/>
    <w:bookmarkEnd w:id="38"/>
    <w:p>
      <w:pPr>
        <w:ind w:right="20" w:firstLine="255"/>
        <w:spacing w:after="0" w:line="273"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LIBOR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8" w:lineRule="exact"/>
        <w:rPr>
          <w:sz w:val="20"/>
          <w:szCs w:val="20"/>
          <w:color w:val="auto"/>
        </w:rPr>
      </w:pPr>
    </w:p>
    <w:p>
      <w:pPr>
        <w:ind w:right="80" w:firstLine="255"/>
        <w:spacing w:after="0" w:line="286" w:lineRule="auto"/>
        <w:rPr>
          <w:sz w:val="20"/>
          <w:szCs w:val="20"/>
          <w:color w:val="auto"/>
        </w:rPr>
      </w:pPr>
      <w:r>
        <w:rPr>
          <w:rFonts w:ascii="Arial" w:cs="Arial" w:eastAsia="Arial" w:hAnsi="Arial"/>
          <w:sz w:val="17"/>
          <w:szCs w:val="17"/>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65"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62" w:lineRule="exact"/>
        <w:rPr>
          <w:sz w:val="20"/>
          <w:szCs w:val="20"/>
          <w:color w:val="auto"/>
        </w:rPr>
      </w:pPr>
    </w:p>
    <w:p>
      <w:pPr>
        <w:ind w:left="500" w:hanging="249"/>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asset coverage ratio of no less than 1.5 to 1 on the last day of any fiscal quarter;</w:t>
      </w:r>
    </w:p>
    <w:p>
      <w:pPr>
        <w:spacing w:after="0" w:line="117" w:lineRule="exact"/>
        <w:rPr>
          <w:rFonts w:ascii="Arial" w:cs="Arial" w:eastAsia="Arial" w:hAnsi="Arial"/>
          <w:sz w:val="18"/>
          <w:szCs w:val="18"/>
          <w:color w:val="auto"/>
        </w:rPr>
      </w:pPr>
    </w:p>
    <w:p>
      <w:pPr>
        <w:ind w:left="500" w:right="80" w:hanging="249"/>
        <w:spacing w:after="0" w:line="263"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w:t>
      </w:r>
    </w:p>
    <w:p>
      <w:pPr>
        <w:spacing w:after="0" w:line="75" w:lineRule="exact"/>
        <w:rPr>
          <w:rFonts w:ascii="Arial" w:cs="Arial" w:eastAsia="Arial" w:hAnsi="Arial"/>
          <w:sz w:val="18"/>
          <w:szCs w:val="18"/>
          <w:color w:val="auto"/>
        </w:rPr>
      </w:pPr>
    </w:p>
    <w:p>
      <w:pPr>
        <w:ind w:left="500" w:hanging="249"/>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January 31, 2020;</w:t>
      </w:r>
    </w:p>
    <w:p>
      <w:pPr>
        <w:spacing w:after="0" w:line="117" w:lineRule="exact"/>
        <w:rPr>
          <w:rFonts w:ascii="Arial" w:cs="Arial" w:eastAsia="Arial" w:hAnsi="Arial"/>
          <w:sz w:val="18"/>
          <w:szCs w:val="18"/>
          <w:color w:val="auto"/>
        </w:rPr>
      </w:pPr>
    </w:p>
    <w:p>
      <w:pPr>
        <w:ind w:left="500" w:hanging="249"/>
        <w:spacing w:after="0" w:line="259"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8" w:lineRule="exact"/>
        <w:rPr>
          <w:rFonts w:ascii="Arial" w:cs="Arial" w:eastAsia="Arial" w:hAnsi="Arial"/>
          <w:sz w:val="18"/>
          <w:szCs w:val="18"/>
          <w:color w:val="auto"/>
        </w:rPr>
      </w:pPr>
    </w:p>
    <w:p>
      <w:pPr>
        <w:ind w:left="500" w:right="100" w:hanging="249"/>
        <w:spacing w:after="0" w:line="342"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24"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The Revolving Credit Facility also contains certain additional concentration limits in connection with the calculation of the borrowing base, based on the Obligor Asset Coverage Ratio.</w:t>
      </w:r>
    </w:p>
    <w:p>
      <w:pPr>
        <w:spacing w:after="0" w:line="170" w:lineRule="exact"/>
        <w:rPr>
          <w:sz w:val="20"/>
          <w:szCs w:val="20"/>
          <w:color w:val="auto"/>
        </w:rPr>
      </w:pPr>
    </w:p>
    <w:p>
      <w:pPr>
        <w:ind w:right="680" w:firstLine="255"/>
        <w:spacing w:after="0" w:line="277" w:lineRule="auto"/>
        <w:rPr>
          <w:sz w:val="20"/>
          <w:szCs w:val="20"/>
          <w:color w:val="auto"/>
        </w:rPr>
      </w:pPr>
      <w:r>
        <w:rPr>
          <w:rFonts w:ascii="Arial" w:cs="Arial" w:eastAsia="Arial" w:hAnsi="Arial"/>
          <w:sz w:val="18"/>
          <w:szCs w:val="18"/>
          <w:color w:val="auto"/>
        </w:rPr>
        <w:t>Net proceeds received from the issuance of the 2022 Convertible Notes, 2023 Notes and 2024 Notes were used to pay down borrowings on the Revolving Credit Facility.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2020 and December 31, 2019, the Company was in compliance with the terms of the Revolving Credit Facility.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Notes</w:t>
      </w:r>
    </w:p>
    <w:p>
      <w:pPr>
        <w:spacing w:after="0" w:line="117" w:lineRule="exact"/>
        <w:rPr>
          <w:sz w:val="20"/>
          <w:szCs w:val="20"/>
          <w:color w:val="auto"/>
        </w:rPr>
      </w:pPr>
    </w:p>
    <w:p>
      <w:pPr>
        <w:ind w:right="40" w:firstLine="255"/>
        <w:spacing w:after="0" w:line="257" w:lineRule="auto"/>
        <w:rPr>
          <w:sz w:val="20"/>
          <w:szCs w:val="20"/>
          <w:color w:val="auto"/>
        </w:rPr>
      </w:pPr>
      <w:r>
        <w:rPr>
          <w:rFonts w:ascii="Arial" w:cs="Arial" w:eastAsia="Arial" w:hAnsi="Arial"/>
          <w:sz w:val="18"/>
          <w:szCs w:val="18"/>
          <w:color w:val="auto"/>
        </w:rPr>
        <w:t>In June 2014, the Company issued in a private offering $115 million aggregate principal amount convertible notes due December 2019 (the “2019 Convertible Notes”). The 2019 Convertible Notes were issued in a private placement only to qualified institutional buyers pursuant to Rule 144A under the Securities Act. The 2019 Convertible Notes were unsecured, and bore interest at a rate of 4.50% per year, payable semiannually. The 2019 Convertible Notes matured on December 15, 2019 and were fully repaid in cash. The swap transaction associated with the issuance of the 2019 Convertible Notes also matured on December 15,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120" w:firstLine="255"/>
        <w:spacing w:after="0" w:line="289" w:lineRule="auto"/>
        <w:rPr>
          <w:sz w:val="20"/>
          <w:szCs w:val="20"/>
          <w:color w:val="auto"/>
        </w:rPr>
      </w:pPr>
      <w:r>
        <w:rPr>
          <w:rFonts w:ascii="Arial" w:cs="Arial" w:eastAsia="Arial" w:hAnsi="Arial"/>
          <w:sz w:val="16"/>
          <w:szCs w:val="16"/>
          <w:color w:val="auto"/>
        </w:rPr>
        <w:t>In February 2017, the Company issued in a private offering $115 million aggregate principal amount convertible notes due August 2022 (the “2022 Convertible Notes” and, together with the 2019 Convertible Notes, the “Convertible Notes”).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the Company’s common stock or a combination of cash and shares of the Company’s common stock, at the Company’s election, at an initial conversion rate of 46.8516 shares of common stock per $1,000 principal amount of 2022 Convertible Notes, which is equivalent to an initial conversion price of approximately $21.34 per share of the Company’s common stock, subject to customary anti-dilution adjustments. As of June 30, 2020, the estimated adjusted conversion price was approximately $19.93 per share of common stock. The sale of the 2022 Convertible Notes generated net proceeds of approximately $111.2 million. The Company used the net proceeds 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9" w:name="page40"/>
    <w:bookmarkEnd w:id="39"/>
    <w:p>
      <w:pPr>
        <w:ind w:right="120"/>
        <w:spacing w:after="0" w:line="259" w:lineRule="auto"/>
        <w:rPr>
          <w:sz w:val="20"/>
          <w:szCs w:val="20"/>
          <w:color w:val="auto"/>
        </w:rPr>
      </w:pPr>
      <w:r>
        <w:rPr>
          <w:rFonts w:ascii="Arial" w:cs="Arial" w:eastAsia="Arial" w:hAnsi="Arial"/>
          <w:sz w:val="18"/>
          <w:szCs w:val="18"/>
          <w:color w:val="auto"/>
        </w:rPr>
        <w:t>the offering to pay down debt under the Revolving Credit Facility. In connection with the offering of 2022 Convertible Notes, the Company has entered into an interest rate swap to continue to align the interest rates of its liabilities with its investment portfolio, which consists of predominately floating rate loans. As a result of the swap, the Company’s effective interest rate on the original issuance of 2022 Convertible Notes is three-month LIBOR plus 2.37%. See Note 5 for further information related to the Company’s interest rate swaps.</w:t>
      </w:r>
    </w:p>
    <w:p>
      <w:pPr>
        <w:spacing w:after="0" w:line="187" w:lineRule="exact"/>
        <w:rPr>
          <w:sz w:val="20"/>
          <w:szCs w:val="20"/>
          <w:color w:val="auto"/>
        </w:rPr>
      </w:pPr>
    </w:p>
    <w:p>
      <w:pPr>
        <w:ind w:right="120" w:firstLine="255"/>
        <w:spacing w:after="0" w:line="293" w:lineRule="auto"/>
        <w:rPr>
          <w:sz w:val="20"/>
          <w:szCs w:val="20"/>
          <w:color w:val="auto"/>
        </w:rPr>
      </w:pPr>
      <w:r>
        <w:rPr>
          <w:rFonts w:ascii="Arial" w:cs="Arial" w:eastAsia="Arial" w:hAnsi="Arial"/>
          <w:sz w:val="16"/>
          <w:szCs w:val="16"/>
          <w:color w:val="auto"/>
        </w:rPr>
        <w:t>In June 2018, the Company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the Company’s existing 2022 Convertible Notes issued in February 2017. In connection with the reopening of the 2022 Convertible Notes, the Company entered into interest rate swaps to continue to align the interest rates of its liabilities with its investment portfolio, which consists of predominately floating rate loans. As a result of the additional swaps, the Company’s effective interest rate on the additional 2022 Convertible Notes is approximately three-month LIBOR plus 1.60%. See Note 5 for further information related to the Company’s interest rate swaps.</w:t>
      </w:r>
    </w:p>
    <w:p>
      <w:pPr>
        <w:spacing w:after="0" w:line="164" w:lineRule="exact"/>
        <w:rPr>
          <w:sz w:val="20"/>
          <w:szCs w:val="20"/>
          <w:color w:val="auto"/>
        </w:rPr>
      </w:pPr>
    </w:p>
    <w:p>
      <w:pPr>
        <w:ind w:right="40" w:firstLine="255"/>
        <w:spacing w:after="0" w:line="254" w:lineRule="auto"/>
        <w:rPr>
          <w:sz w:val="20"/>
          <w:szCs w:val="20"/>
          <w:color w:val="auto"/>
        </w:rPr>
      </w:pPr>
      <w:r>
        <w:rPr>
          <w:rFonts w:ascii="Arial" w:cs="Arial" w:eastAsia="Arial" w:hAnsi="Arial"/>
          <w:sz w:val="18"/>
          <w:szCs w:val="18"/>
          <w:color w:val="auto"/>
        </w:rPr>
        <w:t>During the three months ended June 30, 2020, the Company repurchased on the open market and extinguished $29.7 million in aggregate principal amount of the 2022 Convertible Notes for $29.5 million. These repurchases resulted in a gain on extinguishment of debt of less than $0.7 million. This gain is included in the extinguishment of debt in the accompanying consolidated statements of operations. In connection with the repurchases of the 2022 Convertible Notes, the Company entered into floating-to-fixed interest rate swaps with an aggregate notional amount equal to the amount of 2022 Convertible Notes repurchased, which has the effect of reducing the notional exposure of the fixed-to-floating interest rate swaps, which were entered into in connection with the issuance of the 2022 Convertible Notes, to match the current principal amount of the 2022 Convertible Notes outstanding. As a result of the swaps, the Company’s effective interest rate on the outstanding 2022 Convertible Notes is three-month LIBOR plus 2.11% (on a weighted-average basis).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may convert their 2022 Convertible Notes at their option at any time prior to February 1, 2022 only under the following circumstances:</w:t>
      </w:r>
    </w:p>
    <w:p>
      <w:pPr>
        <w:spacing w:after="0" w:line="35" w:lineRule="exact"/>
        <w:rPr>
          <w:sz w:val="20"/>
          <w:szCs w:val="20"/>
          <w:color w:val="auto"/>
        </w:rPr>
      </w:pPr>
    </w:p>
    <w:p>
      <w:pPr>
        <w:ind w:right="100" w:firstLine="8"/>
        <w:spacing w:after="0" w:line="281" w:lineRule="auto"/>
        <w:tabs>
          <w:tab w:leader="none" w:pos="2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1" w:lineRule="exact"/>
        <w:rPr>
          <w:rFonts w:ascii="Arial" w:cs="Arial" w:eastAsia="Arial" w:hAnsi="Arial"/>
          <w:sz w:val="16"/>
          <w:szCs w:val="16"/>
          <w:color w:val="auto"/>
        </w:rPr>
      </w:pPr>
    </w:p>
    <w:p>
      <w:pPr>
        <w:ind w:right="200" w:firstLine="8"/>
        <w:spacing w:after="0" w:line="292" w:lineRule="auto"/>
        <w:tabs>
          <w:tab w:leader="none" w:pos="2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2" w:lineRule="exact"/>
        <w:rPr>
          <w:sz w:val="20"/>
          <w:szCs w:val="20"/>
          <w:color w:val="auto"/>
        </w:rPr>
      </w:pPr>
    </w:p>
    <w:p>
      <w:pPr>
        <w:ind w:right="40" w:firstLine="255"/>
        <w:spacing w:after="0" w:line="275" w:lineRule="auto"/>
        <w:rPr>
          <w:sz w:val="20"/>
          <w:szCs w:val="20"/>
          <w:color w:val="auto"/>
        </w:rPr>
      </w:pPr>
      <w:r>
        <w:rPr>
          <w:rFonts w:ascii="Arial" w:cs="Arial" w:eastAsia="Arial" w:hAnsi="Arial"/>
          <w:sz w:val="17"/>
          <w:szCs w:val="17"/>
          <w:color w:val="auto"/>
        </w:rPr>
        <w:t>The 2022 Convertible Notes are the Company’s unsecured obligations and rank senior in right of payment to the Company’s future indebtedness that is expressly subordinated in right of payment to the 2022 Convertible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 the three and six months ended June 30, 2020 and 2019, the components of interest expense related to the Convertible Notes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66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June 30, 2020</w:t>
            </w:r>
          </w:p>
        </w:tc>
        <w:tc>
          <w:tcPr>
            <w:tcW w:w="1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June 30, 2019</w:t>
            </w:r>
          </w:p>
        </w:tc>
        <w:tc>
          <w:tcPr>
            <w:tcW w:w="1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June 30, 2020</w:t>
            </w:r>
          </w:p>
        </w:tc>
        <w:tc>
          <w:tcPr>
            <w:tcW w:w="1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June 30, 2019</w:t>
            </w:r>
          </w:p>
        </w:tc>
        <w:tc>
          <w:tcPr>
            <w:tcW w:w="80" w:type="dxa"/>
            <w:vAlign w:val="bottom"/>
            <w:tcBorders>
              <w:bottom w:val="single" w:sz="8" w:color="CFF0FC"/>
            </w:tcBorders>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3,234</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3,656</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6,469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9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9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w:t>
            </w: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w:t>
            </w:r>
          </w:p>
        </w:tc>
        <w:tc>
          <w:tcPr>
            <w:tcW w:w="180" w:type="dxa"/>
            <w:vAlign w:val="bottom"/>
          </w:tcPr>
          <w:p>
            <w:pPr>
              <w:spacing w:after="0"/>
              <w:rPr>
                <w:sz w:val="19"/>
                <w:szCs w:val="19"/>
                <w:color w:val="auto"/>
              </w:rPr>
            </w:pPr>
          </w:p>
        </w:tc>
        <w:tc>
          <w:tcPr>
            <w:tcW w:w="50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7,769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40" w:name="page41"/>
    <w:bookmarkEnd w:id="40"/>
    <w:p>
      <w:pPr>
        <w:ind w:firstLine="255"/>
        <w:spacing w:after="0" w:line="273" w:lineRule="auto"/>
        <w:rPr>
          <w:sz w:val="20"/>
          <w:szCs w:val="20"/>
          <w:color w:val="auto"/>
        </w:rPr>
      </w:pPr>
      <w:r>
        <w:rPr>
          <w:rFonts w:ascii="Arial" w:cs="Arial" w:eastAsia="Arial" w:hAnsi="Arial"/>
          <w:sz w:val="17"/>
          <w:szCs w:val="17"/>
          <w:color w:val="auto"/>
        </w:rPr>
        <w:t>Total interest expense in the table above does not include the effect of the interest rate swaps. During the three and six months ended June 30, 2020, the Company received $2.2 million and $4.1 million, respectively, and paid $1.9 million and $3.6 million, respectively, related to the settlements of its interest rate swaps, excluding upfront fees, related to the 2022 Convertible Notes. During the three and six months ended June 30, 2019, the Company received $3.2 million and $6.5 million, respectively, and paid $3.7 million and $7.4 million, respectively, related to the settlements of its interest rate swaps, excluding upfront fees, related to the Convertible Notes These net amounts are reflected in interest expense in the Company’s consolidated statements of operations. Please see Note 5 for further information about the Company’s interest rate swaps.</w:t>
      </w:r>
    </w:p>
    <w:p>
      <w:pPr>
        <w:spacing w:after="0" w:line="178" w:lineRule="exact"/>
        <w:rPr>
          <w:sz w:val="20"/>
          <w:szCs w:val="20"/>
          <w:color w:val="auto"/>
        </w:rPr>
      </w:pPr>
    </w:p>
    <w:p>
      <w:pPr>
        <w:jc w:val="both"/>
        <w:ind w:right="180" w:firstLine="255"/>
        <w:spacing w:after="0" w:line="277" w:lineRule="auto"/>
        <w:rPr>
          <w:sz w:val="20"/>
          <w:szCs w:val="20"/>
          <w:color w:val="auto"/>
        </w:rPr>
      </w:pPr>
      <w:r>
        <w:rPr>
          <w:rFonts w:ascii="Arial" w:cs="Arial" w:eastAsia="Arial" w:hAnsi="Arial"/>
          <w:sz w:val="18"/>
          <w:szCs w:val="18"/>
          <w:color w:val="auto"/>
        </w:rPr>
        <w:t>As of June 30, 2020 and December 31, 2019, the components of the carrying value of the 2022 Convertible Notes and the stated interest rate were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June 30, 2020</w:t>
            </w:r>
          </w:p>
        </w:tc>
        <w:tc>
          <w:tcPr>
            <w:tcW w:w="80" w:type="dxa"/>
            <w:vAlign w:val="bottom"/>
          </w:tcPr>
          <w:p>
            <w:pPr>
              <w:spacing w:after="0"/>
              <w:rPr>
                <w:sz w:val="14"/>
                <w:szCs w:val="14"/>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December 31, 2019</w:t>
            </w: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0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142,809</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Original issue discount, net of accretion/amortization</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(617)</w:t>
            </w: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(1,618)</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(2,463)</w:t>
            </w:r>
          </w:p>
        </w:tc>
      </w:tr>
      <w:tr>
        <w:trPr>
          <w:trHeight w:val="263"/>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Carrying value of debt</w:t>
            </w:r>
          </w:p>
        </w:tc>
        <w:tc>
          <w:tcPr>
            <w:tcW w:w="10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140,823</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169,420</w:t>
            </w:r>
          </w:p>
        </w:tc>
        <w:tc>
          <w:tcPr>
            <w:tcW w:w="180" w:type="dxa"/>
            <w:vAlign w:val="bottom"/>
            <w:tcBorders>
              <w:bottom w:val="single" w:sz="8" w:color="CFF0FC"/>
            </w:tcBorders>
          </w:tcPr>
          <w:p>
            <w:pPr>
              <w:spacing w:after="0"/>
              <w:rPr>
                <w:sz w:val="22"/>
                <w:szCs w:val="22"/>
                <w:color w:val="auto"/>
              </w:rPr>
            </w:pPr>
          </w:p>
        </w:tc>
      </w:tr>
      <w:tr>
        <w:trPr>
          <w:trHeight w:val="21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4.50%</w:t>
            </w:r>
          </w:p>
        </w:tc>
      </w:tr>
    </w:tbl>
    <w:p>
      <w:pPr>
        <w:spacing w:after="0" w:line="229" w:lineRule="exact"/>
        <w:rPr>
          <w:sz w:val="20"/>
          <w:szCs w:val="20"/>
          <w:color w:val="auto"/>
        </w:rPr>
      </w:pPr>
    </w:p>
    <w:p>
      <w:pPr>
        <w:jc w:val="both"/>
        <w:ind w:right="180" w:firstLine="255"/>
        <w:spacing w:after="0" w:line="263"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was three month LIBOR plus 2.11% (on a weighted average basis) for the 2022 Convertible Notes. Please see Note 5 for further information about the Company’s interest rate swaps.</w:t>
      </w:r>
    </w:p>
    <w:p>
      <w:pPr>
        <w:spacing w:after="0" w:line="184" w:lineRule="exact"/>
        <w:rPr>
          <w:sz w:val="20"/>
          <w:szCs w:val="20"/>
          <w:color w:val="auto"/>
        </w:rPr>
      </w:pPr>
    </w:p>
    <w:p>
      <w:pPr>
        <w:ind w:right="240" w:firstLine="255"/>
        <w:spacing w:after="0" w:line="257" w:lineRule="auto"/>
        <w:rPr>
          <w:sz w:val="20"/>
          <w:szCs w:val="20"/>
          <w:color w:val="auto"/>
        </w:rPr>
      </w:pPr>
      <w:r>
        <w:rPr>
          <w:rFonts w:ascii="Arial" w:cs="Arial" w:eastAsia="Arial" w:hAnsi="Arial"/>
          <w:sz w:val="18"/>
          <w:szCs w:val="18"/>
          <w:color w:val="auto"/>
        </w:rPr>
        <w:t>The indenture governing the 2022 Convertible Notes contains certain covenants, including covenants requiring the Company to comply with the applicable asset coverage ratio requirement under the 1940 Act and to provide financial information to the holders of the 2022 Convertible Notes under certain circumstances. These covenants are subject to important limitations and exceptions that are described in the indenture governing the 2022 Convertible Notes. As of June 30, 2020 and December 31, 2019, the Company was in compliance with the terms of the indenture governing the 2022 Convertible Notes.</w:t>
      </w:r>
    </w:p>
    <w:p>
      <w:pPr>
        <w:spacing w:after="0" w:line="188" w:lineRule="exact"/>
        <w:rPr>
          <w:sz w:val="20"/>
          <w:szCs w:val="20"/>
          <w:color w:val="auto"/>
        </w:rPr>
      </w:pPr>
    </w:p>
    <w:p>
      <w:pPr>
        <w:ind w:firstLine="255"/>
        <w:spacing w:after="0" w:line="289" w:lineRule="auto"/>
        <w:rPr>
          <w:sz w:val="20"/>
          <w:szCs w:val="20"/>
          <w:color w:val="auto"/>
        </w:rPr>
      </w:pPr>
      <w:r>
        <w:rPr>
          <w:rFonts w:ascii="Arial" w:cs="Arial" w:eastAsia="Arial" w:hAnsi="Arial"/>
          <w:sz w:val="16"/>
          <w:szCs w:val="16"/>
          <w:color w:val="auto"/>
        </w:rPr>
        <w:t>The 2022 Convertible Notes are accounted for in accordance with Accounting Standards Codification (“ASC”) Topic 470-20. Upon conversion of any of the 2022 Convertible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indenture governing the 2022 Convertible Notes. The Company has determined that the embedded conversion options in the 2022 Convertible Notes are not required to be separately accounted for as a derivative under U.S. GAAP. In accounting for the 2022 Convertible Notes, the Company estimated at the time of issuance separate debt and equity components of the 2022 Convertible Notes. An original issue discount equal to the equity components of the 2022 Convertible Notes was recorded in “additional paid-in capital” in the accompanying consolidated balance sheet. Additionally, the issuance costs associated with the 2022 Convertible Notes were allocated to the debt and equity components in proportion to the allocation of the proceeds and accounted for as deferred financing costs and equity issuance costs, respectively.</w:t>
      </w:r>
    </w:p>
    <w:p>
      <w:pPr>
        <w:spacing w:after="0" w:line="166"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As of June 30, 2020 and 2019, the principal amount of the Convertible Notes exceeded the value of the underlying shares multiplied by the per share closing price of the Company’s common stock.</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right="80" w:firstLine="255"/>
        <w:spacing w:after="0" w:line="275" w:lineRule="auto"/>
        <w:rPr>
          <w:sz w:val="20"/>
          <w:szCs w:val="20"/>
          <w:color w:val="auto"/>
        </w:rPr>
      </w:pPr>
      <w:r>
        <w:rPr>
          <w:rFonts w:ascii="Arial" w:cs="Arial" w:eastAsia="Arial" w:hAnsi="Arial"/>
          <w:sz w:val="17"/>
          <w:szCs w:val="17"/>
          <w:color w:val="auto"/>
        </w:rPr>
        <w:t>In January 2018, the Company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82" w:right="419" w:bottom="1440" w:gutter="0" w:footer="0" w:header="0"/>
        </w:sectPr>
      </w:pPr>
    </w:p>
    <w:bookmarkStart w:id="41" w:name="page42"/>
    <w:bookmarkEnd w:id="41"/>
    <w:p>
      <w:pPr>
        <w:jc w:val="both"/>
        <w:ind w:right="200" w:firstLine="255"/>
        <w:spacing w:after="0" w:line="311" w:lineRule="auto"/>
        <w:rPr>
          <w:sz w:val="20"/>
          <w:szCs w:val="20"/>
          <w:color w:val="auto"/>
        </w:rPr>
      </w:pPr>
      <w:r>
        <w:rPr>
          <w:rFonts w:ascii="Arial" w:cs="Arial" w:eastAsia="Arial" w:hAnsi="Arial"/>
          <w:sz w:val="16"/>
          <w:szCs w:val="16"/>
          <w:color w:val="auto"/>
        </w:rPr>
        <w:t>In connection with the 2023 Notes offering, the Company entered into an interest rate swap to continue to align the interest rates of its liabilities with the Company’s investment portfolio, which consists of predominately floating rate loans. As a result of the swap, the Company’s effective interest rate on the 2023 Notes is three-month LIBOR plus 1.99%. Please see Note 5 for further information about the Company’s interest rate swaps.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Notes</w:t>
      </w:r>
    </w:p>
    <w:p>
      <w:pPr>
        <w:spacing w:after="0" w:line="117" w:lineRule="exact"/>
        <w:rPr>
          <w:sz w:val="20"/>
          <w:szCs w:val="20"/>
          <w:color w:val="auto"/>
        </w:rPr>
      </w:pPr>
    </w:p>
    <w:p>
      <w:pPr>
        <w:ind w:right="60" w:firstLine="255"/>
        <w:spacing w:after="0" w:line="275" w:lineRule="auto"/>
        <w:rPr>
          <w:sz w:val="20"/>
          <w:szCs w:val="20"/>
          <w:color w:val="auto"/>
        </w:rPr>
      </w:pPr>
      <w:r>
        <w:rPr>
          <w:rFonts w:ascii="Arial" w:cs="Arial" w:eastAsia="Arial" w:hAnsi="Arial"/>
          <w:sz w:val="17"/>
          <w:szCs w:val="17"/>
          <w:color w:val="auto"/>
        </w:rPr>
        <w:t>In November 2019, the Company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spacing w:after="0" w:line="176" w:lineRule="exact"/>
        <w:rPr>
          <w:sz w:val="20"/>
          <w:szCs w:val="20"/>
          <w:color w:val="auto"/>
        </w:rPr>
      </w:pPr>
    </w:p>
    <w:p>
      <w:pPr>
        <w:ind w:right="20" w:firstLine="255"/>
        <w:spacing w:after="0" w:line="257" w:lineRule="auto"/>
        <w:rPr>
          <w:sz w:val="20"/>
          <w:szCs w:val="20"/>
          <w:color w:val="auto"/>
        </w:rPr>
      </w:pPr>
      <w:r>
        <w:rPr>
          <w:rFonts w:ascii="Arial" w:cs="Arial" w:eastAsia="Arial" w:hAnsi="Arial"/>
          <w:sz w:val="18"/>
          <w:szCs w:val="18"/>
          <w:color w:val="auto"/>
        </w:rPr>
        <w:t>On February 5,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w:t>
      </w:r>
    </w:p>
    <w:p>
      <w:pPr>
        <w:spacing w:after="0" w:line="188" w:lineRule="exact"/>
        <w:rPr>
          <w:sz w:val="20"/>
          <w:szCs w:val="20"/>
          <w:color w:val="auto"/>
        </w:rPr>
      </w:pPr>
    </w:p>
    <w:p>
      <w:pPr>
        <w:ind w:right="200" w:firstLine="255"/>
        <w:spacing w:after="0" w:line="272" w:lineRule="auto"/>
        <w:rPr>
          <w:sz w:val="20"/>
          <w:szCs w:val="20"/>
          <w:color w:val="auto"/>
        </w:rPr>
      </w:pPr>
      <w:r>
        <w:rPr>
          <w:rFonts w:ascii="Arial" w:cs="Arial" w:eastAsia="Arial" w:hAnsi="Arial"/>
          <w:sz w:val="17"/>
          <w:szCs w:val="17"/>
          <w:color w:val="auto"/>
        </w:rPr>
        <w:t>In connection with the 2024 Notes offering and the reopening of the 2024 Notes, the Company entered into interest rate swaps to continue to align the interest rates of its liabilities with the Company’s investment portfolio, which consists of predominately floating rate loans. As a result of the swaps, the Company’s effective interest rate on the 2024 Notes is three-month LIBOR plus 2.28% (on a weighted average basis). The interest expense related to the 2024 Notes is offset by proceeds received from the interest rate swaps designated as a hedge. The swap adjusted interest expense is included as a component of interest expense on the Company’s Consolidated Statement of Operations. As of June 30, 2020 and December 31, 2019 the effective hedge interest rate swaps had a fair value of $19.3 million and ($1.8) million, respectively, which is offset within interest expense by an equal, but opposite, fair value change for the hedged risk on the 2024 Notes.</w:t>
      </w:r>
    </w:p>
    <w:p>
      <w:pPr>
        <w:spacing w:after="0" w:line="177" w:lineRule="exact"/>
        <w:rPr>
          <w:sz w:val="20"/>
          <w:szCs w:val="20"/>
          <w:color w:val="auto"/>
        </w:rPr>
      </w:pPr>
    </w:p>
    <w:p>
      <w:pPr>
        <w:ind w:right="100" w:firstLine="255"/>
        <w:spacing w:after="0" w:line="272" w:lineRule="auto"/>
        <w:rPr>
          <w:sz w:val="20"/>
          <w:szCs w:val="20"/>
          <w:color w:val="auto"/>
        </w:rPr>
      </w:pPr>
      <w:r>
        <w:rPr>
          <w:rFonts w:ascii="Arial" w:cs="Arial" w:eastAsia="Arial" w:hAnsi="Arial"/>
          <w:sz w:val="17"/>
          <w:szCs w:val="17"/>
          <w:color w:val="auto"/>
        </w:rPr>
        <w:t>During the three months ended June 30, 2020, the Company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the Company entered into a floating-to-fixed interest rate swap with a notional amount equal to the amount of 2024 Notes repurchased, which has the effect of reducing the notional exposure of the fixed-to-floating interest rate swaps, which were entered into in connection with the issuance of the 2024 Notes, to match the current principal amount of the 2024 Notes outstanding. As a result of the swap, the Company’s effective interest rate on the outstanding 2024 Notes is three-month LIBOR plus 2.28% (on a weighted average basis).</w:t>
      </w:r>
    </w:p>
    <w:p>
      <w:pPr>
        <w:spacing w:after="0" w:line="177" w:lineRule="exact"/>
        <w:rPr>
          <w:sz w:val="20"/>
          <w:szCs w:val="20"/>
          <w:color w:val="auto"/>
        </w:rPr>
      </w:pPr>
    </w:p>
    <w:p>
      <w:pPr>
        <w:ind w:right="480" w:firstLine="255"/>
        <w:spacing w:after="0" w:line="277" w:lineRule="auto"/>
        <w:rPr>
          <w:sz w:val="20"/>
          <w:szCs w:val="20"/>
          <w:color w:val="auto"/>
        </w:rPr>
      </w:pPr>
      <w:r>
        <w:rPr>
          <w:rFonts w:ascii="Arial" w:cs="Arial" w:eastAsia="Arial" w:hAnsi="Arial"/>
          <w:sz w:val="18"/>
          <w:szCs w:val="18"/>
          <w:color w:val="auto"/>
        </w:rPr>
        <w:t>For the three and six months ended June 30, 2020 and 2019, the components of interest expense related to the 2023 Notes and 2024 Notes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66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June 30, 2020</w:t>
            </w:r>
          </w:p>
        </w:tc>
        <w:tc>
          <w:tcPr>
            <w:tcW w:w="1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June 30, 2019</w:t>
            </w:r>
          </w:p>
        </w:tc>
        <w:tc>
          <w:tcPr>
            <w:tcW w:w="1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June 30, 2020</w:t>
            </w:r>
          </w:p>
        </w:tc>
        <w:tc>
          <w:tcPr>
            <w:tcW w:w="1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June 30, 2019</w:t>
            </w:r>
          </w:p>
        </w:tc>
        <w:tc>
          <w:tcPr>
            <w:tcW w:w="80" w:type="dxa"/>
            <w:vAlign w:val="bottom"/>
            <w:tcBorders>
              <w:bottom w:val="single" w:sz="8" w:color="CFF0FC"/>
            </w:tcBorders>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5,063</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9,958</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3,375</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9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1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9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5,583</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10,928</w:t>
            </w:r>
          </w:p>
        </w:tc>
        <w:tc>
          <w:tcPr>
            <w:tcW w:w="180" w:type="dxa"/>
            <w:vAlign w:val="bottom"/>
          </w:tcPr>
          <w:p>
            <w:pPr>
              <w:spacing w:after="0"/>
              <w:rPr>
                <w:sz w:val="19"/>
                <w:szCs w:val="19"/>
                <w:color w:val="auto"/>
              </w:rPr>
            </w:pPr>
          </w:p>
        </w:tc>
        <w:tc>
          <w:tcPr>
            <w:tcW w:w="50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3,698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42" w:name="page43"/>
    <w:bookmarkEnd w:id="42"/>
    <w:p>
      <w:pPr>
        <w:ind w:firstLine="255"/>
        <w:spacing w:after="0" w:line="293" w:lineRule="auto"/>
        <w:rPr>
          <w:sz w:val="20"/>
          <w:szCs w:val="20"/>
          <w:color w:val="auto"/>
        </w:rPr>
      </w:pPr>
      <w:r>
        <w:rPr>
          <w:rFonts w:ascii="Arial" w:cs="Arial" w:eastAsia="Arial" w:hAnsi="Arial"/>
          <w:sz w:val="16"/>
          <w:szCs w:val="16"/>
          <w:color w:val="auto"/>
        </w:rPr>
        <w:t>Total interest expense in the table above does not include the effect of the interest rate swaps related to the 2023 Notes and 2024 Notes. During the three and six months ended June 30, 2020 the Company received $5.1 million and $10.0 million, respectively, and paid $4.4 million and $9.4 million, respectively, related to the settlements of its interest rate swaps, excluding upfront fees, related to the 2023 and 2024 Notes. During the three and six months ended June 30, 2019 the Company received $1.7 million and $3.4 million, respectively, and paid $1.7 million and $3.5 million, respectively, related to the settlements of its interest rate swaps, excluding upfront fees, related to the 2023 and 2024 Notes. These net amounts are reflected in interest expense in the Company’s consolidated statements of operations. Please see Note 5 for further information about the Company’s interest rate swaps.</w:t>
      </w:r>
    </w:p>
    <w:p>
      <w:pPr>
        <w:spacing w:after="0" w:line="164"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As of June 30, 2020 and December 31, 2019 the components of the carrying value of the 2023 Notes and 2024 Notes and the stated interest rate were as follows: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573"/>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393"/>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14"/>
                <w:szCs w:val="14"/>
                <w:color w:val="auto"/>
              </w:rPr>
            </w:pPr>
          </w:p>
        </w:tc>
      </w:tr>
      <w:tr>
        <w:trPr>
          <w:trHeight w:val="236"/>
        </w:trPr>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2023 Notes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2024 Notes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2023 Notes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2024 Notes</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347,500</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(2,818)</w:t>
            </w: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(1,652)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(4,415)</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(1,973)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(4,057)</w:t>
            </w: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Fair value of an effective hedge</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19,289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(1,787)</w:t>
            </w:r>
          </w:p>
        </w:tc>
      </w:tr>
      <w:tr>
        <w:trPr>
          <w:trHeight w:val="223"/>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value of debt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360,757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291,338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Stated interest rate</w:t>
            </w: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3.88%</w:t>
            </w:r>
          </w:p>
        </w:tc>
      </w:tr>
    </w:tbl>
    <w:p>
      <w:pPr>
        <w:spacing w:after="0" w:line="229" w:lineRule="exact"/>
        <w:rPr>
          <w:sz w:val="20"/>
          <w:szCs w:val="20"/>
          <w:color w:val="auto"/>
        </w:rPr>
      </w:pPr>
    </w:p>
    <w:p>
      <w:pPr>
        <w:ind w:right="100" w:firstLine="255"/>
        <w:spacing w:after="0" w:line="311" w:lineRule="auto"/>
        <w:rPr>
          <w:sz w:val="20"/>
          <w:szCs w:val="20"/>
          <w:color w:val="auto"/>
        </w:rPr>
      </w:pPr>
      <w:r>
        <w:rPr>
          <w:rFonts w:ascii="Arial" w:cs="Arial" w:eastAsia="Arial" w:hAnsi="Arial"/>
          <w:sz w:val="16"/>
          <w:szCs w:val="16"/>
          <w:color w:val="auto"/>
        </w:rPr>
        <w:t>The stated interest rate in the table above does not include the effect of the interest rate swaps. As of June 30, 2020 the Company’s swap-adjusted interest rate on the 2023 Notes and 2024 Notes is three month LIBOR plus 1.99% and 2.28% (on a weighted average basis), respectively. As of December 31, 2019 the Company’s swap-adjusted interest rate on the 2023 Notes and 2024 Notes is three month LIBOR plus 1.99% and 2.25%, respectively.</w:t>
      </w:r>
    </w:p>
    <w:p>
      <w:pPr>
        <w:spacing w:after="0" w:line="149" w:lineRule="exact"/>
        <w:rPr>
          <w:sz w:val="20"/>
          <w:szCs w:val="20"/>
          <w:color w:val="auto"/>
        </w:rPr>
      </w:pPr>
    </w:p>
    <w:p>
      <w:pPr>
        <w:ind w:right="360" w:firstLine="255"/>
        <w:spacing w:after="0" w:line="277" w:lineRule="auto"/>
        <w:rPr>
          <w:sz w:val="20"/>
          <w:szCs w:val="20"/>
          <w:color w:val="auto"/>
        </w:rPr>
      </w:pPr>
      <w:r>
        <w:rPr>
          <w:rFonts w:ascii="Arial" w:cs="Arial" w:eastAsia="Arial" w:hAnsi="Arial"/>
          <w:sz w:val="18"/>
          <w:szCs w:val="18"/>
          <w:color w:val="auto"/>
        </w:rPr>
        <w:t>As of June 30, 2020 and December 31, 2019, the Company was in compliance with the terms of the indentures governing the 2023 Notes and 2024 Notes.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60" w:firstLine="255"/>
        <w:spacing w:after="0" w:line="275" w:lineRule="auto"/>
        <w:rPr>
          <w:sz w:val="20"/>
          <w:szCs w:val="20"/>
          <w:color w:val="auto"/>
        </w:rPr>
      </w:pPr>
      <w:r>
        <w:rPr>
          <w:rFonts w:ascii="Arial" w:cs="Arial" w:eastAsia="Arial" w:hAnsi="Arial"/>
          <w:sz w:val="17"/>
          <w:szCs w:val="17"/>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43" w:name="page44"/>
    <w:bookmarkEnd w:id="43"/>
    <w:p>
      <w:pPr>
        <w:ind w:left="260"/>
        <w:spacing w:after="0"/>
        <w:rPr>
          <w:sz w:val="20"/>
          <w:szCs w:val="20"/>
          <w:color w:val="auto"/>
        </w:rPr>
      </w:pPr>
      <w:r>
        <w:rPr>
          <w:rFonts w:ascii="Arial" w:cs="Arial" w:eastAsia="Arial" w:hAnsi="Arial"/>
          <w:sz w:val="17"/>
          <w:szCs w:val="17"/>
          <w:color w:val="auto"/>
        </w:rPr>
        <w:t>As of June 30, 2020 and December 31, 2019, the Company had the following commitments to fund investments in current portfolio companies: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Alpha Midco, Inc. - Delayed Draw</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AppStar Financial, LLC - Revolver</w:t>
            </w:r>
          </w:p>
        </w:tc>
        <w:tc>
          <w:tcPr>
            <w:tcW w:w="260" w:type="dxa"/>
            <w:vAlign w:val="bottom"/>
          </w:tcPr>
          <w:p>
            <w:pPr>
              <w:spacing w:after="0"/>
              <w:rPr>
                <w:sz w:val="19"/>
                <w:szCs w:val="19"/>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AvidXchange, Inc. - Delayed Draw</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5,108</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BlueSnap, Inc. – Revolver</w:t>
            </w:r>
          </w:p>
        </w:tc>
        <w:tc>
          <w:tcPr>
            <w:tcW w:w="260" w:type="dxa"/>
            <w:vAlign w:val="bottom"/>
          </w:tcPr>
          <w:p>
            <w:pPr>
              <w:spacing w:after="0"/>
              <w:rPr>
                <w:sz w:val="19"/>
                <w:szCs w:val="19"/>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ClearCompany, LLC - Delayed Draw</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Clinicient, Inc. – Revolver</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DaySmart Holdings, LLC - Delayed Draw</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17,503</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DaySmart Holdings, LLC - Revolver</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Dye &amp; Durham Corp. - Revolver</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Energy Alloys, LLC - Delayed Draw</w:t>
            </w:r>
          </w:p>
        </w:tc>
        <w:tc>
          <w:tcPr>
            <w:tcW w:w="260" w:type="dxa"/>
            <w:vAlign w:val="bottom"/>
          </w:tcPr>
          <w:p>
            <w:pPr>
              <w:spacing w:after="0"/>
              <w:rPr>
                <w:sz w:val="19"/>
                <w:szCs w:val="19"/>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Energy Alloys, LLC - Revolver</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Exela Receivables 1, LLC - Revolver</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Factor Systems, Inc. - Delayed Draw</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Ferrellgas, L.P. - Revolver</w:t>
            </w:r>
          </w:p>
        </w:tc>
        <w:tc>
          <w:tcPr>
            <w:tcW w:w="260" w:type="dxa"/>
            <w:vAlign w:val="bottom"/>
          </w:tcPr>
          <w:p>
            <w:pPr>
              <w:spacing w:after="0"/>
              <w:rPr>
                <w:sz w:val="19"/>
                <w:szCs w:val="19"/>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G Treasury SS, LLC - Delayed Draw</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Gainsight, Inc. - Delayed Draw</w:t>
            </w:r>
          </w:p>
        </w:tc>
        <w:tc>
          <w:tcPr>
            <w:tcW w:w="260" w:type="dxa"/>
            <w:vAlign w:val="bottom"/>
          </w:tcPr>
          <w:p>
            <w:pPr>
              <w:spacing w:after="0"/>
              <w:rPr>
                <w:sz w:val="19"/>
                <w:szCs w:val="19"/>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Integration Appliance, Inc. - Revolver</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IntelePeer Holdings, Inc. - Convertible Note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IntelePeer Holdings, Inc. - Delayed Draw</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IRGSE Holding Corp. - Revolver</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2,079</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J.C. Penney Company, Inc. - Delayed Draw</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Kyriba Corp. - Delayed Draw</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4,506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8,323</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Kyriba Corp. - Revolver</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Lithium Technologies, LLC - Revolver</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1,979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3,959</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Lucidworks, Inc. - Revolver</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Neiman Marcus Group Ltd LLC - Delayed Draw</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3,298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PageUp People, Ltd. - Revolver</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PayLease, LLC - Revolver</w:t>
            </w:r>
          </w:p>
        </w:tc>
        <w:tc>
          <w:tcPr>
            <w:tcW w:w="260" w:type="dxa"/>
            <w:vAlign w:val="bottom"/>
          </w:tcPr>
          <w:p>
            <w:pPr>
              <w:spacing w:after="0"/>
              <w:rPr>
                <w:sz w:val="19"/>
                <w:szCs w:val="19"/>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PayScale Holdings, Inc. - Delayed Draw</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PrimeRevenue, Inc. - Delayed Draw</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PrimeRevenue, Inc. - Revolver</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ResMan, LLC - Delayed Draw</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3,343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3,602</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ResMan, LLC - Revolver</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Sprinklr - Delayed Draw Convertible Note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TherapeuticsMD, Inc. - Delayed Draw A1</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TherapeuticsMD, Inc. - Delayed Draw A2</w:t>
            </w:r>
          </w:p>
        </w:tc>
        <w:tc>
          <w:tcPr>
            <w:tcW w:w="260" w:type="dxa"/>
            <w:vAlign w:val="bottom"/>
          </w:tcPr>
          <w:p>
            <w:pPr>
              <w:spacing w:after="0"/>
              <w:rPr>
                <w:sz w:val="19"/>
                <w:szCs w:val="19"/>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Valant Medical Solutions, Inc. - Delayed Draw</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2,564</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Valant Medical Solutions, Inc. - Revolver</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Verdad Resources Intermediate Holdings, LLC - Delayed Draw</w:t>
            </w:r>
          </w:p>
        </w:tc>
        <w:tc>
          <w:tcPr>
            <w:tcW w:w="2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7,778</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7,778</w:t>
            </w:r>
          </w:p>
        </w:tc>
        <w:tc>
          <w:tcPr>
            <w:tcW w:w="120" w:type="dxa"/>
            <w:vAlign w:val="bottom"/>
            <w:shd w:val="clear" w:color="auto" w:fill="CFF0FC"/>
          </w:tcPr>
          <w:p>
            <w:pPr>
              <w:spacing w:after="0"/>
              <w:rPr>
                <w:sz w:val="19"/>
                <w:szCs w:val="19"/>
                <w:color w:val="auto"/>
              </w:rPr>
            </w:pPr>
          </w:p>
        </w:tc>
      </w:tr>
      <w:tr>
        <w:trPr>
          <w:trHeight w:val="223"/>
        </w:trPr>
        <w:tc>
          <w:tcPr>
            <w:tcW w:w="6200" w:type="dxa"/>
            <w:vAlign w:val="bottom"/>
          </w:tcPr>
          <w:p>
            <w:pPr>
              <w:ind w:left="240"/>
              <w:spacing w:after="0"/>
              <w:rPr>
                <w:sz w:val="20"/>
                <w:szCs w:val="20"/>
                <w:color w:val="auto"/>
              </w:rPr>
            </w:pPr>
            <w:r>
              <w:rPr>
                <w:rFonts w:ascii="Arial" w:cs="Arial" w:eastAsia="Arial" w:hAnsi="Arial"/>
                <w:sz w:val="18"/>
                <w:szCs w:val="18"/>
                <w:b w:val="1"/>
                <w:bCs w:val="1"/>
                <w:color w:val="auto"/>
              </w:rPr>
              <w:t xml:space="preserve">Total Portfolio Company Commitments </w:t>
            </w:r>
            <w:r>
              <w:rPr>
                <w:rFonts w:ascii="Arial" w:cs="Arial" w:eastAsia="Arial" w:hAnsi="Arial"/>
                <w:sz w:val="15"/>
                <w:szCs w:val="15"/>
                <w:b w:val="1"/>
                <w:bCs w:val="1"/>
                <w:color w:val="auto"/>
              </w:rPr>
              <w:t>(1)</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152,426</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187,014</w:t>
            </w:r>
          </w:p>
        </w:tc>
        <w:tc>
          <w:tcPr>
            <w:tcW w:w="12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80" w:hanging="492"/>
        <w:spacing w:after="0" w:line="263"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As of June 30, 2020 the Company had an additional unfunded commitment of $65.0 million to fund investments to a new borrower that was not a current portfolio company as of June 30, 2020. As of December 31, 2019, the Company did not have any unfunded commitments to fund investments to new borrowers that were not current portfolio companies as of such date.</w:t>
      </w:r>
    </w:p>
    <w:p>
      <w:pPr>
        <w:spacing w:after="0" w:line="18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320" w:top="557" w:right="599" w:bottom="1440" w:gutter="0" w:footer="0" w:header="0"/>
        </w:sectPr>
      </w:pPr>
    </w:p>
    <w:bookmarkStart w:id="44" w:name="page45"/>
    <w:bookmarkEnd w:id="44"/>
    <w:p>
      <w:pPr>
        <w:jc w:val="both"/>
        <w:ind w:right="200" w:firstLine="255"/>
        <w:spacing w:after="0" w:line="263"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June 30, 2020 and December 31, 2019, management is not aware of any material pending or threatened litigation that would require accounting recognition or financial statement disclosure.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firstLine="255"/>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1"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six months ended June 30, 2020 and 2019. All shares issued to stockholders in the tables below are newly issued shares.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20" w:type="dxa"/>
            <w:vAlign w:val="bottom"/>
            <w:gridSpan w:val="4"/>
          </w:tcPr>
          <w:p>
            <w:pPr>
              <w:jc w:val="center"/>
              <w:ind w:left="237"/>
              <w:spacing w:after="0"/>
              <w:rPr>
                <w:sz w:val="20"/>
                <w:szCs w:val="20"/>
                <w:color w:val="auto"/>
              </w:rPr>
            </w:pPr>
            <w:r>
              <w:rPr>
                <w:rFonts w:ascii="Arial" w:cs="Arial" w:eastAsia="Arial" w:hAnsi="Arial"/>
                <w:sz w:val="14"/>
                <w:szCs w:val="14"/>
                <w:b w:val="1"/>
                <w:bCs w:val="1"/>
                <w:color w:val="auto"/>
                <w:w w:val="93"/>
              </w:rPr>
              <w:t>Six Months Ended</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jc w:val="center"/>
              <w:ind w:left="257"/>
              <w:spacing w:after="0"/>
              <w:rPr>
                <w:sz w:val="20"/>
                <w:szCs w:val="20"/>
                <w:color w:val="auto"/>
              </w:rPr>
            </w:pPr>
            <w:r>
              <w:rPr>
                <w:rFonts w:ascii="Arial" w:cs="Arial" w:eastAsia="Arial" w:hAnsi="Arial"/>
                <w:sz w:val="14"/>
                <w:szCs w:val="14"/>
                <w:b w:val="1"/>
                <w:bCs w:val="1"/>
                <w:color w:val="auto"/>
                <w:w w:val="92"/>
              </w:rPr>
              <w:t>June 30, 2020</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 xml:space="preserve">Dividend </w:t>
            </w:r>
            <w:r>
              <w:rPr>
                <w:rFonts w:ascii="Arial" w:cs="Arial" w:eastAsia="Arial" w:hAnsi="Arial"/>
                <w:sz w:val="12"/>
                <w:szCs w:val="12"/>
                <w:b w:val="1"/>
                <w:bCs w:val="1"/>
                <w:color w:val="auto"/>
                <w:w w:val="95"/>
              </w:rPr>
              <w:t>(1)</w:t>
            </w:r>
          </w:p>
        </w:tc>
        <w:tc>
          <w:tcPr>
            <w:tcW w:w="2100" w:type="dxa"/>
            <w:vAlign w:val="bottom"/>
            <w:gridSpan w:val="2"/>
          </w:tcPr>
          <w:p>
            <w:pPr>
              <w:ind w:left="6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Shares Issued</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5, 2019</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13, 2019</w:t>
            </w:r>
          </w:p>
        </w:tc>
        <w:tc>
          <w:tcPr>
            <w:tcW w:w="1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15, 2020</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194,470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February 19, 2020</w:t>
            </w:r>
          </w:p>
        </w:tc>
        <w:tc>
          <w:tcPr>
            <w:tcW w:w="12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Supplemental</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February 28, 2020</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March 31, 2020</w:t>
            </w:r>
          </w:p>
        </w:tc>
        <w:tc>
          <w:tcPr>
            <w:tcW w:w="1480" w:type="dxa"/>
            <w:vAlign w:val="bottom"/>
          </w:tcPr>
          <w:p>
            <w:pPr>
              <w:jc w:val="right"/>
              <w:spacing w:after="0"/>
              <w:rPr>
                <w:sz w:val="20"/>
                <w:szCs w:val="20"/>
                <w:color w:val="auto"/>
              </w:rPr>
            </w:pPr>
            <w:r>
              <w:rPr>
                <w:rFonts w:ascii="Arial" w:cs="Arial" w:eastAsia="Arial" w:hAnsi="Arial"/>
                <w:sz w:val="18"/>
                <w:szCs w:val="18"/>
                <w:color w:val="auto"/>
              </w:rPr>
              <w:t>57,674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Base</w:t>
            </w:r>
          </w:p>
        </w:tc>
        <w:tc>
          <w:tcPr>
            <w:tcW w:w="2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March 13, 2020</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April 15, 2020</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February 19, 2020</w:t>
            </w:r>
          </w:p>
        </w:tc>
        <w:tc>
          <w:tcPr>
            <w:tcW w:w="100" w:type="dxa"/>
            <w:vAlign w:val="bottom"/>
          </w:tcPr>
          <w:p>
            <w:pPr>
              <w:spacing w:after="0"/>
              <w:rPr>
                <w:sz w:val="19"/>
                <w:szCs w:val="19"/>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Special</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April 15, 2020</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April 30, 2020</w:t>
            </w:r>
          </w:p>
        </w:tc>
        <w:tc>
          <w:tcPr>
            <w:tcW w:w="1480" w:type="dxa"/>
            <w:vAlign w:val="bottom"/>
          </w:tcPr>
          <w:p>
            <w:pPr>
              <w:jc w:val="right"/>
              <w:spacing w:after="0"/>
              <w:rPr>
                <w:sz w:val="20"/>
                <w:szCs w:val="20"/>
                <w:color w:val="auto"/>
              </w:rPr>
            </w:pPr>
            <w:r>
              <w:rPr>
                <w:rFonts w:ascii="Arial" w:cs="Arial" w:eastAsia="Arial" w:hAnsi="Arial"/>
                <w:sz w:val="18"/>
                <w:szCs w:val="18"/>
                <w:color w:val="auto"/>
              </w:rPr>
              <w:t>193,723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Special</w:t>
            </w:r>
          </w:p>
        </w:tc>
        <w:tc>
          <w:tcPr>
            <w:tcW w:w="2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June 15, 2020</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June 30, 2020</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279,861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1,024,786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gridSpan w:val="4"/>
            <w:vMerge w:val="restart"/>
          </w:tcPr>
          <w:p>
            <w:pPr>
              <w:jc w:val="center"/>
              <w:ind w:left="237"/>
              <w:spacing w:after="0"/>
              <w:rPr>
                <w:sz w:val="20"/>
                <w:szCs w:val="20"/>
                <w:color w:val="auto"/>
              </w:rPr>
            </w:pPr>
            <w:r>
              <w:rPr>
                <w:rFonts w:ascii="Arial" w:cs="Arial" w:eastAsia="Arial" w:hAnsi="Arial"/>
                <w:sz w:val="14"/>
                <w:szCs w:val="14"/>
                <w:b w:val="1"/>
                <w:bCs w:val="1"/>
                <w:color w:val="auto"/>
                <w:w w:val="93"/>
              </w:rPr>
              <w:t>Six Months Ended</w:t>
            </w: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4"/>
            <w:vMerge w:val="continue"/>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jc w:val="center"/>
              <w:ind w:left="257"/>
              <w:spacing w:after="0"/>
              <w:rPr>
                <w:sz w:val="20"/>
                <w:szCs w:val="20"/>
                <w:color w:val="auto"/>
              </w:rPr>
            </w:pPr>
            <w:r>
              <w:rPr>
                <w:rFonts w:ascii="Arial" w:cs="Arial" w:eastAsia="Arial" w:hAnsi="Arial"/>
                <w:sz w:val="14"/>
                <w:szCs w:val="14"/>
                <w:b w:val="1"/>
                <w:bCs w:val="1"/>
                <w:color w:val="auto"/>
                <w:w w:val="92"/>
              </w:rPr>
              <w:t>June 30, 2019</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 xml:space="preserve">Dividend </w:t>
            </w:r>
            <w:r>
              <w:rPr>
                <w:rFonts w:ascii="Arial" w:cs="Arial" w:eastAsia="Arial" w:hAnsi="Arial"/>
                <w:sz w:val="12"/>
                <w:szCs w:val="12"/>
                <w:b w:val="1"/>
                <w:bCs w:val="1"/>
                <w:color w:val="auto"/>
                <w:w w:val="95"/>
              </w:rPr>
              <w:t>(1)</w:t>
            </w:r>
          </w:p>
        </w:tc>
        <w:tc>
          <w:tcPr>
            <w:tcW w:w="2100" w:type="dxa"/>
            <w:vAlign w:val="bottom"/>
            <w:gridSpan w:val="2"/>
          </w:tcPr>
          <w:p>
            <w:pPr>
              <w:ind w:left="6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Shares Issued</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6, 2018</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14, 2018</w:t>
            </w:r>
          </w:p>
        </w:tc>
        <w:tc>
          <w:tcPr>
            <w:tcW w:w="1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15, 2019</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212,818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February 20, 2019</w:t>
            </w:r>
          </w:p>
        </w:tc>
        <w:tc>
          <w:tcPr>
            <w:tcW w:w="12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Supplemental</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February 28, 2019</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March 29, 2019</w:t>
            </w:r>
          </w:p>
        </w:tc>
        <w:tc>
          <w:tcPr>
            <w:tcW w:w="1480" w:type="dxa"/>
            <w:vAlign w:val="bottom"/>
          </w:tcPr>
          <w:p>
            <w:pPr>
              <w:jc w:val="right"/>
              <w:spacing w:after="0"/>
              <w:rPr>
                <w:sz w:val="20"/>
                <w:szCs w:val="20"/>
                <w:color w:val="auto"/>
              </w:rPr>
            </w:pPr>
            <w:r>
              <w:rPr>
                <w:rFonts w:ascii="Arial" w:cs="Arial" w:eastAsia="Arial" w:hAnsi="Arial"/>
                <w:sz w:val="18"/>
                <w:szCs w:val="18"/>
                <w:color w:val="auto"/>
              </w:rPr>
              <w:t>87,327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February 20, 2019</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Base</w:t>
            </w:r>
          </w:p>
        </w:tc>
        <w:tc>
          <w:tcPr>
            <w:tcW w:w="2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March 15, 2019</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April 15, 2019</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318,114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May 2, 2019</w:t>
            </w:r>
          </w:p>
        </w:tc>
        <w:tc>
          <w:tcPr>
            <w:tcW w:w="1220" w:type="dxa"/>
            <w:vAlign w:val="bottom"/>
            <w:tcBorders>
              <w:bottom w:val="single" w:sz="8" w:color="CFF0FC"/>
            </w:tcBorders>
            <w:gridSpan w:val="3"/>
          </w:tcPr>
          <w:p>
            <w:pPr>
              <w:jc w:val="center"/>
              <w:ind w:right="20"/>
              <w:spacing w:after="0"/>
              <w:rPr>
                <w:sz w:val="20"/>
                <w:szCs w:val="20"/>
                <w:color w:val="auto"/>
              </w:rPr>
            </w:pPr>
            <w:r>
              <w:rPr>
                <w:rFonts w:ascii="Arial" w:cs="Arial" w:eastAsia="Arial" w:hAnsi="Arial"/>
                <w:sz w:val="18"/>
                <w:szCs w:val="18"/>
                <w:color w:val="auto"/>
                <w:w w:val="90"/>
              </w:rPr>
              <w:t>Supplemental</w:t>
            </w:r>
          </w:p>
        </w:tc>
        <w:tc>
          <w:tcPr>
            <w:tcW w:w="210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May 31, 2019</w:t>
            </w:r>
          </w:p>
        </w:tc>
        <w:tc>
          <w:tcPr>
            <w:tcW w:w="192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June 28, 2019</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9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625,473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 Note 11 for further information on base, supplemental, and special dividends.</w:t>
      </w:r>
    </w:p>
    <w:p>
      <w:pPr>
        <w:spacing w:after="0" w:line="225"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May 5, 2020. The amount and timing of stock repurchases under the program may vary depending on market conditions, and no assurance can be given that any particular amount of common stock will be repurchased.</w:t>
      </w:r>
    </w:p>
    <w:p>
      <w:pPr>
        <w:spacing w:after="0" w:line="157"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During the six months ended June 30, 2020, the Company repurchased 206,964 shares at a weighted average price per share of $14.17 inclusive of commissions, for a total cost of $2.9 million. No shares were repurchased during the three months ended June 30, 2020, or during the three and six months ended June 30, 2019.</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ind w:left="280" w:hanging="272"/>
        <w:spacing w:after="0"/>
        <w:tabs>
          <w:tab w:leader="none" w:pos="2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360" w:type="dxa"/>
            <w:vAlign w:val="bottom"/>
            <w:gridSpan w:val="5"/>
          </w:tcPr>
          <w:p>
            <w:pPr>
              <w:ind w:left="50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28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2"/>
              </w:rPr>
              <w:t>June 30, 2020</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w w:val="92"/>
              </w:rPr>
              <w:t>June 30, 2019</w:t>
            </w:r>
          </w:p>
        </w:tc>
        <w:tc>
          <w:tcPr>
            <w:tcW w:w="1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2"/>
              </w:rPr>
              <w:t>June 30, 2020</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w w:val="92"/>
              </w:rPr>
              <w:t>June 30, 2019</w:t>
            </w:r>
          </w:p>
        </w:tc>
        <w:tc>
          <w:tcPr>
            <w:tcW w:w="80" w:type="dxa"/>
            <w:vAlign w:val="bottom"/>
            <w:tcBorders>
              <w:bottom w:val="single" w:sz="8" w:color="CFF0FC"/>
            </w:tcBorders>
          </w:tcPr>
          <w:p>
            <w:pPr>
              <w:spacing w:after="0"/>
              <w:rPr>
                <w:sz w:val="13"/>
                <w:szCs w:val="13"/>
                <w:color w:val="auto"/>
              </w:rPr>
            </w:pPr>
          </w:p>
        </w:tc>
      </w:tr>
      <w:tr>
        <w:trPr>
          <w:trHeight w:val="209"/>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from operations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95,870</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47,795</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42,771</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86,541</w:t>
            </w:r>
          </w:p>
        </w:tc>
        <w:tc>
          <w:tcPr>
            <w:tcW w:w="80" w:type="dxa"/>
            <w:vAlign w:val="bottom"/>
            <w:shd w:val="clear" w:color="auto" w:fill="CFF0FC"/>
          </w:tcPr>
          <w:p>
            <w:pPr>
              <w:spacing w:after="0"/>
              <w:rPr>
                <w:sz w:val="20"/>
                <w:szCs w:val="20"/>
                <w:color w:val="auto"/>
              </w:rPr>
            </w:pPr>
          </w:p>
        </w:tc>
      </w:tr>
      <w:tr>
        <w:trPr>
          <w:trHeight w:val="215"/>
        </w:trPr>
        <w:tc>
          <w:tcPr>
            <w:tcW w:w="2820" w:type="dxa"/>
            <w:vAlign w:val="bottom"/>
          </w:tcPr>
          <w:p>
            <w:pPr>
              <w:spacing w:after="0"/>
              <w:rPr>
                <w:sz w:val="20"/>
                <w:szCs w:val="20"/>
                <w:color w:val="auto"/>
              </w:rPr>
            </w:pPr>
            <w:r>
              <w:rPr>
                <w:rFonts w:ascii="Arial" w:cs="Arial" w:eastAsia="Arial" w:hAnsi="Arial"/>
                <w:sz w:val="18"/>
                <w:szCs w:val="18"/>
                <w:color w:val="auto"/>
              </w:rPr>
              <w:t>Weighted average shares of</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20" w:type="dxa"/>
            <w:vAlign w:val="bottom"/>
          </w:tcPr>
          <w:p>
            <w:pPr>
              <w:ind w:left="140"/>
              <w:spacing w:after="0"/>
              <w:rPr>
                <w:sz w:val="20"/>
                <w:szCs w:val="20"/>
                <w:color w:val="auto"/>
              </w:rPr>
            </w:pPr>
            <w:r>
              <w:rPr>
                <w:rFonts w:ascii="Arial" w:cs="Arial" w:eastAsia="Arial" w:hAnsi="Arial"/>
                <w:sz w:val="18"/>
                <w:szCs w:val="18"/>
                <w:color w:val="auto"/>
              </w:rPr>
              <w:t>common stock outstanding</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82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66,957,883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65,982,373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66,807,081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65,789,976</w:t>
            </w:r>
          </w:p>
        </w:tc>
        <w:tc>
          <w:tcPr>
            <w:tcW w:w="80" w:type="dxa"/>
            <w:vAlign w:val="bottom"/>
          </w:tcPr>
          <w:p>
            <w:pPr>
              <w:spacing w:after="0"/>
              <w:rPr>
                <w:sz w:val="20"/>
                <w:szCs w:val="20"/>
                <w:color w:val="auto"/>
              </w:rPr>
            </w:pPr>
          </w:p>
        </w:tc>
      </w:tr>
      <w:tr>
        <w:trPr>
          <w:trHeight w:val="215"/>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0.64</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FF0FC"/>
          </w:tcPr>
          <w:p>
            <w:pPr>
              <w:spacing w:after="0"/>
              <w:rPr>
                <w:sz w:val="20"/>
                <w:szCs w:val="20"/>
                <w:color w:val="auto"/>
              </w:rPr>
            </w:pPr>
          </w:p>
        </w:tc>
      </w:tr>
    </w:tbl>
    <w:p>
      <w:pPr>
        <w:spacing w:after="0" w:line="242" w:lineRule="exact"/>
        <w:rPr>
          <w:sz w:val="20"/>
          <w:szCs w:val="20"/>
          <w:color w:val="auto"/>
        </w:rPr>
      </w:pPr>
    </w:p>
    <w:p>
      <w:pPr>
        <w:ind w:firstLine="255"/>
        <w:spacing w:after="0" w:line="279" w:lineRule="auto"/>
        <w:rPr>
          <w:sz w:val="20"/>
          <w:szCs w:val="20"/>
          <w:color w:val="auto"/>
        </w:rPr>
      </w:pPr>
      <w:r>
        <w:rPr>
          <w:rFonts w:ascii="Arial" w:cs="Arial" w:eastAsia="Arial" w:hAnsi="Arial"/>
          <w:sz w:val="17"/>
          <w:szCs w:val="17"/>
          <w:color w:val="auto"/>
        </w:rPr>
        <w:t>For the purpose of calculating diluted earnings per common share, the average daily closing price of the Company’s common stock for the three and six months ended June 30, 2020 was less than the estimated adjusted conversion price for the 2022 Convertible Notes outstanding as of June 30, 2020. Therefore, for all periods presented in the consolidated financial statements, the underlying shares for the intrinsic value of the embedded options in the 2022 Convertible Notes have no impact on the computation of diluted earnings per common share.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right="640" w:firstLine="255"/>
        <w:spacing w:after="0" w:line="342" w:lineRule="auto"/>
        <w:rPr>
          <w:sz w:val="20"/>
          <w:szCs w:val="20"/>
          <w:color w:val="auto"/>
        </w:rPr>
      </w:pPr>
      <w:r>
        <w:rPr>
          <w:rFonts w:ascii="Arial" w:cs="Arial" w:eastAsia="Arial" w:hAnsi="Arial"/>
          <w:sz w:val="16"/>
          <w:szCs w:val="16"/>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dividends declared during the six months ended June 30, 2020 and 2019:</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gridSpan w:val="5"/>
          </w:tcPr>
          <w:p>
            <w:pPr>
              <w:jc w:val="center"/>
              <w:ind w:left="77"/>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5"/>
          </w:tcPr>
          <w:p>
            <w:pPr>
              <w:jc w:val="center"/>
              <w:ind w:left="97"/>
              <w:spacing w:after="0"/>
              <w:rPr>
                <w:sz w:val="20"/>
                <w:szCs w:val="20"/>
                <w:color w:val="auto"/>
              </w:rPr>
            </w:pPr>
            <w:r>
              <w:rPr>
                <w:rFonts w:ascii="Arial" w:cs="Arial" w:eastAsia="Arial" w:hAnsi="Arial"/>
                <w:sz w:val="14"/>
                <w:szCs w:val="14"/>
                <w:b w:val="1"/>
                <w:bCs w:val="1"/>
                <w:color w:val="auto"/>
                <w:w w:val="92"/>
              </w:rPr>
              <w:t>June 30, 2020</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jc w:val="center"/>
              <w:ind w:right="180"/>
              <w:spacing w:after="0" w:line="155" w:lineRule="exact"/>
              <w:rPr>
                <w:sz w:val="20"/>
                <w:szCs w:val="20"/>
                <w:color w:val="auto"/>
              </w:rPr>
            </w:pPr>
            <w:r>
              <w:rPr>
                <w:rFonts w:ascii="Arial" w:cs="Arial" w:eastAsia="Arial" w:hAnsi="Arial"/>
                <w:sz w:val="14"/>
                <w:szCs w:val="14"/>
                <w:b w:val="1"/>
                <w:bCs w:val="1"/>
                <w:color w:val="auto"/>
                <w:w w:val="94"/>
              </w:rPr>
              <w:t>Dividend</w:t>
            </w:r>
          </w:p>
        </w:tc>
        <w:tc>
          <w:tcPr>
            <w:tcW w:w="20" w:type="dxa"/>
            <w:vAlign w:val="bottom"/>
          </w:tcPr>
          <w:p>
            <w:pPr>
              <w:spacing w:after="0"/>
              <w:rPr>
                <w:sz w:val="13"/>
                <w:szCs w:val="13"/>
                <w:color w:val="auto"/>
              </w:rPr>
            </w:pPr>
          </w:p>
        </w:tc>
        <w:tc>
          <w:tcPr>
            <w:tcW w:w="1820" w:type="dxa"/>
            <w:vAlign w:val="bottom"/>
            <w:gridSpan w:val="3"/>
          </w:tcPr>
          <w:p>
            <w:pPr>
              <w:ind w:left="440"/>
              <w:spacing w:after="0" w:line="155" w:lineRule="exact"/>
              <w:rPr>
                <w:sz w:val="20"/>
                <w:szCs w:val="20"/>
                <w:color w:val="auto"/>
              </w:rPr>
            </w:pPr>
            <w:r>
              <w:rPr>
                <w:rFonts w:ascii="Arial" w:cs="Arial" w:eastAsia="Arial" w:hAnsi="Arial"/>
                <w:sz w:val="14"/>
                <w:szCs w:val="14"/>
                <w:b w:val="1"/>
                <w:bCs w:val="1"/>
                <w:color w:val="auto"/>
              </w:rPr>
              <w:t>Record Date</w:t>
            </w:r>
          </w:p>
        </w:tc>
        <w:tc>
          <w:tcPr>
            <w:tcW w:w="20" w:type="dxa"/>
            <w:vAlign w:val="bottom"/>
          </w:tcPr>
          <w:p>
            <w:pPr>
              <w:spacing w:after="0"/>
              <w:rPr>
                <w:sz w:val="13"/>
                <w:szCs w:val="13"/>
                <w:color w:val="auto"/>
              </w:rPr>
            </w:pPr>
          </w:p>
        </w:tc>
        <w:tc>
          <w:tcPr>
            <w:tcW w:w="1820" w:type="dxa"/>
            <w:vAlign w:val="bottom"/>
          </w:tcPr>
          <w:p>
            <w:pPr>
              <w:jc w:val="right"/>
              <w:ind w:right="413"/>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89"/>
              </w:rPr>
              <w:t>Supplemental</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28, 2020</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2020</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February 19, 2020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8"/>
                <w:szCs w:val="18"/>
                <w:color w:val="auto"/>
                <w:w w:val="82"/>
              </w:rPr>
              <w:t>Base</w:t>
            </w:r>
          </w:p>
        </w:tc>
        <w:tc>
          <w:tcPr>
            <w:tcW w:w="20" w:type="dxa"/>
            <w:vAlign w:val="bottom"/>
          </w:tcPr>
          <w:p>
            <w:pPr>
              <w:spacing w:after="0"/>
              <w:rPr>
                <w:sz w:val="19"/>
                <w:szCs w:val="19"/>
                <w:color w:val="auto"/>
              </w:rPr>
            </w:pPr>
          </w:p>
        </w:tc>
        <w:tc>
          <w:tcPr>
            <w:tcW w:w="1820" w:type="dxa"/>
            <w:vAlign w:val="bottom"/>
            <w:gridSpan w:val="3"/>
          </w:tcPr>
          <w:p>
            <w:pPr>
              <w:jc w:val="right"/>
              <w:ind w:right="120"/>
              <w:spacing w:after="0"/>
              <w:rPr>
                <w:sz w:val="20"/>
                <w:szCs w:val="20"/>
                <w:color w:val="auto"/>
              </w:rPr>
            </w:pPr>
            <w:r>
              <w:rPr>
                <w:rFonts w:ascii="Arial" w:cs="Arial" w:eastAsia="Arial" w:hAnsi="Arial"/>
                <w:sz w:val="18"/>
                <w:szCs w:val="18"/>
                <w:color w:val="auto"/>
              </w:rPr>
              <w:t>March 13, 2020</w:t>
            </w:r>
          </w:p>
        </w:tc>
        <w:tc>
          <w:tcPr>
            <w:tcW w:w="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April 15, 2020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center"/>
              <w:ind w:right="160"/>
              <w:spacing w:after="0"/>
              <w:rPr>
                <w:sz w:val="20"/>
                <w:szCs w:val="20"/>
                <w:color w:val="auto"/>
              </w:rPr>
            </w:pPr>
            <w:r>
              <w:rPr>
                <w:rFonts w:ascii="Arial" w:cs="Arial" w:eastAsia="Arial" w:hAnsi="Arial"/>
                <w:sz w:val="18"/>
                <w:szCs w:val="18"/>
                <w:color w:val="auto"/>
                <w:w w:val="91"/>
              </w:rPr>
              <w:t>Special</w:t>
            </w:r>
          </w:p>
        </w:tc>
        <w:tc>
          <w:tcPr>
            <w:tcW w:w="20" w:type="dxa"/>
            <w:vAlign w:val="bottom"/>
            <w:shd w:val="clear" w:color="auto" w:fill="CFF0FC"/>
          </w:tcPr>
          <w:p>
            <w:pPr>
              <w:spacing w:after="0"/>
              <w:rPr>
                <w:sz w:val="19"/>
                <w:szCs w:val="19"/>
                <w:color w:val="auto"/>
              </w:rPr>
            </w:pPr>
          </w:p>
        </w:tc>
        <w:tc>
          <w:tcPr>
            <w:tcW w:w="18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April 15, 2020</w:t>
            </w:r>
          </w:p>
        </w:tc>
        <w:tc>
          <w:tcPr>
            <w:tcW w:w="2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April 30, 2020</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February 19, 2020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Special</w:t>
            </w:r>
          </w:p>
        </w:tc>
        <w:tc>
          <w:tcPr>
            <w:tcW w:w="20" w:type="dxa"/>
            <w:vAlign w:val="bottom"/>
          </w:tcPr>
          <w:p>
            <w:pPr>
              <w:spacing w:after="0"/>
              <w:rPr>
                <w:sz w:val="19"/>
                <w:szCs w:val="19"/>
                <w:color w:val="auto"/>
              </w:rPr>
            </w:pPr>
          </w:p>
        </w:tc>
        <w:tc>
          <w:tcPr>
            <w:tcW w:w="1820" w:type="dxa"/>
            <w:vAlign w:val="bottom"/>
            <w:gridSpan w:val="3"/>
          </w:tcPr>
          <w:p>
            <w:pPr>
              <w:jc w:val="right"/>
              <w:ind w:right="120"/>
              <w:spacing w:after="0"/>
              <w:rPr>
                <w:sz w:val="20"/>
                <w:szCs w:val="20"/>
                <w:color w:val="auto"/>
              </w:rPr>
            </w:pPr>
            <w:r>
              <w:rPr>
                <w:rFonts w:ascii="Arial" w:cs="Arial" w:eastAsia="Arial" w:hAnsi="Arial"/>
                <w:sz w:val="18"/>
                <w:szCs w:val="18"/>
                <w:color w:val="auto"/>
              </w:rPr>
              <w:t>June 15, 2020</w:t>
            </w:r>
          </w:p>
        </w:tc>
        <w:tc>
          <w:tcPr>
            <w:tcW w:w="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June 30, 2020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May 5, 2020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center"/>
              <w:ind w:right="160"/>
              <w:spacing w:after="0"/>
              <w:rPr>
                <w:sz w:val="20"/>
                <w:szCs w:val="20"/>
                <w:color w:val="auto"/>
              </w:rPr>
            </w:pPr>
            <w:r>
              <w:rPr>
                <w:rFonts w:ascii="Arial" w:cs="Arial" w:eastAsia="Arial" w:hAnsi="Arial"/>
                <w:sz w:val="18"/>
                <w:szCs w:val="18"/>
                <w:color w:val="auto"/>
                <w:w w:val="82"/>
              </w:rPr>
              <w:t>Base</w:t>
            </w:r>
          </w:p>
        </w:tc>
        <w:tc>
          <w:tcPr>
            <w:tcW w:w="20" w:type="dxa"/>
            <w:vAlign w:val="bottom"/>
            <w:shd w:val="clear" w:color="auto" w:fill="CFF0FC"/>
          </w:tcPr>
          <w:p>
            <w:pPr>
              <w:spacing w:after="0"/>
              <w:rPr>
                <w:sz w:val="19"/>
                <w:szCs w:val="19"/>
                <w:color w:val="auto"/>
              </w:rPr>
            </w:pPr>
          </w:p>
        </w:tc>
        <w:tc>
          <w:tcPr>
            <w:tcW w:w="18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June 15, 2020</w:t>
            </w:r>
          </w:p>
        </w:tc>
        <w:tc>
          <w:tcPr>
            <w:tcW w:w="2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July 15, 2020</w:t>
            </w:r>
          </w:p>
        </w:tc>
        <w:tc>
          <w:tcPr>
            <w:tcW w:w="1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gridSpan w:val="5"/>
            <w:vMerge w:val="restart"/>
          </w:tcPr>
          <w:p>
            <w:pPr>
              <w:jc w:val="center"/>
              <w:ind w:left="97"/>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5"/>
          </w:tcPr>
          <w:p>
            <w:pPr>
              <w:jc w:val="center"/>
              <w:ind w:left="97"/>
              <w:spacing w:after="0"/>
              <w:rPr>
                <w:sz w:val="20"/>
                <w:szCs w:val="20"/>
                <w:color w:val="auto"/>
              </w:rPr>
            </w:pPr>
            <w:r>
              <w:rPr>
                <w:rFonts w:ascii="Arial" w:cs="Arial" w:eastAsia="Arial" w:hAnsi="Arial"/>
                <w:sz w:val="14"/>
                <w:szCs w:val="14"/>
                <w:b w:val="1"/>
                <w:bCs w:val="1"/>
                <w:color w:val="auto"/>
                <w:w w:val="92"/>
              </w:rPr>
              <w:t>June 30, 2019</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4"/>
              </w:rPr>
              <w:t>Dividend</w:t>
            </w:r>
          </w:p>
        </w:tc>
        <w:tc>
          <w:tcPr>
            <w:tcW w:w="20" w:type="dxa"/>
            <w:vAlign w:val="bottom"/>
          </w:tcPr>
          <w:p>
            <w:pPr>
              <w:spacing w:after="0"/>
              <w:rPr>
                <w:sz w:val="13"/>
                <w:szCs w:val="13"/>
                <w:color w:val="auto"/>
              </w:rPr>
            </w:pPr>
          </w:p>
        </w:tc>
        <w:tc>
          <w:tcPr>
            <w:tcW w:w="1820" w:type="dxa"/>
            <w:vAlign w:val="bottom"/>
            <w:gridSpan w:val="3"/>
          </w:tcPr>
          <w:p>
            <w:pPr>
              <w:ind w:left="460"/>
              <w:spacing w:after="0" w:line="155" w:lineRule="exact"/>
              <w:rPr>
                <w:sz w:val="20"/>
                <w:szCs w:val="20"/>
                <w:color w:val="auto"/>
              </w:rPr>
            </w:pPr>
            <w:r>
              <w:rPr>
                <w:rFonts w:ascii="Arial" w:cs="Arial" w:eastAsia="Arial" w:hAnsi="Arial"/>
                <w:sz w:val="14"/>
                <w:szCs w:val="14"/>
                <w:b w:val="1"/>
                <w:bCs w:val="1"/>
                <w:color w:val="auto"/>
              </w:rPr>
              <w:t>Record Date</w:t>
            </w:r>
          </w:p>
        </w:tc>
        <w:tc>
          <w:tcPr>
            <w:tcW w:w="20" w:type="dxa"/>
            <w:vAlign w:val="bottom"/>
          </w:tcPr>
          <w:p>
            <w:pPr>
              <w:spacing w:after="0"/>
              <w:rPr>
                <w:sz w:val="13"/>
                <w:szCs w:val="13"/>
                <w:color w:val="auto"/>
              </w:rPr>
            </w:pPr>
          </w:p>
        </w:tc>
        <w:tc>
          <w:tcPr>
            <w:tcW w:w="1820" w:type="dxa"/>
            <w:vAlign w:val="bottom"/>
          </w:tcPr>
          <w:p>
            <w:pPr>
              <w:jc w:val="right"/>
              <w:ind w:right="393"/>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20, 2019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89"/>
              </w:rPr>
              <w:t>Supplemental</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February 28, 2019</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29, 2019</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February 20, 2019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Base</w:t>
            </w:r>
          </w:p>
        </w:tc>
        <w:tc>
          <w:tcPr>
            <w:tcW w:w="20" w:type="dxa"/>
            <w:vAlign w:val="bottom"/>
          </w:tcPr>
          <w:p>
            <w:pPr>
              <w:spacing w:after="0"/>
              <w:rPr>
                <w:sz w:val="19"/>
                <w:szCs w:val="19"/>
                <w:color w:val="auto"/>
              </w:rPr>
            </w:pPr>
          </w:p>
        </w:tc>
        <w:tc>
          <w:tcPr>
            <w:tcW w:w="1820" w:type="dxa"/>
            <w:vAlign w:val="bottom"/>
            <w:gridSpan w:val="3"/>
          </w:tcPr>
          <w:p>
            <w:pPr>
              <w:jc w:val="right"/>
              <w:ind w:right="100"/>
              <w:spacing w:after="0"/>
              <w:rPr>
                <w:sz w:val="20"/>
                <w:szCs w:val="20"/>
                <w:color w:val="auto"/>
              </w:rPr>
            </w:pPr>
            <w:r>
              <w:rPr>
                <w:rFonts w:ascii="Arial" w:cs="Arial" w:eastAsia="Arial" w:hAnsi="Arial"/>
                <w:sz w:val="18"/>
                <w:szCs w:val="18"/>
                <w:color w:val="auto"/>
              </w:rPr>
              <w:t>March 15, 2019</w:t>
            </w:r>
          </w:p>
        </w:tc>
        <w:tc>
          <w:tcPr>
            <w:tcW w:w="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April 15, 2019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May 2, 2019</w:t>
            </w:r>
          </w:p>
        </w:tc>
        <w:tc>
          <w:tcPr>
            <w:tcW w:w="30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center"/>
              <w:ind w:right="120"/>
              <w:spacing w:after="0"/>
              <w:rPr>
                <w:sz w:val="20"/>
                <w:szCs w:val="20"/>
                <w:color w:val="auto"/>
              </w:rPr>
            </w:pPr>
            <w:r>
              <w:rPr>
                <w:rFonts w:ascii="Arial" w:cs="Arial" w:eastAsia="Arial" w:hAnsi="Arial"/>
                <w:sz w:val="18"/>
                <w:szCs w:val="18"/>
                <w:color w:val="auto"/>
                <w:w w:val="90"/>
              </w:rPr>
              <w:t>Supplemental</w:t>
            </w:r>
          </w:p>
        </w:tc>
        <w:tc>
          <w:tcPr>
            <w:tcW w:w="20" w:type="dxa"/>
            <w:vAlign w:val="bottom"/>
            <w:shd w:val="clear" w:color="auto" w:fill="CFF0FC"/>
          </w:tcPr>
          <w:p>
            <w:pPr>
              <w:spacing w:after="0"/>
              <w:rPr>
                <w:sz w:val="19"/>
                <w:szCs w:val="19"/>
                <w:color w:val="auto"/>
              </w:rPr>
            </w:pPr>
          </w:p>
        </w:tc>
        <w:tc>
          <w:tcPr>
            <w:tcW w:w="18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May 31, 2019</w:t>
            </w:r>
          </w:p>
        </w:tc>
        <w:tc>
          <w:tcPr>
            <w:tcW w:w="2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June 28, 2019</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May 2, 2019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gridSpan w:val="3"/>
          </w:tcPr>
          <w:p>
            <w:pPr>
              <w:jc w:val="center"/>
              <w:ind w:right="140"/>
              <w:spacing w:after="0"/>
              <w:rPr>
                <w:sz w:val="20"/>
                <w:szCs w:val="20"/>
                <w:color w:val="auto"/>
              </w:rPr>
            </w:pPr>
            <w:r>
              <w:rPr>
                <w:rFonts w:ascii="Arial" w:cs="Arial" w:eastAsia="Arial" w:hAnsi="Arial"/>
                <w:sz w:val="18"/>
                <w:szCs w:val="18"/>
                <w:color w:val="auto"/>
                <w:w w:val="87"/>
              </w:rPr>
              <w:t>Base</w:t>
            </w:r>
          </w:p>
        </w:tc>
        <w:tc>
          <w:tcPr>
            <w:tcW w:w="20" w:type="dxa"/>
            <w:vAlign w:val="bottom"/>
            <w:tcBorders>
              <w:bottom w:val="single" w:sz="8" w:color="CFF0FC"/>
            </w:tcBorders>
          </w:tcPr>
          <w:p>
            <w:pPr>
              <w:spacing w:after="0"/>
              <w:rPr>
                <w:sz w:val="19"/>
                <w:szCs w:val="19"/>
                <w:color w:val="auto"/>
              </w:rPr>
            </w:pPr>
          </w:p>
        </w:tc>
        <w:tc>
          <w:tcPr>
            <w:tcW w:w="1820" w:type="dxa"/>
            <w:vAlign w:val="bottom"/>
            <w:tcBorders>
              <w:bottom w:val="single" w:sz="8" w:color="CFF0FC"/>
            </w:tcBorders>
            <w:gridSpan w:val="3"/>
          </w:tcPr>
          <w:p>
            <w:pPr>
              <w:jc w:val="right"/>
              <w:ind w:right="100"/>
              <w:spacing w:after="0"/>
              <w:rPr>
                <w:sz w:val="20"/>
                <w:szCs w:val="20"/>
                <w:color w:val="auto"/>
              </w:rPr>
            </w:pPr>
            <w:r>
              <w:rPr>
                <w:rFonts w:ascii="Arial" w:cs="Arial" w:eastAsia="Arial" w:hAnsi="Arial"/>
                <w:sz w:val="18"/>
                <w:szCs w:val="18"/>
                <w:color w:val="auto"/>
              </w:rPr>
              <w:t>June 14, 2019</w:t>
            </w:r>
          </w:p>
        </w:tc>
        <w:tc>
          <w:tcPr>
            <w:tcW w:w="20" w:type="dxa"/>
            <w:vAlign w:val="bottom"/>
            <w:tcBorders>
              <w:bottom w:val="single" w:sz="8" w:color="CFF0FC"/>
            </w:tcBorders>
          </w:tcPr>
          <w:p>
            <w:pPr>
              <w:spacing w:after="0"/>
              <w:rPr>
                <w:sz w:val="19"/>
                <w:szCs w:val="19"/>
                <w:color w:val="auto"/>
              </w:rPr>
            </w:pPr>
          </w:p>
        </w:tc>
        <w:tc>
          <w:tcPr>
            <w:tcW w:w="18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July 15, 2019</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The dividends declared during the three and six months ended June 30, 2020 and 2019 were derived from net investment income, determined on a tax basis.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12. Financial Highlights</w:t>
      </w:r>
    </w:p>
    <w:p>
      <w:pPr>
        <w:spacing w:after="0" w:line="121" w:lineRule="exact"/>
        <w:rPr>
          <w:sz w:val="20"/>
          <w:szCs w:val="20"/>
          <w:color w:val="auto"/>
        </w:rPr>
      </w:pPr>
    </w:p>
    <w:p>
      <w:pPr>
        <w:ind w:right="240" w:firstLine="255"/>
        <w:spacing w:after="0" w:line="277"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stock outstanding during the six months ended June 30, 2020 and 2019.</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(6)</w:t>
            </w:r>
          </w:p>
        </w:tc>
        <w:tc>
          <w:tcPr>
            <w:tcW w:w="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1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16.83</w:t>
            </w:r>
          </w:p>
        </w:tc>
        <w:tc>
          <w:tcPr>
            <w:tcW w:w="300" w:type="dxa"/>
            <w:vAlign w:val="bottom"/>
          </w:tcPr>
          <w:p>
            <w:pPr>
              <w:spacing w:after="0"/>
              <w:rPr>
                <w:sz w:val="19"/>
                <w:szCs w:val="19"/>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16.25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6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0.88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Net realized and unrealized</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gain (loss) </w:t>
            </w:r>
            <w:r>
              <w:rPr>
                <w:rFonts w:ascii="Arial" w:cs="Arial" w:eastAsia="Arial" w:hAnsi="Arial"/>
                <w:sz w:val="15"/>
                <w:szCs w:val="15"/>
                <w:color w:val="auto"/>
              </w:rPr>
              <w:t>(1)</w:t>
            </w: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Total from operations</w:t>
            </w:r>
          </w:p>
        </w:tc>
        <w:tc>
          <w:tcPr>
            <w:tcW w:w="9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offering costs </w:t>
            </w:r>
            <w:r>
              <w:rPr>
                <w:rFonts w:ascii="Arial" w:cs="Arial" w:eastAsia="Arial" w:hAnsi="Arial"/>
                <w:sz w:val="15"/>
                <w:szCs w:val="15"/>
                <w:color w:val="auto"/>
              </w:rPr>
              <w:t>(2)</w:t>
            </w: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 xml:space="preserve">Repurchase of common stock </w:t>
            </w:r>
            <w:r>
              <w:rPr>
                <w:rFonts w:ascii="Arial" w:cs="Arial" w:eastAsia="Arial" w:hAnsi="Arial"/>
                <w:sz w:val="15"/>
                <w:szCs w:val="15"/>
                <w:color w:val="auto"/>
              </w:rPr>
              <w:t>(2)</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Repurchase of debt </w:t>
            </w:r>
            <w:r>
              <w:rPr>
                <w:rFonts w:ascii="Arial" w:cs="Arial" w:eastAsia="Arial" w:hAnsi="Arial"/>
                <w:sz w:val="15"/>
                <w:szCs w:val="15"/>
                <w:color w:val="auto"/>
              </w:rPr>
              <w:t>(2)</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Dividends declared from net</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5"/>
                <w:szCs w:val="15"/>
                <w:color w:val="auto"/>
              </w:rPr>
              <w:t>(2)</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increase (decrease) in net</w:t>
            </w:r>
          </w:p>
        </w:tc>
        <w:tc>
          <w:tcPr>
            <w:tcW w:w="9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assets</w:t>
            </w: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(0.75)</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Net Asset Value, End of Period</w:t>
            </w:r>
          </w:p>
        </w:tc>
        <w:tc>
          <w:tcPr>
            <w:tcW w:w="92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 share market value at end of</w:t>
            </w:r>
          </w:p>
        </w:tc>
        <w:tc>
          <w:tcPr>
            <w:tcW w:w="9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period</w:t>
            </w:r>
          </w:p>
        </w:tc>
        <w:tc>
          <w:tcPr>
            <w:tcW w:w="11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w:t>
            </w:r>
          </w:p>
        </w:tc>
        <w:tc>
          <w:tcPr>
            <w:tcW w:w="30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(16.77)%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Total return based on net asset</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value </w:t>
            </w:r>
            <w:r>
              <w:rPr>
                <w:rFonts w:ascii="Arial" w:cs="Arial" w:eastAsia="Arial" w:hAnsi="Arial"/>
                <w:sz w:val="15"/>
                <w:szCs w:val="15"/>
                <w:color w:val="auto"/>
              </w:rPr>
              <w:t>(4)</w:t>
            </w: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Shares Outstanding, End of Period</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67,342,413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66,038,290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Ratios / Supplemental Data </w:t>
            </w:r>
            <w:r>
              <w:rPr>
                <w:rFonts w:ascii="Arial" w:cs="Arial" w:eastAsia="Arial" w:hAnsi="Arial"/>
                <w:sz w:val="15"/>
                <w:szCs w:val="15"/>
                <w:b w:val="1"/>
                <w:bCs w:val="1"/>
                <w:color w:val="auto"/>
              </w:rPr>
              <w:t>(5)</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Ratio of net expenses to average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net assets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Ratio of net investment income</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 average net assets</w:t>
            </w: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13.55%</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Portfolio turnover</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Net assets, end of period</w:t>
            </w:r>
          </w:p>
        </w:tc>
        <w:tc>
          <w:tcPr>
            <w:tcW w:w="11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1,082,601</w:t>
            </w:r>
          </w:p>
        </w:tc>
        <w:tc>
          <w:tcPr>
            <w:tcW w:w="3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1,101,643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500" w:right="360" w:hanging="492"/>
        <w:spacing w:after="0" w:line="250"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right="280" w:firstLine="255"/>
        <w:spacing w:after="0" w:line="286" w:lineRule="auto"/>
        <w:rPr>
          <w:sz w:val="20"/>
          <w:szCs w:val="20"/>
          <w:color w:val="auto"/>
        </w:rPr>
      </w:pPr>
      <w:r>
        <w:rPr>
          <w:rFonts w:ascii="Arial" w:cs="Arial" w:eastAsia="Arial" w:hAnsi="Arial"/>
          <w:sz w:val="17"/>
          <w:szCs w:val="17"/>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10-Q or would be required to be recognized in the consolidated financial statements as of and for the three and six months ended June 30, 2020.</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86" w:right="3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80" w:firstLine="255"/>
        <w:spacing w:after="0" w:line="263"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255"/>
        <w:spacing w:after="0" w:line="255" w:lineRule="auto"/>
        <w:rPr>
          <w:sz w:val="20"/>
          <w:szCs w:val="20"/>
          <w:color w:val="auto"/>
        </w:rPr>
      </w:pPr>
      <w:r>
        <w:rPr>
          <w:rFonts w:ascii="Arial" w:cs="Arial" w:eastAsia="Arial" w:hAnsi="Arial"/>
          <w:sz w:val="18"/>
          <w:szCs w:val="18"/>
          <w:color w:val="auto"/>
        </w:rPr>
        <w:t>Sixth Street Specialty Lending, Inc. (formerly known as TPG Specialty Lending, Inc.) is a Delaware corporation formed on July 21, 2010. Effective June 15, 2020, we changed our name from TPG Specialty Lending, Inc. to Sixth Street Specialty Lending, Inc. The Adviser is our external manager. We have three wholly owned subsidiaries, TC Lending, LLC, a Delaware limited liability company, which holds a California finance lender and broker license, Sixth Street SL SPV, LLC (formerly known as TPG SL SPV, LLC), a Delaware limited liability company, in which we hold assets that were previously used to support our asset-backed credit facility, and Sixth Street SL Holding, LLC (formerly known as TSL MR, LLC), a Delaware limited liability company, in which we hold certain investments.</w:t>
      </w:r>
    </w:p>
    <w:p>
      <w:pPr>
        <w:spacing w:after="0" w:line="192"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00" w:hanging="249"/>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00" w:right="360" w:hanging="249"/>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100" w:firstLine="255"/>
        <w:spacing w:after="0" w:line="275"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June 30, 2020, we have originated more than $13.2 billion aggregate principal amount of investments and retained approximately $6.5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6"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June 30, 2020, our core portfolio companies, which exclude certain investments that fall outside of our typical borrower profile and represent 86.1% of our total investments based on fair value, had weighted average annual revenue of $113.8 million and weighted average annual EBITDA of $35.3 million.</w:t>
      </w:r>
    </w:p>
    <w:p>
      <w:pPr>
        <w:spacing w:after="0" w:line="187"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jc w:val="both"/>
        <w:ind w:right="120" w:firstLine="255"/>
        <w:spacing w:after="0" w:line="263"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84" w:lineRule="exact"/>
        <w:rPr>
          <w:sz w:val="20"/>
          <w:szCs w:val="20"/>
          <w:color w:val="auto"/>
        </w:rPr>
      </w:pPr>
    </w:p>
    <w:p>
      <w:pPr>
        <w:ind w:right="40" w:firstLine="255"/>
        <w:spacing w:after="0" w:line="308"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As of June 30, 2020, the largest single investment based on fair value represented 4.2% of our total investment portfolio.</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2020, the average investment size in each of our portfolio companies was approximately $30.5 million based on fair value.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8" w:name="page49"/>
    <w:bookmarkEnd w:id="48"/>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2020, the largest industry represented 22.1% of our total investment portfolio based on fair value.</w:t>
      </w:r>
    </w:p>
    <w:p>
      <w:pPr>
        <w:spacing w:after="0" w:line="225" w:lineRule="exact"/>
        <w:rPr>
          <w:sz w:val="20"/>
          <w:szCs w:val="20"/>
          <w:color w:val="auto"/>
        </w:rPr>
      </w:pPr>
    </w:p>
    <w:p>
      <w:pPr>
        <w:ind w:firstLine="255"/>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June 30, 2020, approximately 96.1%</w:t>
      </w:r>
      <w:r>
        <w:rPr>
          <w:rFonts w:ascii="Arial" w:cs="Arial" w:eastAsia="Arial" w:hAnsi="Arial"/>
          <w:sz w:val="17"/>
          <w:szCs w:val="17"/>
          <w:i w:val="1"/>
          <w:iCs w:val="1"/>
          <w:color w:val="auto"/>
        </w:rPr>
        <w:t xml:space="preserve"> </w:t>
      </w:r>
      <w:r>
        <w:rPr>
          <w:rFonts w:ascii="Arial" w:cs="Arial" w:eastAsia="Arial" w:hAnsi="Arial"/>
          <w:sz w:val="17"/>
          <w:szCs w:val="17"/>
          <w:color w:val="auto"/>
        </w:rPr>
        <w:t>of our portfolio was invested in secured debt, including 95.7%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June 30, 2020, the weighted average term on new investment commitments in new portfolio companies was 4.7 years.</w:t>
      </w:r>
    </w:p>
    <w:p>
      <w:pPr>
        <w:spacing w:after="0" w:line="177"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jc w:val="both"/>
        <w:ind w:right="60" w:firstLine="255"/>
        <w:spacing w:after="0" w:line="275" w:lineRule="auto"/>
        <w:rPr>
          <w:sz w:val="20"/>
          <w:szCs w:val="20"/>
          <w:color w:val="auto"/>
        </w:rPr>
      </w:pPr>
      <w:r>
        <w:rPr>
          <w:rFonts w:ascii="Arial" w:cs="Arial" w:eastAsia="Arial" w:hAnsi="Arial"/>
          <w:sz w:val="17"/>
          <w:szCs w:val="17"/>
          <w:i w:val="1"/>
          <w:iCs w:val="1"/>
          <w:color w:val="auto"/>
        </w:rPr>
        <w:t xml:space="preserve">Risk Mitigation. </w:t>
      </w:r>
      <w:r>
        <w:rPr>
          <w:rFonts w:ascii="Arial" w:cs="Arial" w:eastAsia="Arial" w:hAnsi="Arial"/>
          <w:sz w:val="17"/>
          <w:szCs w:val="17"/>
          <w:color w:val="auto"/>
        </w:rPr>
        <w:t>We seek to mitigate non-credit-related risk on our returns in several ways, including call protection provisions to protect future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As of June 30, 2020, we had call protection on 81.9% of our debt investments based on fair value, with weighted average call prices of 105.6% for the first year, 103.5% for the second year and 101.2% for the third year, in each case from the date of the initial investment. As of June 30, 2020, 98.8% of our debt investments based on fair value bore interest at floating rates (when including investment specific hedges), with 98.5% of these subject to interest rate floors, which we believe helps act as a portfolio-wide hedge against inflation.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and Sixth Street Partners</w:t>
      </w:r>
    </w:p>
    <w:p>
      <w:pPr>
        <w:spacing w:after="0" w:line="117" w:lineRule="exact"/>
        <w:rPr>
          <w:sz w:val="20"/>
          <w:szCs w:val="20"/>
          <w:color w:val="auto"/>
        </w:rPr>
      </w:pPr>
    </w:p>
    <w:p>
      <w:pPr>
        <w:ind w:right="280" w:firstLine="255"/>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92" w:lineRule="exact"/>
        <w:rPr>
          <w:sz w:val="20"/>
          <w:szCs w:val="20"/>
          <w:color w:val="auto"/>
        </w:rPr>
      </w:pPr>
    </w:p>
    <w:p>
      <w:pPr>
        <w:ind w:right="20" w:firstLine="255"/>
        <w:spacing w:after="0" w:line="288" w:lineRule="auto"/>
        <w:rPr>
          <w:sz w:val="20"/>
          <w:szCs w:val="20"/>
          <w:color w:val="auto"/>
        </w:rPr>
      </w:pPr>
      <w:r>
        <w:rPr>
          <w:rFonts w:ascii="Arial" w:cs="Arial" w:eastAsia="Arial" w:hAnsi="Arial"/>
          <w:sz w:val="16"/>
          <w:szCs w:val="16"/>
          <w:color w:val="auto"/>
        </w:rPr>
        <w:t>Sixth Street is a global investment business with approximately $34 billion of assets under management as of March 31, 2020.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290 investment and operating professionals. As of June 30, 2020, thirty-four (34) of these personnel are dedicated to our business, including twenty-six (26) investment professionals.</w:t>
      </w:r>
    </w:p>
    <w:p>
      <w:pPr>
        <w:spacing w:after="0" w:line="168"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Sixth Street was in a strategic relationship with TPG Global, LLC, or TPG from 2009 to 2020. On May 1, 2020, Sixth Street and TPG agreed to evolve their relationship and become independent, unaffiliated businesses.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ind w:right="20" w:firstLine="255"/>
        <w:spacing w:after="0" w:line="273" w:lineRule="auto"/>
        <w:rPr>
          <w:sz w:val="20"/>
          <w:szCs w:val="20"/>
          <w:color w:val="auto"/>
        </w:rPr>
      </w:pPr>
      <w:r>
        <w:rPr>
          <w:rFonts w:ascii="Arial" w:cs="Arial" w:eastAsia="Arial" w:hAnsi="Arial"/>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8" w:lineRule="exact"/>
        <w:rPr>
          <w:sz w:val="20"/>
          <w:szCs w:val="20"/>
          <w:color w:val="auto"/>
        </w:rPr>
      </w:pPr>
    </w:p>
    <w:p>
      <w:pPr>
        <w:ind w:firstLine="255"/>
        <w:spacing w:after="0" w:line="272" w:lineRule="auto"/>
        <w:rPr>
          <w:sz w:val="20"/>
          <w:szCs w:val="20"/>
          <w:color w:val="auto"/>
        </w:rPr>
      </w:pPr>
      <w:r>
        <w:rPr>
          <w:rFonts w:ascii="Arial" w:cs="Arial" w:eastAsia="Arial" w:hAnsi="Arial"/>
          <w:sz w:val="17"/>
          <w:szCs w:val="17"/>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w:t>
      </w:r>
    </w:p>
    <w:p>
      <w:pPr>
        <w:spacing w:after="0" w:line="177"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20" w:firstLine="255"/>
        <w:spacing w:after="0" w:line="311"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9" w:lineRule="exact"/>
        <w:rPr>
          <w:sz w:val="20"/>
          <w:szCs w:val="20"/>
          <w:color w:val="auto"/>
        </w:rPr>
      </w:pPr>
    </w:p>
    <w:p>
      <w:pPr>
        <w:ind w:right="340" w:firstLine="255"/>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60" w:firstLine="255"/>
        <w:spacing w:after="0" w:line="311"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49" w:lineRule="exact"/>
        <w:rPr>
          <w:sz w:val="20"/>
          <w:szCs w:val="20"/>
          <w:color w:val="auto"/>
        </w:rPr>
      </w:pPr>
    </w:p>
    <w:p>
      <w:pPr>
        <w:ind w:right="280" w:firstLine="255"/>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June 30, 2020, 98.8% of these investments based on fair value bore interest at a floating rate (when including investment specific hedges), with 98.5% of these subject to interest rate floors. Interest on debt investments is generally payable quarterly or semiannually. Some of our debt investments provide for deferred interest payments or PIK interest. For the three and six months ended June 30, 2020, 3.1% and 2.9%, respectively, of our total investment income was comprised of PIK interest.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ind w:right="20" w:firstLine="255"/>
        <w:spacing w:after="0" w:line="271" w:lineRule="auto"/>
        <w:rPr>
          <w:sz w:val="20"/>
          <w:szCs w:val="20"/>
          <w:color w:val="auto"/>
        </w:rPr>
      </w:pPr>
      <w:r>
        <w:rPr>
          <w:rFonts w:ascii="Arial" w:cs="Arial" w:eastAsia="Arial" w:hAnsi="Arial"/>
          <w:sz w:val="17"/>
          <w:szCs w:val="17"/>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2022 Convertible Notes, 2023 Notes and 2024 Notes, after taking into account the effect of the interest rate swaps we have entered into in connection with these securities, all bear interest at floating rates. Macro trends in base interest rates like LIBOR or other alternate reference rates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8" w:lineRule="exact"/>
        <w:rPr>
          <w:sz w:val="20"/>
          <w:szCs w:val="20"/>
          <w:color w:val="auto"/>
        </w:rPr>
      </w:pPr>
    </w:p>
    <w:p>
      <w:pPr>
        <w:ind w:right="40" w:firstLine="255"/>
        <w:spacing w:after="0" w:line="296"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61" w:lineRule="exact"/>
        <w:rPr>
          <w:sz w:val="20"/>
          <w:szCs w:val="20"/>
          <w:color w:val="auto"/>
        </w:rPr>
      </w:pPr>
    </w:p>
    <w:p>
      <w:pPr>
        <w:ind w:firstLine="255"/>
        <w:spacing w:after="0" w:line="275" w:lineRule="auto"/>
        <w:rPr>
          <w:sz w:val="20"/>
          <w:szCs w:val="20"/>
          <w:color w:val="auto"/>
        </w:rPr>
      </w:pPr>
      <w:r>
        <w:rPr>
          <w:rFonts w:ascii="Arial" w:cs="Arial" w:eastAsia="Arial" w:hAnsi="Arial"/>
          <w:sz w:val="17"/>
          <w:szCs w:val="17"/>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76"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260" w:firstLine="255"/>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6" w:lineRule="exact"/>
        <w:rPr>
          <w:sz w:val="20"/>
          <w:szCs w:val="20"/>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00" w:right="320" w:hanging="249"/>
        <w:spacing w:after="0" w:line="263"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5"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00" w:right="80" w:hanging="249"/>
        <w:spacing w:after="0" w:line="25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provide operational and administrative services to us pursuant to the Administration Agreement (based on the percentage of time those individuals devote, on an estimated basis, to our business and affairs);</w:t>
      </w:r>
    </w:p>
    <w:p>
      <w:pPr>
        <w:spacing w:after="0" w:line="79" w:lineRule="exact"/>
        <w:rPr>
          <w:rFonts w:ascii="Arial" w:cs="Arial" w:eastAsia="Arial" w:hAnsi="Arial"/>
          <w:sz w:val="18"/>
          <w:szCs w:val="18"/>
          <w:color w:val="auto"/>
        </w:rPr>
      </w:pPr>
    </w:p>
    <w:p>
      <w:pPr>
        <w:ind w:left="500" w:hanging="249"/>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left="500" w:hanging="249"/>
        <w:spacing w:after="0"/>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28" w:lineRule="exact"/>
        <w:rPr>
          <w:rFonts w:ascii="Arial" w:cs="Arial" w:eastAsia="Arial" w:hAnsi="Arial"/>
          <w:sz w:val="17"/>
          <w:szCs w:val="17"/>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00" w:right="160" w:hanging="249"/>
        <w:spacing w:after="0" w:line="342"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60" w:firstLine="255"/>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100" w:firstLine="255"/>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92" w:lineRule="exact"/>
        <w:rPr>
          <w:sz w:val="20"/>
          <w:szCs w:val="20"/>
          <w:color w:val="auto"/>
        </w:rPr>
      </w:pPr>
    </w:p>
    <w:p>
      <w:pPr>
        <w:ind w:firstLine="255"/>
        <w:spacing w:after="0" w:line="270" w:lineRule="auto"/>
        <w:rPr>
          <w:sz w:val="20"/>
          <w:szCs w:val="20"/>
          <w:color w:val="auto"/>
        </w:rPr>
      </w:pPr>
      <w:r>
        <w:rPr>
          <w:rFonts w:ascii="Arial" w:cs="Arial" w:eastAsia="Arial" w:hAnsi="Arial"/>
          <w:sz w:val="17"/>
          <w:szCs w:val="17"/>
          <w:color w:val="auto"/>
        </w:rPr>
        <w:t>On October 8, 2018, our stockholders approved the application of the minimum asset coverage ratio of 150% to us, as set forth in Section 61(a)(2) of the 1940 Act, as amended by the Small Business Credit Availability Act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 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820" w:firstLine="255"/>
        <w:spacing w:after="0" w:line="342" w:lineRule="auto"/>
        <w:rPr>
          <w:sz w:val="20"/>
          <w:szCs w:val="20"/>
          <w:color w:val="auto"/>
        </w:rPr>
      </w:pPr>
      <w:r>
        <w:rPr>
          <w:rFonts w:ascii="Arial" w:cs="Arial" w:eastAsia="Arial" w:hAnsi="Arial"/>
          <w:sz w:val="16"/>
          <w:szCs w:val="16"/>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right="100" w:firstLine="255"/>
        <w:spacing w:after="0" w:line="279" w:lineRule="auto"/>
        <w:rPr>
          <w:sz w:val="20"/>
          <w:szCs w:val="20"/>
          <w:color w:val="auto"/>
        </w:rPr>
      </w:pPr>
      <w:r>
        <w:rPr>
          <w:rFonts w:ascii="Arial" w:cs="Arial" w:eastAsia="Arial" w:hAnsi="Arial"/>
          <w:sz w:val="17"/>
          <w:szCs w:val="17"/>
          <w:color w:val="auto"/>
        </w:rPr>
        <w:t>The limited number of dedicated providers of capital to middle-market companies, combined with increases in required capital levels for regulated financial institutions, reduces the capacity of traditional lenders to serve middle-market companies. We believe that the limited availability of capital creates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71" w:lineRule="exact"/>
        <w:rPr>
          <w:sz w:val="20"/>
          <w:szCs w:val="20"/>
          <w:color w:val="auto"/>
        </w:rPr>
      </w:pPr>
    </w:p>
    <w:p>
      <w:pPr>
        <w:ind w:right="260" w:firstLine="255"/>
        <w:spacing w:after="0" w:line="286" w:lineRule="auto"/>
        <w:rPr>
          <w:sz w:val="20"/>
          <w:szCs w:val="20"/>
          <w:color w:val="auto"/>
        </w:rPr>
      </w:pPr>
      <w:r>
        <w:rPr>
          <w:rFonts w:ascii="Arial" w:cs="Arial" w:eastAsia="Arial" w:hAnsi="Arial"/>
          <w:sz w:val="17"/>
          <w:szCs w:val="17"/>
          <w:color w:val="auto"/>
        </w:rPr>
        <w:t>The limited number of dedicated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65"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57" w:lineRule="exact"/>
        <w:rPr>
          <w:sz w:val="20"/>
          <w:szCs w:val="20"/>
          <w:color w:val="auto"/>
        </w:rPr>
      </w:pPr>
    </w:p>
    <w:p>
      <w:pPr>
        <w:ind w:right="20" w:firstLine="255"/>
        <w:spacing w:after="0" w:line="271" w:lineRule="auto"/>
        <w:rPr>
          <w:sz w:val="20"/>
          <w:szCs w:val="20"/>
          <w:color w:val="auto"/>
        </w:rPr>
      </w:pPr>
      <w:r>
        <w:rPr>
          <w:rFonts w:ascii="Arial" w:cs="Arial" w:eastAsia="Arial" w:hAnsi="Arial"/>
          <w:sz w:val="17"/>
          <w:szCs w:val="17"/>
          <w:color w:val="auto"/>
        </w:rPr>
        <w:t>In late 2019 and early 2020, the novel coronavirus SARS-CoV-2 and related respiratory disease COVID-19 emerged in China and spread rapidly across the world, including to the United States. This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The federal government and the Federal Reserve, as well as foreign governments and central banks, have implemented significant fiscal and monetary policies in response to these disruptions, and additional government and regulatory responses may be possible. It is currently impossible to determine the scope of this or any future outbreak, how long any such outbreak and market disruption, volatility or uncertainty may last, the effect any governmental actions and changes in base interest rates will have or the full potential impact on us, our industry and our portfolio companies.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100" w:firstLine="255"/>
        <w:spacing w:after="0" w:line="286" w:lineRule="auto"/>
        <w:rPr>
          <w:sz w:val="20"/>
          <w:szCs w:val="20"/>
          <w:color w:val="auto"/>
        </w:rPr>
      </w:pPr>
      <w:r>
        <w:rPr>
          <w:rFonts w:ascii="Arial" w:cs="Arial" w:eastAsia="Arial" w:hAnsi="Arial"/>
          <w:sz w:val="17"/>
          <w:szCs w:val="17"/>
          <w:color w:val="auto"/>
        </w:rPr>
        <w:t>As of June 30, 2020, our portfolio based on fair value consisted of 95.7% first-lien debt investments, 0.4% second-lien debt investments, 0.4% mezzanine debt investments, and 3.5% equity and other investments. As of December 31, 2019, our portfolio based on fair value consisted of 96.5% first-lien debt investments, 0.6% second-lien debt investments, 0.1% mezzanine debt investments, and 2.8% equity and other investments.</w:t>
      </w:r>
    </w:p>
    <w:p>
      <w:pPr>
        <w:spacing w:after="0" w:line="165" w:lineRule="exact"/>
        <w:rPr>
          <w:sz w:val="20"/>
          <w:szCs w:val="20"/>
          <w:color w:val="auto"/>
        </w:rPr>
      </w:pPr>
    </w:p>
    <w:p>
      <w:pPr>
        <w:ind w:right="280" w:firstLine="255"/>
        <w:spacing w:after="0" w:line="311" w:lineRule="auto"/>
        <w:rPr>
          <w:sz w:val="20"/>
          <w:szCs w:val="20"/>
          <w:color w:val="auto"/>
        </w:rPr>
      </w:pPr>
      <w:r>
        <w:rPr>
          <w:rFonts w:ascii="Arial" w:cs="Arial" w:eastAsia="Arial" w:hAnsi="Arial"/>
          <w:sz w:val="16"/>
          <w:szCs w:val="16"/>
          <w:color w:val="auto"/>
        </w:rPr>
        <w:t>As of June 30, 2020 and December 31, 2019, our weighted average total yield of debt and income-producing securities at fair value (which includes interest income and amortization of fees and discounts) was 10.0% and 10.5%, respectively, and our weighted average total yield of debt and income-producing securities at amortized cost (which includes interest income and amortization of fees and discounts) was 10.0% and 10.7%, respectively.</w:t>
      </w:r>
    </w:p>
    <w:p>
      <w:pPr>
        <w:spacing w:after="0" w:line="149" w:lineRule="exact"/>
        <w:rPr>
          <w:sz w:val="20"/>
          <w:szCs w:val="20"/>
          <w:color w:val="auto"/>
        </w:rPr>
      </w:pPr>
    </w:p>
    <w:p>
      <w:pPr>
        <w:ind w:right="560" w:firstLine="255"/>
        <w:spacing w:after="0" w:line="277" w:lineRule="auto"/>
        <w:rPr>
          <w:sz w:val="20"/>
          <w:szCs w:val="20"/>
          <w:color w:val="auto"/>
        </w:rPr>
      </w:pPr>
      <w:r>
        <w:rPr>
          <w:rFonts w:ascii="Arial" w:cs="Arial" w:eastAsia="Arial" w:hAnsi="Arial"/>
          <w:sz w:val="18"/>
          <w:szCs w:val="18"/>
          <w:color w:val="auto"/>
        </w:rPr>
        <w:t>As of June 30, 2020 and December 31, 2019, we had investments in 65 and 63 portfolio companies, respectively, with an aggregate fair value of $1,983.8 million and $2,245.9 million, respectively.</w:t>
      </w:r>
    </w:p>
    <w:p>
      <w:pPr>
        <w:spacing w:after="0" w:line="170" w:lineRule="exact"/>
        <w:rPr>
          <w:sz w:val="20"/>
          <w:szCs w:val="20"/>
          <w:color w:val="auto"/>
        </w:rPr>
      </w:pPr>
    </w:p>
    <w:p>
      <w:pPr>
        <w:ind w:right="180" w:firstLine="255"/>
        <w:spacing w:after="0" w:line="308" w:lineRule="auto"/>
        <w:rPr>
          <w:sz w:val="20"/>
          <w:szCs w:val="20"/>
          <w:color w:val="auto"/>
        </w:rPr>
      </w:pPr>
      <w:r>
        <w:rPr>
          <w:rFonts w:ascii="Arial" w:cs="Arial" w:eastAsia="Arial" w:hAnsi="Arial"/>
          <w:sz w:val="17"/>
          <w:szCs w:val="17"/>
          <w:color w:val="auto"/>
        </w:rPr>
        <w:t>For the three months ended June 30, 2020, the principal amount of new investments funded was $76.5 million in six new portfolio companies and six existing portfolio companies. For this period, we had $210.7 million aggregate principal amount in exits and repayments.</w:t>
      </w:r>
    </w:p>
    <w:p>
      <w:pPr>
        <w:spacing w:after="0" w:line="146" w:lineRule="exact"/>
        <w:rPr>
          <w:sz w:val="20"/>
          <w:szCs w:val="20"/>
          <w:color w:val="auto"/>
        </w:rPr>
      </w:pPr>
    </w:p>
    <w:p>
      <w:pPr>
        <w:ind w:right="80" w:firstLine="255"/>
        <w:spacing w:after="0" w:line="308" w:lineRule="auto"/>
        <w:rPr>
          <w:sz w:val="20"/>
          <w:szCs w:val="20"/>
          <w:color w:val="auto"/>
        </w:rPr>
      </w:pPr>
      <w:r>
        <w:rPr>
          <w:rFonts w:ascii="Arial" w:cs="Arial" w:eastAsia="Arial" w:hAnsi="Arial"/>
          <w:sz w:val="17"/>
          <w:szCs w:val="17"/>
          <w:color w:val="auto"/>
        </w:rPr>
        <w:t>For the three months ended June 30, 2019, the principal amount of new investments funded was $344.0 million in twelve new portfolio companies and two existing portfolio companies. For this period, we had $128.1 million aggregate principal amount in exits and repayments.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3" w:name="page54"/>
    <w:bookmarkEnd w:id="53"/>
    <w:p>
      <w:pPr>
        <w:ind w:right="460" w:firstLine="255"/>
        <w:spacing w:after="0" w:line="277" w:lineRule="auto"/>
        <w:rPr>
          <w:sz w:val="20"/>
          <w:szCs w:val="20"/>
          <w:color w:val="auto"/>
        </w:rPr>
      </w:pPr>
      <w:r>
        <w:rPr>
          <w:rFonts w:ascii="Arial" w:cs="Arial" w:eastAsia="Arial" w:hAnsi="Arial"/>
          <w:sz w:val="18"/>
          <w:szCs w:val="18"/>
          <w:color w:val="auto"/>
        </w:rPr>
        <w:t>Our investment activity for the three months ended June 30, 2020 and 2019 is presented below (information presented herein is at par value unless otherwise indicated).</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4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5"/>
        </w:trPr>
        <w:tc>
          <w:tcPr>
            <w:tcW w:w="446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92"/>
              </w:rPr>
              <w:t>June 30, 2020</w:t>
            </w: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w w:val="92"/>
              </w:rPr>
              <w:t>June 30, 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7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441.4</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1,495.4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7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480"/>
              <w:spacing w:after="0"/>
              <w:rPr>
                <w:sz w:val="20"/>
                <w:szCs w:val="20"/>
                <w:color w:val="auto"/>
              </w:rPr>
            </w:pPr>
            <w:r>
              <w:rPr>
                <w:rFonts w:ascii="Arial" w:cs="Arial" w:eastAsia="Arial" w:hAnsi="Arial"/>
                <w:sz w:val="18"/>
                <w:szCs w:val="18"/>
                <w:color w:val="auto"/>
              </w:rPr>
              <w:t>Total new investment commitments</w:t>
            </w: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89.2</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62.9</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7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48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76.5</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344.0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210.7</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2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46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46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46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140"/>
              <w:spacing w:after="0"/>
              <w:rPr>
                <w:sz w:val="20"/>
                <w:szCs w:val="20"/>
                <w:color w:val="auto"/>
              </w:rPr>
            </w:pPr>
            <w:r>
              <w:rPr>
                <w:rFonts w:ascii="Arial" w:cs="Arial" w:eastAsia="Arial" w:hAnsi="Arial"/>
                <w:sz w:val="18"/>
                <w:szCs w:val="18"/>
                <w:b w:val="1"/>
                <w:bCs w:val="1"/>
                <w:color w:val="auto"/>
              </w:rPr>
              <w:t xml:space="preserve">at floating rates </w:t>
            </w:r>
            <w:r>
              <w:rPr>
                <w:rFonts w:ascii="Arial" w:cs="Arial" w:eastAsia="Arial" w:hAnsi="Arial"/>
                <w:sz w:val="15"/>
                <w:szCs w:val="15"/>
                <w:b w:val="1"/>
                <w:bCs w:val="1"/>
                <w:color w:val="auto"/>
              </w:rPr>
              <w:t>(1)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1"/>
        </w:trPr>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1"/>
        </w:trPr>
        <w:tc>
          <w:tcPr>
            <w:tcW w:w="446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1"/>
        </w:trPr>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 xml:space="preserve">floating rate investment commitments </w:t>
            </w:r>
            <w:r>
              <w:rPr>
                <w:rFonts w:ascii="Arial" w:cs="Arial" w:eastAsia="Arial" w:hAnsi="Arial"/>
                <w:sz w:val="15"/>
                <w:szCs w:val="15"/>
                <w:b w:val="1"/>
                <w:bCs w:val="1"/>
                <w:color w:val="auto"/>
              </w:rPr>
              <w:t>(1)</w:t>
            </w: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1"/>
        </w:trPr>
        <w:tc>
          <w:tcPr>
            <w:tcW w:w="446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140"/>
              <w:spacing w:after="0"/>
              <w:rPr>
                <w:sz w:val="20"/>
                <w:szCs w:val="20"/>
                <w:color w:val="auto"/>
              </w:rPr>
            </w:pPr>
            <w:r>
              <w:rPr>
                <w:rFonts w:ascii="Arial" w:cs="Arial" w:eastAsia="Arial" w:hAnsi="Arial"/>
                <w:sz w:val="18"/>
                <w:szCs w:val="18"/>
                <w:b w:val="1"/>
                <w:bCs w:val="1"/>
                <w:color w:val="auto"/>
              </w:rPr>
              <w:t>fully sold or paid down</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00" w:right="220" w:hanging="492"/>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one fixed rate investment for the three months ended June 30, 2020, for which we entered into an interest rate swap agreement to swap to floating rates.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2020 and December 31, 2019, our investments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80" w:type="dxa"/>
            <w:vAlign w:val="bottom"/>
          </w:tcPr>
          <w:p>
            <w:pPr>
              <w:spacing w:after="0"/>
              <w:rPr>
                <w:sz w:val="14"/>
                <w:szCs w:val="14"/>
                <w:color w:val="auto"/>
              </w:rPr>
            </w:pPr>
          </w:p>
        </w:tc>
        <w:tc>
          <w:tcPr>
            <w:tcW w:w="248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tcPr>
          <w:p>
            <w:pPr>
              <w:ind w:left="580"/>
              <w:spacing w:after="0"/>
              <w:rPr>
                <w:sz w:val="20"/>
                <w:szCs w:val="20"/>
                <w:color w:val="auto"/>
              </w:rPr>
            </w:pPr>
            <w:r>
              <w:rPr>
                <w:rFonts w:ascii="Arial" w:cs="Arial" w:eastAsia="Arial" w:hAnsi="Arial"/>
                <w:sz w:val="14"/>
                <w:szCs w:val="14"/>
                <w:b w:val="1"/>
                <w:bCs w:val="1"/>
                <w:color w:val="auto"/>
              </w:rPr>
              <w:t>December 31, 2019</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400" w:type="dxa"/>
            <w:vAlign w:val="bottom"/>
            <w:tcBorders>
              <w:bottom w:val="single" w:sz="8" w:color="CFF0FC"/>
            </w:tcBorders>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w w:val="94"/>
              </w:rPr>
              <w:t>Amortized Cost</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Fair Value</w:t>
            </w:r>
          </w:p>
        </w:tc>
        <w:tc>
          <w:tcPr>
            <w:tcW w:w="2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2,134.1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1,983.8</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2,018.5</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2,245.9</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2,238.0</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395"/>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54" w:name="page55"/>
    <w:bookmarkEnd w:id="54"/>
    <w:p>
      <w:pPr>
        <w:ind w:right="380" w:firstLine="255"/>
        <w:spacing w:after="0" w:line="277" w:lineRule="auto"/>
        <w:rPr>
          <w:sz w:val="20"/>
          <w:szCs w:val="20"/>
          <w:color w:val="auto"/>
        </w:rPr>
      </w:pPr>
      <w:r>
        <w:rPr>
          <w:rFonts w:ascii="Arial" w:cs="Arial" w:eastAsia="Arial" w:hAnsi="Arial"/>
          <w:sz w:val="18"/>
          <w:szCs w:val="18"/>
          <w:color w:val="auto"/>
        </w:rPr>
        <w:t>The following tables show the fair value and amortized cost of our performing and non-accrual investments as of June 30, 2020 and December 31, 2019:</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6"/>
          </w:tcPr>
          <w:p>
            <w:pPr>
              <w:jc w:val="right"/>
              <w:ind w:right="119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4"/>
          </w:tcPr>
          <w:p>
            <w:pPr>
              <w:jc w:val="right"/>
              <w:ind w:right="85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6"/>
        </w:trPr>
        <w:tc>
          <w:tcPr>
            <w:tcW w:w="4180" w:type="dxa"/>
            <w:vAlign w:val="bottom"/>
            <w:tcBorders>
              <w:bottom w:val="single" w:sz="8" w:color="CFF0FC"/>
            </w:tcBorders>
            <w:vMerge w:val="continue"/>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bottom w:val="single" w:sz="8" w:color="CFF0FC"/>
            </w:tcBorders>
            <w:gridSpan w:val="2"/>
          </w:tcPr>
          <w:p>
            <w:pPr>
              <w:spacing w:after="0"/>
              <w:rPr>
                <w:sz w:val="13"/>
                <w:szCs w:val="13"/>
                <w:color w:val="auto"/>
              </w:rPr>
            </w:pPr>
          </w:p>
        </w:tc>
        <w:tc>
          <w:tcPr>
            <w:tcW w:w="1180" w:type="dxa"/>
            <w:vAlign w:val="bottom"/>
            <w:tcBorders>
              <w:top w:val="single" w:sz="8" w:color="auto"/>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Percentage</w:t>
            </w:r>
          </w:p>
        </w:tc>
        <w:tc>
          <w:tcPr>
            <w:tcW w:w="3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87"/>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2,245.9</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0.4</w:t>
            </w: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2,245.9</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6"/>
          </w:tcPr>
          <w:p>
            <w:pPr>
              <w:jc w:val="right"/>
              <w:ind w:right="121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4"/>
          </w:tcPr>
          <w:p>
            <w:pPr>
              <w:jc w:val="right"/>
              <w:ind w:right="87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6"/>
        </w:trPr>
        <w:tc>
          <w:tcPr>
            <w:tcW w:w="4180" w:type="dxa"/>
            <w:vAlign w:val="bottom"/>
            <w:tcBorders>
              <w:bottom w:val="single" w:sz="8" w:color="CFF0FC"/>
            </w:tcBorders>
            <w:vMerge w:val="continue"/>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0"/>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Percentage</w:t>
            </w:r>
          </w:p>
        </w:tc>
        <w:tc>
          <w:tcPr>
            <w:tcW w:w="380" w:type="dxa"/>
            <w:vAlign w:val="bottom"/>
            <w:tcBorders>
              <w:bottom w:val="single" w:sz="8" w:color="CFF0FC"/>
            </w:tcBorders>
            <w:gridSpan w:val="2"/>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3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87"/>
              </w:rPr>
              <w:t>%</w:t>
            </w: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2,238.0</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100.0%</w:t>
            </w: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2,238.0</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160" w:hanging="492"/>
        <w:spacing w:after="0" w:line="296"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5" w:lineRule="exact"/>
        <w:rPr>
          <w:sz w:val="20"/>
          <w:szCs w:val="20"/>
          <w:color w:val="auto"/>
        </w:rPr>
      </w:pPr>
    </w:p>
    <w:p>
      <w:pPr>
        <w:ind w:right="320" w:firstLine="255"/>
        <w:spacing w:after="0" w:line="277" w:lineRule="auto"/>
        <w:rPr>
          <w:sz w:val="20"/>
          <w:szCs w:val="20"/>
          <w:color w:val="auto"/>
        </w:rPr>
      </w:pPr>
      <w:r>
        <w:rPr>
          <w:rFonts w:ascii="Arial" w:cs="Arial" w:eastAsia="Arial" w:hAnsi="Arial"/>
          <w:sz w:val="18"/>
          <w:szCs w:val="18"/>
          <w:color w:val="auto"/>
        </w:rPr>
        <w:t>The weighted average yields and interest rates of our performing debt investments at fair value as of June 30, 2020 and December 31, 2019 were as follows: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 2020</w:t>
            </w:r>
          </w:p>
        </w:tc>
        <w:tc>
          <w:tcPr>
            <w:tcW w:w="1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December 31, 2019</w:t>
            </w:r>
          </w:p>
        </w:tc>
      </w:tr>
      <w:tr>
        <w:trPr>
          <w:trHeight w:val="209"/>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total yield of debt and income</w:t>
            </w:r>
          </w:p>
        </w:tc>
        <w:tc>
          <w:tcPr>
            <w:tcW w:w="13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producing securities </w:t>
            </w:r>
            <w:r>
              <w:rPr>
                <w:rFonts w:ascii="Arial" w:cs="Arial" w:eastAsia="Arial" w:hAnsi="Arial"/>
                <w:sz w:val="15"/>
                <w:szCs w:val="15"/>
                <w:color w:val="auto"/>
              </w:rPr>
              <w:t>(1)</w:t>
            </w: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w:t>
            </w: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producing securities</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r>
      <w:tr>
        <w:trPr>
          <w:trHeight w:val="215"/>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spread over LIBOR of all floating</w:t>
            </w: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rate investments </w:t>
            </w:r>
            <w:r>
              <w:rPr>
                <w:rFonts w:ascii="Arial" w:cs="Arial" w:eastAsia="Arial" w:hAnsi="Arial"/>
                <w:sz w:val="15"/>
                <w:szCs w:val="15"/>
                <w:color w:val="auto"/>
              </w:rPr>
              <w:t>(2)</w:t>
            </w: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9.2%</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w:t>
            </w:r>
          </w:p>
        </w:tc>
      </w:tr>
    </w:tbl>
    <w:p>
      <w:pPr>
        <w:spacing w:after="0" w:line="229"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Weighted average total portfolio yield at fair value was 9.8% at June 30, 2020 and 10.3% at December 31, 2019.</w:t>
      </w:r>
    </w:p>
    <w:p>
      <w:pPr>
        <w:spacing w:after="0" w:line="49"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fixed rate investments for which we entered into interest rate swap agreements to swap to floating rates.</w:t>
      </w:r>
    </w:p>
    <w:p>
      <w:pPr>
        <w:spacing w:after="0" w:line="239" w:lineRule="exact"/>
        <w:rPr>
          <w:sz w:val="20"/>
          <w:szCs w:val="20"/>
          <w:color w:val="auto"/>
        </w:rPr>
      </w:pPr>
    </w:p>
    <w:p>
      <w:pPr>
        <w:jc w:val="both"/>
        <w:ind w:right="100" w:firstLine="255"/>
        <w:spacing w:after="0" w:line="263"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6" w:lineRule="exact"/>
        <w:rPr>
          <w:sz w:val="20"/>
          <w:szCs w:val="20"/>
          <w:color w:val="auto"/>
        </w:rPr>
      </w:pPr>
    </w:p>
    <w:p>
      <w:pPr>
        <w:ind w:left="500" w:hanging="249"/>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00" w:right="40" w:hanging="249"/>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6" w:lineRule="exact"/>
        <w:rPr>
          <w:sz w:val="20"/>
          <w:szCs w:val="20"/>
          <w:color w:val="auto"/>
        </w:rPr>
      </w:pPr>
    </w:p>
    <w:p>
      <w:pPr>
        <w:jc w:val="both"/>
        <w:ind w:left="500" w:right="620" w:hanging="249"/>
        <w:spacing w:after="0" w:line="263"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55" w:name="page56"/>
    <w:bookmarkEnd w:id="55"/>
    <w:p>
      <w:pPr>
        <w:ind w:left="500" w:right="160" w:hanging="249"/>
        <w:spacing w:after="0" w:line="263"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5" w:lineRule="exact"/>
        <w:rPr>
          <w:rFonts w:ascii="Arial" w:cs="Arial" w:eastAsia="Arial" w:hAnsi="Arial"/>
          <w:sz w:val="18"/>
          <w:szCs w:val="18"/>
          <w:color w:val="auto"/>
        </w:rPr>
      </w:pPr>
    </w:p>
    <w:p>
      <w:pPr>
        <w:ind w:left="500" w:right="240" w:hanging="249"/>
        <w:spacing w:after="0" w:line="263"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75" w:lineRule="exact"/>
        <w:rPr>
          <w:rFonts w:ascii="Arial" w:cs="Arial" w:eastAsia="Arial" w:hAnsi="Arial"/>
          <w:sz w:val="18"/>
          <w:szCs w:val="18"/>
          <w:color w:val="auto"/>
        </w:rPr>
      </w:pPr>
    </w:p>
    <w:p>
      <w:pPr>
        <w:ind w:left="500" w:right="140" w:hanging="249"/>
        <w:spacing w:after="0" w:line="255"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84" w:lineRule="exact"/>
        <w:rPr>
          <w:rFonts w:ascii="Arial" w:cs="Arial" w:eastAsia="Arial" w:hAnsi="Arial"/>
          <w:sz w:val="18"/>
          <w:szCs w:val="18"/>
          <w:color w:val="auto"/>
        </w:rPr>
      </w:pPr>
    </w:p>
    <w:p>
      <w:pPr>
        <w:ind w:left="500" w:right="320" w:hanging="249"/>
        <w:spacing w:after="0" w:line="279" w:lineRule="auto"/>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1" w:lineRule="exact"/>
        <w:rPr>
          <w:sz w:val="20"/>
          <w:szCs w:val="20"/>
          <w:color w:val="auto"/>
        </w:rPr>
      </w:pPr>
    </w:p>
    <w:p>
      <w:pPr>
        <w:ind w:right="300" w:firstLine="255"/>
        <w:spacing w:after="0" w:line="286" w:lineRule="auto"/>
        <w:rPr>
          <w:sz w:val="20"/>
          <w:szCs w:val="20"/>
          <w:color w:val="auto"/>
        </w:rPr>
      </w:pPr>
      <w:r>
        <w:rPr>
          <w:rFonts w:ascii="Arial" w:cs="Arial" w:eastAsia="Arial" w:hAnsi="Arial"/>
          <w:sz w:val="17"/>
          <w:szCs w:val="17"/>
          <w:color w:val="auto"/>
        </w:rPr>
        <w:t>The following table shows the distribution of our investments on the 1 to 5 investment performance rating scale at fair value as of June 30, 2020 and December 31, 2019. Investment performance ratings are accurate only as of those dates and may change due to subsequent developments relating to a portfolio company’s business or financial condition, market conditions or developments, and other factors.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32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3"/>
          </w:tcPr>
          <w:p>
            <w:pPr>
              <w:jc w:val="center"/>
              <w:ind w:left="77"/>
              <w:spacing w:after="0"/>
              <w:rPr>
                <w:sz w:val="20"/>
                <w:szCs w:val="20"/>
                <w:color w:val="auto"/>
              </w:rPr>
            </w:pPr>
            <w:r>
              <w:rPr>
                <w:rFonts w:ascii="Arial" w:cs="Arial" w:eastAsia="Arial" w:hAnsi="Arial"/>
                <w:sz w:val="14"/>
                <w:szCs w:val="14"/>
                <w:b w:val="1"/>
                <w:bCs w:val="1"/>
                <w:color w:val="auto"/>
                <w:w w:val="90"/>
              </w:rPr>
              <w:t>June 30, 2020</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3"/>
              </w:rPr>
              <w:t>December 31, 2019</w:t>
            </w:r>
          </w:p>
        </w:tc>
        <w:tc>
          <w:tcPr>
            <w:tcW w:w="1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jc w:val="center"/>
              <w:ind w:right="257"/>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4"/>
          </w:tcPr>
          <w:p>
            <w:pPr>
              <w:jc w:val="center"/>
              <w:ind w:right="82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Performance</w:t>
            </w:r>
          </w:p>
        </w:tc>
        <w:tc>
          <w:tcPr>
            <w:tcW w:w="320" w:type="dxa"/>
            <w:vAlign w:val="bottom"/>
          </w:tcPr>
          <w:p>
            <w:pPr>
              <w:spacing w:after="0"/>
              <w:rPr>
                <w:sz w:val="14"/>
                <w:szCs w:val="14"/>
                <w:color w:val="auto"/>
              </w:rPr>
            </w:pPr>
          </w:p>
        </w:tc>
        <w:tc>
          <w:tcPr>
            <w:tcW w:w="1640" w:type="dxa"/>
            <w:vAlign w:val="bottom"/>
          </w:tcPr>
          <w:p>
            <w:pPr>
              <w:jc w:val="center"/>
              <w:ind w:right="237"/>
              <w:spacing w:after="0"/>
              <w:rPr>
                <w:sz w:val="20"/>
                <w:szCs w:val="20"/>
                <w:color w:val="auto"/>
              </w:rPr>
            </w:pPr>
            <w:r>
              <w:rPr>
                <w:rFonts w:ascii="Arial" w:cs="Arial" w:eastAsia="Arial" w:hAnsi="Arial"/>
                <w:sz w:val="14"/>
                <w:szCs w:val="14"/>
                <w:b w:val="1"/>
                <w:bCs w:val="1"/>
                <w:color w:val="auto"/>
                <w:w w:val="95"/>
              </w:rPr>
              <w:t>Fair Value</w:t>
            </w:r>
          </w:p>
        </w:tc>
        <w:tc>
          <w:tcPr>
            <w:tcW w:w="320" w:type="dxa"/>
            <w:vAlign w:val="bottom"/>
          </w:tcPr>
          <w:p>
            <w:pPr>
              <w:spacing w:after="0"/>
              <w:rPr>
                <w:sz w:val="14"/>
                <w:szCs w:val="14"/>
                <w:color w:val="auto"/>
              </w:rPr>
            </w:pPr>
          </w:p>
        </w:tc>
        <w:tc>
          <w:tcPr>
            <w:tcW w:w="1460" w:type="dxa"/>
            <w:vAlign w:val="bottom"/>
          </w:tcPr>
          <w:p>
            <w:pPr>
              <w:jc w:val="center"/>
              <w:ind w:left="388"/>
              <w:spacing w:after="0"/>
              <w:rPr>
                <w:sz w:val="20"/>
                <w:szCs w:val="20"/>
                <w:color w:val="auto"/>
              </w:rPr>
            </w:pPr>
            <w:r>
              <w:rPr>
                <w:rFonts w:ascii="Arial" w:cs="Arial" w:eastAsia="Arial" w:hAnsi="Arial"/>
                <w:sz w:val="14"/>
                <w:szCs w:val="14"/>
                <w:b w:val="1"/>
                <w:bCs w:val="1"/>
                <w:color w:val="auto"/>
                <w:w w:val="90"/>
              </w:rPr>
              <w:t>Percentage of</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95"/>
              </w:rPr>
              <w:t>Fair Value</w:t>
            </w: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Rating</w:t>
            </w:r>
          </w:p>
        </w:tc>
        <w:tc>
          <w:tcPr>
            <w:tcW w:w="3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3"/>
              </w:rPr>
              <w:t>($ in millions)</w:t>
            </w:r>
          </w:p>
        </w:tc>
        <w:tc>
          <w:tcPr>
            <w:tcW w:w="32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2"/>
              </w:rPr>
              <w:t>Total Portfolio</w:t>
            </w: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99"/>
              </w:rPr>
              <w:t>Total Portfolio</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1,595.6</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8"/>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1,968.0</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30"/>
        </w:trPr>
        <w:tc>
          <w:tcPr>
            <w:tcW w:w="1920" w:type="dxa"/>
            <w:vAlign w:val="bottom"/>
          </w:tcPr>
          <w:p>
            <w:pPr>
              <w:jc w:val="right"/>
              <w:ind w:right="776"/>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330.3</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230.0</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jc w:val="right"/>
              <w:ind w:right="776"/>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4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1</w:t>
            </w:r>
          </w:p>
        </w:tc>
        <w:tc>
          <w:tcPr>
            <w:tcW w:w="14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1,983.8</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680" w:type="dxa"/>
            <w:vAlign w:val="bottom"/>
          </w:tcPr>
          <w:p>
            <w:pPr>
              <w:jc w:val="right"/>
              <w:ind w:right="528"/>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2,245.9</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investments with an amortized cost of $33.7 million for which the fair value as of June 30, 2020 was $0.</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three and six months ended June 30, 2020 and 2019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gridSpan w:val="6"/>
          </w:tcPr>
          <w:p>
            <w:pPr>
              <w:ind w:left="30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34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1380" w:type="dxa"/>
            <w:vAlign w:val="bottom"/>
            <w:gridSpan w:val="3"/>
          </w:tcPr>
          <w:p>
            <w:pPr>
              <w:spacing w:after="0"/>
              <w:rPr>
                <w:sz w:val="2"/>
                <w:szCs w:val="2"/>
                <w:color w:val="auto"/>
              </w:rPr>
            </w:pPr>
          </w:p>
        </w:tc>
        <w:tc>
          <w:tcPr>
            <w:tcW w:w="12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Borders>
              <w:top w:val="single" w:sz="8" w:color="auto"/>
            </w:tcBorders>
            <w:gridSpan w:val="3"/>
          </w:tcPr>
          <w:p>
            <w:pPr>
              <w:jc w:val="right"/>
              <w:ind w:right="480"/>
              <w:spacing w:after="0" w:line="155" w:lineRule="exact"/>
              <w:rPr>
                <w:sz w:val="20"/>
                <w:szCs w:val="20"/>
                <w:color w:val="auto"/>
              </w:rPr>
            </w:pPr>
            <w:r>
              <w:rPr>
                <w:rFonts w:ascii="Arial" w:cs="Arial" w:eastAsia="Arial" w:hAnsi="Arial"/>
                <w:sz w:val="14"/>
                <w:szCs w:val="14"/>
                <w:b w:val="1"/>
                <w:bCs w:val="1"/>
                <w:color w:val="auto"/>
                <w:w w:val="94"/>
              </w:rPr>
              <w:t>June 30, 2020</w:t>
            </w:r>
          </w:p>
        </w:tc>
        <w:tc>
          <w:tcPr>
            <w:tcW w:w="9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June 30, 2019</w:t>
            </w:r>
          </w:p>
        </w:tc>
        <w:tc>
          <w:tcPr>
            <w:tcW w:w="420" w:type="dxa"/>
            <w:vAlign w:val="bottom"/>
          </w:tcPr>
          <w:p>
            <w:pPr>
              <w:spacing w:after="0"/>
              <w:rPr>
                <w:sz w:val="13"/>
                <w:szCs w:val="13"/>
                <w:color w:val="auto"/>
              </w:rPr>
            </w:pPr>
          </w:p>
        </w:tc>
        <w:tc>
          <w:tcPr>
            <w:tcW w:w="1240" w:type="dxa"/>
            <w:vAlign w:val="bottom"/>
            <w:tcBorders>
              <w:top w:val="single" w:sz="8" w:color="auto"/>
            </w:tcBorders>
            <w:gridSpan w:val="3"/>
          </w:tcPr>
          <w:p>
            <w:pPr>
              <w:jc w:val="right"/>
              <w:ind w:right="320"/>
              <w:spacing w:after="0" w:line="155" w:lineRule="exact"/>
              <w:rPr>
                <w:sz w:val="20"/>
                <w:szCs w:val="20"/>
                <w:color w:val="auto"/>
              </w:rPr>
            </w:pPr>
            <w:r>
              <w:rPr>
                <w:rFonts w:ascii="Arial" w:cs="Arial" w:eastAsia="Arial" w:hAnsi="Arial"/>
                <w:sz w:val="14"/>
                <w:szCs w:val="14"/>
                <w:b w:val="1"/>
                <w:bCs w:val="1"/>
                <w:color w:val="auto"/>
                <w:w w:val="98"/>
              </w:rPr>
              <w:t>June 30, 2020</w:t>
            </w: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w w:val="90"/>
              </w:rPr>
              <w:t>June 30, 2019</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4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4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expenses</w:t>
            </w:r>
          </w:p>
        </w:tc>
        <w:tc>
          <w:tcPr>
            <w:tcW w:w="3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4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4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 before income taxes</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Income taxes, including excise taxes</w:t>
            </w:r>
          </w:p>
        </w:tc>
        <w:tc>
          <w:tcPr>
            <w:tcW w:w="3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 xml:space="preserve">Net realized gains (losses) </w:t>
            </w:r>
            <w:r>
              <w:rPr>
                <w:rFonts w:ascii="Arial" w:cs="Arial" w:eastAsia="Arial" w:hAnsi="Arial"/>
                <w:sz w:val="15"/>
                <w:szCs w:val="15"/>
                <w:color w:val="auto"/>
              </w:rPr>
              <w:t>(1)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(0.8)</w:t>
            </w:r>
          </w:p>
        </w:tc>
        <w:tc>
          <w:tcPr>
            <w:tcW w:w="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change in unrealized gains (losses) </w:t>
            </w:r>
            <w:r>
              <w:rPr>
                <w:rFonts w:ascii="Arial" w:cs="Arial" w:eastAsia="Arial" w:hAnsi="Arial"/>
                <w:sz w:val="15"/>
                <w:szCs w:val="15"/>
                <w:color w:val="auto"/>
              </w:rPr>
              <w:t>(1)</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Arial" w:cs="Arial" w:eastAsia="Arial" w:hAnsi="Arial"/>
                <w:sz w:val="18"/>
                <w:szCs w:val="18"/>
                <w:b w:val="1"/>
                <w:bCs w:val="1"/>
                <w:color w:val="auto"/>
                <w:w w:val="95"/>
              </w:rPr>
              <w:t>Net increase in net assets resulting from operations</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4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4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w:t>
            </w:r>
          </w:p>
        </w:tc>
        <w:tc>
          <w:tcPr>
            <w:tcW w:w="4700" w:type="dxa"/>
            <w:vAlign w:val="bottom"/>
            <w:gridSpan w:val="2"/>
            <w:vMerge w:val="restart"/>
          </w:tcPr>
          <w:p>
            <w:pPr>
              <w:ind w:left="140"/>
              <w:spacing w:after="0"/>
              <w:rPr>
                <w:sz w:val="20"/>
                <w:szCs w:val="20"/>
                <w:color w:val="auto"/>
              </w:rPr>
            </w:pPr>
            <w:r>
              <w:rPr>
                <w:rFonts w:ascii="Arial" w:cs="Arial" w:eastAsia="Arial" w:hAnsi="Arial"/>
                <w:sz w:val="18"/>
                <w:szCs w:val="18"/>
                <w:color w:val="auto"/>
              </w:rPr>
              <w:t>Includes foreign exchange hedging activity.</w:t>
            </w: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47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552"/>
              <w:spacing w:after="0"/>
              <w:rPr>
                <w:sz w:val="20"/>
                <w:szCs w:val="20"/>
                <w:color w:val="auto"/>
              </w:rPr>
            </w:pPr>
            <w:r>
              <w:rPr>
                <w:rFonts w:ascii="Arial" w:cs="Arial" w:eastAsia="Arial" w:hAnsi="Arial"/>
                <w:sz w:val="18"/>
                <w:szCs w:val="18"/>
                <w:color w:val="auto"/>
                <w:w w:val="99"/>
              </w:rPr>
              <w:t>56</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gridSpan w:val="6"/>
          </w:tcPr>
          <w:p>
            <w:pPr>
              <w:ind w:lef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
        </w:trPr>
        <w:tc>
          <w:tcPr>
            <w:tcW w:w="34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36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1380" w:type="dxa"/>
            <w:vAlign w:val="bottom"/>
            <w:gridSpan w:val="3"/>
          </w:tcPr>
          <w:p>
            <w:pPr>
              <w:spacing w:after="0"/>
              <w:rPr>
                <w:sz w:val="2"/>
                <w:szCs w:val="2"/>
                <w:color w:val="auto"/>
              </w:rPr>
            </w:pPr>
          </w:p>
        </w:tc>
        <w:tc>
          <w:tcPr>
            <w:tcW w:w="14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46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June 30, 2020</w:t>
            </w:r>
          </w:p>
        </w:tc>
        <w:tc>
          <w:tcPr>
            <w:tcW w:w="9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June 30, 2019</w:t>
            </w:r>
          </w:p>
        </w:tc>
        <w:tc>
          <w:tcPr>
            <w:tcW w:w="420" w:type="dxa"/>
            <w:vAlign w:val="bottom"/>
          </w:tcPr>
          <w:p>
            <w:pPr>
              <w:spacing w:after="0"/>
              <w:rPr>
                <w:sz w:val="13"/>
                <w:szCs w:val="13"/>
                <w:color w:val="auto"/>
              </w:rPr>
            </w:pPr>
          </w:p>
        </w:tc>
        <w:tc>
          <w:tcPr>
            <w:tcW w:w="142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June 30, 2020</w:t>
            </w: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w w:val="90"/>
              </w:rPr>
              <w:t>June 30, 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13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4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4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4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Dividend income</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3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4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4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13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400" w:type="dxa"/>
            <w:vAlign w:val="bottom"/>
          </w:tcPr>
          <w:p>
            <w:pPr>
              <w:spacing w:after="0"/>
              <w:rPr>
                <w:sz w:val="19"/>
                <w:szCs w:val="19"/>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4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255"/>
        <w:spacing w:after="0" w:line="287"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$60.5 million for the three months ended June 30, 2019 to $63.4 million for the three months ended June 30, 2020. The increase in interest from investments was primarily a result of an increase in accelerated amortization of upfront fees from unscheduled paydowns, and prepayment fees. Accelerated amortization of upfront fees from unscheduled paydowns, increased from $2.5 million for the three months ended June 30, 2019 to $3.8 million for the three months ended June 30, 2020. Prepayment fees increased from $2.4 million for the three months ended June 30, 2019 to $10.5 million for the three months ended June 30, 2020. The accelerated amortization of upfront fees and prepayment fees primarily resulted from full paydowns on four portfolio investments, one partial paydown and earning prepayment fees on two portfolio investments during the three months ended June 30, 2019. The accelerated amortization of upfront fees and prepayment fees primarily resulted from full paydowns on three portfolio investments, partial paydowns on two portfolio investments, partial realizations on two portfolio investments and earning prepayment fees on three portfolio investments during the three months ended June 30, 2020. Other income increased from $1.9 million for the three months ended June 30, 2019 to $6.5 million for the three months ended June 30, 2020, primarily due to higher commitment and other fees during the three months ended June 30, 2020 compared to the same period in 2019.</w:t>
      </w:r>
    </w:p>
    <w:p>
      <w:pPr>
        <w:spacing w:after="0" w:line="212" w:lineRule="exact"/>
        <w:rPr>
          <w:sz w:val="20"/>
          <w:szCs w:val="20"/>
          <w:color w:val="auto"/>
        </w:rPr>
      </w:pPr>
    </w:p>
    <w:p>
      <w:pPr>
        <w:ind w:right="20" w:firstLine="255"/>
        <w:spacing w:after="0" w:line="288"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$110.8 million for the six months ended June 30, 2019 to $126.3 million for the six months ended June 30, 2020. The increase in interest from investments was primarily a result of an increase in accelerated amortization of upfront fees and prepayment fees. Accelerated amortization of upfront fees from unscheduled paydowns increased from $2.8 million for the six months ended June 30, 2019 to $8.0 million for the six months ended June 30, 2020. Prepayment fees increased from $3.0 million for the six months ended June 30, 2019 to $13.8 million for the six months ended June 30, 2020. The accelerated amortization of upfront fees and prepayment fees primarily resulted from full paydowns on five portfolio investments, one partial paydown, and earning prepayment fees on three portfolio investments during the six months ended June 30, 2019 and full paydowns on six portfolio investments, partial paydowns on four portfolio investments, partial realizations on two portfolio investments and earning prepayment fees on six portfolio investments during the six months ended June 30, 2020. Other income increased from $4.1 million for the six months ended June 30, 2019 to $9.3 million for the six months ended June 30, 2020, primarily due to higher amendment and commitment fees earned during the six months ended June 30, 2020 compared to the same period in 2019.</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three and six months ended June 30, 2020 and 2019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5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52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June 30, 2020</w:t>
            </w:r>
          </w:p>
        </w:tc>
        <w:tc>
          <w:tcPr>
            <w:tcW w:w="220" w:type="dxa"/>
            <w:vAlign w:val="bottom"/>
          </w:tcPr>
          <w:p>
            <w:pPr>
              <w:spacing w:after="0"/>
              <w:rPr>
                <w:sz w:val="13"/>
                <w:szCs w:val="13"/>
                <w:color w:val="auto"/>
              </w:rPr>
            </w:pPr>
          </w:p>
        </w:tc>
        <w:tc>
          <w:tcPr>
            <w:tcW w:w="100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w w:val="96"/>
              </w:rPr>
              <w:t>June 30, 2019</w:t>
            </w:r>
          </w:p>
        </w:tc>
        <w:tc>
          <w:tcPr>
            <w:tcW w:w="400" w:type="dxa"/>
            <w:vAlign w:val="bottom"/>
          </w:tcPr>
          <w:p>
            <w:pPr>
              <w:spacing w:after="0"/>
              <w:rPr>
                <w:sz w:val="13"/>
                <w:szCs w:val="13"/>
                <w:color w:val="auto"/>
              </w:rPr>
            </w:pPr>
          </w:p>
        </w:tc>
        <w:tc>
          <w:tcPr>
            <w:tcW w:w="120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June 30, 2020</w:t>
            </w:r>
          </w:p>
        </w:tc>
        <w:tc>
          <w:tcPr>
            <w:tcW w:w="100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w w:val="96"/>
              </w:rPr>
              <w:t>June 30, 2019</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w:t>
            </w:r>
          </w:p>
        </w:tc>
        <w:tc>
          <w:tcPr>
            <w:tcW w:w="5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4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w w:val="99"/>
              </w:rPr>
              <w:t>Incentive fees related to pre-incentive fee net investment</w:t>
            </w: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(net of waivers)</w:t>
            </w:r>
          </w:p>
        </w:tc>
        <w:tc>
          <w:tcPr>
            <w:tcW w:w="5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Incentive fees related to realized/unrealized capital gains</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Directors fees</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5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Net Expenses</w:t>
            </w:r>
          </w:p>
        </w:tc>
        <w:tc>
          <w:tcPr>
            <w:tcW w:w="56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40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20" w:type="dxa"/>
            <w:vAlign w:val="bottom"/>
            <w:gridSpan w:val="2"/>
          </w:tcPr>
          <w:p>
            <w:pPr>
              <w:jc w:val="right"/>
              <w:ind w:right="116"/>
              <w:spacing w:after="0"/>
              <w:rPr>
                <w:sz w:val="20"/>
                <w:szCs w:val="20"/>
                <w:color w:val="auto"/>
              </w:rPr>
            </w:pPr>
            <w:r>
              <w:rPr>
                <w:rFonts w:ascii="Arial" w:cs="Arial" w:eastAsia="Arial" w:hAnsi="Arial"/>
                <w:sz w:val="18"/>
                <w:szCs w:val="18"/>
                <w:color w:val="auto"/>
              </w:rPr>
              <w:t>57</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90" w:right="319" w:bottom="1440" w:gutter="0" w:footer="0" w:header="0"/>
        </w:sectPr>
      </w:pPr>
    </w:p>
    <w:bookmarkStart w:id="57" w:name="page58"/>
    <w:bookmarkEnd w:id="57"/>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80" w:firstLine="255"/>
        <w:spacing w:after="0" w:line="255" w:lineRule="auto"/>
        <w:rPr>
          <w:sz w:val="20"/>
          <w:szCs w:val="20"/>
          <w:color w:val="auto"/>
        </w:rPr>
      </w:pPr>
      <w:r>
        <w:rPr>
          <w:rFonts w:ascii="Arial" w:cs="Arial" w:eastAsia="Arial" w:hAnsi="Arial"/>
          <w:sz w:val="18"/>
          <w:szCs w:val="18"/>
          <w:color w:val="auto"/>
        </w:rPr>
        <w:t>Interest expense, including other debt financing expenses, decreased from $12.7 million for the three months ended June 30, 2019 to $9.9 million for the three months ended June 30, 2020. This decrease was primarily due to a decrease in the average debt outstanding and a decrease in the average interest rate on our debt outstanding from the three months ended June 30, 2019 to the three months ended June 30, 2020. The average interest rate on our debt outstanding decreased from 4.6% for three months ended June 30, 2019 to 3.3% for the three months ended June 30, 2020 primarily due to changes in LIBOR rates. The average debt outstanding decreased from $919.7 million for the three months ended June 30, 2019 to $903.9 million for the three months ended June 30, 2020.</w:t>
      </w:r>
    </w:p>
    <w:p>
      <w:pPr>
        <w:spacing w:after="0" w:line="192" w:lineRule="exact"/>
        <w:rPr>
          <w:sz w:val="20"/>
          <w:szCs w:val="20"/>
          <w:color w:val="auto"/>
        </w:rPr>
      </w:pPr>
    </w:p>
    <w:p>
      <w:pPr>
        <w:ind w:right="40" w:firstLine="255"/>
        <w:spacing w:after="0" w:line="263" w:lineRule="auto"/>
        <w:rPr>
          <w:sz w:val="20"/>
          <w:szCs w:val="20"/>
          <w:color w:val="auto"/>
        </w:rPr>
      </w:pPr>
      <w:r>
        <w:rPr>
          <w:rFonts w:ascii="Arial" w:cs="Arial" w:eastAsia="Arial" w:hAnsi="Arial"/>
          <w:sz w:val="18"/>
          <w:szCs w:val="18"/>
          <w:color w:val="auto"/>
        </w:rPr>
        <w:t>Interest expense, including other debt financing expenses, decreased from $23.1 million for the six months ended June 30, 2019 to $22.8 million for the six months ended June 30, 2020. This decrease was primarily due to a decrease in the average interest rate on our debt outstanding from 4.7% for the six months ended June 30, 2019 to 3.6% for the six months ended June 30, 2020.</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Management Fees increased from $7.4 million for the three months ended June 30, 2019 to $7.7 million for the three months ended June 30, 2020 due to an increase in average assets for the three months ended June 30, 2020 compared to the same period in 2019. The Adviser did not waive any Management Fees for the three months ended June 30, 2020 or 2019.</w:t>
      </w:r>
    </w:p>
    <w:p>
      <w:pPr>
        <w:spacing w:after="0" w:line="184"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Management Fees increased from $14.0 million for the six months ended June 30, 2019 to $15.8 million for the six months ended June 30, 2020 due to an increase in average assets for the six months ended June 30, 2020 compared to the same period in 2019. The Adviser did not waive any Management Fees for the six months ended June 30, 2020 or 2019.</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right="40" w:firstLine="255"/>
        <w:spacing w:after="0" w:line="257" w:lineRule="auto"/>
        <w:rPr>
          <w:sz w:val="20"/>
          <w:szCs w:val="20"/>
          <w:color w:val="auto"/>
        </w:rPr>
      </w:pPr>
      <w:r>
        <w:rPr>
          <w:rFonts w:ascii="Arial" w:cs="Arial" w:eastAsia="Arial" w:hAnsi="Arial"/>
          <w:sz w:val="18"/>
          <w:szCs w:val="18"/>
          <w:color w:val="auto"/>
        </w:rPr>
        <w:t>Incentive Fees related to pre-Incentive Fee net investment income increased from $6.6 million for the three months ended June 30, 2019 to $8.4 million for the three months ended June 30, 2020. This increase resulted from an increase in investment income resulting from higher interest and other income for the three months ended June 30, 2020. The Adviser did not waive any Incentive Fees related to pre-Incentive Fee net investment income for the three months ended June 30, 2020 or 2019. There were no Incentive Fees related to capital gains for each of the three months ended June 30, 2020 and 2019 due to cumulative realized losses on our investments.</w:t>
      </w:r>
    </w:p>
    <w:p>
      <w:pPr>
        <w:spacing w:after="0" w:line="188"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Incentive Fees related to pre-Incentive Fee net investment income increased from $12.3 million for the six months ended June 30, 2019 to $15.5 million for the six months ended June 30, 2020. This increase resulted from an increase in investment income resulting from higher interest and other income for the six months ended June 30, 2020. The Adviser did not waive any Incentive Fees related to pre-Incentive Fee net investment income for the six months ended June 30, 2020 or 2019. There were no Incentive Fees related to capital gains for each of the six months ended June 30, 2020 and 2019 due to cumulative realized losses on our investments.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right="340" w:firstLine="255"/>
        <w:spacing w:after="0" w:line="342" w:lineRule="auto"/>
        <w:rPr>
          <w:sz w:val="20"/>
          <w:szCs w:val="20"/>
          <w:color w:val="auto"/>
        </w:rPr>
      </w:pPr>
      <w:r>
        <w:rPr>
          <w:rFonts w:ascii="Arial" w:cs="Arial" w:eastAsia="Arial" w:hAnsi="Arial"/>
          <w:sz w:val="16"/>
          <w:szCs w:val="16"/>
          <w:color w:val="auto"/>
        </w:rPr>
        <w:t>Professional fees remained constant at $1.9 million for both the three months ended June 30, 2019, and 2020. Other general and administrative fees increased from $1.6 million for the three months ended June 30, 2019 to $1.7 million for the three months ended June 30, 2020.</w:t>
      </w:r>
    </w:p>
    <w:p>
      <w:pPr>
        <w:spacing w:after="0" w:line="16" w:lineRule="exact"/>
        <w:rPr>
          <w:sz w:val="20"/>
          <w:szCs w:val="20"/>
          <w:color w:val="auto"/>
        </w:rPr>
      </w:pPr>
    </w:p>
    <w:p>
      <w:pPr>
        <w:ind w:right="120" w:firstLine="255"/>
        <w:spacing w:after="0" w:line="286" w:lineRule="auto"/>
        <w:rPr>
          <w:sz w:val="20"/>
          <w:szCs w:val="20"/>
          <w:color w:val="auto"/>
        </w:rPr>
      </w:pPr>
      <w:r>
        <w:rPr>
          <w:rFonts w:ascii="Arial" w:cs="Arial" w:eastAsia="Arial" w:hAnsi="Arial"/>
          <w:sz w:val="17"/>
          <w:szCs w:val="17"/>
          <w:color w:val="auto"/>
        </w:rPr>
        <w:t>Professional fees increased from $3.2 million for the six months ended June 30, 2019 to $3.7 million for the six months ended June 30, 2020 primarily due to higher legal fees and independent third-party valuation firm and sub-agent costs given a larger portfolio. Other general and administrative fees increased from $3.0 million for the six months ended June 30, 2019 to $3.2 million for the six months ended June 30, 2020.</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60" w:firstLine="255"/>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80" w:firstLine="255"/>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8" w:name="page59"/>
    <w:bookmarkEnd w:id="58"/>
    <w:p>
      <w:pPr>
        <w:ind w:right="120" w:firstLine="255"/>
        <w:spacing w:after="0" w:line="263" w:lineRule="auto"/>
        <w:rPr>
          <w:sz w:val="20"/>
          <w:szCs w:val="20"/>
          <w:color w:val="auto"/>
        </w:rPr>
      </w:pPr>
      <w:r>
        <w:rPr>
          <w:rFonts w:ascii="Arial" w:cs="Arial" w:eastAsia="Arial" w:hAnsi="Arial"/>
          <w:sz w:val="18"/>
          <w:szCs w:val="18"/>
          <w:color w:val="auto"/>
        </w:rPr>
        <w:t>For the three and six months ended June 30, 2020, we recorded a net expense of $1.0 million and $2.0 million, respectively, for U.S. federal excise tax and other taxes. For the three and six months ended June 30, 2019, we recorded a net expense of $1.0 million and $1.3 million, respectively, for U.S. federal excise tax and other taxes.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summarizes our net realized and unrealized gains (losses) for the three and six months ended June 30, 2020 and 2019:</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60" w:type="dxa"/>
            <w:vAlign w:val="bottom"/>
          </w:tcPr>
          <w:p>
            <w:pPr>
              <w:spacing w:after="0"/>
              <w:rPr>
                <w:sz w:val="14"/>
                <w:szCs w:val="14"/>
                <w:color w:val="auto"/>
              </w:rPr>
            </w:pPr>
          </w:p>
        </w:tc>
        <w:tc>
          <w:tcPr>
            <w:tcW w:w="21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6"/>
        </w:trPr>
        <w:tc>
          <w:tcPr>
            <w:tcW w:w="5160" w:type="dxa"/>
            <w:vAlign w:val="bottom"/>
            <w:tcBorders>
              <w:bottom w:val="single" w:sz="8" w:color="CFF0FC"/>
            </w:tcBorders>
            <w:vMerge w:val="continue"/>
          </w:tcPr>
          <w:p>
            <w:pPr>
              <w:spacing w:after="0"/>
              <w:rPr>
                <w:sz w:val="13"/>
                <w:szCs w:val="13"/>
                <w:color w:val="auto"/>
              </w:rPr>
            </w:pPr>
          </w:p>
        </w:tc>
        <w:tc>
          <w:tcPr>
            <w:tcW w:w="1000" w:type="dxa"/>
            <w:vAlign w:val="bottom"/>
            <w:tcBorders>
              <w:top w:val="single" w:sz="8" w:color="auto"/>
              <w:bottom w:val="single" w:sz="8" w:color="auto"/>
            </w:tcBorders>
            <w:gridSpan w:val="2"/>
          </w:tcPr>
          <w:p>
            <w:pPr>
              <w:jc w:val="right"/>
              <w:ind w:right="11"/>
              <w:spacing w:after="0" w:line="155" w:lineRule="exact"/>
              <w:rPr>
                <w:sz w:val="20"/>
                <w:szCs w:val="20"/>
                <w:color w:val="auto"/>
              </w:rPr>
            </w:pPr>
            <w:r>
              <w:rPr>
                <w:rFonts w:ascii="Arial" w:cs="Arial" w:eastAsia="Arial" w:hAnsi="Arial"/>
                <w:sz w:val="14"/>
                <w:szCs w:val="14"/>
                <w:b w:val="1"/>
                <w:bCs w:val="1"/>
                <w:color w:val="auto"/>
                <w:w w:val="96"/>
              </w:rPr>
              <w:t>June 30, 2020</w:t>
            </w:r>
          </w:p>
        </w:tc>
        <w:tc>
          <w:tcPr>
            <w:tcW w:w="2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1"/>
              <w:spacing w:after="0" w:line="155" w:lineRule="exact"/>
              <w:rPr>
                <w:sz w:val="20"/>
                <w:szCs w:val="20"/>
                <w:color w:val="auto"/>
              </w:rPr>
            </w:pPr>
            <w:r>
              <w:rPr>
                <w:rFonts w:ascii="Arial" w:cs="Arial" w:eastAsia="Arial" w:hAnsi="Arial"/>
                <w:sz w:val="14"/>
                <w:szCs w:val="14"/>
                <w:b w:val="1"/>
                <w:bCs w:val="1"/>
                <w:color w:val="auto"/>
                <w:w w:val="90"/>
              </w:rPr>
              <w:t>June 30, 2019</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w w:val="90"/>
              </w:rPr>
              <w:t>June 30, 2020</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
              <w:spacing w:after="0" w:line="155" w:lineRule="exact"/>
              <w:rPr>
                <w:sz w:val="20"/>
                <w:szCs w:val="20"/>
                <w:color w:val="auto"/>
              </w:rPr>
            </w:pPr>
            <w:r>
              <w:rPr>
                <w:rFonts w:ascii="Arial" w:cs="Arial" w:eastAsia="Arial" w:hAnsi="Arial"/>
                <w:sz w:val="14"/>
                <w:szCs w:val="14"/>
                <w:b w:val="1"/>
                <w:bCs w:val="1"/>
                <w:color w:val="auto"/>
                <w:w w:val="87"/>
              </w:rPr>
              <w:t>June 30, 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on investments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Net realized gains on extinguishment of debt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 on foreign currency transactions</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Net realized gains (losses) on foreign currency investments</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on foreign currency borrowings</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Net Realized Gains (Losses)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160" w:type="dxa"/>
            <w:vAlign w:val="bottom"/>
            <w:vMerge w:val="continue"/>
          </w:tcPr>
          <w:p>
            <w:pPr>
              <w:spacing w:after="0"/>
              <w:rPr>
                <w:sz w:val="22"/>
                <w:szCs w:val="22"/>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Change in unrealized gains on investments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87.6</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losses on investments</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5"/>
        </w:trPr>
        <w:tc>
          <w:tcPr>
            <w:tcW w:w="5160" w:type="dxa"/>
            <w:vAlign w:val="bottom"/>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w:t>
            </w: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40"/>
              <w:spacing w:after="0"/>
              <w:rPr>
                <w:sz w:val="20"/>
                <w:szCs w:val="20"/>
                <w:color w:val="auto"/>
              </w:rPr>
            </w:pPr>
            <w:r>
              <w:rPr>
                <w:rFonts w:ascii="Arial" w:cs="Arial" w:eastAsia="Arial" w:hAnsi="Arial"/>
                <w:sz w:val="18"/>
                <w:szCs w:val="18"/>
                <w:b w:val="1"/>
                <w:bCs w:val="1"/>
                <w:color w:val="auto"/>
              </w:rPr>
              <w:t>Investments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65.1</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(42.5)</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(losses) on foreign currency borrowings</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Unrealized gains (losses) on foreign currency cash</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on interest rate swaps</w:t>
            </w: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160" w:type="dxa"/>
            <w:vAlign w:val="bottom"/>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 Foreign</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40"/>
              <w:spacing w:after="0"/>
              <w:rPr>
                <w:sz w:val="20"/>
                <w:szCs w:val="20"/>
                <w:color w:val="auto"/>
              </w:rPr>
            </w:pPr>
            <w:r>
              <w:rPr>
                <w:rFonts w:ascii="Arial" w:cs="Arial" w:eastAsia="Arial" w:hAnsi="Arial"/>
                <w:sz w:val="18"/>
                <w:szCs w:val="18"/>
                <w:b w:val="1"/>
                <w:bCs w:val="1"/>
                <w:color w:val="auto"/>
              </w:rPr>
              <w:t>Currency Transactions and Interest Rate Swaps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255"/>
        <w:spacing w:after="0" w:line="291" w:lineRule="auto"/>
        <w:rPr>
          <w:sz w:val="20"/>
          <w:szCs w:val="20"/>
          <w:color w:val="auto"/>
        </w:rPr>
      </w:pPr>
      <w:r>
        <w:rPr>
          <w:rFonts w:ascii="Arial" w:cs="Arial" w:eastAsia="Arial" w:hAnsi="Arial"/>
          <w:sz w:val="16"/>
          <w:szCs w:val="16"/>
          <w:color w:val="auto"/>
        </w:rPr>
        <w:t>For the three and six months ended June 30, 2020, we had net realized losses on investments of $1.5 million and $3.5 million, respectively, primarily driven by one investment. For both the three and six months ended June 30, 2020, we had net realized gains of $0.7 million on extinguishment of debt, as a result of our repurchases of our debt securities. For the three and six months ended June 30, 2020, we had net realized gains of less than $0.1 million and $0.1 million, respectively, on foreign currency transactions, primarily as a result of translating foreign currency related to our non-USD denominated investments. For the three and six months ended June 30, 2020, we had net realized gains of $0.3 million and $0.2 million, respectively, on foreign currency investments. For the three and six months ended June 30, 2020, we had net realized losses of $0.3 million and $0.2 million, respectively, on foreign currency borrowings. The net realized losses on foreign currency borrowings were a result of payments on our revolving credit facility.</w:t>
      </w:r>
    </w:p>
    <w:p>
      <w:pPr>
        <w:spacing w:after="0" w:line="166" w:lineRule="exact"/>
        <w:rPr>
          <w:sz w:val="20"/>
          <w:szCs w:val="20"/>
          <w:color w:val="auto"/>
        </w:rPr>
      </w:pPr>
    </w:p>
    <w:p>
      <w:pPr>
        <w:ind w:right="40" w:firstLine="255"/>
        <w:spacing w:after="0" w:line="286" w:lineRule="auto"/>
        <w:rPr>
          <w:sz w:val="20"/>
          <w:szCs w:val="20"/>
          <w:color w:val="auto"/>
        </w:rPr>
      </w:pPr>
      <w:r>
        <w:rPr>
          <w:rFonts w:ascii="Arial" w:cs="Arial" w:eastAsia="Arial" w:hAnsi="Arial"/>
          <w:sz w:val="16"/>
          <w:szCs w:val="16"/>
          <w:color w:val="auto"/>
        </w:rPr>
        <w:t>For the three months ended June 30, 2020 we had $87.6 million in unrealized gains on 57 portfolio company investments, which was offset by $22.5 million in unrealized losses on 10 portfolio company investments. Unrealized gains resulted from an increase in fair value, primarily due to tightening of credit spreads. Unrealized losses primarily resulted from negative credit-related adjustments. For the six months ended June 30, 2020 we had $14.9 million in unrealized gains on 27 portfolio company investments, which was offset by $57.4 million in unrealized losses on 47 portfolio company</w:t>
      </w:r>
    </w:p>
    <w:p>
      <w:pPr>
        <w:spacing w:after="0" w:line="1"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investments. Unrealized gains resulted from an increase in fair value, primarily due positive investment-related adjustments. Unrealized losses primarily resulted from a widening spread environment.</w:t>
      </w:r>
    </w:p>
    <w:p>
      <w:pPr>
        <w:spacing w:after="0" w:line="185"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For the three and six months ended June 30, 2020 we had unrealized losses on foreign currency borrowings of $8.4 million and unrealized gains on foreign currency borrowings of $5.4 million, respectively, as a result of fluctuations in the AUD, CAD and EUR exchange rates. For the three and six months ended June 30, 2020, we had unrealized gains on foreign currency cash of less than $0.1. For the three and six months ended June 30, 2020, we had unrealized gains on interest rate swaps of $0.5 million and $9.7 million, respectively, due to fluctuations in interest rates and the periodic settlement of interest rate swaps.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9" w:name="page60"/>
    <w:bookmarkEnd w:id="59"/>
    <w:p>
      <w:pPr>
        <w:ind w:right="20" w:firstLine="255"/>
        <w:spacing w:after="0" w:line="273" w:lineRule="auto"/>
        <w:rPr>
          <w:sz w:val="20"/>
          <w:szCs w:val="20"/>
          <w:color w:val="auto"/>
        </w:rPr>
      </w:pPr>
      <w:r>
        <w:rPr>
          <w:rFonts w:ascii="Arial" w:cs="Arial" w:eastAsia="Arial" w:hAnsi="Arial"/>
          <w:sz w:val="17"/>
          <w:szCs w:val="17"/>
          <w:color w:val="auto"/>
        </w:rPr>
        <w:t>For the three and six months ended June 30, 2019 we had net realized gains on investments of $0.3 million and $1.0 million, respectively. For the three and six months ended June 30, 2019 we had net realized losses of less than $0.1 million and $0.1 million, respectively, on foreign currency transactions, primarily as a result of translating foreign currency related to our non-USD denominated investments. For the three and six months ended June 30, 2019 we had net realized gains of less than $0.1 million and net realized losses of $0.1 million, respectively, on foreign currency investments. For both the three and six months ended June 30, 2019 and 2018 we had net realized gains of less than $0.1 million on foreign currency borrowings. The net realized gains on foreign currency borrowings were a result of payments on our revolving credit facility.</w:t>
      </w:r>
    </w:p>
    <w:p>
      <w:pPr>
        <w:spacing w:after="0" w:line="178" w:lineRule="exact"/>
        <w:rPr>
          <w:sz w:val="20"/>
          <w:szCs w:val="20"/>
          <w:color w:val="auto"/>
        </w:rPr>
      </w:pPr>
    </w:p>
    <w:p>
      <w:pPr>
        <w:ind w:firstLine="255"/>
        <w:spacing w:after="0" w:line="273" w:lineRule="auto"/>
        <w:rPr>
          <w:sz w:val="20"/>
          <w:szCs w:val="20"/>
          <w:color w:val="auto"/>
        </w:rPr>
      </w:pPr>
      <w:r>
        <w:rPr>
          <w:rFonts w:ascii="Arial" w:cs="Arial" w:eastAsia="Arial" w:hAnsi="Arial"/>
          <w:sz w:val="17"/>
          <w:szCs w:val="17"/>
          <w:color w:val="auto"/>
        </w:rPr>
        <w:t>For the three months ended June 30, 2019 we had $20.2 million in unrealized gains on 27 portfolio company investments, which was offset by $9.1 million in unrealized losses on 33 portfolio company investments. Unrealized gains resulted from an increase in fair value, primarily due to positive credit-related adjustments. Unrealized losses primarily resulted from some instances of negative credit-related adjustments. For the six months ended June 30, 2019 we had $32.5 million in unrealized gains on 38 portfolio company investments, which was offset by $11.9 million in unrealized losses on 23 portfolio company investments. Unrealized gains resulted from an increase in fair value, primarily due to a tightening spread environment and positive credit-related adjustments. Unrealized losses primarily resulted from some instances of negative credit-related adjustments.</w:t>
      </w:r>
    </w:p>
    <w:p>
      <w:pPr>
        <w:spacing w:after="0" w:line="178" w:lineRule="exact"/>
        <w:rPr>
          <w:sz w:val="20"/>
          <w:szCs w:val="20"/>
          <w:color w:val="auto"/>
        </w:rPr>
      </w:pPr>
    </w:p>
    <w:p>
      <w:pPr>
        <w:ind w:right="420" w:firstLine="255"/>
        <w:spacing w:after="0" w:line="257" w:lineRule="auto"/>
        <w:rPr>
          <w:sz w:val="20"/>
          <w:szCs w:val="20"/>
          <w:color w:val="auto"/>
        </w:rPr>
      </w:pPr>
      <w:r>
        <w:rPr>
          <w:rFonts w:ascii="Arial" w:cs="Arial" w:eastAsia="Arial" w:hAnsi="Arial"/>
          <w:sz w:val="18"/>
          <w:szCs w:val="18"/>
          <w:color w:val="auto"/>
        </w:rPr>
        <w:t>For the three and six months ended June 30, 2019, we had unrealized losses on foreign currency borrowings of $0.8 million and $2.2 million, respectively, as a result of fluctuations in the AUD, CAD and EUR exchange rates. For both the three and six months ended June 30, 2019 we had unrealized gains on foreign currency cash and forward contracts of less than $0.1 million. For the three and six months ended June 30, 2019 we had unrealized gains on interest rate swaps of $6.1 million and $9.5 million, respectively, on interest rate swaps due to fluctuations in interest rates and the periodic settlement of interest rate swaps.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Gross Internal Rate of Return</w:t>
      </w:r>
    </w:p>
    <w:p>
      <w:pPr>
        <w:spacing w:after="0" w:line="117" w:lineRule="exact"/>
        <w:rPr>
          <w:sz w:val="20"/>
          <w:szCs w:val="20"/>
          <w:color w:val="auto"/>
        </w:rPr>
      </w:pPr>
    </w:p>
    <w:p>
      <w:pPr>
        <w:ind w:right="60" w:firstLine="255"/>
        <w:spacing w:after="0" w:line="286" w:lineRule="auto"/>
        <w:rPr>
          <w:sz w:val="20"/>
          <w:szCs w:val="20"/>
          <w:color w:val="auto"/>
        </w:rPr>
      </w:pPr>
      <w:r>
        <w:rPr>
          <w:rFonts w:ascii="Arial" w:cs="Arial" w:eastAsia="Arial" w:hAnsi="Arial"/>
          <w:sz w:val="17"/>
          <w:szCs w:val="17"/>
          <w:color w:val="auto"/>
        </w:rPr>
        <w:t>Since we began investing in 2011 through June 30, 2020, weighted by capital invested, our exited investments have generated an average realized gross internal rate of return to us of 18.2% (based on total capital invested of $4.4 billion and total proceeds from these exited investments of $5.5 billion). Ninety percent of these exited investments resulted in a realized gross internal rate of return to us of 10% or greater.</w:t>
      </w:r>
    </w:p>
    <w:p>
      <w:pPr>
        <w:spacing w:after="0" w:line="165" w:lineRule="exact"/>
        <w:rPr>
          <w:sz w:val="20"/>
          <w:szCs w:val="20"/>
          <w:color w:val="auto"/>
        </w:rPr>
      </w:pPr>
    </w:p>
    <w:p>
      <w:pPr>
        <w:ind w:right="340" w:firstLine="255"/>
        <w:spacing w:after="0" w:line="263"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4" w:lineRule="exact"/>
        <w:rPr>
          <w:sz w:val="20"/>
          <w:szCs w:val="20"/>
          <w:color w:val="auto"/>
        </w:rPr>
      </w:pPr>
    </w:p>
    <w:p>
      <w:pPr>
        <w:jc w:val="both"/>
        <w:ind w:right="160" w:firstLine="255"/>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Average gross IRR is the average of the gross IRR for each of our exited investments (each calculated as described above), weighted by the total capital invested for each of those investments.</w:t>
      </w:r>
    </w:p>
    <w:p>
      <w:pPr>
        <w:spacing w:after="0" w:line="170"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Average gross IRR on our exited investments reflects only invested and realized cash amounts as described above, and does not reflect any unrealized gains or losses in our portfolio.</w:t>
      </w:r>
    </w:p>
    <w:p>
      <w:pPr>
        <w:spacing w:after="0" w:line="170" w:lineRule="exact"/>
        <w:rPr>
          <w:sz w:val="20"/>
          <w:szCs w:val="20"/>
          <w:color w:val="auto"/>
        </w:rPr>
      </w:pPr>
    </w:p>
    <w:p>
      <w:pPr>
        <w:ind w:right="160" w:firstLine="255"/>
        <w:spacing w:after="0" w:line="286" w:lineRule="auto"/>
        <w:rPr>
          <w:sz w:val="20"/>
          <w:szCs w:val="20"/>
          <w:color w:val="auto"/>
        </w:rPr>
      </w:pPr>
      <w:r>
        <w:rPr>
          <w:rFonts w:ascii="Arial" w:cs="Arial" w:eastAsia="Arial" w:hAnsi="Arial"/>
          <w:sz w:val="17"/>
          <w:szCs w:val="17"/>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5" w:lineRule="exact"/>
        <w:rPr>
          <w:sz w:val="20"/>
          <w:szCs w:val="20"/>
          <w:color w:val="auto"/>
        </w:rPr>
      </w:pPr>
    </w:p>
    <w:p>
      <w:pPr>
        <w:ind w:right="120" w:firstLine="255"/>
        <w:spacing w:after="0" w:line="311"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right="20" w:firstLine="255"/>
        <w:spacing w:after="0" w:line="301"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right="160" w:firstLine="255"/>
        <w:spacing w:after="0" w:line="290" w:lineRule="auto"/>
        <w:rPr>
          <w:sz w:val="20"/>
          <w:szCs w:val="20"/>
          <w:color w:val="auto"/>
        </w:rPr>
      </w:pPr>
      <w:r>
        <w:rPr>
          <w:rFonts w:ascii="Arial" w:cs="Arial" w:eastAsia="Arial" w:hAnsi="Arial"/>
          <w:sz w:val="16"/>
          <w:szCs w:val="16"/>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 Our current approach to hedging the foreign currency exposure in our non-U.S. dollar denominated investments is primarily to borrow the par amount in local currency under our Revolving Credit Facility to fund these investments. For the three and six months ended June 30, 2020, we incurred $8.4 million of unrealized losses and $5.4 million of unrealized gains, respectively, on the translation of our non-U.S. dollar denominated debt into U.S. dollars; such amounts approximate the corresponding unrealized gains and losses on the translation of our non-U.S. dollar denominated investments into U.S. dollars for the three and six months ended June 30, 2020.</w:t>
      </w:r>
    </w:p>
    <w:p>
      <w:pPr>
        <w:spacing w:after="0" w:line="165" w:lineRule="exact"/>
        <w:rPr>
          <w:sz w:val="20"/>
          <w:szCs w:val="20"/>
          <w:color w:val="auto"/>
        </w:rPr>
      </w:pPr>
    </w:p>
    <w:p>
      <w:pPr>
        <w:jc w:val="both"/>
        <w:ind w:right="20" w:firstLine="255"/>
        <w:spacing w:after="0" w:line="286" w:lineRule="auto"/>
        <w:rPr>
          <w:sz w:val="20"/>
          <w:szCs w:val="20"/>
          <w:color w:val="auto"/>
        </w:rPr>
      </w:pPr>
      <w:r>
        <w:rPr>
          <w:rFonts w:ascii="Arial" w:cs="Arial" w:eastAsia="Arial" w:hAnsi="Arial"/>
          <w:sz w:val="17"/>
          <w:szCs w:val="17"/>
          <w:color w:val="auto"/>
        </w:rPr>
        <w:t>For the three and six months ended June 30, 2019, we incurred $0.8 million and $2.2 million, respectively, of unrealized losses on the translation of our non-U.S. dollar denominated debt into U.S. dollars; such amounts approximate the corresponding unrealized gains and losses on the translation of our non-U.S. dollar denominated investments into U.S. dollars for the three and six months ended June 30, 2019.</w:t>
      </w:r>
    </w:p>
    <w:p>
      <w:pPr>
        <w:spacing w:after="0" w:line="165"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See Note 2 for additional disclosure regarding our accounting for foreign currency. See Note 7 for additional disclosure regarding the amounts of outstanding debt denominated in each foreign currency at June 30, 2020. See our consolidated schedule of investments for additional disclosure regarding the foreign currency amounts (in both par and fair value) of our non-U.S. dollar denominated investments.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00" w:hanging="249"/>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firstLine="255"/>
        <w:spacing w:after="0" w:line="289" w:lineRule="auto"/>
        <w:rPr>
          <w:sz w:val="20"/>
          <w:szCs w:val="20"/>
          <w:color w:val="auto"/>
        </w:rPr>
      </w:pPr>
      <w:r>
        <w:rPr>
          <w:rFonts w:ascii="Arial" w:cs="Arial" w:eastAsia="Arial" w:hAnsi="Arial"/>
          <w:sz w:val="16"/>
          <w:szCs w:val="16"/>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150%. For more information, see “Key Components of Our Results of Operations — Leverage” above. As of June 30, 2020 and December 31, 2019, our asset coverage ratio was 224.0% and 200.4%,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66"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Cash and cash equivalents as of June 30, 2020, taken together with cash available under our credit facilities, is expected to be sufficient for our investing activities and to conduct our operations in the near term. As of June 30, 2020, we had approximately $1.1 billion of availability on our Revolving Credit Facility, subject to asset coverage limitations.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1" w:name="page62"/>
    <w:bookmarkEnd w:id="61"/>
    <w:p>
      <w:pPr>
        <w:ind w:right="80" w:firstLine="255"/>
        <w:spacing w:after="0" w:line="254" w:lineRule="auto"/>
        <w:rPr>
          <w:sz w:val="20"/>
          <w:szCs w:val="20"/>
          <w:color w:val="auto"/>
        </w:rPr>
      </w:pPr>
      <w:r>
        <w:rPr>
          <w:rFonts w:ascii="Arial" w:cs="Arial" w:eastAsia="Arial" w:hAnsi="Arial"/>
          <w:sz w:val="18"/>
          <w:szCs w:val="18"/>
          <w:color w:val="auto"/>
        </w:rPr>
        <w:t>As of June 30, 2020, we had $15.9 million in cash and cash equivalents, including $12.8 million of restricted cash, an increase of $1.8 million from December 31, 2019. During the six months ended June 30, 2020, we provided $319.6 million in cash from operating activities, primarily as a result of repayments and proceeds from investments of $444.2 million, other operating activity of $43.6 million and an increase in net assets resulting from operations of $42.8 million, which was partially offset by funding portfolio investments of $211.0 million. Lastly, cash used in financing activities was $317.8 million during the period, primarily due to paydowns on our Revolving Credit Facility of $527.3 million, dividends paid of $74.1 million, repurchases of debt of $31.8 million, repurchases of common stock of $2.9 million, and deferred financing costs of $4.2 million, which was partially offset by borrowings of $322.5 million.</w:t>
      </w:r>
    </w:p>
    <w:p>
      <w:pPr>
        <w:spacing w:after="0" w:line="195"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As of June 30, 2020, we had $12.8 million of restricted cash pledged as collateral under our interest rate swap agreements, an increase of $3.5 million from December 31, 2019 primarily due to increases in the notional amount and fair value of our swaps.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During the six months ended June 30, 2020 and 2019, we also issued 1,024,786 and 625,473 shares of our common stock, respectively, to investors who have not opted out of our dividend reinvestment plan for proceeds of $16.7 million and $11.8 million, respectively. On July 15, 2020, we issued 285,727 shares of our common stock through our dividend reinvestment plan for proceeds of $4.5 million, which is not reflected in the number of shares issued for the six months ended June 30, 2020 in this section or the consolidated financial statements for the three and six months ended June 30, 2020.</w:t>
      </w:r>
    </w:p>
    <w:p>
      <w:pPr>
        <w:spacing w:after="0" w:line="157" w:lineRule="exact"/>
        <w:rPr>
          <w:sz w:val="20"/>
          <w:szCs w:val="20"/>
          <w:color w:val="auto"/>
        </w:rPr>
      </w:pPr>
    </w:p>
    <w:p>
      <w:pPr>
        <w:ind w:right="120" w:firstLine="255"/>
        <w:spacing w:after="0" w:line="279" w:lineRule="auto"/>
        <w:rPr>
          <w:sz w:val="20"/>
          <w:szCs w:val="20"/>
          <w:color w:val="auto"/>
        </w:rPr>
      </w:pPr>
      <w:r>
        <w:rPr>
          <w:rFonts w:ascii="Arial" w:cs="Arial" w:eastAsia="Arial" w:hAnsi="Arial"/>
          <w:sz w:val="17"/>
          <w:szCs w:val="17"/>
          <w:color w:val="auto"/>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May 5, 2020. The amount and timing of stock repurchases under the program may vary depending on market conditions, and no assurance can be given that any particular amount of common stock will be repurchased.</w:t>
      </w:r>
    </w:p>
    <w:p>
      <w:pPr>
        <w:spacing w:after="0" w:line="171"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During the six months ended June 30, 2020, we repurchased 206,964 shares at a weighted average price per share of $14.17 inclusive of commissions, for a total cost of $2.9 million. No shares were repurchased during the three months ended June 30, 2020, or during three and six months ended June 30, 2019.</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June 30, 2020 and December 31, 2019:</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3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Principal</w:t>
            </w:r>
          </w:p>
        </w:tc>
        <w:tc>
          <w:tcPr>
            <w:tcW w:w="16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5"/>
                <w:szCs w:val="15"/>
                <w:color w:val="auto"/>
              </w:rPr>
            </w:pPr>
          </w:p>
        </w:tc>
      </w:tr>
      <w:tr>
        <w:trPr>
          <w:trHeight w:val="194"/>
        </w:trPr>
        <w:tc>
          <w:tcPr>
            <w:tcW w:w="420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Committed</w:t>
            </w:r>
          </w:p>
        </w:tc>
        <w:tc>
          <w:tcPr>
            <w:tcW w:w="160" w:type="dxa"/>
            <w:vAlign w:val="bottom"/>
          </w:tcPr>
          <w:p>
            <w:pPr>
              <w:spacing w:after="0"/>
              <w:rPr>
                <w:sz w:val="16"/>
                <w:szCs w:val="16"/>
                <w:color w:val="auto"/>
              </w:rPr>
            </w:pPr>
          </w:p>
        </w:tc>
        <w:tc>
          <w:tcPr>
            <w:tcW w:w="1120" w:type="dxa"/>
            <w:vAlign w:val="bottom"/>
          </w:tcPr>
          <w:p>
            <w:pPr>
              <w:jc w:val="right"/>
              <w:ind w:right="27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r>
      <w:tr>
        <w:trPr>
          <w:trHeight w:val="223"/>
        </w:trPr>
        <w:tc>
          <w:tcPr>
            <w:tcW w:w="4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1,080.4</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382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w:t>
            </w:r>
          </w:p>
        </w:tc>
        <w:tc>
          <w:tcPr>
            <w:tcW w:w="120" w:type="dxa"/>
            <w:vAlign w:val="bottom"/>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3820" w:type="dxa"/>
            <w:vAlign w:val="bottom"/>
          </w:tcPr>
          <w:p>
            <w:pPr>
              <w:ind w:left="20"/>
              <w:spacing w:after="0"/>
              <w:rPr>
                <w:sz w:val="20"/>
                <w:szCs w:val="20"/>
                <w:color w:val="auto"/>
              </w:rPr>
            </w:pPr>
            <w:r>
              <w:rPr>
                <w:rFonts w:ascii="Arial" w:cs="Arial" w:eastAsia="Arial" w:hAnsi="Arial"/>
                <w:sz w:val="18"/>
                <w:szCs w:val="18"/>
                <w:color w:val="auto"/>
              </w:rPr>
              <w:t>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360.8</w:t>
            </w:r>
          </w:p>
        </w:tc>
        <w:tc>
          <w:tcPr>
            <w:tcW w:w="120" w:type="dxa"/>
            <w:vAlign w:val="bottom"/>
          </w:tcPr>
          <w:p>
            <w:pPr>
              <w:spacing w:after="0"/>
              <w:rPr>
                <w:sz w:val="19"/>
                <w:szCs w:val="19"/>
                <w:color w:val="auto"/>
              </w:rPr>
            </w:pPr>
          </w:p>
        </w:tc>
      </w:tr>
      <w:tr>
        <w:trPr>
          <w:trHeight w:val="223"/>
        </w:trPr>
        <w:tc>
          <w:tcPr>
            <w:tcW w:w="420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900" w:hanging="492"/>
        <w:spacing w:after="0" w:line="258"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200" w:hanging="492"/>
        <w:spacing w:after="0" w:line="250"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of $12.0 million, $2.0 million, $1.7 million and $6.0 million, respectively.</w:t>
      </w:r>
    </w:p>
    <w:p>
      <w:pPr>
        <w:ind w:left="500" w:right="60" w:hanging="492"/>
        <w:spacing w:after="0" w:line="260"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inclusive of an incremental $19.3 million, which represents an adjustment in the carrying value of the 2024 Notes resulting from a hedge accounting relationship.</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3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Principal</w:t>
            </w:r>
          </w:p>
        </w:tc>
        <w:tc>
          <w:tcPr>
            <w:tcW w:w="16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5"/>
                <w:szCs w:val="15"/>
                <w:color w:val="auto"/>
              </w:rPr>
            </w:pPr>
          </w:p>
        </w:tc>
      </w:tr>
      <w:tr>
        <w:trPr>
          <w:trHeight w:val="208"/>
        </w:trPr>
        <w:tc>
          <w:tcPr>
            <w:tcW w:w="420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Committed</w:t>
            </w:r>
          </w:p>
        </w:tc>
        <w:tc>
          <w:tcPr>
            <w:tcW w:w="160" w:type="dxa"/>
            <w:vAlign w:val="bottom"/>
          </w:tcPr>
          <w:p>
            <w:pPr>
              <w:spacing w:after="0"/>
              <w:rPr>
                <w:sz w:val="18"/>
                <w:szCs w:val="18"/>
                <w:color w:val="auto"/>
              </w:rPr>
            </w:pPr>
          </w:p>
        </w:tc>
        <w:tc>
          <w:tcPr>
            <w:tcW w:w="1120" w:type="dxa"/>
            <w:vAlign w:val="bottom"/>
          </w:tcPr>
          <w:p>
            <w:pPr>
              <w:jc w:val="right"/>
              <w:ind w:right="27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r>
      <w:tr>
        <w:trPr>
          <w:trHeight w:val="223"/>
        </w:trPr>
        <w:tc>
          <w:tcPr>
            <w:tcW w:w="4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382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169.4</w:t>
            </w:r>
          </w:p>
        </w:tc>
        <w:tc>
          <w:tcPr>
            <w:tcW w:w="120" w:type="dxa"/>
            <w:vAlign w:val="bottom"/>
          </w:tcPr>
          <w:p>
            <w:pPr>
              <w:spacing w:after="0"/>
              <w:rPr>
                <w:sz w:val="19"/>
                <w:szCs w:val="19"/>
                <w:color w:val="auto"/>
              </w:rPr>
            </w:pPr>
          </w:p>
        </w:tc>
      </w:tr>
      <w:tr>
        <w:trPr>
          <w:trHeight w:val="229"/>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20" w:type="dxa"/>
            <w:vAlign w:val="bottom"/>
            <w:shd w:val="clear" w:color="auto" w:fill="CFF0FC"/>
          </w:tcPr>
          <w:p>
            <w:pPr>
              <w:spacing w:after="0"/>
              <w:rPr>
                <w:sz w:val="19"/>
                <w:szCs w:val="19"/>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3820" w:type="dxa"/>
            <w:vAlign w:val="bottom"/>
          </w:tcPr>
          <w:p>
            <w:pPr>
              <w:ind w:left="20"/>
              <w:spacing w:after="0"/>
              <w:rPr>
                <w:sz w:val="20"/>
                <w:szCs w:val="20"/>
                <w:color w:val="auto"/>
              </w:rPr>
            </w:pPr>
            <w:r>
              <w:rPr>
                <w:rFonts w:ascii="Arial" w:cs="Arial" w:eastAsia="Arial" w:hAnsi="Arial"/>
                <w:sz w:val="18"/>
                <w:szCs w:val="18"/>
                <w:color w:val="auto"/>
              </w:rPr>
              <w:t>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291.3</w:t>
            </w:r>
          </w:p>
        </w:tc>
        <w:tc>
          <w:tcPr>
            <w:tcW w:w="120" w:type="dxa"/>
            <w:vAlign w:val="bottom"/>
          </w:tcPr>
          <w:p>
            <w:pPr>
              <w:spacing w:after="0"/>
              <w:rPr>
                <w:sz w:val="19"/>
                <w:szCs w:val="19"/>
                <w:color w:val="auto"/>
              </w:rPr>
            </w:pPr>
          </w:p>
        </w:tc>
      </w:tr>
      <w:tr>
        <w:trPr>
          <w:trHeight w:val="223"/>
        </w:trPr>
        <w:tc>
          <w:tcPr>
            <w:tcW w:w="420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900" w:hanging="492"/>
        <w:spacing w:after="0" w:line="258"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200" w:hanging="492"/>
        <w:spacing w:after="0" w:line="250"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of $10.0 million, $3.1 million, $2.0 million and $6.9 million, respectively.</w:t>
      </w:r>
    </w:p>
    <w:p>
      <w:pPr>
        <w:ind w:left="500" w:right="540" w:hanging="492"/>
        <w:spacing w:after="0" w:line="260"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net of $1.8 million, which represents an adjustment in the carrying value of the 2024 Notes resulting from a hedge accounting relationship.</w:t>
      </w:r>
    </w:p>
    <w:p>
      <w:pPr>
        <w:spacing w:after="0" w:line="185"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As of June 30, 2020 and December 31, 2019, we were in compliance with the terms of our debt arrangements. We intend to continue to utilize our credit facilities to fund investments and for other general corporate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220" w:firstLine="255"/>
        <w:spacing w:after="0" w:line="263" w:lineRule="auto"/>
        <w:rPr>
          <w:sz w:val="20"/>
          <w:szCs w:val="20"/>
          <w:color w:val="auto"/>
        </w:rPr>
      </w:pPr>
      <w:r>
        <w:rPr>
          <w:rFonts w:ascii="Arial" w:cs="Arial" w:eastAsia="Arial" w:hAnsi="Arial"/>
          <w:sz w:val="18"/>
          <w:szCs w:val="18"/>
          <w:color w:val="auto"/>
        </w:rPr>
        <w:t>On August 23, 2012, we entered into a senior secured revolving credit agreement with Truist Bank (as successor by merger to SunTrust Bank), as administrative agent, and J.P. Morgan Chase Bank, N.A., as syndication agent, and certain other lenders (as amended and restated, the “Revolving Credit Facility”).</w:t>
      </w:r>
    </w:p>
    <w:p>
      <w:pPr>
        <w:spacing w:after="0" w:line="184" w:lineRule="exact"/>
        <w:rPr>
          <w:sz w:val="20"/>
          <w:szCs w:val="20"/>
          <w:color w:val="auto"/>
        </w:rPr>
      </w:pPr>
    </w:p>
    <w:p>
      <w:pPr>
        <w:ind w:right="40" w:firstLine="255"/>
        <w:spacing w:after="0" w:line="311" w:lineRule="auto"/>
        <w:rPr>
          <w:sz w:val="20"/>
          <w:szCs w:val="20"/>
          <w:color w:val="auto"/>
        </w:rPr>
      </w:pPr>
      <w:r>
        <w:rPr>
          <w:rFonts w:ascii="Arial" w:cs="Arial" w:eastAsia="Arial" w:hAnsi="Arial"/>
          <w:sz w:val="16"/>
          <w:szCs w:val="16"/>
          <w:color w:val="auto"/>
        </w:rPr>
        <w:t>As of December 31 2019, aggregate commitments under the facility were $1.245 billion. Pursuant to an amendment to the Revolving Credit Facility dated as of January 31, 2020 (the “Ninth Amendment”), the aggregate commitments under the facility were increased to $1.315 billion. The facility includes an uncommitted accordion feature that allows the Company, under certain circumstances, to increase the size of the facility to up to $1.750 billion.</w:t>
      </w:r>
    </w:p>
    <w:p>
      <w:pPr>
        <w:spacing w:after="0" w:line="149" w:lineRule="exact"/>
        <w:rPr>
          <w:sz w:val="20"/>
          <w:szCs w:val="20"/>
          <w:color w:val="auto"/>
        </w:rPr>
      </w:pPr>
    </w:p>
    <w:p>
      <w:pPr>
        <w:ind w:right="40" w:firstLine="255"/>
        <w:spacing w:after="0" w:line="342" w:lineRule="auto"/>
        <w:rPr>
          <w:sz w:val="20"/>
          <w:szCs w:val="20"/>
          <w:color w:val="auto"/>
        </w:rPr>
      </w:pPr>
      <w:r>
        <w:rPr>
          <w:rFonts w:ascii="Arial" w:cs="Arial" w:eastAsia="Arial" w:hAnsi="Arial"/>
          <w:sz w:val="16"/>
          <w:szCs w:val="16"/>
          <w:color w:val="auto"/>
        </w:rPr>
        <w:t>Pursuant to the Ninth Amendment, the revolving period, during which period we, subject to certain conditions, may make borrowings under the facility, was extended from February 14, 2023 to January 31, 2024 and the stated maturity date was extended from February 14, 2024 to January 31, 2025.</w:t>
      </w:r>
    </w:p>
    <w:p>
      <w:pPr>
        <w:spacing w:after="0" w:line="124" w:lineRule="exact"/>
        <w:rPr>
          <w:sz w:val="20"/>
          <w:szCs w:val="20"/>
          <w:color w:val="auto"/>
        </w:rPr>
      </w:pPr>
    </w:p>
    <w:p>
      <w:pPr>
        <w:jc w:val="both"/>
        <w:ind w:right="80" w:firstLine="255"/>
        <w:spacing w:after="0" w:line="263" w:lineRule="auto"/>
        <w:rPr>
          <w:sz w:val="20"/>
          <w:szCs w:val="20"/>
          <w:color w:val="auto"/>
        </w:rPr>
      </w:pPr>
      <w:r>
        <w:rPr>
          <w:rFonts w:ascii="Arial" w:cs="Arial" w:eastAsia="Arial" w:hAnsi="Arial"/>
          <w:sz w:val="18"/>
          <w:szCs w:val="18"/>
          <w:color w:val="auto"/>
        </w:rPr>
        <w:t>We may borrow amounts in U.S. dollars or certain other permitted currencies. As of June 30, 2020, we had outstanding debt denominated in Australian Dollars (AUD) of 52.6 million, Canadian Dollars (CAD) of 129.9 million, and Euro (EUR) of 8.1 million on our Revolving Credit Facility, included in the Outstanding Principal amount in the table above.</w:t>
      </w:r>
    </w:p>
    <w:p>
      <w:pPr>
        <w:spacing w:after="0" w:line="184" w:lineRule="exact"/>
        <w:rPr>
          <w:sz w:val="20"/>
          <w:szCs w:val="20"/>
          <w:color w:val="auto"/>
        </w:rPr>
      </w:pPr>
    </w:p>
    <w:p>
      <w:pPr>
        <w:ind w:right="320" w:firstLine="255"/>
        <w:spacing w:after="0" w:line="263"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 million. As of June 30, 2020 and December 31, 2019, we had no outstanding letters of credit issued through the Revolving Credit Facility. The amount available for borrowing under the Revolving Credit Facility is reduced by any letters of credit issued through the Revolving Credit Facility.</w:t>
      </w:r>
    </w:p>
    <w:p>
      <w:pPr>
        <w:spacing w:after="0" w:line="184" w:lineRule="exact"/>
        <w:rPr>
          <w:sz w:val="20"/>
          <w:szCs w:val="20"/>
          <w:color w:val="auto"/>
        </w:rPr>
      </w:pPr>
    </w:p>
    <w:p>
      <w:pPr>
        <w:ind w:right="40" w:firstLine="255"/>
        <w:spacing w:after="0" w:line="255"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LIBOR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92"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3" w:name="page64"/>
    <w:bookmarkEnd w:id="63"/>
    <w:p>
      <w:pPr>
        <w:ind w:right="140" w:firstLine="255"/>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62" w:lineRule="exact"/>
        <w:rPr>
          <w:sz w:val="20"/>
          <w:szCs w:val="20"/>
          <w:color w:val="auto"/>
        </w:rPr>
      </w:pPr>
    </w:p>
    <w:p>
      <w:pPr>
        <w:ind w:left="500" w:hanging="249"/>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asset coverage ratio of no less than 1.5 to 1 on the last day of any fiscal quarter;</w:t>
      </w:r>
    </w:p>
    <w:p>
      <w:pPr>
        <w:spacing w:after="0" w:line="117" w:lineRule="exact"/>
        <w:rPr>
          <w:rFonts w:ascii="Arial" w:cs="Arial" w:eastAsia="Arial" w:hAnsi="Arial"/>
          <w:sz w:val="18"/>
          <w:szCs w:val="18"/>
          <w:color w:val="auto"/>
        </w:rPr>
      </w:pPr>
    </w:p>
    <w:p>
      <w:pPr>
        <w:ind w:left="500" w:right="260" w:hanging="249"/>
        <w:spacing w:after="0" w:line="375" w:lineRule="auto"/>
        <w:tabs>
          <w:tab w:leader="none" w:pos="5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w:t>
      </w:r>
    </w:p>
    <w:p>
      <w:pPr>
        <w:ind w:left="500" w:hanging="249"/>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January 31, 2020;</w:t>
      </w:r>
    </w:p>
    <w:p>
      <w:pPr>
        <w:spacing w:after="0" w:line="117" w:lineRule="exact"/>
        <w:rPr>
          <w:rFonts w:ascii="Arial" w:cs="Arial" w:eastAsia="Arial" w:hAnsi="Arial"/>
          <w:sz w:val="18"/>
          <w:szCs w:val="18"/>
          <w:color w:val="auto"/>
        </w:rPr>
      </w:pPr>
    </w:p>
    <w:p>
      <w:pPr>
        <w:ind w:left="500" w:hanging="249"/>
        <w:spacing w:after="0" w:line="259"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8" w:lineRule="exact"/>
        <w:rPr>
          <w:rFonts w:ascii="Arial" w:cs="Arial" w:eastAsia="Arial" w:hAnsi="Arial"/>
          <w:sz w:val="18"/>
          <w:szCs w:val="18"/>
          <w:color w:val="auto"/>
        </w:rPr>
      </w:pPr>
    </w:p>
    <w:p>
      <w:pPr>
        <w:ind w:left="500" w:right="100" w:hanging="249"/>
        <w:spacing w:after="0" w:line="342" w:lineRule="auto"/>
        <w:tabs>
          <w:tab w:leader="none" w:pos="5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24"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The Revolving Credit Facility also contains certain additional concentration limits in connection with the calculation of the borrowing base, based on the Obligor Asset Coverage Ratio.</w:t>
      </w:r>
    </w:p>
    <w:p>
      <w:pPr>
        <w:spacing w:after="0" w:line="170" w:lineRule="exact"/>
        <w:rPr>
          <w:sz w:val="20"/>
          <w:szCs w:val="20"/>
          <w:color w:val="auto"/>
        </w:rPr>
      </w:pPr>
    </w:p>
    <w:p>
      <w:pPr>
        <w:ind w:right="680" w:firstLine="255"/>
        <w:spacing w:after="0" w:line="277" w:lineRule="auto"/>
        <w:rPr>
          <w:sz w:val="20"/>
          <w:szCs w:val="20"/>
          <w:color w:val="auto"/>
        </w:rPr>
      </w:pPr>
      <w:r>
        <w:rPr>
          <w:rFonts w:ascii="Arial" w:cs="Arial" w:eastAsia="Arial" w:hAnsi="Arial"/>
          <w:sz w:val="18"/>
          <w:szCs w:val="18"/>
          <w:color w:val="auto"/>
        </w:rPr>
        <w:t>Net proceeds received from the issuance of the 2022 Convertible Notes, 2023 Notes and 2024 Notes were used to pay down borrowings on the Revolving Credit Facility.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40" w:firstLine="255"/>
        <w:spacing w:after="0" w:line="287" w:lineRule="auto"/>
        <w:rPr>
          <w:sz w:val="20"/>
          <w:szCs w:val="20"/>
          <w:color w:val="auto"/>
        </w:rPr>
      </w:pPr>
      <w:r>
        <w:rPr>
          <w:rFonts w:ascii="Arial" w:cs="Arial" w:eastAsia="Arial" w:hAnsi="Arial"/>
          <w:sz w:val="16"/>
          <w:szCs w:val="16"/>
          <w:color w:val="auto"/>
        </w:rPr>
        <w:t>In February 2017, we issued in a private offering $115 million aggregate principal amount convertible notes due August 2022 (the “2022 Convertible Notes”).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our common stock or a combination of cash and shares of our common stock, at our election, at an initial conversion rate of 46.8516 shares of common stock per $1,000 principal amount of 2022 Convertible Notes, which is equivalent to an initial conversion price of approximately $21.34 per share of our common stock, subject to customary anti-dilution adjustments. As of June 30, 2020, the estimated adjusted conversion price was approximately $19.93 per share of common stock. The sale of the 2022 Convertible Notes generated net proceeds of approximately $111.2 million. We used the net proceeds of the offering to pay down debt under the Revolving Credit Facility. In connection with the offering of 2022 Convertible Notes, we have entered into an interest rate swap to continue to align the interest rates of our liabilities with our investment portfolio, which consists of predominately floating rate loans. As a result of the swaps, our effective interest rate on the original issuance of 2022 Convertible Notes is three-month LIBOR plus 2.37%.</w:t>
      </w:r>
    </w:p>
    <w:p>
      <w:pPr>
        <w:spacing w:after="0" w:line="172" w:lineRule="exact"/>
        <w:rPr>
          <w:sz w:val="20"/>
          <w:szCs w:val="20"/>
          <w:color w:val="auto"/>
        </w:rPr>
      </w:pPr>
    </w:p>
    <w:p>
      <w:pPr>
        <w:ind w:right="180" w:firstLine="255"/>
        <w:spacing w:after="0" w:line="296" w:lineRule="auto"/>
        <w:rPr>
          <w:sz w:val="20"/>
          <w:szCs w:val="20"/>
          <w:color w:val="auto"/>
        </w:rPr>
      </w:pPr>
      <w:r>
        <w:rPr>
          <w:rFonts w:ascii="Arial" w:cs="Arial" w:eastAsia="Arial" w:hAnsi="Arial"/>
          <w:sz w:val="16"/>
          <w:szCs w:val="16"/>
          <w:color w:val="auto"/>
        </w:rPr>
        <w:t>In June 2018, we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our 2022 Convertible Notes issued in February 2017. In connection with the reopening of the 2022 Convertible Notes, we entered into interest rate swaps to continue to align the interest rates of its liabilities with its investment portfolio, which consists of predominately floating rate loans. As a result of the additional swaps, our effective interest rate on the additional 2022 Convertible Notes is approximately three-month LIBOR plus 1.60%.</w:t>
      </w:r>
    </w:p>
    <w:p>
      <w:pPr>
        <w:spacing w:after="0" w:line="161" w:lineRule="exact"/>
        <w:rPr>
          <w:sz w:val="20"/>
          <w:szCs w:val="20"/>
          <w:color w:val="auto"/>
        </w:rPr>
      </w:pPr>
    </w:p>
    <w:p>
      <w:pPr>
        <w:ind w:right="40" w:firstLine="255"/>
        <w:spacing w:after="0" w:line="291" w:lineRule="auto"/>
        <w:rPr>
          <w:sz w:val="20"/>
          <w:szCs w:val="20"/>
          <w:color w:val="auto"/>
        </w:rPr>
      </w:pPr>
      <w:r>
        <w:rPr>
          <w:rFonts w:ascii="Arial" w:cs="Arial" w:eastAsia="Arial" w:hAnsi="Arial"/>
          <w:sz w:val="16"/>
          <w:szCs w:val="16"/>
          <w:color w:val="auto"/>
        </w:rPr>
        <w:t>During the three months ended June 30, 2020, we repurchased on the open market and extinguished $29.7 million in aggregate principal amount of the 2022 Convertible Notes for $29.5 million. These repurchases resulted in a gain on extinguishment of debt of less than $0.7 million. This gain is included in the extinguishment of debt in the accompanying consolidated statements of operations. In connection with the repurchases of the 2022 Convertible Notes, we entered into floating-to-fixed interest rate swaps with an aggregate notional amount equal to the amount of 2022 Convertible Notes repurchased, which has the effect of reducing the notional exposure of the fixed-to-floating interest rate swaps, which were entered into in connection with the issuance of the 2022 Convertible Notes, to match the current principal amount of the 2022 Convertible Notes outstanding. As a result of the swaps, our effective interest rate on the outstanding 2022 Convertible Notes is three-month LIBOR plus 2.11% (on a weighted-average basis).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4" w:name="page65"/>
    <w:bookmarkEnd w:id="64"/>
    <w:p>
      <w:pPr>
        <w:ind w:left="260"/>
        <w:spacing w:after="0"/>
        <w:rPr>
          <w:sz w:val="20"/>
          <w:szCs w:val="20"/>
          <w:color w:val="auto"/>
        </w:rPr>
      </w:pPr>
      <w:r>
        <w:rPr>
          <w:rFonts w:ascii="Arial" w:cs="Arial" w:eastAsia="Arial" w:hAnsi="Arial"/>
          <w:sz w:val="17"/>
          <w:szCs w:val="17"/>
          <w:color w:val="auto"/>
        </w:rPr>
        <w:t>Holders may convert their 2022 Convertible Notes at their option at any time prior to February 1, 2022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1" w:lineRule="exact"/>
        <w:rPr>
          <w:rFonts w:ascii="Arial" w:cs="Arial" w:eastAsia="Arial" w:hAnsi="Arial"/>
          <w:sz w:val="16"/>
          <w:szCs w:val="16"/>
          <w:color w:val="auto"/>
        </w:rPr>
      </w:pPr>
    </w:p>
    <w:p>
      <w:pPr>
        <w:ind w:right="120" w:firstLine="8"/>
        <w:spacing w:after="0" w:line="292" w:lineRule="auto"/>
        <w:tabs>
          <w:tab w:leader="none" w:pos="2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2"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8"/>
          <w:szCs w:val="18"/>
          <w:color w:val="auto"/>
        </w:rPr>
        <w:t>The 2022 Convertible Notes are our unsecured obligations and rank senior in right of payment to our future indebtedness that is expressly subordinated in right of payment to the 2022 Convertible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8" w:lineRule="exact"/>
        <w:rPr>
          <w:sz w:val="20"/>
          <w:szCs w:val="20"/>
          <w:color w:val="auto"/>
        </w:rPr>
      </w:pPr>
    </w:p>
    <w:p>
      <w:pPr>
        <w:ind w:right="160" w:firstLine="255"/>
        <w:spacing w:after="0" w:line="279" w:lineRule="auto"/>
        <w:rPr>
          <w:sz w:val="20"/>
          <w:szCs w:val="20"/>
          <w:color w:val="auto"/>
        </w:rPr>
      </w:pPr>
      <w:r>
        <w:rPr>
          <w:rFonts w:ascii="Arial" w:cs="Arial" w:eastAsia="Arial" w:hAnsi="Arial"/>
          <w:sz w:val="17"/>
          <w:szCs w:val="17"/>
          <w:color w:val="auto"/>
        </w:rPr>
        <w:t>The indenture governing the 2022 Convertible Notes contains certain covenants, including covenants requiring us to comply with the applicable asset coverage ratio requirement under the 1940 Act and to provide financial information to the holders of the 2022 Convertible Notes under certain circumstances. These covenants are subject to important limitations and exceptions that are described in the indenture governing the 2022 Convertible Notes. As of June 30, 2020, we were in compliance with the terms of the indenture governing the 2022 Convertible Notes.</w:t>
      </w:r>
    </w:p>
    <w:p>
      <w:pPr>
        <w:spacing w:after="0" w:line="171" w:lineRule="exact"/>
        <w:rPr>
          <w:sz w:val="20"/>
          <w:szCs w:val="20"/>
          <w:color w:val="auto"/>
        </w:rPr>
      </w:pPr>
    </w:p>
    <w:p>
      <w:pPr>
        <w:ind w:right="60" w:firstLine="255"/>
        <w:spacing w:after="0" w:line="289" w:lineRule="auto"/>
        <w:rPr>
          <w:sz w:val="20"/>
          <w:szCs w:val="20"/>
          <w:color w:val="auto"/>
        </w:rPr>
      </w:pPr>
      <w:r>
        <w:rPr>
          <w:rFonts w:ascii="Arial" w:cs="Arial" w:eastAsia="Arial" w:hAnsi="Arial"/>
          <w:sz w:val="16"/>
          <w:szCs w:val="16"/>
          <w:color w:val="auto"/>
        </w:rPr>
        <w:t>The 2022 Convertible Notes are accounted for in accordance with Accounting Standards Codification (“ASC”) Topic 470-20. Upon conversion of any of the 2022 Convertible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indenture governing the 2022 Convertible Notes. We have determined that the embedded conversion options in the 2022 Convertible Notes are not required to be separately accounted for as a derivative under U.S. GAAP. In accounting for the 2022 Convertible Notes, we estimated at the time of issuance separate debt and equity components of the 2022 Convertible Notes. An original issue discount equal to the equity components of the 2022 Convertible Notes was recorded in “additional paid-in capital” in the accompanying consolidated balance sheet. Additionally, the issuance costs associated with the 2022 Convertible Notes were allocated to the debt and equity components in proportion to the allocation of the proceeds and accounted for as deferred financing costs and equity issuance costs, respectively.</w:t>
      </w:r>
    </w:p>
    <w:p>
      <w:pPr>
        <w:spacing w:after="0" w:line="166" w:lineRule="exact"/>
        <w:rPr>
          <w:sz w:val="20"/>
          <w:szCs w:val="20"/>
          <w:color w:val="auto"/>
        </w:rPr>
      </w:pPr>
    </w:p>
    <w:p>
      <w:pPr>
        <w:ind w:right="520" w:firstLine="255"/>
        <w:spacing w:after="0" w:line="277" w:lineRule="auto"/>
        <w:rPr>
          <w:sz w:val="20"/>
          <w:szCs w:val="20"/>
          <w:color w:val="auto"/>
        </w:rPr>
      </w:pPr>
      <w:r>
        <w:rPr>
          <w:rFonts w:ascii="Arial" w:cs="Arial" w:eastAsia="Arial" w:hAnsi="Arial"/>
          <w:sz w:val="18"/>
          <w:szCs w:val="18"/>
          <w:color w:val="auto"/>
        </w:rPr>
        <w:t>As of June 30, 2020, the principal amount of the 2022 Convertible Notes exceeded the value of the underlying shares multiplied by the per share closing price of our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right="20" w:firstLine="255"/>
        <w:spacing w:after="0" w:line="257" w:lineRule="auto"/>
        <w:rPr>
          <w:sz w:val="20"/>
          <w:szCs w:val="20"/>
          <w:color w:val="auto"/>
        </w:rPr>
      </w:pPr>
      <w:r>
        <w:rPr>
          <w:rFonts w:ascii="Arial" w:cs="Arial" w:eastAsia="Arial" w:hAnsi="Arial"/>
          <w:sz w:val="18"/>
          <w:szCs w:val="18"/>
          <w:color w:val="auto"/>
        </w:rPr>
        <w:t>In January 2018, we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w:t>
      </w:r>
    </w:p>
    <w:p>
      <w:pPr>
        <w:spacing w:after="0" w:line="188" w:lineRule="exact"/>
        <w:rPr>
          <w:sz w:val="20"/>
          <w:szCs w:val="20"/>
          <w:color w:val="auto"/>
        </w:rPr>
      </w:pPr>
    </w:p>
    <w:p>
      <w:pPr>
        <w:ind w:right="340" w:firstLine="255"/>
        <w:spacing w:after="0" w:line="263" w:lineRule="auto"/>
        <w:rPr>
          <w:sz w:val="20"/>
          <w:szCs w:val="20"/>
          <w:color w:val="auto"/>
        </w:rPr>
      </w:pPr>
      <w:r>
        <w:rPr>
          <w:rFonts w:ascii="Arial" w:cs="Arial" w:eastAsia="Arial" w:hAnsi="Arial"/>
          <w:sz w:val="18"/>
          <w:szCs w:val="18"/>
          <w:color w:val="auto"/>
        </w:rPr>
        <w:t>In connection with the 2023 Notes offering, we entered into an interest rate swap to continue to align the interest rates of our liabilities with our investment portfolio, which consists of predominately floating rate loans. As a result of the swap, our effective interest rate on the 2023 Notes is three-month LIBOR plus 1.99%.</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2024 Notes</w:t>
      </w:r>
    </w:p>
    <w:p>
      <w:pPr>
        <w:spacing w:after="0" w:line="117" w:lineRule="exact"/>
        <w:rPr>
          <w:sz w:val="20"/>
          <w:szCs w:val="20"/>
          <w:color w:val="auto"/>
        </w:rPr>
      </w:pPr>
    </w:p>
    <w:p>
      <w:pPr>
        <w:ind w:right="20" w:firstLine="255"/>
        <w:spacing w:after="0" w:line="275" w:lineRule="auto"/>
        <w:rPr>
          <w:sz w:val="20"/>
          <w:szCs w:val="20"/>
          <w:color w:val="auto"/>
        </w:rPr>
      </w:pPr>
      <w:r>
        <w:rPr>
          <w:rFonts w:ascii="Arial" w:cs="Arial" w:eastAsia="Arial" w:hAnsi="Arial"/>
          <w:sz w:val="17"/>
          <w:szCs w:val="17"/>
          <w:color w:val="auto"/>
        </w:rPr>
        <w:t>In November 2019, we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spacing w:after="0" w:line="176" w:lineRule="exact"/>
        <w:rPr>
          <w:sz w:val="20"/>
          <w:szCs w:val="20"/>
          <w:color w:val="auto"/>
        </w:rPr>
      </w:pPr>
    </w:p>
    <w:p>
      <w:pPr>
        <w:ind w:right="40" w:firstLine="255"/>
        <w:spacing w:after="0" w:line="257" w:lineRule="auto"/>
        <w:rPr>
          <w:sz w:val="20"/>
          <w:szCs w:val="20"/>
          <w:color w:val="auto"/>
        </w:rPr>
      </w:pPr>
      <w:r>
        <w:rPr>
          <w:rFonts w:ascii="Arial" w:cs="Arial" w:eastAsia="Arial" w:hAnsi="Arial"/>
          <w:sz w:val="18"/>
          <w:szCs w:val="18"/>
          <w:color w:val="auto"/>
        </w:rPr>
        <w:t>On February 5, 2020, we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p>
    <w:p>
      <w:pPr>
        <w:spacing w:after="0" w:line="188"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In connection with the 2024 Notes offering and reopening of the 2024 Notes, we entered into interest rate swaps to continue to align the interest rates of our liabilities with our investment portfolio, which consists of predominately floating rate loans. As a result of the swaps, our effective interest rate on the 2024 Notes is three-month LIBOR plus 2.28% (on a weighted average basis).</w:t>
      </w:r>
    </w:p>
    <w:p>
      <w:pPr>
        <w:spacing w:after="0" w:line="184" w:lineRule="exact"/>
        <w:rPr>
          <w:sz w:val="20"/>
          <w:szCs w:val="20"/>
          <w:color w:val="auto"/>
        </w:rPr>
      </w:pPr>
    </w:p>
    <w:p>
      <w:pPr>
        <w:ind w:right="60" w:firstLine="255"/>
        <w:spacing w:after="0" w:line="254" w:lineRule="auto"/>
        <w:rPr>
          <w:sz w:val="20"/>
          <w:szCs w:val="20"/>
          <w:color w:val="auto"/>
        </w:rPr>
      </w:pPr>
      <w:r>
        <w:rPr>
          <w:rFonts w:ascii="Arial" w:cs="Arial" w:eastAsia="Arial" w:hAnsi="Arial"/>
          <w:sz w:val="18"/>
          <w:szCs w:val="18"/>
          <w:color w:val="auto"/>
        </w:rPr>
        <w:t>During the three months ended June 30, 2020, we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we entered into a floating-to-fixed interest rate swap with a notional amount equal to the amount of 2024 Notes repurchased, which has the effect of reducing the notional exposure of the fixed-to-floating interest rate swaps, which were entered into in connection with the issuance of the 2024 Notes, to match the current principal amount of the 2024 Notes outstanding. As a result of the swap, our effective interest rate on the outstanding 2024 Notes is three-month LIBOR plus 2.28% (on a weighted average basis).</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June 30, 2020 and December 31, 2019, we had the following commitments to fund investments in current portfolio companies:</w:t>
      </w:r>
    </w:p>
    <w:p>
      <w:pPr>
        <w:spacing w:after="0" w:line="1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740" w:type="dxa"/>
            <w:vAlign w:val="bottom"/>
          </w:tcPr>
          <w:p>
            <w:pPr>
              <w:spacing w:after="0"/>
              <w:rPr>
                <w:sz w:val="20"/>
                <w:szCs w:val="20"/>
                <w:color w:val="auto"/>
              </w:rPr>
            </w:pPr>
            <w:r>
              <w:rPr>
                <w:rFonts w:ascii="Arial" w:cs="Arial" w:eastAsia="Arial" w:hAnsi="Arial"/>
                <w:sz w:val="14"/>
                <w:szCs w:val="14"/>
                <w:color w:val="auto"/>
              </w:rPr>
              <w:t>($ in millions)</w:t>
            </w:r>
          </w:p>
        </w:tc>
        <w:tc>
          <w:tcPr>
            <w:tcW w:w="18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Alpha Midco, Inc. - Delayed Draw</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AppStar Financial, LLC - Revolver</w:t>
            </w:r>
          </w:p>
        </w:tc>
        <w:tc>
          <w:tcPr>
            <w:tcW w:w="18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AvidXchange, Inc. - Delayed Draw</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BlueSnap, Inc. - Revolver</w:t>
            </w:r>
          </w:p>
        </w:tc>
        <w:tc>
          <w:tcPr>
            <w:tcW w:w="18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ClearCompany, LLC - Delayed Draw</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Clinicient, Inc. - Revolver</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DaySmart Holdings, LLC - Delayed Draw</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DaySmart Holdings, LLC - Revolver</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Dye &amp; Durham Corp. - Revolver</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Energy Alloys, LLC - Delayed Draw</w:t>
            </w:r>
          </w:p>
        </w:tc>
        <w:tc>
          <w:tcPr>
            <w:tcW w:w="18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Energy Alloys, LLC - Revolver</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Exela Receivables 1, LLC - Revolver</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Factor Systems, Inc. - Delayed Draw</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Ferrellgas, L.P. - Revolver</w:t>
            </w:r>
          </w:p>
        </w:tc>
        <w:tc>
          <w:tcPr>
            <w:tcW w:w="18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G Treasury SS, LLC - Delayed Draw</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Gainsight, Inc. - Delayed Draw</w:t>
            </w:r>
          </w:p>
        </w:tc>
        <w:tc>
          <w:tcPr>
            <w:tcW w:w="18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Integration Appliance, Inc. - Revolver</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IntelePeer Holdings, Inc. - Convertible Note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IntelePeer Holdings, Inc. - Delayed Draw</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IRGSE Holding Corp. - Revolver</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J.C. Penney Company, Inc. - Delayed Draw</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Kyriba Corp. - Delayed Draw</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Kyriba Corp. - Revolver</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Lithium Technologies, LLC - Revolver</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Lucidworks, Inc. - Revolver</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Neiman Marcus Group Ltd LLC - Delayed Draw</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PageUp People, Ltd. - Revolver</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PayLease, LLC - Revolver</w:t>
            </w:r>
          </w:p>
        </w:tc>
        <w:tc>
          <w:tcPr>
            <w:tcW w:w="18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PayScale Holdings, Inc. - Delayed Draw</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PrimeRevenue, Inc. - Delayed Draw</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PrimeRevenue, Inc. - Revolver</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ResMan, LLC - Delayed Draw</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ResMan, LLC - Revolver</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Sprinklr - Delayed Draw Convertible Note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TherapeuticsMD, Inc. - Delayed Draw A1</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TherapeuticsMD, Inc. - Delayed Draw A2</w:t>
            </w:r>
          </w:p>
        </w:tc>
        <w:tc>
          <w:tcPr>
            <w:tcW w:w="18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Valant Medical Solutions, Inc. - Delayed Draw</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Valant Medical Solutions, Inc. - Revolver</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w w:val="94"/>
              </w:rPr>
              <w:t>Verdad Resources Intermediate Holdings, LLC - Delayed Draw</w:t>
            </w: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FF0FC"/>
          </w:tcPr>
          <w:p>
            <w:pPr>
              <w:spacing w:after="0"/>
              <w:rPr>
                <w:sz w:val="19"/>
                <w:szCs w:val="19"/>
                <w:color w:val="auto"/>
              </w:rPr>
            </w:pP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b w:val="1"/>
                <w:bCs w:val="1"/>
                <w:color w:val="auto"/>
              </w:rPr>
              <w:t xml:space="preserve">Total Portfolio Company Commitments </w:t>
            </w:r>
            <w:r>
              <w:rPr>
                <w:rFonts w:ascii="Arial" w:cs="Arial" w:eastAsia="Arial" w:hAnsi="Arial"/>
                <w:sz w:val="15"/>
                <w:szCs w:val="15"/>
                <w:b w:val="1"/>
                <w:bCs w:val="1"/>
                <w:color w:val="auto"/>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00" w:right="300" w:hanging="492"/>
        <w:spacing w:after="0" w:line="263"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jc w:val="both"/>
        <w:ind w:right="20" w:firstLine="255"/>
        <w:spacing w:after="0" w:line="263" w:lineRule="auto"/>
        <w:rPr>
          <w:sz w:val="20"/>
          <w:szCs w:val="20"/>
          <w:color w:val="auto"/>
        </w:rPr>
      </w:pPr>
      <w:r>
        <w:rPr>
          <w:rFonts w:ascii="Arial" w:cs="Arial" w:eastAsia="Arial" w:hAnsi="Arial"/>
          <w:sz w:val="18"/>
          <w:szCs w:val="18"/>
          <w:color w:val="auto"/>
        </w:rPr>
        <w:t>As of June 30, 2020 we had an additional unfunded commitment of $65.0 million to fund investments to a new borrower that was not a current portfolio company as of June 30, 2020. As of December 31, 2019, we did not have any unfunded commitments to fund new investments to new borrowers that were not current portfolio companies as of such date.</w:t>
      </w:r>
    </w:p>
    <w:p>
      <w:pPr>
        <w:spacing w:after="0" w:line="184" w:lineRule="exact"/>
        <w:rPr>
          <w:sz w:val="20"/>
          <w:szCs w:val="20"/>
          <w:color w:val="auto"/>
        </w:rPr>
      </w:pPr>
    </w:p>
    <w:p>
      <w:pPr>
        <w:jc w:val="both"/>
        <w:ind w:right="20" w:firstLine="255"/>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40" w:firstLine="255"/>
        <w:spacing w:after="0" w:line="269"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June 30, 2020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w w:val="92"/>
              </w:rPr>
              <w:t>Payments Due by Period</w:t>
            </w: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Less than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160" w:type="dxa"/>
            <w:vAlign w:val="bottom"/>
          </w:tcPr>
          <w:p>
            <w:pPr>
              <w:spacing w:after="0"/>
              <w:rPr>
                <w:sz w:val="20"/>
                <w:szCs w:val="20"/>
                <w:color w:val="auto"/>
              </w:rPr>
            </w:pPr>
            <w:r>
              <w:rPr>
                <w:rFonts w:ascii="Arial" w:cs="Arial" w:eastAsia="Arial" w:hAnsi="Arial"/>
                <w:sz w:val="14"/>
                <w:szCs w:val="14"/>
                <w:color w:val="auto"/>
              </w:rPr>
              <w:t>($ in millions)</w:t>
            </w:r>
          </w:p>
        </w:tc>
        <w:tc>
          <w:tcPr>
            <w:tcW w:w="220" w:type="dxa"/>
            <w:vAlign w:val="bottom"/>
          </w:tcPr>
          <w:p>
            <w:pPr>
              <w:spacing w:after="0"/>
              <w:rPr>
                <w:sz w:val="14"/>
                <w:szCs w:val="14"/>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1 year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1-3 years</w:t>
            </w: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2022 Convertible Notes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2023 Notes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2024 Notes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00" w:firstLine="255"/>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80" w:firstLine="255"/>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00" w:right="260" w:hanging="249"/>
        <w:spacing w:after="0" w:line="308" w:lineRule="auto"/>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38" w:lineRule="exact"/>
        <w:rPr>
          <w:rFonts w:ascii="Arial" w:cs="Arial" w:eastAsia="Arial" w:hAnsi="Arial"/>
          <w:sz w:val="17"/>
          <w:szCs w:val="17"/>
          <w:color w:val="auto"/>
        </w:rPr>
      </w:pPr>
    </w:p>
    <w:p>
      <w:pPr>
        <w:ind w:left="500" w:right="320" w:hanging="249"/>
        <w:spacing w:after="0" w:line="27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tax-exempt interest income over certain disallowed deductions) for such taxable year.</w:t>
      </w:r>
    </w:p>
    <w:p>
      <w:pPr>
        <w:spacing w:after="0" w:line="170"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both"/>
        <w:ind w:right="260" w:firstLine="255"/>
        <w:spacing w:after="0" w:line="263"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8" w:name="page69"/>
    <w:bookmarkEnd w:id="68"/>
    <w:p>
      <w:pPr>
        <w:ind w:right="160" w:firstLine="255"/>
        <w:spacing w:after="0" w:line="263" w:lineRule="auto"/>
        <w:rPr>
          <w:sz w:val="20"/>
          <w:szCs w:val="20"/>
          <w:color w:val="auto"/>
        </w:rPr>
      </w:pPr>
      <w:r>
        <w:rPr>
          <w:rFonts w:ascii="Arial" w:cs="Arial" w:eastAsia="Arial" w:hAnsi="Arial"/>
          <w:sz w:val="18"/>
          <w:szCs w:val="18"/>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76" w:lineRule="exact"/>
        <w:rPr>
          <w:sz w:val="20"/>
          <w:szCs w:val="20"/>
          <w:color w:val="auto"/>
        </w:rPr>
      </w:pPr>
    </w:p>
    <w:p>
      <w:pPr>
        <w:ind w:left="500" w:hanging="249"/>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00" w:right="180" w:hanging="249"/>
        <w:spacing w:after="0" w:line="277"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4"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4" w:lineRule="exact"/>
        <w:rPr>
          <w:sz w:val="20"/>
          <w:szCs w:val="20"/>
          <w:color w:val="auto"/>
        </w:rPr>
      </w:pPr>
    </w:p>
    <w:p>
      <w:pPr>
        <w:ind w:right="60" w:firstLine="255"/>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ind w:right="60" w:firstLine="255"/>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00" w:hanging="249"/>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17" w:lineRule="exact"/>
        <w:rPr>
          <w:rFonts w:ascii="Arial" w:cs="Arial" w:eastAsia="Arial" w:hAnsi="Arial"/>
          <w:sz w:val="18"/>
          <w:szCs w:val="18"/>
          <w:color w:val="auto"/>
        </w:rPr>
      </w:pPr>
    </w:p>
    <w:p>
      <w:pPr>
        <w:ind w:left="500" w:right="140" w:hanging="249"/>
        <w:spacing w:after="0" w:line="277"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license agreement with an affiliate of TPG to use the TPG name and logo, royalty free, for an agreed upon period of time. Other than with respect to this limited license, we have no legal right to use the TPG name as a trademark.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255"/>
        <w:spacing w:after="0" w:line="257" w:lineRule="auto"/>
        <w:rPr>
          <w:sz w:val="20"/>
          <w:szCs w:val="20"/>
          <w:color w:val="auto"/>
        </w:rPr>
      </w:pPr>
      <w:r>
        <w:rPr>
          <w:rFonts w:ascii="Arial" w:cs="Arial" w:eastAsia="Arial" w:hAnsi="Arial"/>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2019, filed with the SEC on February 19, 2020, and elsewhere in our filings with the SEC.</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40" w:firstLine="255"/>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255"/>
        <w:spacing w:after="0" w:line="311"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9" w:lineRule="exact"/>
        <w:rPr>
          <w:sz w:val="20"/>
          <w:szCs w:val="20"/>
          <w:color w:val="auto"/>
        </w:rPr>
      </w:pPr>
    </w:p>
    <w:p>
      <w:pPr>
        <w:ind w:right="500" w:firstLine="255"/>
        <w:spacing w:after="0" w:line="263"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4" w:lineRule="exact"/>
        <w:rPr>
          <w:sz w:val="20"/>
          <w:szCs w:val="20"/>
          <w:color w:val="auto"/>
        </w:rPr>
      </w:pPr>
    </w:p>
    <w:p>
      <w:pPr>
        <w:ind w:right="60" w:firstLine="255"/>
        <w:spacing w:after="0" w:line="259" w:lineRule="auto"/>
        <w:rPr>
          <w:sz w:val="20"/>
          <w:szCs w:val="20"/>
          <w:color w:val="auto"/>
        </w:rPr>
      </w:pPr>
      <w:r>
        <w:rPr>
          <w:rFonts w:ascii="Arial" w:cs="Arial" w:eastAsia="Arial" w:hAnsi="Arial"/>
          <w:sz w:val="18"/>
          <w:szCs w:val="18"/>
          <w:color w:val="auto"/>
        </w:rPr>
        <w:t>As of June 30, 2020, 98.8% of our debt investments based on fair value in our portfolio bore interest at floating rates (when including investment specific hedges), with 98.5% of these subject to interest rate floors. Our credit facilities also bear interest at floating rates, and in connection with our 2022 Convertible Notes, 2023 Notes and 2024 Notes, which bear interest at fixed rates, we entered into fixed-to-floating interest rate swaps in order to continue to align the interest rates of our liabilities with our investment portfolio.</w:t>
      </w:r>
    </w:p>
    <w:p>
      <w:pPr>
        <w:spacing w:after="0" w:line="187" w:lineRule="exact"/>
        <w:rPr>
          <w:sz w:val="20"/>
          <w:szCs w:val="20"/>
          <w:color w:val="auto"/>
        </w:rPr>
      </w:pPr>
    </w:p>
    <w:p>
      <w:pPr>
        <w:jc w:val="both"/>
        <w:ind w:right="80" w:firstLine="255"/>
        <w:spacing w:after="0" w:line="263" w:lineRule="auto"/>
        <w:rPr>
          <w:sz w:val="20"/>
          <w:szCs w:val="20"/>
          <w:color w:val="auto"/>
        </w:rPr>
      </w:pPr>
      <w:r>
        <w:rPr>
          <w:rFonts w:ascii="Arial" w:cs="Arial" w:eastAsia="Arial" w:hAnsi="Arial"/>
          <w:sz w:val="18"/>
          <w:szCs w:val="18"/>
          <w:color w:val="auto"/>
        </w:rPr>
        <w:t>Assuming that our consolidated balance sheet as of June 30, 2020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80" w:type="dxa"/>
            <w:vAlign w:val="bottom"/>
          </w:tcPr>
          <w:p>
            <w:pPr>
              <w:spacing w:after="0"/>
              <w:rPr>
                <w:sz w:val="20"/>
                <w:szCs w:val="20"/>
                <w:color w:val="auto"/>
              </w:rPr>
            </w:pPr>
            <w:r>
              <w:rPr>
                <w:rFonts w:ascii="Arial" w:cs="Arial" w:eastAsia="Arial" w:hAnsi="Arial"/>
                <w:sz w:val="14"/>
                <w:szCs w:val="14"/>
                <w:color w:val="auto"/>
              </w:rPr>
              <w:t>($ in millions)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180" w:type="dxa"/>
            <w:vAlign w:val="bottom"/>
          </w:tcPr>
          <w:p>
            <w:pPr>
              <w:spacing w:after="0"/>
              <w:rPr>
                <w:sz w:val="20"/>
                <w:szCs w:val="20"/>
                <w:color w:val="auto"/>
              </w:rPr>
            </w:pPr>
            <w:r>
              <w:rPr>
                <w:rFonts w:ascii="Arial" w:cs="Arial" w:eastAsia="Arial" w:hAnsi="Arial"/>
                <w:sz w:val="14"/>
                <w:szCs w:val="14"/>
                <w:b w:val="1"/>
                <w:bCs w:val="1"/>
                <w:color w:val="auto"/>
              </w:rPr>
              <w:t>Basis Point Change</w:t>
            </w:r>
          </w:p>
        </w:tc>
        <w:tc>
          <w:tcPr>
            <w:tcW w:w="140" w:type="dxa"/>
            <w:vAlign w:val="bottom"/>
          </w:tcPr>
          <w:p>
            <w:pPr>
              <w:spacing w:after="0"/>
              <w:rPr>
                <w:sz w:val="14"/>
                <w:szCs w:val="14"/>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Interest Income</w:t>
            </w:r>
          </w:p>
        </w:tc>
        <w:tc>
          <w:tcPr>
            <w:tcW w:w="80" w:type="dxa"/>
            <w:vAlign w:val="bottom"/>
          </w:tcPr>
          <w:p>
            <w:pPr>
              <w:spacing w:after="0"/>
              <w:rPr>
                <w:sz w:val="14"/>
                <w:szCs w:val="1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Interest Expense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Net Interest Income</w:t>
            </w:r>
          </w:p>
        </w:tc>
      </w:tr>
      <w:tr>
        <w:trPr>
          <w:trHeight w:val="223"/>
        </w:trPr>
        <w:tc>
          <w:tcPr>
            <w:tcW w:w="4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Up 200 basis points</w:t>
            </w:r>
          </w:p>
        </w:tc>
        <w:tc>
          <w:tcPr>
            <w:tcW w:w="58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58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Down 25 basis points</w:t>
            </w:r>
          </w:p>
        </w:tc>
        <w:tc>
          <w:tcPr>
            <w:tcW w:w="58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Down 50 basis points</w:t>
            </w:r>
          </w:p>
        </w:tc>
        <w:tc>
          <w:tcPr>
            <w:tcW w:w="58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w:t>
            </w: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4" w:lineRule="exact"/>
        <w:rPr>
          <w:sz w:val="20"/>
          <w:szCs w:val="20"/>
          <w:color w:val="auto"/>
        </w:rPr>
      </w:pPr>
    </w:p>
    <w:p>
      <w:pPr>
        <w:ind w:right="220" w:firstLine="255"/>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60" w:firstLine="255"/>
        <w:spacing w:after="0" w:line="296" w:lineRule="auto"/>
        <w:rPr>
          <w:sz w:val="20"/>
          <w:szCs w:val="20"/>
          <w:color w:val="auto"/>
        </w:rPr>
      </w:pPr>
      <w:r>
        <w:rPr>
          <w:rFonts w:ascii="Arial" w:cs="Arial" w:eastAsia="Arial" w:hAnsi="Arial"/>
          <w:sz w:val="16"/>
          <w:szCs w:val="16"/>
          <w:b w:val="1"/>
          <w:bCs w:val="1"/>
          <w:i w:val="1"/>
          <w:iCs w:val="1"/>
          <w:color w:val="auto"/>
        </w:rPr>
        <w:t xml:space="preserve">Evaluation of Disclosure Controls and Procedures. </w:t>
      </w:r>
      <w:r>
        <w:rPr>
          <w:rFonts w:ascii="Arial" w:cs="Arial" w:eastAsia="Arial" w:hAnsi="Arial"/>
          <w:sz w:val="16"/>
          <w:szCs w:val="16"/>
          <w:color w:val="auto"/>
        </w:rPr>
        <w:t>As of the end of the period covered by this report, we carried out an evaluation,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61" w:lineRule="exact"/>
        <w:rPr>
          <w:sz w:val="20"/>
          <w:szCs w:val="20"/>
          <w:color w:val="auto"/>
        </w:rPr>
      </w:pPr>
    </w:p>
    <w:p>
      <w:pPr>
        <w:jc w:val="both"/>
        <w:ind w:right="460" w:firstLine="255"/>
        <w:spacing w:after="0" w:line="263"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our most recently completed fiscal quarter that have materially affected, or are reasonably likely to materially affect, our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255"/>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in Part I, “Item 1A. Risk Factors” in our Annual Report on Form 10-K for the fiscal year ended December 31, 2019 and the risk factors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29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COVID-19 pandemic has materially and adversely affected, and is likely to continue to materially and adversely affect, our portfolio companies and the results of our operations, including our financial results.</w:t>
      </w:r>
    </w:p>
    <w:p>
      <w:pPr>
        <w:spacing w:after="0" w:line="62" w:lineRule="exact"/>
        <w:rPr>
          <w:sz w:val="20"/>
          <w:szCs w:val="20"/>
          <w:color w:val="auto"/>
        </w:rPr>
      </w:pPr>
    </w:p>
    <w:p>
      <w:pPr>
        <w:ind w:firstLine="255"/>
        <w:spacing w:after="0" w:line="268" w:lineRule="auto"/>
        <w:rPr>
          <w:sz w:val="20"/>
          <w:szCs w:val="20"/>
          <w:color w:val="auto"/>
        </w:rPr>
      </w:pPr>
      <w:r>
        <w:rPr>
          <w:rFonts w:ascii="Arial" w:cs="Arial" w:eastAsia="Arial" w:hAnsi="Arial"/>
          <w:sz w:val="17"/>
          <w:szCs w:val="17"/>
          <w:color w:val="auto"/>
        </w:rPr>
        <w:t>In late 2019 and early 2020, the novel coronavirus SARS-CoV-2 and related respiratory disease COVID-19 emerged in China and spread rapidly across the world, including to the United States. This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With respect to the U.S. credit markets, and middle market loans and the businesses of our portfolio companies in particular, this outbreak has resulted in, and is likely to continue to result in, among other things, government imposition of various forms of “stay at home” orders and the closing of “non-essential” businesses, resulting in significant disruption to the businesses of many middle-market loan borrowers including supply chains, demand and practical aspects of their operations, as well as in lay-offs of employees; rapidly evolving proposals and/or actions by state and federal governments to address problems being experienced by the markets and by businesses and the economy in general which will not necessarily adequately address the problems facing the loan market and middle market businesses; and liquidity issues. While these effects are hoped to be temporary, some effects could be persistent or even permanent. We cannot predict when, or if, the impacts of the COVID-19 pandemic may lessen. As a result, these conditions could result in (i) increased draws by some eligible borrowers on revolving lines of credit and/or (ii) increased requests by some borrowers for amendments and waivers of their credit agreements to avoid default, increased defaults by such borrowers and/or increased difficulty in obtaining refinancing at the maturity dates of their loans. Further, volatility and disruption of these markets has led to greater volatility in pricing and spreads, and may lead to difficulty in valuing loans during these periods. This outbreak and its effects are having, and the effects of any future outbreaks could have, an adverse impact on our portfolio companies and us and on the markets and the economy in general, and that impact could be material.</w:t>
      </w:r>
    </w:p>
    <w:p>
      <w:pPr>
        <w:spacing w:after="0" w:line="180" w:lineRule="exact"/>
        <w:rPr>
          <w:sz w:val="20"/>
          <w:szCs w:val="20"/>
          <w:color w:val="auto"/>
        </w:rPr>
      </w:pPr>
    </w:p>
    <w:p>
      <w:pPr>
        <w:jc w:val="both"/>
        <w:ind w:right="620" w:firstLine="255"/>
        <w:spacing w:after="0" w:line="263" w:lineRule="auto"/>
        <w:rPr>
          <w:sz w:val="20"/>
          <w:szCs w:val="20"/>
          <w:color w:val="auto"/>
        </w:rPr>
      </w:pPr>
      <w:r>
        <w:rPr>
          <w:rFonts w:ascii="Arial" w:cs="Arial" w:eastAsia="Arial" w:hAnsi="Arial"/>
          <w:sz w:val="18"/>
          <w:szCs w:val="18"/>
          <w:color w:val="auto"/>
        </w:rPr>
        <w:t>From an operational perspective, the effects of the COVID-19 pandemic could materially and adversely disrupt our business operations and the operations of the Adviser, including the guidelines and restrictions put in place by federal, state and local governments that may cause a potentially significant duration of remote working.</w:t>
      </w:r>
    </w:p>
    <w:p>
      <w:pPr>
        <w:spacing w:after="0" w:line="184"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Moreover, the effects of the COVID-19 pandemic may heighten the other risks described in the section entitled “Risk Factors” in our most recent Annual Report on Form 10-K and any subsequent report filed with the Securities and Exchange Commission. It is currently impossible to determine the scope of this or any future outbreak, how long any such outbreak, market disruption, volatility or uncertainty may last, the effect any governmental actions will have or the full potential impact on us, the Adviser and our portfolio companies.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We are currently operating in a period of disruption, volatility and uncertainty in the capital markets and in the economy generally.</w:t>
      </w:r>
    </w:p>
    <w:p>
      <w:pPr>
        <w:spacing w:after="0" w:line="117" w:lineRule="exact"/>
        <w:rPr>
          <w:sz w:val="20"/>
          <w:szCs w:val="20"/>
          <w:color w:val="auto"/>
        </w:rPr>
      </w:pPr>
    </w:p>
    <w:p>
      <w:pPr>
        <w:ind w:firstLine="255"/>
        <w:spacing w:after="0" w:line="270" w:lineRule="auto"/>
        <w:rPr>
          <w:sz w:val="20"/>
          <w:szCs w:val="20"/>
          <w:color w:val="auto"/>
        </w:rPr>
      </w:pPr>
      <w:r>
        <w:rPr>
          <w:rFonts w:ascii="Arial" w:cs="Arial" w:eastAsia="Arial" w:hAnsi="Arial"/>
          <w:sz w:val="17"/>
          <w:szCs w:val="17"/>
          <w:color w:val="auto"/>
        </w:rPr>
        <w:t>The U.S. capital markets have experienced extreme volatility and disruption following the spread of COVID-19 in the United States and globally. Some economists and major investment banks have expressed concern that the continued spread of the virus could lead to a world-wide economic downturn. Disruptions in the capital markets have increased the spread between the yields realized on risk-free and higher risk securities, resulting in illiquidity in parts of the capital markets. The federal government and the Federal Reserve, as well as foreign governments and central banks, have implemented significant fiscal and monetary policies in response to these disruptions, and additional government and regulatory responses may be possible. These actions, future market disruptions and illiquidity could have an adverse effect on our business, financial condition, results of operations and cash flows. Unfavorable economic conditions also could increase our funding costs, limit our access to the capital markets or result in a decision by lenders not to extend credit to us. These events could limit our investment originations and our ability to grow, and could have a material negative impact on our operating results and the fair values of our debt and equity investments.</w:t>
      </w:r>
    </w:p>
    <w:p>
      <w:pPr>
        <w:spacing w:after="0" w:line="181" w:lineRule="exact"/>
        <w:rPr>
          <w:sz w:val="20"/>
          <w:szCs w:val="20"/>
          <w:color w:val="auto"/>
        </w:rPr>
      </w:pPr>
    </w:p>
    <w:p>
      <w:pPr>
        <w:ind w:right="60" w:firstLine="255"/>
        <w:spacing w:after="0" w:line="257" w:lineRule="auto"/>
        <w:rPr>
          <w:sz w:val="20"/>
          <w:szCs w:val="20"/>
          <w:color w:val="auto"/>
        </w:rPr>
      </w:pPr>
      <w:r>
        <w:rPr>
          <w:rFonts w:ascii="Arial" w:cs="Arial" w:eastAsia="Arial" w:hAnsi="Arial"/>
          <w:sz w:val="18"/>
          <w:szCs w:val="18"/>
          <w:color w:val="auto"/>
        </w:rPr>
        <w:t>We believe that attractive investment opportunities may present themselves during this volatile period as in other periods of market volatility, and we may have opportunities to make investments at compelling values. However, periods of market disruption and instability, like the one we are experiencing currently, may adversely affect our access to sufficient debt and equity capital in order to take advantage of attractive investment opportunities that are created during these periods. In addition, the debt capital that will be available in the future, if any, may be at a higher cost and on less favorable terms and conditions.</w:t>
      </w:r>
    </w:p>
    <w:p>
      <w:pPr>
        <w:spacing w:after="0" w:line="188" w:lineRule="exact"/>
        <w:rPr>
          <w:sz w:val="20"/>
          <w:szCs w:val="20"/>
          <w:color w:val="auto"/>
        </w:rPr>
      </w:pPr>
    </w:p>
    <w:p>
      <w:pPr>
        <w:jc w:val="both"/>
        <w:ind w:right="420" w:firstLine="255"/>
        <w:spacing w:after="0" w:line="311" w:lineRule="auto"/>
        <w:rPr>
          <w:sz w:val="20"/>
          <w:szCs w:val="20"/>
          <w:color w:val="auto"/>
        </w:rPr>
      </w:pPr>
      <w:r>
        <w:rPr>
          <w:rFonts w:ascii="Arial" w:cs="Arial" w:eastAsia="Arial" w:hAnsi="Arial"/>
          <w:sz w:val="16"/>
          <w:szCs w:val="16"/>
          <w:i w:val="1"/>
          <w:iCs w:val="1"/>
          <w:color w:val="auto"/>
        </w:rPr>
        <w:t>In addition, pursuant to Section 61(a)(2)(C)(ii) of the 1940 Act, the principal risk factors associated with our senior securities are set forth below. However, since we already use leverage in optimizing our investment portfolio, the principal risk factors associated with our senior securities do not represent material changes to the risk factors previously disclosed in our Annual Report on Form 10-K for the fiscal year ended December 31, 2019.</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allows us to incur additional leverage.</w:t>
      </w:r>
    </w:p>
    <w:p>
      <w:pPr>
        <w:spacing w:after="0" w:line="117" w:lineRule="exact"/>
        <w:rPr>
          <w:sz w:val="20"/>
          <w:szCs w:val="20"/>
          <w:color w:val="auto"/>
        </w:rPr>
      </w:pPr>
    </w:p>
    <w:p>
      <w:pPr>
        <w:ind w:right="40" w:firstLine="255"/>
        <w:spacing w:after="0" w:line="301" w:lineRule="auto"/>
        <w:rPr>
          <w:sz w:val="20"/>
          <w:szCs w:val="20"/>
          <w:color w:val="auto"/>
        </w:rPr>
      </w:pPr>
      <w:r>
        <w:rPr>
          <w:rFonts w:ascii="Arial" w:cs="Arial" w:eastAsia="Arial" w:hAnsi="Arial"/>
          <w:sz w:val="16"/>
          <w:szCs w:val="16"/>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57" w:lineRule="exact"/>
        <w:rPr>
          <w:sz w:val="20"/>
          <w:szCs w:val="20"/>
          <w:color w:val="auto"/>
        </w:rPr>
      </w:pPr>
    </w:p>
    <w:p>
      <w:pPr>
        <w:jc w:val="both"/>
        <w:ind w:right="120" w:firstLine="255"/>
        <w:spacing w:after="0" w:line="279" w:lineRule="auto"/>
        <w:rPr>
          <w:sz w:val="20"/>
          <w:szCs w:val="20"/>
          <w:color w:val="auto"/>
        </w:rPr>
      </w:pPr>
      <w:r>
        <w:rPr>
          <w:rFonts w:ascii="Arial" w:cs="Arial" w:eastAsia="Arial" w:hAnsi="Arial"/>
          <w:sz w:val="17"/>
          <w:szCs w:val="17"/>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71" w:lineRule="exact"/>
        <w:rPr>
          <w:sz w:val="20"/>
          <w:szCs w:val="20"/>
          <w:color w:val="auto"/>
        </w:rPr>
      </w:pPr>
    </w:p>
    <w:p>
      <w:pPr>
        <w:ind w:right="420" w:firstLine="255"/>
        <w:spacing w:after="0" w:line="277" w:lineRule="auto"/>
        <w:rPr>
          <w:sz w:val="20"/>
          <w:szCs w:val="20"/>
          <w:color w:val="auto"/>
        </w:rPr>
      </w:pPr>
      <w:r>
        <w:rPr>
          <w:rFonts w:ascii="Arial" w:cs="Arial" w:eastAsia="Arial" w:hAnsi="Arial"/>
          <w:sz w:val="18"/>
          <w:szCs w:val="18"/>
          <w:color w:val="auto"/>
        </w:rPr>
        <w:t>As a result, you may face increased investment risk. We may not be able to implement our strategy to utilize additional leverage successfully. Any impact on returns or equity or our business associated with additional leverage may not outweigh the additional risk.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160" w:firstLine="255"/>
        <w:spacing w:after="0" w:line="259" w:lineRule="auto"/>
        <w:rPr>
          <w:sz w:val="20"/>
          <w:szCs w:val="20"/>
          <w:color w:val="auto"/>
        </w:rPr>
      </w:pPr>
      <w:r>
        <w:rPr>
          <w:rFonts w:ascii="Arial" w:cs="Arial" w:eastAsia="Arial" w:hAnsi="Arial"/>
          <w:sz w:val="18"/>
          <w:szCs w:val="18"/>
          <w:color w:val="auto"/>
        </w:rPr>
        <w:t>The 1940 Act imposes numerous constraints on the operations of BDCs.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7"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84"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3" w:name="page74"/>
    <w:bookmarkEnd w:id="73"/>
    <w:p>
      <w:pPr>
        <w:ind w:firstLine="255"/>
        <w:spacing w:after="0" w:line="271" w:lineRule="auto"/>
        <w:rPr>
          <w:sz w:val="20"/>
          <w:szCs w:val="20"/>
          <w:color w:val="auto"/>
        </w:rPr>
      </w:pPr>
      <w:r>
        <w:rPr>
          <w:rFonts w:ascii="Arial" w:cs="Arial" w:eastAsia="Arial" w:hAnsi="Arial"/>
          <w:sz w:val="17"/>
          <w:szCs w:val="17"/>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78" w:lineRule="exact"/>
        <w:rPr>
          <w:sz w:val="20"/>
          <w:szCs w:val="20"/>
          <w:color w:val="auto"/>
        </w:rPr>
      </w:pPr>
    </w:p>
    <w:p>
      <w:pPr>
        <w:ind w:right="100" w:firstLine="255"/>
        <w:spacing w:after="0" w:line="254"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95" w:lineRule="exact"/>
        <w:rPr>
          <w:sz w:val="20"/>
          <w:szCs w:val="20"/>
          <w:color w:val="auto"/>
        </w:rPr>
      </w:pPr>
    </w:p>
    <w:p>
      <w:pPr>
        <w:ind w:firstLine="255"/>
        <w:spacing w:after="0" w:line="286"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28, 2020, we are currently permitted to sell or otherwise issue shares of our common stock at a price below our then-current net asset value per share, subject to the approval of our Board and certain other conditions. Such stockholder approval expires on May 28, 2021.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74" w:lineRule="exact"/>
        <w:rPr>
          <w:sz w:val="20"/>
          <w:szCs w:val="20"/>
          <w:color w:val="auto"/>
        </w:rPr>
      </w:pPr>
    </w:p>
    <w:p>
      <w:pPr>
        <w:ind w:right="20" w:firstLine="255"/>
        <w:spacing w:after="0" w:line="289"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right="20" w:firstLine="255"/>
        <w:spacing w:after="0" w:line="289" w:lineRule="auto"/>
        <w:rPr>
          <w:sz w:val="20"/>
          <w:szCs w:val="20"/>
          <w:color w:val="auto"/>
        </w:rPr>
      </w:pPr>
      <w:r>
        <w:rPr>
          <w:rFonts w:ascii="Arial" w:cs="Arial" w:eastAsia="Arial" w:hAnsi="Arial"/>
          <w:sz w:val="16"/>
          <w:szCs w:val="16"/>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66" w:lineRule="exact"/>
        <w:rPr>
          <w:sz w:val="20"/>
          <w:szCs w:val="20"/>
          <w:color w:val="auto"/>
        </w:rPr>
      </w:pPr>
    </w:p>
    <w:p>
      <w:pPr>
        <w:ind w:right="60" w:firstLine="255"/>
        <w:spacing w:after="0" w:line="254" w:lineRule="auto"/>
        <w:rPr>
          <w:sz w:val="20"/>
          <w:szCs w:val="20"/>
          <w:color w:val="auto"/>
        </w:rPr>
      </w:pPr>
      <w:r>
        <w:rPr>
          <w:rFonts w:ascii="Arial" w:cs="Arial" w:eastAsia="Arial" w:hAnsi="Arial"/>
          <w:sz w:val="18"/>
          <w:szCs w:val="18"/>
          <w:color w:val="auto"/>
        </w:rPr>
        <w:t>Our credit facilities and indentures governing our indebtedness also impose financial and operating covenants that restrict our business activities, remedies on default and similar matters. As of June 30, 2020,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92" w:lineRule="exact"/>
        <w:rPr>
          <w:sz w:val="20"/>
          <w:szCs w:val="20"/>
          <w:color w:val="auto"/>
        </w:rPr>
      </w:pPr>
    </w:p>
    <w:p>
      <w:pPr>
        <w:ind w:right="400" w:firstLine="255"/>
        <w:spacing w:after="0" w:line="308" w:lineRule="auto"/>
        <w:rPr>
          <w:sz w:val="20"/>
          <w:szCs w:val="20"/>
          <w:color w:val="auto"/>
        </w:rPr>
      </w:pPr>
      <w:r>
        <w:rPr>
          <w:rFonts w:ascii="Arial" w:cs="Arial" w:eastAsia="Arial" w:hAnsi="Arial"/>
          <w:sz w:val="17"/>
          <w:szCs w:val="17"/>
          <w:color w:val="auto"/>
        </w:rPr>
        <w:t>Lastly, the SEC has issued a proposed rule, Rule 18f-4, that if adopted would potentially constrain our ability to use leverage if we have substantial exposure to swaps and other derivatives, or have significant outstanding financial commitments to our portfolio companies.</w:t>
      </w:r>
    </w:p>
    <w:p>
      <w:pPr>
        <w:spacing w:after="0" w:line="146" w:lineRule="exact"/>
        <w:rPr>
          <w:sz w:val="20"/>
          <w:szCs w:val="20"/>
          <w:color w:val="auto"/>
        </w:rPr>
      </w:pPr>
    </w:p>
    <w:p>
      <w:pPr>
        <w:ind w:right="40" w:firstLine="255"/>
        <w:spacing w:after="0" w:line="275" w:lineRule="auto"/>
        <w:rPr>
          <w:sz w:val="20"/>
          <w:szCs w:val="20"/>
          <w:color w:val="auto"/>
        </w:rPr>
      </w:pPr>
      <w:r>
        <w:rPr>
          <w:rFonts w:ascii="Arial" w:cs="Arial" w:eastAsia="Arial" w:hAnsi="Arial"/>
          <w:sz w:val="17"/>
          <w:szCs w:val="17"/>
          <w:color w:val="auto"/>
        </w:rPr>
        <w:t>As of June 30, 2020, we had $874.9 million of outstanding indebtedness, which had an annualized interest cost of 3.25% under the terms of our debt, excluding fees (such as fees on undrawn amounts and amortization of upfront fees) and giving effect to the swap-adjusted interest rates on our 2022 Convertible Notes, 2023 Notes and 2024 Notes. As of June 30, 2020, as adjusted to give effect to the interest rate swaps, the interest rate on the 2022 Convertible Notes was three-month LIBOR plus 2.11% (on a weighted-average basis) and the interest rate on the 2023 Notes was three-month LIBOR plus 1.99%, and the interest rate on the 2024 Notes was three-month LIBOR plus 2.28% (on a weighted-average basis).</w:t>
      </w:r>
    </w:p>
    <w:p>
      <w:pPr>
        <w:spacing w:after="0" w:line="176"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For us to cover these annualized interest payments on indebtedness, we must achieve annual returns on our investments of at least 1.4%.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4" w:lineRule="exact"/>
        <w:rPr>
          <w:sz w:val="20"/>
          <w:szCs w:val="20"/>
          <w:color w:val="auto"/>
        </w:rPr>
      </w:pPr>
    </w:p>
    <w:p>
      <w:pPr>
        <w:ind w:right="40" w:firstLine="255"/>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Effects of Leverage Based on Actual Amount of Borrowings Incurred by us as of June 30, 2020</w:t>
      </w:r>
    </w:p>
    <w:p>
      <w:pPr>
        <w:spacing w:after="0" w:line="221" w:lineRule="exact"/>
        <w:rPr>
          <w:sz w:val="20"/>
          <w:szCs w:val="20"/>
          <w:color w:val="auto"/>
        </w:rPr>
      </w:pPr>
    </w:p>
    <w:p>
      <w:pPr>
        <w:jc w:val="center"/>
        <w:ind w:left="4420"/>
        <w:spacing w:after="0"/>
        <w:rPr>
          <w:sz w:val="20"/>
          <w:szCs w:val="20"/>
          <w:color w:val="auto"/>
        </w:rPr>
      </w:pPr>
      <w:r>
        <w:rPr>
          <w:rFonts w:ascii="Arial" w:cs="Arial" w:eastAsia="Arial" w:hAnsi="Arial"/>
          <w:sz w:val="14"/>
          <w:szCs w:val="14"/>
          <w:b w:val="1"/>
          <w:bCs w:val="1"/>
          <w:color w:val="auto"/>
        </w:rPr>
        <w:t>Assumed Return on Our Portfolio</w:t>
      </w:r>
    </w:p>
    <w:p>
      <w:pPr>
        <w:spacing w:after="0" w:line="4" w:lineRule="exact"/>
        <w:rPr>
          <w:sz w:val="20"/>
          <w:szCs w:val="20"/>
          <w:color w:val="auto"/>
        </w:rPr>
      </w:pPr>
    </w:p>
    <w:p>
      <w:pPr>
        <w:jc w:val="center"/>
        <w:ind w:left="4420"/>
        <w:spacing w:after="0"/>
        <w:rPr>
          <w:sz w:val="20"/>
          <w:szCs w:val="20"/>
          <w:color w:val="auto"/>
        </w:rPr>
      </w:pPr>
      <w:r>
        <w:rPr>
          <w:rFonts w:ascii="Arial" w:cs="Arial" w:eastAsia="Arial" w:hAnsi="Arial"/>
          <w:sz w:val="14"/>
          <w:szCs w:val="14"/>
          <w:b w:val="1"/>
          <w:bCs w:val="1"/>
          <w:color w:val="auto"/>
        </w:rPr>
        <w:t xml:space="preserve">(net of expenses) </w:t>
      </w:r>
      <w:r>
        <w:rPr>
          <w:rFonts w:ascii="Arial" w:cs="Arial" w:eastAsia="Arial" w:hAnsi="Arial"/>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-3175</wp:posOffset>
            </wp:positionV>
            <wp:extent cx="39604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-10%</w:t>
            </w:r>
          </w:p>
        </w:tc>
        <w:tc>
          <w:tcPr>
            <w:tcW w:w="4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-5%</w:t>
            </w:r>
          </w:p>
        </w:tc>
        <w:tc>
          <w:tcPr>
            <w:tcW w:w="4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0%</w:t>
            </w:r>
          </w:p>
        </w:tc>
        <w:tc>
          <w:tcPr>
            <w:tcW w:w="4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5%</w:t>
            </w:r>
          </w:p>
        </w:tc>
        <w:tc>
          <w:tcPr>
            <w:tcW w:w="4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10%</w:t>
            </w:r>
          </w:p>
        </w:tc>
        <w:tc>
          <w:tcPr>
            <w:tcW w:w="280" w:type="dxa"/>
            <w:vAlign w:val="bottom"/>
            <w:tcBorders>
              <w:bottom w:val="single" w:sz="8" w:color="CCEEFF"/>
            </w:tcBorders>
          </w:tcPr>
          <w:p>
            <w:pPr>
              <w:spacing w:after="0"/>
              <w:rPr>
                <w:sz w:val="14"/>
                <w:szCs w:val="14"/>
                <w:color w:val="auto"/>
              </w:rPr>
            </w:pPr>
          </w:p>
        </w:tc>
      </w:tr>
      <w:tr>
        <w:trPr>
          <w:trHeight w:val="210"/>
        </w:trPr>
        <w:tc>
          <w:tcPr>
            <w:tcW w:w="458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Corresponding return to stockholder </w:t>
            </w:r>
            <w:r>
              <w:rPr>
                <w:rFonts w:ascii="Arial" w:cs="Arial" w:eastAsia="Arial" w:hAnsi="Arial"/>
                <w:sz w:val="21"/>
                <w:szCs w:val="21"/>
                <w:color w:val="auto"/>
                <w:vertAlign w:val="superscript"/>
              </w:rPr>
              <w:t>(2)</w:t>
            </w:r>
          </w:p>
        </w:tc>
        <w:tc>
          <w:tcPr>
            <w:tcW w:w="1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-22.2%</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r>
    </w:tbl>
    <w:p>
      <w:pPr>
        <w:spacing w:after="0" w:line="242" w:lineRule="exact"/>
        <w:rPr>
          <w:sz w:val="20"/>
          <w:szCs w:val="20"/>
          <w:color w:val="auto"/>
        </w:rPr>
      </w:pPr>
    </w:p>
    <w:p>
      <w:pPr>
        <w:ind w:left="500" w:right="40" w:hanging="492"/>
        <w:spacing w:after="0" w:line="286"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June 30, 2020. As a result, it has not been updated to take into account any changes in assets or leverage since June 30,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5" w:name="page76"/>
    <w:bookmarkEnd w:id="75"/>
    <w:p>
      <w:pPr>
        <w:ind w:left="500" w:right="80" w:hanging="492"/>
        <w:spacing w:after="0" w:line="25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order to compute the “Corresponding return to stockholder,” the “Assumed Return on Our Portfolio” is multiplied by the total value of our assets at June 30, 2020 to obtain an assumed return to us. From this amount, the interest expense (calculated by multiplying the weighted average stated interest rate of 3.3% by the approximately $874.9 million of principal debt outstanding) is subtracted to determine the return available to stockholders. The return available to stockholders is then divided by the total value of our net assets at June 30, 2020 to determine the “Corresponding return to stockholder.”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40" w:firstLine="255"/>
        <w:spacing w:after="0" w:line="293"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7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192" w:lineRule="exact"/>
        <w:rPr>
          <w:sz w:val="20"/>
          <w:szCs w:val="20"/>
          <w:color w:val="auto"/>
        </w:rPr>
      </w:pPr>
    </w:p>
    <w:p>
      <w:pPr>
        <w:ind w:right="40" w:firstLine="255"/>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6" w:lineRule="exact"/>
        <w:rPr>
          <w:sz w:val="20"/>
          <w:szCs w:val="20"/>
          <w:color w:val="auto"/>
        </w:rPr>
      </w:pPr>
    </w:p>
    <w:p>
      <w:pPr>
        <w:ind w:right="120" w:firstLine="255"/>
        <w:spacing w:after="0" w:line="279" w:lineRule="auto"/>
        <w:rPr>
          <w:sz w:val="20"/>
          <w:szCs w:val="20"/>
          <w:color w:val="auto"/>
        </w:rPr>
      </w:pPr>
      <w:r>
        <w:rPr>
          <w:rFonts w:ascii="Arial" w:cs="Arial" w:eastAsia="Arial" w:hAnsi="Arial"/>
          <w:sz w:val="17"/>
          <w:szCs w:val="17"/>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71"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760" w:hanging="509"/>
        <w:spacing w:after="0"/>
        <w:tabs>
          <w:tab w:leader="none" w:pos="7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640" w:hanging="543"/>
        <w:spacing w:after="0" w:line="277" w:lineRule="auto"/>
        <w:tabs>
          <w:tab w:leader="none" w:pos="62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105">
        <w:r>
          <w:rPr>
            <w:rFonts w:ascii="Arial" w:cs="Arial" w:eastAsia="Arial" w:hAnsi="Arial"/>
            <w:sz w:val="18"/>
            <w:szCs w:val="18"/>
            <w:u w:val="single" w:color="auto"/>
            <w:color w:val="0000EE"/>
          </w:rPr>
          <w:t>Restated Certificate of Incorporation of the Company (incorporated by reference to the Exhibit 3.2 to the Company’s Current Report on Form 8-K</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filed on June 19, 2020).</w:t>
        </w:r>
      </w:hyperlink>
    </w:p>
    <w:p>
      <w:pPr>
        <w:spacing w:after="0" w:line="170" w:lineRule="exact"/>
        <w:rPr>
          <w:sz w:val="20"/>
          <w:szCs w:val="20"/>
          <w:color w:val="auto"/>
        </w:rPr>
      </w:pPr>
    </w:p>
    <w:p>
      <w:pPr>
        <w:ind w:left="640" w:hanging="543"/>
        <w:spacing w:after="0" w:line="277" w:lineRule="auto"/>
        <w:tabs>
          <w:tab w:leader="none" w:pos="62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106">
        <w:r>
          <w:rPr>
            <w:rFonts w:ascii="Arial" w:cs="Arial" w:eastAsia="Arial" w:hAnsi="Arial"/>
            <w:sz w:val="18"/>
            <w:szCs w:val="18"/>
            <w:u w:val="single" w:color="auto"/>
            <w:color w:val="0000EE"/>
          </w:rPr>
          <w:t>Amended and Restated Bylaws of the Company (incorporated by reference to the Exhibit 3.3 to the Company’s Current Report on Form 8-K filed</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on June 19, 2020).</w:t>
        </w:r>
      </w:hyperlink>
    </w:p>
    <w:p>
      <w:pPr>
        <w:spacing w:after="0" w:line="170"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79">
        <w:r>
          <w:rPr>
            <w:rFonts w:ascii="Arial" w:cs="Arial" w:eastAsia="Arial" w:hAnsi="Arial"/>
            <w:sz w:val="16"/>
            <w:szCs w:val="16"/>
            <w:u w:val="single" w:color="auto"/>
            <w:color w:val="0000EE"/>
          </w:rPr>
          <w:t>Certification of Chief Executive Officer Pursuant to 18 U.S.C. Section 1350, as Adopted Pursuant to Section 302 of the Sarbanes-Oxley Act of</w:t>
        </w:r>
      </w:hyperlink>
    </w:p>
    <w:p>
      <w:pPr>
        <w:spacing w:after="0" w:line="23" w:lineRule="exact"/>
        <w:rPr>
          <w:sz w:val="20"/>
          <w:szCs w:val="20"/>
          <w:color w:val="auto"/>
        </w:rPr>
      </w:pPr>
    </w:p>
    <w:p>
      <w:pPr>
        <w:ind w:left="64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2002</w:t>
        </w:r>
      </w:hyperlink>
    </w:p>
    <w:p>
      <w:pPr>
        <w:spacing w:after="0" w:line="211"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80">
        <w:r>
          <w:rPr>
            <w:rFonts w:ascii="Arial" w:cs="Arial" w:eastAsia="Arial" w:hAnsi="Arial"/>
            <w:sz w:val="16"/>
            <w:szCs w:val="16"/>
            <w:u w:val="single" w:color="auto"/>
            <w:color w:val="0000EE"/>
          </w:rPr>
          <w:t>Certification of Chief Financial Officer Pursuant to 18 U.S.C. Section 1350, as Adopted Pursuant to Section 302 of the Sarbanes-Oxley Act of</w:t>
        </w:r>
      </w:hyperlink>
    </w:p>
    <w:p>
      <w:pPr>
        <w:spacing w:after="0" w:line="23" w:lineRule="exact"/>
        <w:rPr>
          <w:sz w:val="20"/>
          <w:szCs w:val="20"/>
          <w:color w:val="auto"/>
        </w:rPr>
      </w:pPr>
    </w:p>
    <w:p>
      <w:pPr>
        <w:ind w:left="64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2002</w:t>
        </w:r>
      </w:hyperlink>
    </w:p>
    <w:p>
      <w:pPr>
        <w:spacing w:after="0" w:line="211" w:lineRule="exact"/>
        <w:rPr>
          <w:sz w:val="20"/>
          <w:szCs w:val="20"/>
          <w:color w:val="auto"/>
        </w:rPr>
      </w:pPr>
    </w:p>
    <w:p>
      <w:pPr>
        <w:ind w:left="640" w:hanging="632"/>
        <w:spacing w:after="0"/>
        <w:tabs>
          <w:tab w:leader="none" w:pos="640" w:val="left"/>
        </w:tabs>
        <w:numPr>
          <w:ilvl w:val="0"/>
          <w:numId w:val="58"/>
        </w:numPr>
        <w:rPr>
          <w:rFonts w:ascii="Arial" w:cs="Arial" w:eastAsia="Arial" w:hAnsi="Arial"/>
          <w:sz w:val="17"/>
          <w:szCs w:val="17"/>
          <w:u w:val="single" w:color="auto"/>
          <w:color w:val="0000EE"/>
        </w:rPr>
      </w:pPr>
      <w:hyperlink w:anchor="page81">
        <w:r>
          <w:rPr>
            <w:rFonts w:ascii="Arial" w:cs="Arial" w:eastAsia="Arial" w:hAnsi="Arial"/>
            <w:sz w:val="17"/>
            <w:szCs w:val="17"/>
            <w:u w:val="single" w:color="auto"/>
            <w:color w:val="0000EE"/>
          </w:rPr>
          <w:t>Certification of CEO and CFO Pursuant to 18 U.S.C. Section 1350, as Adopted Pursuant to Section 906 of the Sarbanes-Oxley Act of 2002</w:t>
        </w:r>
      </w:hyperlink>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17" w:lineRule="exact"/>
        <w:rPr>
          <w:rFonts w:ascii="Arial" w:cs="Arial" w:eastAsia="Arial" w:hAnsi="Arial"/>
          <w:sz w:val="17"/>
          <w:szCs w:val="17"/>
          <w:u w:val="single" w:color="auto"/>
          <w:color w:val="0000EE"/>
        </w:rPr>
      </w:pPr>
    </w:p>
    <w:p>
      <w:pPr>
        <w:ind w:left="5540"/>
        <w:spacing w:after="0"/>
        <w:rPr>
          <w:rFonts w:ascii="Arial" w:cs="Arial" w:eastAsia="Arial" w:hAnsi="Arial"/>
          <w:sz w:val="17"/>
          <w:szCs w:val="17"/>
          <w:u w:val="single" w:color="auto"/>
          <w:color w:val="0000EE"/>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3240"/>
              <w:spacing w:after="0"/>
              <w:rPr>
                <w:sz w:val="20"/>
                <w:szCs w:val="20"/>
                <w:color w:val="auto"/>
              </w:rPr>
            </w:pPr>
            <w:r>
              <w:rPr>
                <w:rFonts w:ascii="Arial" w:cs="Arial" w:eastAsia="Arial" w:hAnsi="Arial"/>
                <w:sz w:val="18"/>
                <w:szCs w:val="18"/>
                <w:color w:val="auto"/>
              </w:rPr>
              <w:t>SIXTH STREET SPECIALTY LENDING, INC.</w:t>
            </w:r>
          </w:p>
        </w:tc>
      </w:tr>
      <w:tr>
        <w:trPr>
          <w:trHeight w:val="459"/>
        </w:trPr>
        <w:tc>
          <w:tcPr>
            <w:tcW w:w="3540" w:type="dxa"/>
            <w:vAlign w:val="bottom"/>
          </w:tcPr>
          <w:p>
            <w:pPr>
              <w:spacing w:after="0"/>
              <w:rPr>
                <w:sz w:val="20"/>
                <w:szCs w:val="20"/>
                <w:color w:val="auto"/>
              </w:rPr>
            </w:pPr>
            <w:r>
              <w:rPr>
                <w:rFonts w:ascii="Arial" w:cs="Arial" w:eastAsia="Arial" w:hAnsi="Arial"/>
                <w:sz w:val="18"/>
                <w:szCs w:val="18"/>
                <w:color w:val="auto"/>
              </w:rPr>
              <w:t>Date: August 4, 2020</w:t>
            </w:r>
          </w:p>
        </w:tc>
        <w:tc>
          <w:tcPr>
            <w:tcW w:w="7700" w:type="dxa"/>
            <w:vAlign w:val="bottom"/>
            <w:gridSpan w:val="2"/>
          </w:tcPr>
          <w:p>
            <w:pPr>
              <w:ind w:left="3240"/>
              <w:spacing w:after="0"/>
              <w:rPr>
                <w:sz w:val="20"/>
                <w:szCs w:val="20"/>
                <w:color w:val="auto"/>
              </w:rPr>
            </w:pPr>
            <w:r>
              <w:rPr>
                <w:rFonts w:ascii="Arial" w:cs="Arial" w:eastAsia="Arial" w:hAnsi="Arial"/>
                <w:sz w:val="18"/>
                <w:szCs w:val="18"/>
                <w:color w:val="auto"/>
              </w:rPr>
              <w:t>By: /s/ Joshua Easterly</w:t>
            </w:r>
          </w:p>
        </w:tc>
      </w:tr>
      <w:tr>
        <w:trPr>
          <w:trHeight w:val="195"/>
        </w:trPr>
        <w:tc>
          <w:tcPr>
            <w:tcW w:w="35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35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3540" w:type="dxa"/>
            <w:vAlign w:val="bottom"/>
          </w:tcPr>
          <w:p>
            <w:pPr>
              <w:spacing w:after="0"/>
              <w:rPr>
                <w:sz w:val="20"/>
                <w:szCs w:val="20"/>
                <w:color w:val="auto"/>
              </w:rPr>
            </w:pPr>
            <w:r>
              <w:rPr>
                <w:rFonts w:ascii="Arial" w:cs="Arial" w:eastAsia="Arial" w:hAnsi="Arial"/>
                <w:sz w:val="18"/>
                <w:szCs w:val="18"/>
                <w:color w:val="auto"/>
              </w:rPr>
              <w:t>Date: August 4, 2020</w:t>
            </w:r>
          </w:p>
        </w:tc>
        <w:tc>
          <w:tcPr>
            <w:tcW w:w="7700" w:type="dxa"/>
            <w:vAlign w:val="bottom"/>
            <w:gridSpan w:val="2"/>
          </w:tcPr>
          <w:p>
            <w:pPr>
              <w:ind w:left="3240"/>
              <w:spacing w:after="0"/>
              <w:rPr>
                <w:sz w:val="20"/>
                <w:szCs w:val="20"/>
                <w:color w:val="auto"/>
              </w:rPr>
            </w:pPr>
            <w:r>
              <w:rPr>
                <w:rFonts w:ascii="Arial" w:cs="Arial" w:eastAsia="Arial" w:hAnsi="Arial"/>
                <w:sz w:val="18"/>
                <w:szCs w:val="18"/>
                <w:color w:val="auto"/>
              </w:rPr>
              <w:t>By: /s/ Ian Simmonds</w:t>
            </w:r>
          </w:p>
        </w:tc>
      </w:tr>
      <w:tr>
        <w:trPr>
          <w:trHeight w:val="195"/>
        </w:trPr>
        <w:tc>
          <w:tcPr>
            <w:tcW w:w="35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5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540" w:type="dxa"/>
            <w:vAlign w:val="bottom"/>
          </w:tcPr>
          <w:p>
            <w:pPr>
              <w:spacing w:after="0"/>
              <w:rPr>
                <w:sz w:val="24"/>
                <w:szCs w:val="24"/>
                <w:color w:val="auto"/>
              </w:rPr>
            </w:pPr>
          </w:p>
        </w:tc>
        <w:tc>
          <w:tcPr>
            <w:tcW w:w="3600" w:type="dxa"/>
            <w:vAlign w:val="bottom"/>
          </w:tcPr>
          <w:p>
            <w:pPr>
              <w:jc w:val="right"/>
              <w:ind w:right="1330"/>
              <w:spacing w:after="0"/>
              <w:rPr>
                <w:sz w:val="20"/>
                <w:szCs w:val="20"/>
                <w:color w:val="auto"/>
              </w:rPr>
            </w:pPr>
            <w:r>
              <w:rPr>
                <w:rFonts w:ascii="Arial" w:cs="Arial" w:eastAsia="Arial" w:hAnsi="Arial"/>
                <w:sz w:val="18"/>
                <w:szCs w:val="18"/>
                <w:color w:val="auto"/>
              </w:rPr>
              <w:t>78</w:t>
            </w:r>
          </w:p>
        </w:tc>
        <w:tc>
          <w:tcPr>
            <w:tcW w:w="410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60" w:hanging="509"/>
        <w:spacing w:after="0"/>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Sixth Street Specialty Lending, Inc.;</w:t>
      </w:r>
    </w:p>
    <w:p>
      <w:pPr>
        <w:spacing w:after="0" w:line="117" w:lineRule="exact"/>
        <w:rPr>
          <w:rFonts w:ascii="Arial" w:cs="Arial" w:eastAsia="Arial" w:hAnsi="Arial"/>
          <w:sz w:val="18"/>
          <w:szCs w:val="18"/>
          <w:color w:val="auto"/>
        </w:rPr>
      </w:pPr>
    </w:p>
    <w:p>
      <w:pPr>
        <w:jc w:val="both"/>
        <w:ind w:left="760" w:right="20" w:hanging="509"/>
        <w:spacing w:after="0" w:line="263" w:lineRule="auto"/>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760" w:right="260" w:hanging="509"/>
        <w:spacing w:after="0" w:line="308" w:lineRule="auto"/>
        <w:tabs>
          <w:tab w:leader="none" w:pos="7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60" w:right="20" w:hanging="509"/>
        <w:spacing w:after="0" w:line="263" w:lineRule="auto"/>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60" w:right="160" w:hanging="496"/>
        <w:spacing w:after="0" w:line="263" w:lineRule="auto"/>
        <w:tabs>
          <w:tab w:leader="none" w:pos="1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260" w:right="80" w:hanging="496"/>
        <w:spacing w:after="0" w:line="263" w:lineRule="auto"/>
        <w:tabs>
          <w:tab w:leader="none" w:pos="1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1260" w:right="260" w:hanging="496"/>
        <w:spacing w:after="0" w:line="342" w:lineRule="auto"/>
        <w:tabs>
          <w:tab w:leader="none" w:pos="12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60" w:right="120" w:hanging="496"/>
        <w:spacing w:after="0" w:line="263" w:lineRule="auto"/>
        <w:tabs>
          <w:tab w:leader="none" w:pos="1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760" w:right="180" w:hanging="509"/>
        <w:spacing w:after="0" w:line="342" w:lineRule="auto"/>
        <w:tabs>
          <w:tab w:leader="none" w:pos="7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60" w:right="500" w:hanging="496"/>
        <w:spacing w:after="0" w:line="342" w:lineRule="auto"/>
        <w:tabs>
          <w:tab w:leader="none" w:pos="12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60" w:right="180" w:hanging="496"/>
        <w:spacing w:after="0" w:line="277" w:lineRule="auto"/>
        <w:tabs>
          <w:tab w:leader="none" w:pos="1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4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7"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760" w:hanging="509"/>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Sixth Street Specialty Lending, Inc.;</w:t>
      </w:r>
    </w:p>
    <w:p>
      <w:pPr>
        <w:spacing w:after="0" w:line="117" w:lineRule="exact"/>
        <w:rPr>
          <w:rFonts w:ascii="Arial" w:cs="Arial" w:eastAsia="Arial" w:hAnsi="Arial"/>
          <w:sz w:val="18"/>
          <w:szCs w:val="18"/>
          <w:color w:val="auto"/>
        </w:rPr>
      </w:pPr>
    </w:p>
    <w:p>
      <w:pPr>
        <w:jc w:val="both"/>
        <w:ind w:left="760" w:right="20" w:hanging="509"/>
        <w:spacing w:after="0" w:line="263" w:lineRule="auto"/>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760" w:right="260" w:hanging="509"/>
        <w:spacing w:after="0" w:line="308" w:lineRule="auto"/>
        <w:tabs>
          <w:tab w:leader="none" w:pos="7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60" w:right="20" w:hanging="509"/>
        <w:spacing w:after="0" w:line="263" w:lineRule="auto"/>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60" w:right="160" w:hanging="496"/>
        <w:spacing w:after="0" w:line="263" w:lineRule="auto"/>
        <w:tabs>
          <w:tab w:leader="none" w:pos="12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260" w:right="80" w:hanging="496"/>
        <w:spacing w:after="0" w:line="263" w:lineRule="auto"/>
        <w:tabs>
          <w:tab w:leader="none" w:pos="12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1260" w:right="260" w:hanging="496"/>
        <w:spacing w:after="0" w:line="342" w:lineRule="auto"/>
        <w:tabs>
          <w:tab w:leader="none" w:pos="12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60" w:right="120" w:hanging="496"/>
        <w:spacing w:after="0" w:line="263" w:lineRule="auto"/>
        <w:tabs>
          <w:tab w:leader="none" w:pos="12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760" w:right="180" w:hanging="509"/>
        <w:spacing w:after="0" w:line="342" w:lineRule="auto"/>
        <w:tabs>
          <w:tab w:leader="none" w:pos="7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60" w:right="500" w:hanging="496"/>
        <w:spacing w:after="0" w:line="342" w:lineRule="auto"/>
        <w:tabs>
          <w:tab w:leader="none" w:pos="12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60" w:right="180" w:hanging="496"/>
        <w:spacing w:after="0" w:line="277" w:lineRule="auto"/>
        <w:tabs>
          <w:tab w:leader="none" w:pos="12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4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7"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 connection with the quarterly report on Form 10-Q of Sixth Street Specialty Lending, Inc. (the “Company”) for the quarterly period ended June 30, 2020,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9" w:lineRule="exact"/>
        <w:rPr>
          <w:sz w:val="20"/>
          <w:szCs w:val="20"/>
          <w:color w:val="auto"/>
        </w:rPr>
      </w:pPr>
    </w:p>
    <w:p>
      <w:pPr>
        <w:ind w:left="780" w:hanging="262"/>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62"/>
        <w:spacing w:after="0"/>
        <w:tabs>
          <w:tab w:leader="none" w:pos="7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Joshua Easterly</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Ian Simmonds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Ian Simmonds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200"/>
              <w:spacing w:after="0"/>
              <w:rPr>
                <w:sz w:val="20"/>
                <w:szCs w:val="20"/>
                <w:color w:val="auto"/>
              </w:rPr>
            </w:pPr>
            <w:r>
              <w:rPr>
                <w:rFonts w:ascii="Arial" w:cs="Arial" w:eastAsia="Arial" w:hAnsi="Arial"/>
                <w:sz w:val="18"/>
                <w:szCs w:val="18"/>
                <w:color w:val="auto"/>
              </w:rPr>
              <w:t>Chief Financial Officer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780" w:type="dxa"/>
            <w:vAlign w:val="bottom"/>
          </w:tcPr>
          <w:p>
            <w:pPr>
              <w:ind w:left="200"/>
              <w:spacing w:after="0"/>
              <w:rPr>
                <w:sz w:val="20"/>
                <w:szCs w:val="20"/>
                <w:color w:val="auto"/>
              </w:rPr>
            </w:pPr>
            <w:r>
              <w:rPr>
                <w:rFonts w:ascii="Arial" w:cs="Arial" w:eastAsia="Arial" w:hAnsi="Arial"/>
                <w:sz w:val="18"/>
                <w:szCs w:val="18"/>
                <w:color w:val="auto"/>
              </w:rPr>
              <w:t>August 4, 2020</w:t>
            </w:r>
          </w:p>
        </w:tc>
      </w:tr>
    </w:tbl>
    <w:p>
      <w:pPr>
        <w:spacing w:after="0" w:line="202"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decimal"/>
      <w:start w:val="1"/>
    </w:lvl>
    <w:lvl w:ilvl="1">
      <w:lvlJc w:val="left"/>
      <w:lvlText w:val="(%2)"/>
      <w:numFmt w:val="lowerLetter"/>
      <w:start w:val="1"/>
    </w:lvl>
  </w:abstractNum>
  <w:abstractNum w:abstractNumId="4">
    <w:nsid w:val="4516DDE9"/>
    <w:multiLevelType w:val="hybridMultilevel"/>
    <w:lvl w:ilvl="0">
      <w:lvlJc w:val="left"/>
      <w:lvlText w:val="(%1)"/>
      <w:numFmt w:val="decimal"/>
      <w:start w:val="1"/>
    </w:lvl>
    <w:lvl w:ilvl="1">
      <w:lvlJc w:val="left"/>
      <w:lvlText w:val="%2"/>
      <w:numFmt w:val="lowerLetter"/>
      <w:start w:val="1"/>
    </w:lvl>
  </w:abstractNum>
  <w:abstractNum w:abstractNumId="5">
    <w:nsid w:val="3006C83E"/>
    <w:multiLevelType w:val="hybridMultilevel"/>
    <w:lvl w:ilvl="0">
      <w:lvlJc w:val="left"/>
      <w:lvlText w:val="%1"/>
      <w:numFmt w:val="decimal"/>
      <w:start w:val="1"/>
    </w:lvl>
    <w:lvl w:ilvl="1">
      <w:lvlJc w:val="left"/>
      <w:lvlText w:val="(%2)"/>
      <w:numFmt w:val="lowerLetter"/>
      <w:start w:val="1"/>
    </w:lvl>
  </w:abstractNum>
  <w:abstractNum w:abstractNumId="6">
    <w:nsid w:val="614FD4A1"/>
    <w:multiLevelType w:val="hybridMultilevel"/>
    <w:lvl w:ilvl="0">
      <w:lvlJc w:val="left"/>
      <w:lvlText w:val="(%1)"/>
      <w:numFmt w:val="decimal"/>
      <w:start w:val="7"/>
    </w:lvl>
    <w:lvl w:ilvl="1">
      <w:lvlJc w:val="left"/>
      <w:lvlText w:val="%2"/>
      <w:numFmt w:val="lowerLetter"/>
      <w:start w:val="1"/>
    </w:lvl>
  </w:abstractNum>
  <w:abstractNum w:abstractNumId="7">
    <w:nsid w:val="419AC241"/>
    <w:multiLevelType w:val="hybridMultilevel"/>
    <w:lvl w:ilvl="0">
      <w:lvlJc w:val="left"/>
      <w:lvlText w:val="%1"/>
      <w:numFmt w:val="decimal"/>
      <w:start w:val="1"/>
    </w:lvl>
    <w:lvl w:ilvl="1">
      <w:lvlJc w:val="left"/>
      <w:lvlText w:val="(%2)"/>
      <w:numFmt w:val="lowerLetter"/>
      <w:start w:val="1"/>
    </w:lvl>
  </w:abstractNum>
  <w:abstractNum w:abstractNumId="8">
    <w:nsid w:val="5577F8E1"/>
    <w:multiLevelType w:val="hybridMultilevel"/>
    <w:lvl w:ilvl="0">
      <w:lvlJc w:val="left"/>
      <w:lvlText w:val="(%1)"/>
      <w:numFmt w:val="decimal"/>
      <w:start w:val="8"/>
    </w:lvl>
    <w:lvl w:ilvl="1">
      <w:lvlJc w:val="left"/>
      <w:lvlText w:val="%2"/>
      <w:numFmt w:val="lowerLetter"/>
      <w:start w:val="1"/>
    </w:lvl>
  </w:abstractNum>
  <w:abstractNum w:abstractNumId="9">
    <w:nsid w:val="440BADFC"/>
    <w:multiLevelType w:val="hybridMultilevel"/>
    <w:lvl w:ilvl="0">
      <w:lvlJc w:val="left"/>
      <w:lvlText w:val="%1"/>
      <w:numFmt w:val="decimal"/>
      <w:start w:val="1"/>
    </w:lvl>
    <w:lvl w:ilvl="1">
      <w:lvlJc w:val="left"/>
      <w:lvlText w:val="(%2)"/>
      <w:numFmt w:val="lowerLetter"/>
      <w:start w:val="1"/>
    </w:lvl>
  </w:abstractNum>
  <w:abstractNum w:abstractNumId="10">
    <w:nsid w:val="5072367"/>
    <w:multiLevelType w:val="hybridMultilevel"/>
    <w:lvl w:ilvl="0">
      <w:lvlJc w:val="left"/>
      <w:lvlText w:val="(%1)"/>
      <w:numFmt w:val="decimal"/>
      <w:start w:val="1"/>
    </w:lvl>
    <w:lvl w:ilvl="1">
      <w:lvlJc w:val="left"/>
      <w:lvlText w:val="%2"/>
      <w:numFmt w:val="lowerLetter"/>
      <w:start w:val="1"/>
    </w:lvl>
  </w:abstractNum>
  <w:abstractNum w:abstractNumId="11">
    <w:nsid w:val="3804823E"/>
    <w:multiLevelType w:val="hybridMultilevel"/>
    <w:lvl w:ilvl="0">
      <w:lvlJc w:val="left"/>
      <w:lvlText w:val="(%1)"/>
      <w:numFmt w:val="decimal"/>
      <w:start w:val="5"/>
    </w:lvl>
  </w:abstractNum>
  <w:abstractNum w:abstractNumId="12">
    <w:nsid w:val="77465F01"/>
    <w:multiLevelType w:val="hybridMultilevel"/>
    <w:lvl w:ilvl="0">
      <w:lvlJc w:val="left"/>
      <w:lvlText w:val="%1"/>
      <w:numFmt w:val="decimal"/>
      <w:start w:val="1"/>
    </w:lvl>
    <w:lvl w:ilvl="1">
      <w:lvlJc w:val="left"/>
      <w:lvlText w:val="(%2)"/>
      <w:numFmt w:val="lowerLetter"/>
      <w:start w:val="1"/>
    </w:lvl>
  </w:abstractNum>
  <w:abstractNum w:abstractNumId="13">
    <w:nsid w:val="7724C67E"/>
    <w:multiLevelType w:val="hybridMultilevel"/>
    <w:lvl w:ilvl="0">
      <w:lvlJc w:val="left"/>
      <w:lvlText w:val="(%1)"/>
      <w:numFmt w:val="decimal"/>
      <w:start w:val="7"/>
    </w:lvl>
    <w:lvl w:ilvl="1">
      <w:lvlJc w:val="left"/>
      <w:lvlText w:val="%2"/>
      <w:numFmt w:val="lowerLetter"/>
      <w:start w:val="1"/>
    </w:lvl>
  </w:abstractNum>
  <w:abstractNum w:abstractNumId="14">
    <w:nsid w:val="5C482A97"/>
    <w:multiLevelType w:val="hybridMultilevel"/>
    <w:lvl w:ilvl="0">
      <w:lvlJc w:val="left"/>
      <w:lvlText w:val="%1"/>
      <w:numFmt w:val="decimal"/>
      <w:start w:val="1"/>
    </w:lvl>
    <w:lvl w:ilvl="1">
      <w:lvlJc w:val="left"/>
      <w:lvlText w:val="(%2)"/>
      <w:numFmt w:val="lowerLetter"/>
      <w:start w:val="1"/>
    </w:lvl>
  </w:abstractNum>
  <w:abstractNum w:abstractNumId="15">
    <w:nsid w:val="2463B9EA"/>
    <w:multiLevelType w:val="hybridMultilevel"/>
    <w:lvl w:ilvl="0">
      <w:lvlJc w:val="left"/>
      <w:lvlText w:val="(%1)"/>
      <w:numFmt w:val="decimal"/>
      <w:start w:val="8"/>
    </w:lvl>
    <w:lvl w:ilvl="1">
      <w:lvlJc w:val="left"/>
      <w:lvlText w:val="%2"/>
      <w:numFmt w:val="lowerLetter"/>
      <w:start w:val="1"/>
    </w:lvl>
  </w:abstractNum>
  <w:abstractNum w:abstractNumId="16">
    <w:nsid w:val="5E884ADC"/>
    <w:multiLevelType w:val="hybridMultilevel"/>
    <w:lvl w:ilvl="0">
      <w:lvlJc w:val="left"/>
      <w:lvlText w:val="(%1)"/>
      <w:numFmt w:val="decimal"/>
      <w:start w:val="10"/>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1)"/>
      <w:numFmt w:val="lowerRoman"/>
      <w:start w:val="1"/>
    </w:lvl>
  </w:abstractNum>
  <w:abstractNum w:abstractNumId="22">
    <w:nsid w:val="70A64E2A"/>
    <w:multiLevelType w:val="hybridMultilevel"/>
    <w:lvl w:ilvl="0">
      <w:lvlJc w:val="left"/>
      <w:lvlText w:val="(%1)"/>
      <w:numFmt w:val="lowerRoman"/>
      <w:start w:val="2"/>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10"/>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2"/>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decimal"/>
      <w:start w:val="32"/>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05" Type="http://schemas.openxmlformats.org/officeDocument/2006/relationships/hyperlink" Target="http://www.sec.gov/Archives/edgar/data/1508655/000119312520174009/d936084dex31.htm" TargetMode="External"/><Relationship Id="rId106" Type="http://schemas.openxmlformats.org/officeDocument/2006/relationships/hyperlink" Target="http://www.sec.gov/Archives/edgar/data/1508655/000119312520174009/d93608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2020-08-04T15:05:11Z</dcterms:created>
  <dcterms:modified xsi:type="dcterms:W3CDTF">2020-08-04T15:05:11Z</dcterms:modified>
</cp:coreProperties>
</file>