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51104.htm"/>
      <w:bookmarkStart w:id="1" w:name="kstslx20251104"/>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November 4, 2025</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8" w:space="1" w:color="000000"/>
        </w:pBdr>
        <w:bidi w:val="0"/>
        <w:jc w:val="center"/>
        <w:rPr/>
      </w:pPr>
      <w:r>
        <w:rPr/>
        <w:t> </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341" w:type="dxa"/>
        <w:jc w:val="left"/>
        <w:tblInd w:w="0" w:type="dxa"/>
        <w:tblLayout w:type="fixed"/>
        <w:tblCellMar>
          <w:top w:w="28" w:type="dxa"/>
          <w:left w:w="28" w:type="dxa"/>
          <w:bottom w:w="28" w:type="dxa"/>
          <w:right w:w="28" w:type="dxa"/>
        </w:tblCellMar>
      </w:tblPr>
      <w:tblGrid>
        <w:gridCol w:w="3121"/>
        <w:gridCol w:w="109"/>
        <w:gridCol w:w="146"/>
        <w:gridCol w:w="109"/>
        <w:gridCol w:w="856"/>
      </w:tblGrid>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(469)</w:t>
      </w:r>
      <w:r>
        <w:rPr>
          <w:rFonts w:ascii="Times New Roman" w:hAnsi="Times New Roman"/>
          <w:color w:val="000000"/>
          <w:sz w:val="20"/>
        </w:rPr>
        <w:t xml:space="preserve"> </w:t>
      </w:r>
      <w:r>
        <w:rPr>
          <w:rFonts w:ascii="Times New Roman" w:hAnsi="Times New Roman"/>
          <w:b/>
          <w:color w:val="000000"/>
          <w:sz w:val="20"/>
        </w:rPr>
        <w:t>621-3001</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b/>
          <w:color w:val="000000"/>
          <w:sz w:val="19"/>
        </w:rPr>
      </w:pPr>
      <w:r>
        <w:rPr>
          <w:rFonts w:ascii="Times New Roman" w:hAnsi="Times New Roman"/>
          <w:b/>
          <w:color w:val="000000"/>
          <w:sz w:val="19"/>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2025, Sixth Street Specialty Lending, Inc. (the “Company”) issued a press release announcing its financial results for the third quarter ended September 30, 2025. The text of the press release is included as Exhibit 99.1 to this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120" w:after="283"/>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5.02 – Departure of Directors or Certain Officers; Election of Directors; Appointment of Certain Officers; Compensatory Arrangements of Certain Officers</w:t>
      </w:r>
      <w:r>
        <w:rPr>
          <w:rFonts w:ascii="Times New Roman" w:hAnsi="Times New Roman"/>
          <w:color w:val="000000"/>
          <w:sz w:val="20"/>
        </w:rPr>
        <w:t>.</w:t>
      </w:r>
    </w:p>
    <w:p>
      <w:pPr>
        <w:pStyle w:val="TextBody"/>
        <w:bidi w:val="0"/>
        <w:jc w:val="left"/>
        <w:rPr>
          <w:rFonts w:ascii="Times New Roman" w:hAnsi="Times New Roman"/>
          <w:b/>
          <w:i/>
          <w:color w:val="000000"/>
          <w:sz w:val="20"/>
        </w:rPr>
      </w:pPr>
      <w:r>
        <w:rPr>
          <w:rFonts w:ascii="Times New Roman" w:hAnsi="Times New Roman"/>
          <w:b/>
          <w:i/>
          <w:color w:val="000000"/>
          <w:sz w:val="20"/>
        </w:rPr>
        <w:t>Resignation of Joshua Easterly as Chief Executive Officer of the Company; Remains Chairman of the Board</w:t>
      </w:r>
    </w:p>
    <w:p>
      <w:pPr>
        <w:pStyle w:val="TextBody"/>
        <w:bidi w:val="0"/>
        <w:jc w:val="both"/>
        <w:rPr>
          <w:rFonts w:ascii="Times New Roman" w:hAnsi="Times New Roman"/>
          <w:color w:val="000000"/>
          <w:sz w:val="20"/>
        </w:rPr>
      </w:pPr>
      <w:r>
        <w:rPr>
          <w:rFonts w:ascii="Times New Roman" w:hAnsi="Times New Roman"/>
          <w:color w:val="000000"/>
          <w:sz w:val="20"/>
        </w:rPr>
        <w:t>On November 4, 2025, pursuant to the Third Amended and Restated Bylaws of the Company, Joshua Easterly informed the Board of Directors (the “Board”) of Sixth Street Specialty Lending, Inc. (the “Company”) of his intention to resign as Chief Executive Officer of the Company, effective as of the close of business on December 31, 2025. Mr. Easterly will continue to serve as a director and Chairman of the Company. Mr. Easterly’s decision was not a result of any disagreement with the Company on any matter relating to the Company’s operations, policies or practices. The Company thanks Mr. Easterly for his years of service as Chief Executive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Appointment of Robert (Bo) Stanley as Co-Chief Executive Officer and to the Board of Directors of the Company</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4, 2025, the Board of Directors (the “Board”) of the Company increased the size of the Board from ten (10) to eleven (11) directors, and appointed Robert (Bo) Stanley, 50, as a director and as Co-Chief Executive Officer. Mr. Stanley’s appointment to the Board brings the total number of directors to eleven, six of whom are not “interested persons” of the Company as defined in Section 2(a)(19) of the Investment Company Act of 1940, as amended. Mr. Stanley will serve on the Board as a Class III director from November 4, 2025 until the date of the Company’s 2026 Annual Meeting of Stockholders or until his successor is duly elected and qualified. Following December 31, 2025, Mr. Stanley will serve as sole Chief Executive Officer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Stanley is a Partner of Sixth Street, Co-Head of Sixth Street Direct Lending and Co-Head of Sixth Street Growth. Mr. Stanley also served as President of Sixth Street Specialty Lending, Inc. prior to his appointment to Co-CEO of both Sixth Street Specialty Lending, Inc. and Sixth Street Lending Partners. Mr. Stanley focuses on originating transactions in the software, payment systems, data infrastructure and business services sectors. Representative portfolio companies include AvidXchange, Kaseya, Lucidworks, PayScale and SmartDrive. Prior to joining Sixth Street in 2011, Mr. Stanley was with Wells Fargo Capital Finance, where he served in multiple roles providing specialized financing to companies throughout the U.S. and Canada. He holds a B.S. in Business Administration with a concentration in Finance from the University of Maine.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Stanley (i) was not appointed as the Company’s Co-Chief Executive Officer pursuant to any arrangement or understanding with any other person; (ii) does not have a family relationship with any of the Company’s directors or other executive officers; (iii) has not engaged, since the beginning of the Company’s last fiscal year, nor proposes to engage, in any transaction in which the Company was or is a participant; and (iv) has not entered into, nor expects to enter into, any material plan, contract, arrangement, grant or award in connection with his appointment as the Company’s Co-Chief Executive Officer.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5.03 – Amendments to Articles of Incorporation or Bylaws; Change in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4, 2025, the Board amended and restated the Company’s Bylaws, effective as of that date, to increase the maximum number of members of the Board from ten (10) to fifteen (15) and to increase the number of directors serving on the Board from ten (10) to eleven (11).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above summary is qualified in its entirety by reference to the full text of the amended provisions, which are contained in the Third Amended and Restated Bylaws attached as Exhibit 3.1 to this Current Report on Form 8-K and are incorporated by reference herein.</w:t>
      </w:r>
    </w:p>
    <w:p>
      <w:pPr>
        <w:pStyle w:val="TextBody"/>
        <w:bidi w:val="0"/>
        <w:jc w:val="left"/>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2025, the Company issued a press release, included herewith as Exhibit 99.1, announcing the declaration of a fourth quarter 2025 base dividend per share of $0.46 to shareholders of record as of December 15, 2025, payable on December 31, 2025, and a third quarter 2025 supplemental dividend per share of $0.03 to shareholders of record as of November 28, 2025, payable on December 19,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Bylaws dated November 4, 2025 (incorporated by reference to Exhibit 3.2 to the Company’s Quarterly Report on Form 10-Q filed on November 4,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tslx-ex99_1.htm">
              <w:r>
                <w:rPr>
                  <w:rStyle w:val="InternetLink"/>
                  <w:rFonts w:ascii="Times New Roman" w:hAnsi="Times New Roman"/>
                  <w:color w:val="0000FF"/>
                  <w:sz w:val="20"/>
                  <w:u w:val="single"/>
                </w:rPr>
                <w:t>Press Release, dated November 4,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of this Current Report on Form 8-K, formatted in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6822" w:type="dxa"/>
        <w:jc w:val="left"/>
        <w:tblInd w:w="0" w:type="dxa"/>
        <w:tblLayout w:type="fixed"/>
        <w:tblCellMar>
          <w:top w:w="28" w:type="dxa"/>
          <w:left w:w="28" w:type="dxa"/>
          <w:bottom w:w="28" w:type="dxa"/>
          <w:right w:w="28" w:type="dxa"/>
        </w:tblCellMar>
      </w:tblPr>
      <w:tblGrid>
        <w:gridCol w:w="2101"/>
        <w:gridCol w:w="146"/>
        <w:gridCol w:w="768"/>
        <w:gridCol w:w="3807"/>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SIXTH STREET SPECIALTY LENDING, INC.</w:t>
            </w:r>
          </w:p>
          <w:p>
            <w:pPr>
              <w:pStyle w:val="TableContents"/>
              <w:bidi w:val="0"/>
              <w:spacing w:before="0" w:after="283"/>
              <w:jc w:val="left"/>
              <w:rPr>
                <w:color w:val="000000"/>
              </w:rPr>
            </w:pPr>
            <w:r>
              <w:rPr>
                <w:color w:val="000000"/>
              </w:rPr>
              <w:t>                    </w:t>
            </w:r>
            <w:r>
              <w:rPr>
                <w:rFonts w:ascii="Times New Roman" w:hAnsi="Times New Roman"/>
                <w:color w:val="000000"/>
                <w:sz w:val="20"/>
              </w:rPr>
              <w:t>(Registrant)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2" w:name="tslx-ex99_1.htm"/>
      <w:bookmarkStart w:id="3" w:name="kstslxex99_1"/>
      <w:bookmarkEnd w:id="2"/>
      <w:bookmarkEnd w:id="3"/>
      <w:r>
        <w:rPr>
          <w:rFonts w:ascii="sans-serif" w:hAnsi="sans-serif"/>
          <w:b/>
          <w:color w:val="000000"/>
          <w:sz w:val="20"/>
        </w:rPr>
        <w:t>Exhibit 99.1</w:t>
      </w:r>
      <w:r>
        <w:br w:type="page"/>
      </w:r>
    </w:p>
    <w:p>
      <w:pPr>
        <w:pStyle w:val="TextBody"/>
        <w:bidi w:val="0"/>
        <w:jc w:val="right"/>
        <w:rPr/>
      </w:pPr>
      <w:r>
        <w:rPr/>
        <w:t> </w:t>
      </w:r>
    </w:p>
    <w:p>
      <w:pPr>
        <w:pStyle w:val="TextBody"/>
        <w:bidi w:val="0"/>
        <w:jc w:val="left"/>
        <w:rPr/>
      </w:pPr>
      <w:r>
        <w:rPr/>
        <w:drawing>
          <wp:inline distT="0" distB="0" distL="0" distR="0">
            <wp:extent cx="1524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bidi w:val="0"/>
        <w:jc w:val="left"/>
        <w:rPr>
          <w:rFonts w:ascii="Times New Roman" w:hAnsi="Times New Roman"/>
          <w:sz w:val="20"/>
        </w:rPr>
      </w:pPr>
      <w:r>
        <w:rPr>
          <w:rFonts w:ascii="sans-serif" w:hAnsi="sans-serif"/>
          <w:caps/>
          <w:color w:val="000000"/>
          <w:sz w:val="2"/>
        </w:rPr>
        <w:t>k</w:t>
      </w:r>
      <w:r>
        <w:rPr>
          <w:rFonts w:ascii="Times New Roman" w:hAnsi="Times New Roman"/>
          <w:caps/>
          <w:color w:val="000000"/>
          <w:sz w:val="20"/>
        </w:rPr>
        <w:t xml:space="preserve">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THIRD QUARTER 2025 EARNINGS RESULTS</w:t>
      </w:r>
    </w:p>
    <w:p>
      <w:pPr>
        <w:pStyle w:val="TextBody"/>
        <w:bidi w:val="0"/>
        <w:spacing w:before="60" w:after="120"/>
        <w:jc w:val="both"/>
        <w:rPr>
          <w:rFonts w:ascii="sans-serif" w:hAnsi="sans-serif"/>
          <w:b/>
          <w:color w:val="000000"/>
          <w:sz w:val="20"/>
        </w:rPr>
      </w:pPr>
      <w:r>
        <w:rPr>
          <w:rFonts w:ascii="sans-serif" w:hAnsi="sans-serif"/>
          <w:b/>
          <w:color w:val="000000"/>
          <w:sz w:val="20"/>
        </w:rPr>
        <w:t>Sixth Street Specialty Lending, Inc. Reports Third Quarter Results; Declares a Fourth Quarter Base Dividend Per Share of $0.46, and a Third Quarter Supplemental Dividend Per Share of $0.03.</w:t>
      </w:r>
    </w:p>
    <w:tbl>
      <w:tblPr>
        <w:tblW w:w="10205" w:type="dxa"/>
        <w:jc w:val="left"/>
        <w:tblInd w:w="0" w:type="dxa"/>
        <w:tblLayout w:type="fixed"/>
        <w:tblCellMar>
          <w:top w:w="28" w:type="dxa"/>
          <w:left w:w="28" w:type="dxa"/>
          <w:bottom w:w="28" w:type="dxa"/>
          <w:right w:w="28" w:type="dxa"/>
        </w:tblCellMar>
      </w:tblPr>
      <w:tblGrid>
        <w:gridCol w:w="7248"/>
        <w:gridCol w:w="218"/>
        <w:gridCol w:w="1675"/>
        <w:gridCol w:w="1064"/>
      </w:tblGrid>
      <w:tr>
        <w:trPr/>
        <w:tc>
          <w:tcPr>
            <w:tcW w:w="7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7248" w:type="dxa"/>
            <w:vMerge w:val="restart"/>
            <w:tcBorders/>
            <w:tcMar>
              <w:top w:w="0" w:type="dxa"/>
              <w:left w:w="0" w:type="dxa"/>
              <w:bottom w:w="0" w:type="dxa"/>
              <w:right w:w="0" w:type="dxa"/>
            </w:tcMar>
            <w:vAlign w:val="center"/>
          </w:tcPr>
          <w:p>
            <w:pPr>
              <w:pStyle w:val="TableContents"/>
              <w:bidi w:val="0"/>
              <w:jc w:val="both"/>
              <w:rPr>
                <w:rFonts w:ascii="sans-serif" w:hAnsi="sans-serif"/>
                <w:color w:val="000000"/>
                <w:sz w:val="20"/>
              </w:rPr>
            </w:pPr>
            <w:r>
              <w:rPr>
                <w:rFonts w:ascii="sans-serif" w:hAnsi="sans-serif"/>
                <w:color w:val="000000"/>
                <w:sz w:val="20"/>
              </w:rPr>
              <w:t>NEW YORK — November 4, 2025 — Sixth Street Specialty Lending, Inc. (NYSE: TSLX, or the “Company”) today reported net investment income of $0.54 per share and net income of $0.47 per share for the third quarter ended September 30, 2025. These results correspond to an annualized return on equity (ROE) on net investment income and net income of 12.5% and 11.0%, respectively.</w:t>
            </w:r>
          </w:p>
          <w:p>
            <w:pPr>
              <w:pStyle w:val="TableContents"/>
              <w:bidi w:val="0"/>
              <w:jc w:val="both"/>
              <w:rPr/>
            </w:pPr>
            <w:r>
              <w:rPr/>
              <w:t> </w:t>
            </w:r>
          </w:p>
          <w:p>
            <w:pPr>
              <w:pStyle w:val="TableContents"/>
              <w:bidi w:val="0"/>
              <w:jc w:val="left"/>
              <w:rPr>
                <w:rFonts w:ascii="Times New Roman" w:hAnsi="Times New Roman"/>
                <w:sz w:val="20"/>
              </w:rPr>
            </w:pPr>
            <w:r>
              <w:rPr>
                <w:rFonts w:ascii="sans-serif" w:hAnsi="sans-serif"/>
                <w:color w:val="000000"/>
                <w:sz w:val="20"/>
              </w:rPr>
              <w:t>Both net investment income per share and net income per share include $0.01 per share of unwind of previously accrued capital gains incentive fee expenses. Excluding the impact of the partial reversal or unwind of previously accrued capital gains incentive fee expenses, the Company’s adjusted net investment income and adjusted net income for the quarter ended September 30, 2025, were $0.53 per share and $0.46 per share, respectively. These results correspond to an annualized return on equity (ROE) on adjusted net investment income and adjusted net income of 12.3% and 10.8%, respectively.</w:t>
            </w:r>
            <w:r>
              <w:rPr>
                <w:rFonts w:ascii="Times New Roman" w:hAnsi="Times New Roman"/>
                <w:color w:val="000000"/>
                <w:sz w:val="20"/>
              </w:rPr>
              <w:t xml:space="preserve"> </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Reported net asset value (NAV) per share was $17.14 at September 30, 2025 as compared to NAV per share of $17.17 or an adjusted NAV per share of $17.12 at June 30, 2025 (which accounts for the impact of the $0.05 per share second quarter 2025 supplemental dividend). The change in NAV per share was primarily driven by the reversal of net unrealized gains on the balance sheet related to investment realizations that were recognized in this quarter's net investment income.</w:t>
            </w:r>
            <w:r>
              <w:rPr>
                <w:rFonts w:ascii="Times New Roman" w:hAnsi="Times New Roman"/>
                <w:color w:val="000000"/>
                <w:sz w:val="20"/>
              </w:rPr>
              <w:t xml:space="preserve"> </w:t>
            </w:r>
          </w:p>
          <w:p>
            <w:pPr>
              <w:pStyle w:val="TableContents"/>
              <w:bidi w:val="0"/>
              <w:jc w:val="both"/>
              <w:rPr/>
            </w:pPr>
            <w:r>
              <w:rPr/>
              <w:t> </w:t>
            </w:r>
          </w:p>
          <w:p>
            <w:pPr>
              <w:pStyle w:val="TableContents"/>
              <w:bidi w:val="0"/>
              <w:spacing w:before="0" w:after="283"/>
              <w:jc w:val="left"/>
              <w:rPr>
                <w:rFonts w:ascii="sans-serif" w:hAnsi="sans-serif"/>
                <w:color w:val="000000"/>
                <w:sz w:val="20"/>
              </w:rPr>
            </w:pPr>
            <w:r>
              <w:rPr>
                <w:rFonts w:ascii="sans-serif" w:hAnsi="sans-serif"/>
                <w:color w:val="000000"/>
                <w:sz w:val="20"/>
              </w:rPr>
              <w:t>The Company announced that its Board of Directors has declared a fourth quarter 2025 base dividend of $0.46 per share to shareholders of record as of December 15, 2025, payable on December 31, 2025, and a third quarter supplemental dividend of $0.03 per share to shareholders of record as of November 28, 2025, payable on December 19, 2025. Adjusted for the impact of the supplemental dividend related to this quarter’s earnings, the Company’s Q3 adjusted NAV per share was $17.11.</w:t>
            </w:r>
          </w:p>
        </w:tc>
        <w:tc>
          <w:tcPr>
            <w:tcW w:w="21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2739"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Investment Income Per Share</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Q3 2025</w:t>
            </w:r>
            <w:r>
              <w:rPr>
                <w:rFonts w:ascii="sans-serif" w:hAnsi="sans-serif"/>
                <w:color w:val="000000"/>
                <w:sz w:val="16"/>
              </w:rPr>
              <w:t>:</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$0.54</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(adjusted):</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$0.53</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9"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Income Per Share</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$0.47</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(adjusted):</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$0.46</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9"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Return on Equity</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(NII):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12.5%</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(NI):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11.0%</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(Adj. NII):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12.3%</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(Adj. NI):</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10.8%</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9"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NAV</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($MM):</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$1,619.7</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(per share):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$17.14</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Q3 2025 (per share, adj):</w:t>
            </w:r>
            <w:r>
              <w:rPr>
                <w:rFonts w:ascii="Times New Roman" w:hAnsi="Times New Roman"/>
                <w:color w:val="000000"/>
                <w:sz w:val="16"/>
              </w:rPr>
              <w:t xml:space="preserve"> </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$17.11</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9"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Dividends Declared (per share)</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Q3 2025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$0.46</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LTM Q3 2025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$1.84</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Q3 2025 (Supplemental):</w:t>
            </w:r>
            <w:r>
              <w:rPr>
                <w:rFonts w:ascii="Times New Roman" w:hAnsi="Times New Roman"/>
                <w:color w:val="000000"/>
                <w:sz w:val="16"/>
              </w:rPr>
              <w:t xml:space="preserve"> </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$0.21</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5" w:type="dxa"/>
            <w:tcBorders/>
            <w:tcMar>
              <w:top w:w="0" w:type="dxa"/>
              <w:left w:w="0" w:type="dxa"/>
              <w:bottom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Q3 2025 (Total):</w:t>
            </w:r>
            <w:r>
              <w:rPr>
                <w:rFonts w:ascii="Times New Roman" w:hAnsi="Times New Roman"/>
                <w:color w:val="000000"/>
                <w:sz w:val="16"/>
              </w:rPr>
              <w:t xml:space="preserve"> </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$2.05</w:t>
            </w:r>
          </w:p>
        </w:tc>
      </w:tr>
      <w:tr>
        <w:trPr/>
        <w:tc>
          <w:tcPr>
            <w:tcW w:w="7248"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67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Portfolio and Investment Activity</w:t>
      </w:r>
    </w:p>
    <w:p>
      <w:pPr>
        <w:pStyle w:val="TextBody"/>
        <w:bidi w:val="0"/>
        <w:jc w:val="left"/>
        <w:rPr/>
      </w:pPr>
      <w:r>
        <w:rPr/>
        <w:t> </w:t>
      </w:r>
    </w:p>
    <w:p>
      <w:pPr>
        <w:pStyle w:val="TextBody"/>
        <w:bidi w:val="0"/>
        <w:spacing w:before="0" w:after="12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4"/>
        <w:gridCol w:w="218"/>
        <w:gridCol w:w="2234"/>
        <w:gridCol w:w="1479"/>
      </w:tblGrid>
      <w:tr>
        <w:trPr/>
        <w:tc>
          <w:tcPr>
            <w:tcW w:w="62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274" w:type="dxa"/>
            <w:vMerge w:val="restart"/>
            <w:tcBorders/>
            <w:tcMar>
              <w:top w:w="0" w:type="dxa"/>
              <w:left w:w="0" w:type="dxa"/>
              <w:bottom w:w="0" w:type="dxa"/>
              <w:right w:w="0" w:type="dxa"/>
            </w:tcMar>
            <w:vAlign w:val="center"/>
          </w:tcPr>
          <w:p>
            <w:pPr>
              <w:pStyle w:val="TableContents"/>
              <w:bidi w:val="0"/>
              <w:spacing w:before="0" w:after="120"/>
              <w:jc w:val="both"/>
              <w:rPr>
                <w:rFonts w:ascii="sans-serif" w:hAnsi="sans-serif"/>
                <w:color w:val="000000"/>
                <w:sz w:val="20"/>
              </w:rPr>
            </w:pPr>
            <w:r>
              <w:rPr>
                <w:rFonts w:ascii="sans-serif" w:hAnsi="sans-serif"/>
                <w:color w:val="000000"/>
                <w:sz w:val="20"/>
              </w:rPr>
              <w:t>For the quarter ended September 30, 2025, new investment commitments totaled $387.7 million. This compares to $297.7 million for the quarter ended June 30, 2025.</w:t>
            </w:r>
          </w:p>
          <w:p>
            <w:pPr>
              <w:pStyle w:val="TableContents"/>
              <w:bidi w:val="0"/>
              <w:jc w:val="both"/>
              <w:rPr>
                <w:rFonts w:ascii="sans-serif" w:hAnsi="sans-serif"/>
                <w:color w:val="000000"/>
                <w:sz w:val="20"/>
              </w:rPr>
            </w:pPr>
            <w:r>
              <w:rPr>
                <w:rFonts w:ascii="sans-serif" w:hAnsi="sans-serif"/>
                <w:color w:val="000000"/>
                <w:sz w:val="20"/>
              </w:rPr>
              <w:t>For the quarter ended September 30, 2025, the principal amount of new investments funded was $351.8 million across four new portfolio companies, five upsizes to existing portfolio companies and several structed credit investments. For this period, the Company had $302.8 million aggregate principal amount in exits and repayments. For the quarter ended June 30, 2025, the principal amount of new investments funded was $208.6 million across thirteen new portfolio companies (including structured credit investments) and four upsizes to existing portfolio companies. For this period, the Company had $388.7 million aggregate principal amount in exits and repayments.</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As of September 30, 2025 and June 30, 2025, the Company had investments in 145</w:t>
            </w:r>
            <w:r>
              <w:rPr>
                <w:rFonts w:ascii="sans-serif" w:hAnsi="sans-serif"/>
                <w:color w:val="000000"/>
                <w:sz w:val="13"/>
              </w:rPr>
              <w:t>1</w:t>
            </w:r>
            <w:r>
              <w:rPr>
                <w:rFonts w:ascii="Times New Roman" w:hAnsi="Times New Roman"/>
                <w:color w:val="000000"/>
                <w:sz w:val="20"/>
              </w:rPr>
              <w:t> </w:t>
            </w:r>
            <w:r>
              <w:rPr>
                <w:rFonts w:ascii="sans-serif" w:hAnsi="sans-serif"/>
                <w:color w:val="000000"/>
                <w:sz w:val="20"/>
              </w:rPr>
              <w:t>and 109 portfolio companies, respectively, with an aggregate fair value of $3,376.3 million and $3,294.9 million, respectively. As of September 30, 2025, the average investment size in each portfolio company was $23.3</w:t>
            </w:r>
            <w:r>
              <w:rPr>
                <w:rFonts w:ascii="sans-serif" w:hAnsi="sans-serif"/>
                <w:color w:val="000000"/>
                <w:sz w:val="13"/>
              </w:rPr>
              <w:t>1</w:t>
            </w:r>
            <w:r>
              <w:rPr>
                <w:rFonts w:ascii="Times New Roman" w:hAnsi="Times New Roman"/>
                <w:color w:val="000000"/>
                <w:sz w:val="20"/>
              </w:rPr>
              <w:t> </w:t>
            </w:r>
            <w:r>
              <w:rPr>
                <w:rFonts w:ascii="sans-serif" w:hAnsi="sans-serif"/>
                <w:color w:val="000000"/>
                <w:sz w:val="20"/>
              </w:rPr>
              <w:t>million based on fair value.</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As of September 30, 2025, the Company’s portfolio based on fair value consisted of 89.2% first-lien debt investments, 0.9% second-lien debt investments, 1.8% mezzanine debt investments, 5.2% equity investments and 2.9% structured credit investments. As of June 30, 2025, the Company’s portfolio based on fair value consisted of 92.4% first-lien debt investments, 0.9% second-lien debt investments, 1.6% mezzanine debt investments, and 5.1% equity investments.</w:t>
            </w:r>
          </w:p>
          <w:p>
            <w:pPr>
              <w:pStyle w:val="TableContents"/>
              <w:bidi w:val="0"/>
              <w:jc w:val="both"/>
              <w:rPr/>
            </w:pPr>
            <w:r>
              <w:rPr/>
              <w:t> </w:t>
            </w:r>
          </w:p>
          <w:p>
            <w:pPr>
              <w:pStyle w:val="TableContents"/>
              <w:bidi w:val="0"/>
              <w:jc w:val="both"/>
              <w:rPr>
                <w:rFonts w:ascii="Times New Roman" w:hAnsi="Times New Roman"/>
                <w:sz w:val="20"/>
              </w:rPr>
            </w:pPr>
            <w:r>
              <w:rPr>
                <w:rFonts w:ascii="sans-serif" w:hAnsi="sans-serif"/>
                <w:color w:val="000000"/>
                <w:sz w:val="20"/>
              </w:rPr>
              <w:t>As of September 30, 2025, 96.3% of debt investments</w:t>
            </w:r>
            <w:r>
              <w:rPr>
                <w:rFonts w:ascii="sans-serif" w:hAnsi="sans-serif"/>
                <w:color w:val="000000"/>
                <w:sz w:val="13"/>
              </w:rPr>
              <w:t>2</w:t>
            </w:r>
            <w:r>
              <w:rPr>
                <w:rFonts w:ascii="Times New Roman" w:hAnsi="Times New Roman"/>
                <w:color w:val="000000"/>
                <w:sz w:val="20"/>
              </w:rPr>
              <w:t> </w:t>
            </w:r>
            <w:r>
              <w:rPr>
                <w:rFonts w:ascii="sans-serif" w:hAnsi="sans-serif"/>
                <w:color w:val="000000"/>
                <w:sz w:val="20"/>
              </w:rPr>
              <w:t>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pStyle w:val="TableContents"/>
              <w:bidi w:val="0"/>
              <w:jc w:val="both"/>
              <w:rPr/>
            </w:pPr>
            <w:r>
              <w:rPr/>
              <w:t> </w:t>
            </w:r>
          </w:p>
          <w:p>
            <w:pPr>
              <w:pStyle w:val="TableContents"/>
              <w:bidi w:val="0"/>
              <w:jc w:val="both"/>
              <w:rPr>
                <w:rFonts w:ascii="sans-serif" w:hAnsi="sans-serif"/>
                <w:color w:val="000000"/>
                <w:sz w:val="20"/>
              </w:rPr>
            </w:pPr>
            <w:r>
              <w:rPr>
                <w:rFonts w:ascii="sans-serif" w:hAnsi="sans-serif"/>
                <w:color w:val="000000"/>
                <w:sz w:val="20"/>
              </w:rPr>
              <w:t>As of September 30, 2025 and June 30, 2025, the weighted average total yield of debt and income-producing securities at fair value (which includes interest income and amortization of fees and discounts) was 11.4% and 11.7%, respectively, and the weighted average total yield of debt and income-producing securities at amortized cost (which includes interest income and amortization of fees and discounts) was 11.7% and 12.0% for the quarter ended September 30, 2025 and June 30, 2025, respectively.</w:t>
            </w:r>
          </w:p>
          <w:p>
            <w:pPr>
              <w:pStyle w:val="TableContents"/>
              <w:bidi w:val="0"/>
              <w:jc w:val="both"/>
              <w:rPr/>
            </w:pPr>
            <w:r>
              <w:rPr/>
              <w:t> </w:t>
            </w:r>
          </w:p>
          <w:p>
            <w:pPr>
              <w:pStyle w:val="TableContents"/>
              <w:bidi w:val="0"/>
              <w:spacing w:before="0" w:after="283"/>
              <w:jc w:val="left"/>
              <w:rPr>
                <w:rFonts w:ascii="sans-serif" w:hAnsi="sans-serif"/>
                <w:color w:val="000000"/>
                <w:sz w:val="20"/>
              </w:rPr>
            </w:pPr>
            <w:r>
              <w:rPr>
                <w:rFonts w:ascii="sans-serif" w:hAnsi="sans-serif"/>
                <w:color w:val="000000"/>
                <w:sz w:val="20"/>
              </w:rPr>
              <w:t>As of September 30, 2025 and June 30, 2025, 0.6% of the portfolio at fair value was on non-accrual status. No new investments were added to non-accrual status during the third quarter.</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Q3 2025 Origination Activity</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Commitments:</w:t>
            </w:r>
          </w:p>
        </w:tc>
        <w:tc>
          <w:tcPr>
            <w:tcW w:w="147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$387.7MM</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Fundings:</w:t>
            </w:r>
          </w:p>
        </w:tc>
        <w:tc>
          <w:tcPr>
            <w:tcW w:w="147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$351.8MM</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Net Fundings:</w:t>
            </w:r>
          </w:p>
        </w:tc>
        <w:tc>
          <w:tcPr>
            <w:tcW w:w="147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$49.0MM</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both"/>
              <w:rPr/>
            </w:pPr>
            <w:r>
              <w:rPr/>
              <w:t> </w:t>
            </w:r>
          </w:p>
        </w:tc>
        <w:tc>
          <w:tcPr>
            <w:tcW w:w="2234"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sans-serif" w:hAnsi="sans-serif"/>
                <w:b/>
                <w:color w:val="FFFFFF"/>
                <w:sz w:val="17"/>
              </w:rPr>
              <w:t>Average Investment Size</w:t>
            </w:r>
            <w:r>
              <w:rPr>
                <w:rFonts w:ascii="sans-serif" w:hAnsi="sans-serif"/>
                <w:b/>
                <w:color w:val="FFFFFF"/>
                <w:sz w:val="11"/>
              </w:rPr>
              <w:t>1</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$23.3MM</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7"/>
              </w:rPr>
            </w:pPr>
            <w:r>
              <w:rPr>
                <w:rFonts w:ascii="sans-serif" w:hAnsi="sans-serif"/>
                <w:i/>
                <w:color w:val="000000"/>
                <w:sz w:val="17"/>
              </w:rPr>
              <w:t>(0.7% of the portfolio at fair value)</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First Lien Debt Investments (% FV)</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89.2%</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60" w:after="283"/>
              <w:jc w:val="center"/>
              <w:rPr>
                <w:rFonts w:ascii="Times New Roman" w:hAnsi="Times New Roman"/>
                <w:sz w:val="17"/>
              </w:rPr>
            </w:pPr>
            <w:r>
              <w:rPr>
                <w:rFonts w:ascii="sans-serif" w:hAnsi="sans-serif"/>
                <w:b/>
                <w:color w:val="FFFFFF"/>
                <w:sz w:val="17"/>
              </w:rPr>
              <w:t>Floating Rate Debt Investments</w:t>
            </w:r>
            <w:r>
              <w:rPr>
                <w:rFonts w:ascii="sans-serif" w:hAnsi="sans-serif"/>
                <w:b/>
                <w:color w:val="FFFFFF"/>
                <w:sz w:val="11"/>
              </w:rPr>
              <w:t>2</w:t>
            </w:r>
            <w:r>
              <w:rPr>
                <w:rFonts w:ascii="Times New Roman" w:hAnsi="Times New Roman"/>
                <w:color w:val="FFFFFF"/>
                <w:sz w:val="17"/>
              </w:rPr>
              <w:t xml:space="preserve">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0" w:after="60"/>
              <w:jc w:val="center"/>
              <w:rPr>
                <w:rFonts w:ascii="sans-serif" w:hAnsi="sans-serif"/>
                <w:b/>
                <w:color w:val="FFFFFF"/>
                <w:sz w:val="17"/>
              </w:rPr>
            </w:pPr>
            <w:r>
              <w:rPr>
                <w:rFonts w:ascii="sans-serif" w:hAnsi="sans-serif"/>
                <w:b/>
                <w:color w:val="FFFFFF"/>
                <w:sz w:val="17"/>
              </w:rPr>
              <w:t>(% FV)</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spacing w:before="60" w:after="60"/>
              <w:jc w:val="center"/>
              <w:rPr>
                <w:rFonts w:ascii="sans-serif" w:hAnsi="sans-serif"/>
                <w:b/>
                <w:color w:val="000000"/>
                <w:sz w:val="17"/>
              </w:rPr>
            </w:pPr>
            <w:r>
              <w:rPr>
                <w:rFonts w:ascii="sans-serif" w:hAnsi="sans-serif"/>
                <w:b/>
                <w:color w:val="000000"/>
                <w:sz w:val="17"/>
              </w:rPr>
              <w:t>96.3%</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Weighted Average Yield of Debt and Incoming-Producing Securities</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34"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Yield at Fair Value:</w:t>
            </w:r>
            <w:r>
              <w:rPr>
                <w:rFonts w:ascii="Times New Roman" w:hAnsi="Times New Roman"/>
                <w:color w:val="000000"/>
                <w:sz w:val="17"/>
              </w:rPr>
              <w:t xml:space="preserve"> </w:t>
            </w:r>
          </w:p>
        </w:tc>
        <w:tc>
          <w:tcPr>
            <w:tcW w:w="14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11.4%</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Yield at Amortized Cost:</w:t>
            </w:r>
          </w:p>
        </w:tc>
        <w:tc>
          <w:tcPr>
            <w:tcW w:w="147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11.7%</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13" w:type="dxa"/>
            <w:gridSpan w:val="2"/>
            <w:tcBorders/>
            <w:tcMar>
              <w:top w:w="0" w:type="dxa"/>
              <w:left w:w="0" w:type="dxa"/>
              <w:bottom w:w="0" w:type="dxa"/>
              <w:right w:w="0" w:type="dxa"/>
            </w:tcMar>
            <w:vAlign w:val="center"/>
          </w:tcPr>
          <w:p>
            <w:pPr>
              <w:pStyle w:val="TableContents"/>
              <w:bidi w:val="0"/>
              <w:jc w:val="both"/>
              <w:rPr>
                <w:rFonts w:ascii="sans-serif" w:hAnsi="sans-serif"/>
                <w:color w:val="000000"/>
                <w:sz w:val="16"/>
              </w:rPr>
            </w:pPr>
            <w:r>
              <w:rPr>
                <w:rFonts w:ascii="sans-serif" w:hAnsi="sans-serif"/>
                <w:color w:val="000000"/>
                <w:sz w:val="16"/>
              </w:rPr>
              <w:t>1. As of September 30, 2025, includes 37 structured credit investments with a total fair value of $99.3 million. Excluding structured credit investments results in 108 portfolio companies with an average investment size of $30.3 million.</w:t>
            </w:r>
          </w:p>
          <w:p>
            <w:pPr>
              <w:pStyle w:val="TableContents"/>
              <w:bidi w:val="0"/>
              <w:spacing w:before="0" w:after="283"/>
              <w:jc w:val="both"/>
              <w:rPr>
                <w:rFonts w:ascii="sans-serif" w:hAnsi="sans-serif"/>
                <w:color w:val="000000"/>
                <w:sz w:val="16"/>
              </w:rPr>
            </w:pPr>
            <w:r>
              <w:rPr>
                <w:rFonts w:ascii="sans-serif" w:hAnsi="sans-serif"/>
                <w:color w:val="000000"/>
                <w:sz w:val="16"/>
              </w:rPr>
              <w:t>2. Calculation includes income earning debt investments only.</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RESULTS OF OPERATIONS FOR THE THREE MONTHS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6"/>
        <w:gridCol w:w="218"/>
        <w:gridCol w:w="1135"/>
        <w:gridCol w:w="896"/>
      </w:tblGrid>
      <w:tr>
        <w:trPr/>
        <w:tc>
          <w:tcPr>
            <w:tcW w:w="79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956"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Total Investment Income</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Investment Income</w:t>
            </w:r>
          </w:p>
        </w:tc>
      </w:tr>
      <w:tr>
        <w:trPr/>
        <w:tc>
          <w:tcPr>
            <w:tcW w:w="795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For the three months ended September 30, 2025 and 2024, investment income was $109.4 million and $119.2 million, respectively. The decrease in investment income was largely the result of lower interest rates, partially offset by higher activity-based fee income</w:t>
            </w:r>
            <w:r>
              <w:rPr>
                <w:rFonts w:ascii="sans-serif" w:hAnsi="sans-serif"/>
                <w:color w:val="000000"/>
                <w:sz w:val="19"/>
              </w:rPr>
              <w:t>.</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$109.4MM</w:t>
            </w:r>
          </w:p>
        </w:tc>
      </w:tr>
      <w:tr>
        <w:trPr/>
        <w:tc>
          <w:tcPr>
            <w:tcW w:w="7956"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Net Expenses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Net Expenses</w:t>
            </w:r>
          </w:p>
        </w:tc>
      </w:tr>
      <w:tr>
        <w:trPr/>
        <w:tc>
          <w:tcPr>
            <w:tcW w:w="7956" w:type="dxa"/>
            <w:vMerge w:val="restart"/>
            <w:tcBorders/>
            <w:tcMar>
              <w:top w:w="0" w:type="dxa"/>
              <w:left w:w="0" w:type="dxa"/>
              <w:bottom w:w="0" w:type="dxa"/>
              <w:right w:w="0" w:type="dxa"/>
            </w:tcMar>
            <w:vAlign w:val="center"/>
          </w:tcPr>
          <w:p>
            <w:pPr>
              <w:pStyle w:val="TableContents"/>
              <w:bidi w:val="0"/>
              <w:jc w:val="left"/>
              <w:rPr>
                <w:rFonts w:ascii="sans-serif" w:hAnsi="sans-serif"/>
                <w:color w:val="000000"/>
                <w:sz w:val="20"/>
              </w:rPr>
            </w:pPr>
            <w:r>
              <w:rPr>
                <w:rFonts w:ascii="sans-serif" w:hAnsi="sans-serif"/>
                <w:color w:val="000000"/>
                <w:sz w:val="20"/>
              </w:rPr>
              <w:t>Net expenses totaled $57.4 million and $63.6 million for the three months ended September 30, 2025 and 2024, respectively. The decrease in net expenses was primarily due to the downward movement in reference rates which decreased the Company’s weighted average interest rate on average debt outstanding.</w:t>
            </w:r>
          </w:p>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$57.4MM</w:t>
            </w:r>
          </w:p>
        </w:tc>
      </w:tr>
      <w:tr>
        <w:trPr/>
        <w:tc>
          <w:tcPr>
            <w:tcW w:w="7956"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Debt and Capital Resources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September 30, 2025, the Company had $83.2 million in cash and cash equivalents (including $20.1 million of restricted cash), total principal value of debt outstanding of $1,858.7 million, and $1,046.6 million of undrawn capacity on its revolving credit facility, subject to borrowing base and other limitations. The Company’s weighted average interest rate on debt outstanding was 6.3% for the three-month periods ended September 30, 2025 and June 30, 2025. At September 30, 2025, the Company’s debt to equity ratio was 1.15x, compared to 1.09x at June 30, 2025. Average debt to equity was 1.10x for the three-month period ended September 30, 2025, compared to 1.20x for the three-month period ended June 30, 2025.</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Principal Debt Outstanding</w:t>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$1,858.7MM</w:t>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Debt-to-Equity Ratio</w:t>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Q3 2025 Quarter End:</w:t>
            </w:r>
          </w:p>
        </w:tc>
        <w:tc>
          <w:tcPr>
            <w:tcW w:w="896" w:type="dxa"/>
            <w:tcBorders/>
            <w:shd w:fill="FFFFFF" w:val="clear"/>
            <w:tcMar>
              <w:top w:w="0" w:type="dxa"/>
              <w:left w:w="0" w:type="dxa"/>
              <w:bottom w:w="0" w:type="dxa"/>
              <w:right w:w="0" w:type="dxa"/>
            </w:tcMar>
            <w:vAlign w:val="center"/>
          </w:tcPr>
          <w:p>
            <w:pPr>
              <w:pStyle w:val="TableContents"/>
              <w:bidi w:val="0"/>
              <w:spacing w:before="0" w:after="120"/>
              <w:jc w:val="right"/>
              <w:rPr>
                <w:rFonts w:ascii="sans-serif" w:hAnsi="sans-serif"/>
                <w:b/>
                <w:color w:val="000000"/>
                <w:sz w:val="17"/>
              </w:rPr>
            </w:pPr>
            <w:r>
              <w:rPr>
                <w:rFonts w:ascii="sans-serif" w:hAnsi="sans-serif"/>
                <w:b/>
                <w:color w:val="000000"/>
                <w:sz w:val="17"/>
              </w:rPr>
              <w:t>1.15x</w:t>
            </w:r>
          </w:p>
        </w:tc>
      </w:tr>
      <w:tr>
        <w:trPr/>
        <w:tc>
          <w:tcPr>
            <w:tcW w:w="7956"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Q3 2025 Average</w:t>
            </w:r>
            <w:r>
              <w:rPr>
                <w:rFonts w:ascii="sans-serif" w:hAnsi="sans-serif"/>
                <w:b/>
                <w:color w:val="000000"/>
                <w:sz w:val="11"/>
              </w:rPr>
              <w:t>1</w:t>
            </w:r>
            <w:r>
              <w:rPr>
                <w:rFonts w:ascii="sans-serif" w:hAnsi="sans-serif"/>
                <w:b/>
                <w:color w:val="000000"/>
                <w:sz w:val="17"/>
              </w:rPr>
              <w:t>:</w:t>
            </w:r>
          </w:p>
        </w:tc>
        <w:tc>
          <w:tcPr>
            <w:tcW w:w="896" w:type="dxa"/>
            <w:tcBorders/>
            <w:tcMar>
              <w:top w:w="0" w:type="dxa"/>
              <w:left w:w="0" w:type="dxa"/>
              <w:bottom w:w="0" w:type="dxa"/>
              <w:right w:w="0" w:type="dxa"/>
            </w:tcMar>
            <w:vAlign w:val="center"/>
          </w:tcPr>
          <w:p>
            <w:pPr>
              <w:pStyle w:val="TableContents"/>
              <w:bidi w:val="0"/>
              <w:spacing w:before="0" w:after="120"/>
              <w:ind w:left="0" w:right="0" w:firstLine="216"/>
              <w:jc w:val="right"/>
              <w:rPr>
                <w:rFonts w:ascii="sans-serif" w:hAnsi="sans-serif"/>
                <w:b/>
                <w:color w:val="000000"/>
                <w:sz w:val="17"/>
              </w:rPr>
            </w:pPr>
            <w:r>
              <w:rPr>
                <w:rFonts w:ascii="sans-serif" w:hAnsi="sans-serif"/>
                <w:b/>
                <w:color w:val="000000"/>
                <w:sz w:val="17"/>
              </w:rPr>
              <w:t>1.10x</w:t>
            </w:r>
          </w:p>
        </w:tc>
      </w:tr>
      <w:tr>
        <w:trPr/>
        <w:tc>
          <w:tcPr>
            <w:tcW w:w="7956" w:type="dxa"/>
            <w:tcBorders/>
            <w:tcMar>
              <w:top w:w="0" w:type="dxa"/>
              <w:left w:w="0" w:type="dxa"/>
              <w:bottom w:w="0" w:type="dxa"/>
              <w:right w:w="0" w:type="dxa"/>
            </w:tcMar>
            <w:vAlign w:val="center"/>
          </w:tcPr>
          <w:p>
            <w:pPr>
              <w:pStyle w:val="TableContents"/>
              <w:bidi w:val="0"/>
              <w:spacing w:before="120" w:after="283"/>
              <w:jc w:val="left"/>
              <w:rPr>
                <w:rFonts w:ascii="Calibri" w:hAnsi="Calibri"/>
                <w:color w:val="000000"/>
                <w:sz w:val="16"/>
              </w:rPr>
            </w:pPr>
            <w:r>
              <w:rPr>
                <w:rFonts w:ascii="Calibri" w:hAnsi="Calibri"/>
                <w:color w:val="000000"/>
                <w:sz w:val="16"/>
              </w:rPr>
              <w:t>1.</w:t>
            </w:r>
          </w:p>
          <w:p>
            <w:pPr>
              <w:pStyle w:val="TableContents"/>
              <w:bidi w:val="0"/>
              <w:spacing w:before="120" w:after="283"/>
              <w:jc w:val="left"/>
              <w:rPr>
                <w:rFonts w:ascii="sans-serif" w:hAnsi="sans-serif"/>
                <w:color w:val="000000"/>
                <w:sz w:val="16"/>
              </w:rPr>
            </w:pPr>
            <w:r>
              <w:rPr>
                <w:rFonts w:ascii="sans-serif" w:hAnsi="sans-serif"/>
                <w:color w:val="000000"/>
                <w:sz w:val="16"/>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5"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89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LIQUIDITY AND FUNDING PROFILE</w:t>
      </w:r>
    </w:p>
    <w:p>
      <w:pPr>
        <w:pStyle w:val="TextBody"/>
        <w:bidi w:val="0"/>
        <w:jc w:val="left"/>
        <w:rPr/>
      </w:pPr>
      <w:r>
        <w:rPr/>
        <w:t> </w:t>
      </w:r>
    </w:p>
    <w:p>
      <w:pPr>
        <w:pStyle w:val="TextBody"/>
        <w:bidi w:val="0"/>
        <w:spacing w:before="0" w:after="120"/>
        <w:jc w:val="left"/>
        <w:rPr>
          <w:rFonts w:ascii="sans-serif" w:hAnsi="sans-serif"/>
          <w:b/>
          <w:color w:val="000000"/>
          <w:sz w:val="19"/>
        </w:rPr>
      </w:pPr>
      <w:r>
        <w:rPr>
          <w:rFonts w:ascii="sans-serif" w:hAnsi="sans-serif"/>
          <w:b/>
          <w:color w:val="000000"/>
          <w:sz w:val="19"/>
        </w:rPr>
        <w:t>Liquidity</w:t>
      </w:r>
    </w:p>
    <w:p>
      <w:pPr>
        <w:pStyle w:val="TextBody"/>
        <w:bidi w:val="0"/>
        <w:jc w:val="both"/>
        <w:rPr>
          <w:rFonts w:ascii="sans-serif" w:hAnsi="sans-serif"/>
          <w:color w:val="000000"/>
          <w:sz w:val="20"/>
        </w:rPr>
      </w:pPr>
      <w:r>
        <w:rPr>
          <w:rFonts w:ascii="sans-serif" w:hAnsi="sans-serif"/>
          <w:color w:val="000000"/>
          <w:sz w:val="20"/>
        </w:rPr>
        <w:t>The following tables summarize the Company’s liquidity at September 30, 2025 and changes to unfunded commitments since June 30, 2025.</w:t>
      </w:r>
    </w:p>
    <w:p>
      <w:pPr>
        <w:pStyle w:val="TextBody"/>
        <w:bidi w:val="0"/>
        <w:jc w:val="left"/>
        <w:rPr/>
      </w:pPr>
      <w:r>
        <w:rPr/>
        <w:t> </w:t>
      </w:r>
    </w:p>
    <w:p>
      <w:pPr>
        <w:pStyle w:val="TextBody"/>
        <w:bidi w:val="0"/>
        <w:jc w:val="left"/>
        <w:rPr>
          <w:rFonts w:ascii="sans-serif" w:hAnsi="sans-serif"/>
          <w:color w:val="000000"/>
          <w:sz w:val="16"/>
        </w:rPr>
      </w:pPr>
      <w:r>
        <w:rPr>
          <w:rFonts w:ascii="sans-serif" w:hAnsi="sans-serif"/>
          <w:color w:val="000000"/>
          <w:sz w:val="16"/>
        </w:rPr>
        <w:t>$ Millions</w:t>
      </w:r>
    </w:p>
    <w:tbl>
      <w:tblPr>
        <w:tblW w:w="10205" w:type="dxa"/>
        <w:jc w:val="left"/>
        <w:tblInd w:w="0" w:type="dxa"/>
        <w:tblLayout w:type="fixed"/>
        <w:tblCellMar>
          <w:top w:w="28" w:type="dxa"/>
          <w:left w:w="28" w:type="dxa"/>
          <w:bottom w:w="28" w:type="dxa"/>
          <w:right w:w="28" w:type="dxa"/>
        </w:tblCellMar>
      </w:tblPr>
      <w:tblGrid>
        <w:gridCol w:w="4332"/>
        <w:gridCol w:w="781"/>
        <w:gridCol w:w="146"/>
        <w:gridCol w:w="4189"/>
        <w:gridCol w:w="757"/>
      </w:tblGrid>
      <w:tr>
        <w:trPr/>
        <w:tc>
          <w:tcPr>
            <w:tcW w:w="433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511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FFFFFF"/>
                <w:sz w:val="20"/>
              </w:rPr>
              <w:t>Revolving Credit Facility</w:t>
            </w:r>
            <w:r>
              <w:rPr>
                <w:rFonts w:ascii="sans-serif" w:hAnsi="sans-serif"/>
                <w:b/>
                <w:color w:val="FFFFFF"/>
                <w:sz w:val="13"/>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46"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Unfunded Commitment Activity</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Revolver Capacity</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$1,675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Unfunded Commitments (See Note 8 in 6/30/25 10-Q)</w:t>
            </w:r>
            <w:r>
              <w:rPr>
                <w:rFonts w:ascii="Times New Roman" w:hAnsi="Times New Roman"/>
                <w:color w:val="000000"/>
                <w:sz w:val="18"/>
              </w:rPr>
              <w:t xml:space="preserve"> </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$341</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Drawn on Revolver</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($609)</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Extinguished Unfunded Commitments</w:t>
            </w:r>
            <w:r>
              <w:rPr>
                <w:rFonts w:ascii="Times New Roman" w:hAnsi="Times New Roman"/>
                <w:color w:val="000000"/>
                <w:sz w:val="18"/>
              </w:rPr>
              <w:t xml:space="preserve"> </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Unrestricted Cash Balance</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New Unfunded Commitments</w:t>
            </w:r>
            <w:r>
              <w:rPr>
                <w:rFonts w:ascii="Times New Roman" w:hAnsi="Times New Roman"/>
                <w:color w:val="000000"/>
                <w:sz w:val="18"/>
              </w:rPr>
              <w:t xml:space="preserve"> </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Issued Letters of Credit</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Drawdown of Unfunded Commitments</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Total Liquidity (Pre-Unfunded Commitments)</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$1,109</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Unfunded Commitments</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$337</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Available Unfunded Commitments</w:t>
            </w:r>
            <w:r>
              <w:rPr>
                <w:rFonts w:ascii="sans-serif" w:hAnsi="sans-serif"/>
                <w:color w:val="000000"/>
                <w:sz w:val="12"/>
              </w:rPr>
              <w:t>2</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Unavailable Unfunded Commitments</w:t>
            </w:r>
            <w:r>
              <w:rPr>
                <w:rFonts w:ascii="sans-serif" w:hAnsi="sans-serif"/>
                <w:color w:val="000000"/>
                <w:sz w:val="12"/>
              </w:rPr>
              <w:t>2</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r>
      <w:tr>
        <w:trPr/>
        <w:tc>
          <w:tcPr>
            <w:tcW w:w="433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Liquidity (Burdened for Unfunded Commitments)</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$935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89"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Available Unfunded Commitments</w:t>
            </w:r>
            <w:r>
              <w:rPr>
                <w:rFonts w:ascii="sans-serif" w:hAnsi="sans-serif"/>
                <w:color w:val="000000"/>
                <w:sz w:val="12"/>
              </w:rPr>
              <w:t>2</w:t>
            </w:r>
          </w:p>
        </w:tc>
        <w:tc>
          <w:tcPr>
            <w:tcW w:w="757"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$174</w:t>
            </w:r>
          </w:p>
        </w:tc>
      </w:tr>
    </w:tbl>
    <w:p>
      <w:pPr>
        <w:pStyle w:val="TextBody"/>
        <w:bidi w:val="0"/>
        <w:jc w:val="both"/>
        <w:rPr/>
      </w:pPr>
      <w:r>
        <w:rPr/>
        <w:t> </w:t>
      </w:r>
    </w:p>
    <w:p>
      <w:pPr>
        <w:pStyle w:val="TextBody"/>
        <w:bidi w:val="0"/>
        <w:spacing w:before="0" w:after="0"/>
        <w:jc w:val="both"/>
        <w:rPr>
          <w:rFonts w:ascii="Calibri" w:hAnsi="Calibri"/>
          <w:color w:val="000000"/>
          <w:sz w:val="14"/>
        </w:rPr>
      </w:pPr>
      <w:r>
        <w:rPr>
          <w:rFonts w:ascii="Calibri" w:hAnsi="Calibri"/>
          <w:color w:val="000000"/>
          <w:sz w:val="14"/>
        </w:rPr>
        <w:t>1.</w:t>
      </w:r>
    </w:p>
    <w:p>
      <w:pPr>
        <w:pStyle w:val="TextBody"/>
        <w:bidi w:val="0"/>
        <w:spacing w:before="0" w:after="0"/>
        <w:jc w:val="both"/>
        <w:rPr>
          <w:rFonts w:ascii="sans-serif" w:hAnsi="sans-serif"/>
          <w:color w:val="000000"/>
          <w:sz w:val="14"/>
        </w:rPr>
      </w:pPr>
      <w:r>
        <w:rPr>
          <w:rFonts w:ascii="sans-serif" w:hAnsi="sans-serif"/>
          <w:color w:val="000000"/>
          <w:sz w:val="14"/>
        </w:rPr>
        <w:t>Includes $150 million of non‐extending commitments with a maturity of April 23, 2027 and a revolving period ending April 24, 2026.</w:t>
      </w:r>
    </w:p>
    <w:p>
      <w:pPr>
        <w:pStyle w:val="TextBody"/>
        <w:bidi w:val="0"/>
        <w:spacing w:before="0" w:after="0"/>
        <w:jc w:val="both"/>
        <w:rPr>
          <w:rFonts w:ascii="Calibri" w:hAnsi="Calibri"/>
          <w:color w:val="000000"/>
          <w:sz w:val="14"/>
        </w:rPr>
      </w:pPr>
      <w:r>
        <w:rPr>
          <w:rFonts w:ascii="Calibri" w:hAnsi="Calibri"/>
          <w:color w:val="000000"/>
          <w:sz w:val="14"/>
        </w:rPr>
        <w:t>2.</w:t>
      </w:r>
    </w:p>
    <w:p>
      <w:pPr>
        <w:pStyle w:val="TextBody"/>
        <w:bidi w:val="0"/>
        <w:jc w:val="both"/>
        <w:rPr>
          <w:rFonts w:ascii="sans-serif" w:hAnsi="sans-serif"/>
          <w:color w:val="000000"/>
          <w:sz w:val="14"/>
        </w:rPr>
      </w:pPr>
      <w:r>
        <w:rPr>
          <w:rFonts w:ascii="sans-serif" w:hAnsi="sans-serif"/>
          <w:color w:val="000000"/>
          <w:sz w:val="14"/>
        </w:rPr>
        <w:t>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0" w:after="160"/>
        <w:jc w:val="left"/>
        <w:rPr>
          <w:rFonts w:ascii="sans-serif" w:hAnsi="sans-serif"/>
          <w:color w:val="000000"/>
          <w:sz w:val="14"/>
        </w:rPr>
      </w:pPr>
      <w:r>
        <w:rPr>
          <w:rFonts w:ascii="sans-serif" w:hAnsi="sans-serif"/>
          <w:color w:val="000000"/>
          <w:sz w:val="14"/>
        </w:rPr>
        <w:t>Note: May not sum due to rounding.</w:t>
      </w:r>
    </w:p>
    <w:p>
      <w:pPr>
        <w:pStyle w:val="TextBody"/>
        <w:bidi w:val="0"/>
        <w:jc w:val="left"/>
        <w:rPr/>
      </w:pPr>
      <w:r>
        <w:rPr/>
        <w:t> </w:t>
      </w:r>
    </w:p>
    <w:p>
      <w:pPr>
        <w:pStyle w:val="TextBody"/>
        <w:bidi w:val="0"/>
        <w:spacing w:before="0" w:after="120"/>
        <w:jc w:val="left"/>
        <w:rPr>
          <w:rFonts w:ascii="sans-serif" w:hAnsi="sans-serif"/>
          <w:b/>
          <w:color w:val="000000"/>
          <w:sz w:val="20"/>
        </w:rPr>
      </w:pPr>
      <w:r>
        <w:rPr>
          <w:rFonts w:ascii="sans-serif" w:hAnsi="sans-serif"/>
          <w:b/>
          <w:color w:val="000000"/>
          <w:sz w:val="20"/>
        </w:rPr>
        <w:t>Funding Profile</w:t>
      </w:r>
    </w:p>
    <w:p>
      <w:pPr>
        <w:pStyle w:val="TextBody"/>
        <w:bidi w:val="0"/>
        <w:spacing w:before="0" w:after="160"/>
        <w:jc w:val="both"/>
        <w:rPr>
          <w:rFonts w:ascii="Times New Roman" w:hAnsi="Times New Roman"/>
          <w:sz w:val="20"/>
        </w:rPr>
      </w:pPr>
      <w:r>
        <w:rPr>
          <w:rFonts w:ascii="sans-serif" w:hAnsi="sans-serif"/>
          <w:color w:val="000000"/>
          <w:sz w:val="20"/>
        </w:rPr>
        <w:t>At September 30, 2025, the Company’s funding mix was comprised of approximately 67% unsecured and 33% secured debt. As illustrated below, the Company’s nearest debt maturity is in August 2026 at $300 million, and the weighted average remaining life of investments funded with debt was ~2.6 years, compared to a weighted average remaining maturity on debt of ~3.7 years</w:t>
      </w:r>
      <w:r>
        <w:rPr>
          <w:rFonts w:ascii="sans-serif" w:hAnsi="sans-serif"/>
          <w:color w:val="000000"/>
          <w:sz w:val="13"/>
        </w:rPr>
        <w:t>2</w:t>
      </w:r>
      <w:r>
        <w:rPr>
          <w:rFonts w:ascii="sans-serif" w:hAnsi="sans-serif"/>
          <w:color w:val="000000"/>
          <w:sz w:val="20"/>
        </w:rPr>
        <w:t>.</w:t>
      </w:r>
    </w:p>
    <w:p>
      <w:pPr>
        <w:pStyle w:val="TextBody"/>
        <w:bidi w:val="0"/>
        <w:spacing w:before="0" w:after="160"/>
        <w:jc w:val="both"/>
        <w:rPr/>
      </w:pPr>
      <w:r>
        <w:rPr/>
        <w:t> </w:t>
      </w:r>
    </w:p>
    <w:p>
      <w:pPr>
        <w:pStyle w:val="TextBody"/>
        <w:bidi w:val="0"/>
        <w:spacing w:before="0" w:after="160"/>
        <w:jc w:val="both"/>
        <w:rPr/>
      </w:pPr>
      <w:r>
        <w:rPr/>
        <w:drawing>
          <wp:inline distT="0" distB="0" distL="0" distR="0">
            <wp:extent cx="6438900" cy="1838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6438900" cy="1838325"/>
                    </a:xfrm>
                    <a:prstGeom prst="rect">
                      <a:avLst/>
                    </a:prstGeom>
                  </pic:spPr>
                </pic:pic>
              </a:graphicData>
            </a:graphic>
          </wp:inline>
        </w:drawing>
      </w:r>
    </w:p>
    <w:p>
      <w:pPr>
        <w:pStyle w:val="TextBody"/>
        <w:bidi w:val="0"/>
        <w:spacing w:before="0" w:after="0"/>
        <w:jc w:val="both"/>
        <w:rPr>
          <w:rFonts w:ascii="Calibri" w:hAnsi="Calibri"/>
          <w:color w:val="000000"/>
          <w:sz w:val="14"/>
        </w:rPr>
      </w:pPr>
      <w:r>
        <w:rPr>
          <w:rFonts w:ascii="Calibri" w:hAnsi="Calibri"/>
          <w:color w:val="000000"/>
          <w:sz w:val="14"/>
        </w:rPr>
        <w:t>1.</w:t>
      </w:r>
    </w:p>
    <w:p>
      <w:pPr>
        <w:pStyle w:val="TextBody"/>
        <w:bidi w:val="0"/>
        <w:spacing w:before="0" w:after="0"/>
        <w:jc w:val="both"/>
        <w:rPr>
          <w:rFonts w:ascii="sans-serif" w:hAnsi="sans-serif"/>
          <w:color w:val="000000"/>
          <w:sz w:val="14"/>
        </w:rPr>
      </w:pPr>
      <w:r>
        <w:rPr>
          <w:rFonts w:ascii="sans-serif" w:hAnsi="sans-serif"/>
          <w:color w:val="000000"/>
          <w:sz w:val="14"/>
        </w:rPr>
        <w:t xml:space="preserve">Includes $150 million of remaining non-extending commitments with a maturity of April 23, 2027 and a revolving period ending April 24, 2026. The amount available may be subject to limitations related to the borrowing base under the Revolving Credit Facility, outstanding letters of credit and asset coverage requirements </w:t>
      </w:r>
    </w:p>
    <w:p>
      <w:pPr>
        <w:pStyle w:val="TextBody"/>
        <w:bidi w:val="0"/>
        <w:spacing w:before="0" w:after="120"/>
        <w:jc w:val="both"/>
        <w:rPr>
          <w:rFonts w:ascii="Calibri" w:hAnsi="Calibri"/>
          <w:color w:val="000000"/>
          <w:sz w:val="14"/>
        </w:rPr>
      </w:pPr>
      <w:r>
        <w:rPr>
          <w:rFonts w:ascii="Calibri" w:hAnsi="Calibri"/>
          <w:color w:val="000000"/>
          <w:sz w:val="14"/>
        </w:rPr>
        <w:t>2.</w:t>
      </w:r>
    </w:p>
    <w:p>
      <w:pPr>
        <w:pStyle w:val="TextBody"/>
        <w:bidi w:val="0"/>
        <w:spacing w:before="0" w:after="120"/>
        <w:jc w:val="both"/>
        <w:rPr>
          <w:rFonts w:ascii="sans-serif" w:hAnsi="sans-serif"/>
          <w:color w:val="000000"/>
          <w:sz w:val="14"/>
        </w:rPr>
      </w:pPr>
      <w:r>
        <w:rPr>
          <w:rFonts w:ascii="sans-serif" w:hAnsi="sans-serif"/>
          <w:color w:val="000000"/>
          <w:sz w:val="14"/>
        </w:rPr>
        <w:t xml:space="preserve">Weighted by gross commitment amount. </w:t>
      </w:r>
    </w:p>
    <w:p>
      <w:pPr>
        <w:pStyle w:val="TextBody"/>
        <w:bidi w:val="0"/>
        <w:spacing w:before="0" w:after="120"/>
        <w:jc w:val="both"/>
        <w:rPr>
          <w:rFonts w:ascii="sans-serif" w:hAnsi="sans-serif"/>
          <w:color w:val="000000"/>
          <w:sz w:val="14"/>
        </w:rPr>
      </w:pPr>
      <w:r>
        <w:rPr>
          <w:rFonts w:ascii="sans-serif" w:hAnsi="sans-serif"/>
          <w:color w:val="000000"/>
          <w:sz w:val="14"/>
        </w:rPr>
        <w:t>Note: Numbers may not sum due to rounding.</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Conference Call and Webcast</w:t>
      </w:r>
    </w:p>
    <w:p>
      <w:pPr>
        <w:pStyle w:val="TextBody"/>
        <w:bidi w:val="0"/>
        <w:jc w:val="left"/>
        <w:rPr/>
      </w:pPr>
      <w:r>
        <w:rPr/>
        <w:t> </w:t>
      </w:r>
    </w:p>
    <w:p>
      <w:pPr>
        <w:pStyle w:val="TextBody"/>
        <w:bidi w:val="0"/>
        <w:spacing w:before="0" w:after="360"/>
        <w:jc w:val="both"/>
        <w:rPr>
          <w:rFonts w:ascii="sans-serif" w:hAnsi="sans-serif"/>
          <w:b/>
          <w:color w:val="000000"/>
          <w:sz w:val="20"/>
        </w:rPr>
      </w:pPr>
      <w:r>
        <w:rPr>
          <w:rFonts w:ascii="sans-serif" w:hAnsi="sans-serif"/>
          <w:b/>
          <w:color w:val="000000"/>
          <w:sz w:val="20"/>
        </w:rPr>
        <w:t>Conference Call Information:</w:t>
      </w:r>
    </w:p>
    <w:p>
      <w:pPr>
        <w:pStyle w:val="TextBody"/>
        <w:bidi w:val="0"/>
        <w:jc w:val="both"/>
        <w:rPr>
          <w:rFonts w:ascii="sans-serif" w:hAnsi="sans-serif"/>
          <w:color w:val="000000"/>
          <w:sz w:val="20"/>
        </w:rPr>
      </w:pPr>
      <w:r>
        <w:rPr>
          <w:rFonts w:ascii="sans-serif" w:hAnsi="sans-serif"/>
          <w:color w:val="000000"/>
          <w:sz w:val="20"/>
        </w:rPr>
        <w:t>A conference call to discuss the Company’s financial results will be held at 8:30 a.m. Eastern Time on November 5, 2025.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Research analysts who wish to participate in the conference call must first register at https://register-conf.media-server.com/register/BIb4f4f421a0d64aa9a2581614aaa8d736. Upon registration, all telephone participants will receive a confirmation email detailing how to join the conference call, including the dial-in number along with a unique passcode and registrant ID that can be used to access the call.</w:t>
      </w:r>
    </w:p>
    <w:p>
      <w:pPr>
        <w:pStyle w:val="TextBody"/>
        <w:bidi w:val="0"/>
        <w:spacing w:before="0" w:after="160"/>
        <w:jc w:val="both"/>
        <w:rPr/>
      </w:pPr>
      <w:r>
        <w:rPr/>
        <w:t> </w:t>
      </w:r>
    </w:p>
    <w:p>
      <w:pPr>
        <w:pStyle w:val="TextBody"/>
        <w:bidi w:val="0"/>
        <w:jc w:val="both"/>
        <w:rPr>
          <w:rFonts w:ascii="sans-serif" w:hAnsi="sans-serif"/>
          <w:b/>
          <w:color w:val="000000"/>
          <w:sz w:val="20"/>
        </w:rPr>
      </w:pPr>
      <w:r>
        <w:rPr>
          <w:rFonts w:ascii="sans-serif" w:hAnsi="sans-serif"/>
          <w:b/>
          <w:color w:val="000000"/>
          <w:sz w:val="20"/>
        </w:rPr>
        <w:t>Replay Information:</w:t>
      </w:r>
    </w:p>
    <w:p>
      <w:pPr>
        <w:pStyle w:val="TextBody"/>
        <w:bidi w:val="0"/>
        <w:spacing w:before="160" w:after="283"/>
        <w:jc w:val="both"/>
        <w:rPr/>
      </w:pPr>
      <w:r>
        <w:rPr/>
        <w:t> </w:t>
      </w:r>
    </w:p>
    <w:p>
      <w:pPr>
        <w:pStyle w:val="TextBody"/>
        <w:bidi w:val="0"/>
        <w:jc w:val="both"/>
        <w:rPr>
          <w:rFonts w:ascii="Times New Roman" w:hAnsi="Times New Roman"/>
          <w:sz w:val="20"/>
        </w:rPr>
      </w:pPr>
      <w:r>
        <w:rPr>
          <w:rFonts w:ascii="sans-serif" w:hAnsi="sans-serif"/>
          <w:color w:val="000000"/>
          <w:sz w:val="20"/>
        </w:rPr>
        <w:t>A recorded version will be available under the same webcast link (</w:t>
      </w:r>
      <w:r>
        <w:rPr>
          <w:rFonts w:ascii="sans-serif" w:hAnsi="sans-serif"/>
          <w:color w:val="0563C1"/>
          <w:sz w:val="20"/>
        </w:rPr>
        <w:t>https://sixthstreetspecialtylending.gcs-web.com/events-and-presentations</w:t>
      </w:r>
      <w:r>
        <w:rPr>
          <w:rFonts w:ascii="sans-serif" w:hAnsi="sans-serif"/>
          <w:color w:val="000000"/>
          <w:sz w:val="20"/>
        </w:rPr>
        <w:t>) following the conclusion of the conference call.</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Financial Highlights</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(Amounts in millions, except per share amounts)</w:t>
      </w:r>
    </w:p>
    <w:tbl>
      <w:tblPr>
        <w:tblW w:w="10205" w:type="dxa"/>
        <w:jc w:val="left"/>
        <w:tblInd w:w="0" w:type="dxa"/>
        <w:tblLayout w:type="fixed"/>
        <w:tblCellMar>
          <w:top w:w="28" w:type="dxa"/>
          <w:left w:w="28" w:type="dxa"/>
          <w:bottom w:w="28" w:type="dxa"/>
          <w:right w:w="28" w:type="dxa"/>
        </w:tblCellMar>
      </w:tblPr>
      <w:tblGrid>
        <w:gridCol w:w="4314"/>
        <w:gridCol w:w="146"/>
        <w:gridCol w:w="146"/>
        <w:gridCol w:w="259"/>
        <w:gridCol w:w="179"/>
        <w:gridCol w:w="887"/>
        <w:gridCol w:w="271"/>
        <w:gridCol w:w="146"/>
        <w:gridCol w:w="146"/>
        <w:gridCol w:w="265"/>
        <w:gridCol w:w="183"/>
        <w:gridCol w:w="908"/>
        <w:gridCol w:w="271"/>
        <w:gridCol w:w="146"/>
        <w:gridCol w:w="146"/>
        <w:gridCol w:w="259"/>
        <w:gridCol w:w="179"/>
        <w:gridCol w:w="887"/>
        <w:gridCol w:w="271"/>
        <w:gridCol w:w="196"/>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Dividend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Asset Value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Per Share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 Per Share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Investment Income)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Income)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Investment Income)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Income)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Debt Investment Commitments at Floating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Calibri" w:hAnsi="Calibri"/>
          <w:color w:val="000000"/>
          <w:sz w:val="16"/>
        </w:rPr>
      </w:pPr>
      <w:r>
        <w:rPr>
          <w:rFonts w:ascii="Calibri" w:hAnsi="Calibri"/>
          <w:color w:val="000000"/>
          <w:sz w:val="16"/>
        </w:rPr>
        <w:t>1.</w:t>
      </w:r>
    </w:p>
    <w:p>
      <w:pPr>
        <w:pStyle w:val="TextBody"/>
        <w:bidi w:val="0"/>
        <w:spacing w:before="0" w:after="0"/>
        <w:jc w:val="both"/>
        <w:rPr>
          <w:rFonts w:ascii="sans-serif" w:hAnsi="sans-serif"/>
          <w:color w:val="000000"/>
          <w:sz w:val="16"/>
        </w:rPr>
      </w:pPr>
      <w:r>
        <w:rPr>
          <w:rFonts w:ascii="sans-serif" w:hAnsi="sans-serif"/>
          <w:color w:val="000000"/>
          <w:sz w:val="16"/>
        </w:rPr>
        <w:t xml:space="preserve">Adjusted net asset value per share gives effect to the supplemental dividend declared related to earnings or special dividend in the applicable period. </w:t>
      </w:r>
    </w:p>
    <w:p>
      <w:pPr>
        <w:pStyle w:val="TextBody"/>
        <w:bidi w:val="0"/>
        <w:spacing w:before="0" w:after="0"/>
        <w:jc w:val="both"/>
        <w:rPr>
          <w:rFonts w:ascii="Calibri" w:hAnsi="Calibri"/>
          <w:color w:val="000000"/>
          <w:sz w:val="16"/>
        </w:rPr>
      </w:pPr>
      <w:r>
        <w:rPr>
          <w:rFonts w:ascii="Calibri" w:hAnsi="Calibri"/>
          <w:color w:val="000000"/>
          <w:sz w:val="16"/>
        </w:rPr>
        <w:t>2.</w:t>
      </w:r>
    </w:p>
    <w:p>
      <w:pPr>
        <w:pStyle w:val="TextBody"/>
        <w:bidi w:val="0"/>
        <w:spacing w:before="0" w:after="0"/>
        <w:jc w:val="both"/>
        <w:rPr>
          <w:rFonts w:ascii="sans-serif" w:hAnsi="sans-serif"/>
          <w:color w:val="000000"/>
          <w:sz w:val="16"/>
        </w:rPr>
      </w:pPr>
      <w:r>
        <w:rPr>
          <w:rFonts w:ascii="sans-serif" w:hAnsi="sans-serif"/>
          <w:color w:val="000000"/>
          <w:sz w:val="16"/>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pStyle w:val="TextBody"/>
        <w:bidi w:val="0"/>
        <w:spacing w:before="0" w:after="0"/>
        <w:jc w:val="both"/>
        <w:rPr>
          <w:rFonts w:ascii="Calibri" w:hAnsi="Calibri"/>
          <w:color w:val="000000"/>
          <w:sz w:val="16"/>
        </w:rPr>
      </w:pPr>
      <w:r>
        <w:rPr>
          <w:rFonts w:ascii="Calibri" w:hAnsi="Calibri"/>
          <w:color w:val="000000"/>
          <w:sz w:val="16"/>
        </w:rPr>
        <w:t>3.</w:t>
      </w:r>
    </w:p>
    <w:p>
      <w:pPr>
        <w:pStyle w:val="TextBody"/>
        <w:bidi w:val="0"/>
        <w:jc w:val="both"/>
        <w:rPr>
          <w:rFonts w:ascii="sans-serif" w:hAnsi="sans-serif"/>
          <w:color w:val="000000"/>
          <w:sz w:val="16"/>
        </w:rPr>
      </w:pPr>
      <w:r>
        <w:rPr>
          <w:rFonts w:ascii="sans-serif" w:hAnsi="sans-serif"/>
          <w:color w:val="000000"/>
          <w:sz w:val="16"/>
        </w:rPr>
        <w:t>Return on equity is calculated using prior period’s ending net asset value per share.</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Financial Statements and Tables</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Sixth Street Specialty Lending, Inc.</w:t>
      </w:r>
      <w:r>
        <w:rPr>
          <w:rFonts w:ascii="sans-serif" w:hAnsi="sans-serif"/>
          <w:color w:val="000000"/>
          <w:sz w:val="22"/>
        </w:rPr>
        <w:br/>
        <w:t>Consolidated Balance Sheets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40"/>
        <w:gridCol w:w="146"/>
        <w:gridCol w:w="215"/>
        <w:gridCol w:w="912"/>
        <w:gridCol w:w="166"/>
        <w:gridCol w:w="146"/>
        <w:gridCol w:w="208"/>
        <w:gridCol w:w="878"/>
        <w:gridCol w:w="594"/>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 (amortized cost of $3,246,833 and $3,450,644,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3,309,972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3,453,317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 (amortized cost of $97,139 and $88,509,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(amortized cost of $3,343,972 and $3,539,153,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3,518,412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(restricted cash of $20,137 and $22,362,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(net of deferred financing costs of $26,167 and $23,837,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1,901,142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12,953</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1,974,696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$0.01 par value; 100,000,000 shares authorized; no shares</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400,000,000 shares authorized, 95,158,175</w:t>
              <w:br/>
              <w:t>   and 94,325,686 shares issued, respectively; and 94,493,925 and 93,661,436</w:t>
              <w:br/>
              <w:t>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at cost; 664,250 and 664,250 shares held,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1,619,707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Sixth Street Specialty Lending, Inc.</w:t>
      </w:r>
    </w:p>
    <w:p>
      <w:pPr>
        <w:pStyle w:val="TextBody"/>
        <w:bidi w:val="0"/>
        <w:jc w:val="center"/>
        <w:rPr>
          <w:rFonts w:ascii="sans-serif" w:hAnsi="sans-serif"/>
          <w:color w:val="000000"/>
          <w:sz w:val="22"/>
        </w:rPr>
      </w:pPr>
      <w:r>
        <w:rPr>
          <w:rFonts w:ascii="sans-serif" w:hAnsi="sans-serif"/>
          <w:color w:val="000000"/>
          <w:sz w:val="22"/>
        </w:rPr>
        <w:t>Consolidated Statements of Operations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65"/>
        <w:gridCol w:w="146"/>
        <w:gridCol w:w="222"/>
        <w:gridCol w:w="1039"/>
        <w:gridCol w:w="166"/>
        <w:gridCol w:w="146"/>
        <w:gridCol w:w="222"/>
        <w:gridCol w:w="1039"/>
        <w:gridCol w:w="166"/>
        <w:gridCol w:w="146"/>
        <w:gridCol w:w="222"/>
        <w:gridCol w:w="1039"/>
        <w:gridCol w:w="166"/>
        <w:gridCol w:w="146"/>
        <w:gridCol w:w="222"/>
        <w:gridCol w:w="1039"/>
        <w:gridCol w:w="1014"/>
      </w:tblGrid>
      <w:tr>
        <w:trPr/>
        <w:tc>
          <w:tcPr>
            <w:tcW w:w="3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308,478</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23,761</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13,737</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351,823</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358,822</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116,759</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38,390</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33,517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(4,424</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5,776</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194,640</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193,616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165,206</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162,432</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(19,669</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(30,744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(26,857</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135,575</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94,245,993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93,024,154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93,964,387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91,602,160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The Company’s investment activity for the quarter ended September 30, 2025 and 2025 presented below (information presented herein is at par value unless otherwise indicated).</w:t>
      </w:r>
    </w:p>
    <w:tbl>
      <w:tblPr>
        <w:tblW w:w="8820" w:type="dxa"/>
        <w:jc w:val="left"/>
        <w:tblInd w:w="0" w:type="dxa"/>
        <w:tblLayout w:type="fixed"/>
        <w:tblCellMar>
          <w:top w:w="28" w:type="dxa"/>
          <w:left w:w="28" w:type="dxa"/>
          <w:bottom w:w="28" w:type="dxa"/>
          <w:right w:w="28" w:type="dxa"/>
        </w:tblCellMar>
      </w:tblPr>
      <w:tblGrid>
        <w:gridCol w:w="4576"/>
        <w:gridCol w:w="146"/>
        <w:gridCol w:w="350"/>
        <w:gridCol w:w="1195"/>
        <w:gridCol w:w="271"/>
        <w:gridCol w:w="146"/>
        <w:gridCol w:w="350"/>
        <w:gridCol w:w="119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Number of new investment commitments in</w:t>
              <w:br/>
              <w:t>   new portfolio companies</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Average new investment commitment amount in</w:t>
              <w:br/>
              <w:t>   new portfolio companies</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Weighted average term for new investment</w:t>
              <w:br/>
              <w:t>   commitments in new portfolio companies</w:t>
              <w:br/>
              <w:t>   (in years)</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Calibri" w:hAnsi="Calibri"/>
          <w:color w:val="000000"/>
          <w:sz w:val="16"/>
        </w:rPr>
      </w:pPr>
      <w:r>
        <w:rPr>
          <w:rFonts w:ascii="Calibri" w:hAnsi="Calibri"/>
          <w:color w:val="000000"/>
          <w:sz w:val="16"/>
        </w:rPr>
        <w:t>1.</w:t>
      </w:r>
    </w:p>
    <w:p>
      <w:pPr>
        <w:pStyle w:val="TextBody"/>
        <w:bidi w:val="0"/>
        <w:jc w:val="both"/>
        <w:rPr>
          <w:rFonts w:ascii="sans-serif" w:hAnsi="sans-serif"/>
          <w:color w:val="000000"/>
          <w:sz w:val="16"/>
        </w:rPr>
      </w:pPr>
      <w:r>
        <w:rPr>
          <w:rFonts w:ascii="sans-serif" w:hAnsi="sans-serif"/>
          <w:color w:val="000000"/>
          <w:sz w:val="16"/>
        </w:rPr>
        <w:t xml:space="preserve">Includes affiliates of Sixth Street. </w:t>
      </w:r>
    </w:p>
    <w:p>
      <w:pPr>
        <w:pStyle w:val="TextBody"/>
        <w:bidi w:val="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b/>
          <w:color w:val="000000"/>
          <w:sz w:val="20"/>
        </w:rPr>
        <w:t>About Sixth Street Specialty Lending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$115 billion in assets under management and committed capital. For more information, visit the Company’s website at </w:t>
      </w:r>
      <w:r>
        <w:rPr>
          <w:rFonts w:ascii="sans-serif" w:hAnsi="sans-serif"/>
          <w:color w:val="0563C1"/>
          <w:sz w:val="20"/>
        </w:rPr>
        <w:t>https://sixthstreetspecialtylending.com</w:t>
      </w:r>
      <w:r>
        <w:rPr>
          <w:rFonts w:ascii="sans-serif" w:hAnsi="sans-serif"/>
          <w:color w:val="000000"/>
          <w:sz w:val="20"/>
        </w:rPr>
        <w:t>.</w:t>
      </w:r>
    </w:p>
    <w:p>
      <w:pPr>
        <w:pStyle w:val="TextBody"/>
        <w:bidi w:val="0"/>
        <w:spacing w:before="160" w:after="240"/>
        <w:jc w:val="left"/>
        <w:rPr>
          <w:rFonts w:ascii="Times New Roman" w:hAnsi="Times New Roman"/>
          <w:sz w:val="20"/>
        </w:rPr>
      </w:pPr>
      <w:r>
        <w:rPr>
          <w:rFonts w:ascii="sans-serif" w:hAnsi="sans-serif"/>
          <w:b/>
          <w:color w:val="000000"/>
          <w:sz w:val="20"/>
        </w:rPr>
        <w:t>About Sixth Street</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Sixth Street is a global investment firm with over $115 billion in assets under management and committed capital. The firm uses its long-term flexible capital, data-enabled capabilities, and One Team culture to develop themes and offer solutions to companies across all stages of growth. Founded in 2009, Sixth Street has more than 730 team members including over 280 investment professionals around the world. For more information, visit https://sixthstreet.com or follow Sixth Street on LinkedIn.</w:t>
      </w:r>
    </w:p>
    <w:p>
      <w:pPr>
        <w:pStyle w:val="TextBody"/>
        <w:bidi w:val="0"/>
        <w:spacing w:before="160" w:after="240"/>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pStyle w:val="TextBody"/>
        <w:bidi w:val="0"/>
        <w:spacing w:before="160" w:after="240"/>
        <w:jc w:val="left"/>
        <w:rPr>
          <w:rFonts w:ascii="Times New Roman" w:hAnsi="Times New Roman"/>
          <w:sz w:val="20"/>
        </w:rPr>
      </w:pPr>
      <w:r>
        <w:rPr>
          <w:rFonts w:ascii="sans-serif" w:hAnsi="sans-serif"/>
          <w:b/>
          <w:color w:val="000000"/>
          <w:sz w:val="20"/>
        </w:rPr>
        <w:t>Non-GAAP Financial Measures</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pStyle w:val="TextBody"/>
        <w:bidi w:val="0"/>
        <w:jc w:val="left"/>
        <w:rPr/>
      </w:pPr>
      <w:r>
        <w:rPr/>
        <w:t> </w:t>
      </w:r>
    </w:p>
    <w:p>
      <w:pPr>
        <w:pStyle w:val="TextBody"/>
        <w:bidi w:val="0"/>
        <w:spacing w:before="160" w:after="283"/>
        <w:jc w:val="left"/>
        <w:rPr>
          <w:rFonts w:ascii="sans-serif" w:hAnsi="sans-serif"/>
          <w:color w:val="000000"/>
          <w:sz w:val="20"/>
        </w:rPr>
      </w:pPr>
      <w:r>
        <w:rPr>
          <w:rFonts w:ascii="sans-serif" w:hAnsi="sans-serif"/>
          <w:color w:val="000000"/>
          <w:sz w:val="20"/>
        </w:rPr>
        <w:t>Investors:</w:t>
      </w:r>
    </w:p>
    <w:p>
      <w:pPr>
        <w:pStyle w:val="TextBody"/>
        <w:bidi w:val="0"/>
        <w:spacing w:before="160" w:after="283"/>
        <w:jc w:val="left"/>
        <w:rPr>
          <w:rFonts w:ascii="sans-serif" w:hAnsi="sans-serif"/>
          <w:color w:val="000000"/>
          <w:sz w:val="20"/>
        </w:rPr>
      </w:pPr>
      <w:r>
        <w:rPr>
          <w:rFonts w:ascii="sans-serif" w:hAnsi="sans-serif"/>
          <w:color w:val="000000"/>
          <w:sz w:val="20"/>
        </w:rPr>
        <w:t xml:space="preserve">Cami VanHorn, 469-621-2033 </w:t>
        <w:br/>
        <w:t>Sixth Street Specialty Lending</w:t>
        <w:br/>
        <w:t>IRTSLX@sixthstreet.com</w:t>
      </w:r>
    </w:p>
    <w:p>
      <w:pPr>
        <w:pStyle w:val="TextBody"/>
        <w:bidi w:val="0"/>
        <w:jc w:val="left"/>
        <w:rPr/>
      </w:pPr>
      <w:r>
        <w:rPr/>
        <w:t> </w:t>
      </w:r>
    </w:p>
    <w:p>
      <w:pPr>
        <w:pStyle w:val="TextBody"/>
        <w:bidi w:val="0"/>
        <w:spacing w:before="160" w:after="283"/>
        <w:jc w:val="left"/>
        <w:rPr>
          <w:rFonts w:ascii="Times New Roman" w:hAnsi="Times New Roman"/>
          <w:sz w:val="20"/>
        </w:rPr>
      </w:pPr>
      <w:r>
        <w:rPr>
          <w:rFonts w:ascii="sans-serif" w:hAnsi="sans-serif"/>
          <w:color w:val="000000"/>
          <w:sz w:val="20"/>
        </w:rPr>
        <w:t>Media:</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sans-serif" w:hAnsi="sans-serif"/>
          <w:color w:val="000000"/>
          <w:sz w:val="20"/>
        </w:rPr>
        <w:t>Patrick Clifford, 617-793-2004</w:t>
      </w:r>
      <w:r>
        <w:rPr>
          <w:rFonts w:ascii="Calibri Light;sans-serif" w:hAnsi="Calibri Light;sans-serif"/>
          <w:color w:val="000000"/>
          <w:sz w:val="20"/>
        </w:rPr>
        <w:br/>
      </w:r>
      <w:r>
        <w:rPr>
          <w:rFonts w:ascii="sans-serif" w:hAnsi="sans-serif"/>
          <w:color w:val="000000"/>
          <w:sz w:val="20"/>
        </w:rPr>
        <w:t>Sixth Street</w:t>
      </w:r>
      <w:r>
        <w:rPr>
          <w:rFonts w:ascii="Calibri Light;sans-serif" w:hAnsi="Calibri Light;sans-serif"/>
          <w:color w:val="000000"/>
          <w:sz w:val="20"/>
        </w:rPr>
        <w:br/>
      </w:r>
      <w:r>
        <w:rPr>
          <w:rFonts w:ascii="sans-serif" w:hAnsi="sans-serif"/>
          <w:color w:val="000000"/>
          <w:sz w:val="20"/>
        </w:rPr>
        <w:t>PClifford@sixthstreet.com</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Light">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5264618/tslx-ex3_2.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4778</Words>
  <Characters>26419</Characters>
  <CharactersWithSpaces>31825</CharactersWithSpaces>
  <Paragraphs>2250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