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ind w:right="-14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4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125730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48" w:lineRule="exact"/>
        <w:rPr>
          <w:sz w:val="24"/>
          <w:szCs w:val="24"/>
          <w:color w:val="auto"/>
        </w:rPr>
      </w:pPr>
    </w:p>
    <w:tbl>
      <w:tblPr>
        <w:tblLayout w:type="fixed"/>
        <w:tblInd w:w="1" w:type="dxa"/>
        <w:tblCellMar>
          <w:top w:w="0" w:type="dxa"/>
          <w:left w:w="0" w:type="dxa"/>
          <w:bottom w:w="0" w:type="dxa"/>
          <w:right w:w="0" w:type="dxa"/>
        </w:tblCellMar>
      </w:tblPr>
      <w:tr>
        <w:trPr>
          <w:trHeight w:val="331"/>
        </w:trPr>
        <w:tc>
          <w:tcPr>
            <w:tcW w:w="2020" w:type="dxa"/>
            <w:vAlign w:val="bottom"/>
          </w:tcPr>
          <w:p>
            <w:pPr>
              <w:spacing w:after="0"/>
              <w:rPr>
                <w:sz w:val="24"/>
                <w:szCs w:val="24"/>
                <w:color w:val="auto"/>
              </w:rPr>
            </w:pPr>
          </w:p>
        </w:tc>
        <w:tc>
          <w:tcPr>
            <w:tcW w:w="4780" w:type="dxa"/>
            <w:vAlign w:val="bottom"/>
            <w:gridSpan w:val="3"/>
          </w:tcPr>
          <w:p>
            <w:pPr>
              <w:jc w:val="center"/>
              <w:ind w:left="718"/>
              <w:spacing w:after="0"/>
              <w:rPr>
                <w:sz w:val="20"/>
                <w:szCs w:val="20"/>
                <w:color w:val="auto"/>
              </w:rPr>
            </w:pPr>
            <w:r>
              <w:rPr>
                <w:rFonts w:ascii="Arial" w:cs="Arial" w:eastAsia="Arial" w:hAnsi="Arial"/>
                <w:sz w:val="28"/>
                <w:szCs w:val="28"/>
                <w:b w:val="1"/>
                <w:bCs w:val="1"/>
                <w:color w:val="auto"/>
                <w:w w:val="99"/>
              </w:rPr>
              <w:t>SCHEDULE 14A</w:t>
            </w:r>
          </w:p>
        </w:tc>
      </w:tr>
      <w:tr>
        <w:trPr>
          <w:trHeight w:val="247"/>
        </w:trPr>
        <w:tc>
          <w:tcPr>
            <w:tcW w:w="20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0" w:type="dxa"/>
            <w:vAlign w:val="bottom"/>
            <w:gridSpan w:val="2"/>
          </w:tcPr>
          <w:p>
            <w:pPr>
              <w:jc w:val="center"/>
              <w:ind w:right="960"/>
              <w:spacing w:after="0"/>
              <w:rPr>
                <w:sz w:val="20"/>
                <w:szCs w:val="20"/>
                <w:color w:val="auto"/>
              </w:rPr>
            </w:pPr>
            <w:r>
              <w:rPr>
                <w:rFonts w:ascii="Arial" w:cs="Arial" w:eastAsia="Arial" w:hAnsi="Arial"/>
                <w:sz w:val="19"/>
                <w:szCs w:val="19"/>
                <w:b w:val="1"/>
                <w:bCs w:val="1"/>
                <w:color w:val="auto"/>
                <w:w w:val="94"/>
              </w:rPr>
              <w:t>(RULE 14a-101)</w:t>
            </w:r>
          </w:p>
        </w:tc>
      </w:tr>
      <w:tr>
        <w:trPr>
          <w:trHeight w:val="204"/>
        </w:trPr>
        <w:tc>
          <w:tcPr>
            <w:tcW w:w="2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74"/>
        </w:trPr>
        <w:tc>
          <w:tcPr>
            <w:tcW w:w="2020" w:type="dxa"/>
            <w:vAlign w:val="bottom"/>
          </w:tcPr>
          <w:p>
            <w:pPr>
              <w:spacing w:after="0"/>
              <w:rPr>
                <w:sz w:val="23"/>
                <w:szCs w:val="23"/>
                <w:color w:val="auto"/>
              </w:rPr>
            </w:pPr>
          </w:p>
        </w:tc>
        <w:tc>
          <w:tcPr>
            <w:tcW w:w="4780" w:type="dxa"/>
            <w:vAlign w:val="bottom"/>
            <w:gridSpan w:val="3"/>
          </w:tcPr>
          <w:p>
            <w:pPr>
              <w:jc w:val="center"/>
              <w:ind w:left="738"/>
              <w:spacing w:after="0"/>
              <w:rPr>
                <w:sz w:val="20"/>
                <w:szCs w:val="20"/>
                <w:color w:val="auto"/>
              </w:rPr>
            </w:pPr>
            <w:r>
              <w:rPr>
                <w:rFonts w:ascii="Arial" w:cs="Arial" w:eastAsia="Arial" w:hAnsi="Arial"/>
                <w:sz w:val="19"/>
                <w:szCs w:val="19"/>
                <w:b w:val="1"/>
                <w:bCs w:val="1"/>
                <w:color w:val="auto"/>
                <w:w w:val="89"/>
              </w:rPr>
              <w:t>Proxy Statement Pursuant to Section 14(a) of the</w:t>
            </w:r>
          </w:p>
        </w:tc>
      </w:tr>
      <w:tr>
        <w:trPr>
          <w:trHeight w:val="247"/>
        </w:trPr>
        <w:tc>
          <w:tcPr>
            <w:tcW w:w="2020" w:type="dxa"/>
            <w:vAlign w:val="bottom"/>
          </w:tcPr>
          <w:p>
            <w:pPr>
              <w:spacing w:after="0"/>
              <w:rPr>
                <w:sz w:val="21"/>
                <w:szCs w:val="21"/>
                <w:color w:val="auto"/>
              </w:rPr>
            </w:pPr>
          </w:p>
        </w:tc>
        <w:tc>
          <w:tcPr>
            <w:tcW w:w="4780" w:type="dxa"/>
            <w:vAlign w:val="bottom"/>
            <w:gridSpan w:val="3"/>
          </w:tcPr>
          <w:p>
            <w:pPr>
              <w:jc w:val="center"/>
              <w:ind w:left="738"/>
              <w:spacing w:after="0"/>
              <w:rPr>
                <w:sz w:val="20"/>
                <w:szCs w:val="20"/>
                <w:color w:val="auto"/>
              </w:rPr>
            </w:pPr>
            <w:r>
              <w:rPr>
                <w:rFonts w:ascii="Arial" w:cs="Arial" w:eastAsia="Arial" w:hAnsi="Arial"/>
                <w:sz w:val="19"/>
                <w:szCs w:val="19"/>
                <w:b w:val="1"/>
                <w:bCs w:val="1"/>
                <w:color w:val="auto"/>
                <w:w w:val="88"/>
              </w:rPr>
              <w:t>Securities Exchange Act of 1934</w:t>
            </w:r>
          </w:p>
        </w:tc>
      </w:tr>
      <w:tr>
        <w:trPr>
          <w:trHeight w:val="292"/>
        </w:trPr>
        <w:tc>
          <w:tcPr>
            <w:tcW w:w="2020" w:type="dxa"/>
            <w:vAlign w:val="bottom"/>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4780" w:type="dxa"/>
            <w:vAlign w:val="bottom"/>
            <w:gridSpan w:val="3"/>
          </w:tcPr>
          <w:p>
            <w:pPr>
              <w:ind w:left="30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tc>
      </w:tr>
      <w:tr>
        <w:trPr>
          <w:trHeight w:val="266"/>
        </w:trPr>
        <w:tc>
          <w:tcPr>
            <w:tcW w:w="202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17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95" w:lineRule="exact"/>
        <w:rPr>
          <w:sz w:val="24"/>
          <w:szCs w:val="24"/>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5" w:lineRule="exact"/>
        <w:rPr>
          <w:rFonts w:ascii="MS PGothic" w:cs="MS PGothic" w:eastAsia="MS PGothic" w:hAnsi="MS PGothic"/>
          <w:sz w:val="16"/>
          <w:szCs w:val="16"/>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3" w:lineRule="exact"/>
        <w:rPr>
          <w:rFonts w:ascii="MS PGothic" w:cs="MS PGothic" w:eastAsia="MS PGothic" w:hAnsi="MS PGothic"/>
          <w:sz w:val="16"/>
          <w:szCs w:val="16"/>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0" w:lineRule="exact"/>
        <w:rPr>
          <w:sz w:val="24"/>
          <w:szCs w:val="24"/>
          <w:color w:val="auto"/>
        </w:rPr>
      </w:pPr>
    </w:p>
    <w:p>
      <w:pPr>
        <w:ind w:left="581" w:hanging="581"/>
        <w:spacing w:after="0"/>
        <w:tabs>
          <w:tab w:leader="none" w:pos="5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0" w:lineRule="exact"/>
        <w:rPr>
          <w:sz w:val="24"/>
          <w:szCs w:val="24"/>
          <w:color w:val="auto"/>
        </w:rPr>
      </w:pPr>
    </w:p>
    <w:p>
      <w:pPr>
        <w:ind w:left="581" w:hanging="581"/>
        <w:spacing w:after="0"/>
        <w:tabs>
          <w:tab w:leader="none" w:pos="58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71" w:lineRule="exact"/>
        <w:rPr>
          <w:sz w:val="24"/>
          <w:szCs w:val="24"/>
          <w:color w:val="auto"/>
        </w:rPr>
      </w:pPr>
    </w:p>
    <w:p>
      <w:pPr>
        <w:jc w:val="center"/>
        <w:ind w:right="-140"/>
        <w:spacing w:after="0"/>
        <w:rPr>
          <w:sz w:val="20"/>
          <w:szCs w:val="20"/>
          <w:color w:val="auto"/>
        </w:rPr>
      </w:pPr>
      <w:r>
        <w:rPr>
          <w:rFonts w:ascii="Arial" w:cs="Arial" w:eastAsia="Arial" w:hAnsi="Arial"/>
          <w:sz w:val="35"/>
          <w:szCs w:val="35"/>
          <w:b w:val="1"/>
          <w:bCs w:val="1"/>
          <w:color w:val="auto"/>
        </w:rPr>
        <w:t>Sixth Street Specialty Lending, Inc.</w:t>
      </w:r>
    </w:p>
    <w:p>
      <w:pPr>
        <w:spacing w:after="0" w:line="31"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79" w:lineRule="exact"/>
        <w:rPr>
          <w:sz w:val="24"/>
          <w:szCs w:val="24"/>
          <w:color w:val="auto"/>
        </w:rPr>
      </w:pPr>
    </w:p>
    <w:p>
      <w:pPr>
        <w:ind w:left="2881"/>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8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112" w:lineRule="exact"/>
        <w:rPr>
          <w:sz w:val="24"/>
          <w:szCs w:val="24"/>
          <w:color w:val="auto"/>
        </w:rPr>
      </w:pPr>
    </w:p>
    <w:p>
      <w:pPr>
        <w:ind w:left="481" w:hanging="481"/>
        <w:spacing w:after="0"/>
        <w:tabs>
          <w:tab w:leader="none" w:pos="481"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64" w:lineRule="exact"/>
        <w:rPr>
          <w:sz w:val="24"/>
          <w:szCs w:val="24"/>
          <w:color w:val="auto"/>
        </w:rPr>
      </w:pPr>
    </w:p>
    <w:p>
      <w:pPr>
        <w:ind w:left="481" w:hanging="481"/>
        <w:spacing w:after="0"/>
        <w:tabs>
          <w:tab w:leader="none" w:pos="48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64" w:lineRule="exact"/>
        <w:rPr>
          <w:rFonts w:ascii="MS PGothic" w:cs="MS PGothic" w:eastAsia="MS PGothic" w:hAnsi="MS PGothic"/>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9"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9" w:lineRule="exact"/>
        <w:rPr>
          <w:rFonts w:ascii="Arial" w:cs="Arial" w:eastAsia="Arial" w:hAnsi="Arial"/>
          <w:sz w:val="16"/>
          <w:szCs w:val="16"/>
          <w:color w:val="auto"/>
        </w:rPr>
      </w:pPr>
    </w:p>
    <w:p>
      <w:pPr>
        <w:ind w:left="1261" w:hanging="788"/>
        <w:spacing w:after="0" w:line="268" w:lineRule="auto"/>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value of transaction computed pursuant to Exchange Act Rule 0-11 (set forth the amount on which the filing fee is calculated and state how it was determined):</w:t>
      </w:r>
    </w:p>
    <w:p>
      <w:pPr>
        <w:spacing w:after="0" w:line="192"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9"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9" w:lineRule="exact"/>
        <w:rPr>
          <w:rFonts w:ascii="Arial" w:cs="Arial" w:eastAsia="Arial" w:hAnsi="Arial"/>
          <w:sz w:val="16"/>
          <w:szCs w:val="16"/>
          <w:color w:val="auto"/>
        </w:rPr>
      </w:pPr>
    </w:p>
    <w:p>
      <w:pPr>
        <w:ind w:left="481" w:hanging="481"/>
        <w:spacing w:after="0"/>
        <w:tabs>
          <w:tab w:leader="none" w:pos="48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64" w:lineRule="exact"/>
        <w:rPr>
          <w:rFonts w:ascii="MS PGothic" w:cs="MS PGothic" w:eastAsia="MS PGothic" w:hAnsi="MS PGothic"/>
          <w:sz w:val="16"/>
          <w:szCs w:val="16"/>
          <w:color w:val="auto"/>
        </w:rPr>
      </w:pPr>
    </w:p>
    <w:p>
      <w:pPr>
        <w:ind w:left="481" w:right="140" w:hanging="481"/>
        <w:spacing w:after="0" w:line="302" w:lineRule="auto"/>
        <w:tabs>
          <w:tab w:leader="none" w:pos="481"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 w:lineRule="exact"/>
        <w:rPr>
          <w:rFonts w:ascii="MS PGothic" w:cs="MS PGothic" w:eastAsia="MS PGothic" w:hAnsi="MS PGothic"/>
          <w:sz w:val="15"/>
          <w:szCs w:val="15"/>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70"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70"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70" w:lineRule="exact"/>
        <w:rPr>
          <w:rFonts w:ascii="Arial" w:cs="Arial" w:eastAsia="Arial" w:hAnsi="Arial"/>
          <w:sz w:val="16"/>
          <w:szCs w:val="16"/>
          <w:color w:val="auto"/>
        </w:rPr>
      </w:pPr>
    </w:p>
    <w:p>
      <w:pPr>
        <w:ind w:left="1261" w:hanging="788"/>
        <w:spacing w:after="0"/>
        <w:tabs>
          <w:tab w:leader="none" w:pos="1261"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-2443480</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-2181225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-1797685</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-1534795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-1272540</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-574040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-348615</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-123190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101600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9521"/>
          </w:cols>
          <w:pgMar w:left="1119" w:top="375" w:right="1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April 16,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Sixth Street Specialty Lending, Inc. (“TSLX”) will be holding a Special Meeting of Stockholders on May 26, 2021 and filed a proxy statement related to the Special Meeting on April 13, 2021. Consistent with the last four years, at the Special Meeting we are asking stockholders to vote on a proposal authorizing the Company, with the approval of our board of directors, to issue shares of our common stock at a price below our then-current NAV per share, subject to certain conditions set forth in the proxy statement. As you know, last year the same proposal was approved with overwhelming support (91.6% of all shareholders who voted and 85.3% of all non-affiliate shareholders who voted, i.e., after excluding votes from insiders and those holding 5% or more of TSLX common stock). We were humbled and will continue to take our duties and responsibilities to our shareholders regarding capital allocation with the upmost seriousness — it is one of the most important decisions we make.</w:t>
      </w:r>
    </w:p>
    <w:p>
      <w:pPr>
        <w:spacing w:after="0" w:line="161"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As we have expressed to our stockholders in the past, while we have no intention to do so in the near term, we are seeking the flexibility to sell common stock at a price below NAV because we believe there could be moments in time when doing so would be in the best interest of our stockholders. Ironically, sometimes the best investment opportunities exist during periods of elevated volatility and credit market dislocation – when it is more likely that our stock could trade below NAV. We believe that having the flexibility to access the capital markets in these types of environments is an important tool that can help us drive stockholder value during periods of market distress, and we are committed to doing so should we be given the opportunity.</w:t>
      </w:r>
    </w:p>
    <w:p>
      <w:pPr>
        <w:spacing w:after="0" w:line="14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It’s our hope that we’ve built, over time, a reputation with our stockholders as long-term oriented, disciplined capital allocators. Our framework is simple: we don’t intend to issue common stock when our stock is trading above NAV unless we expect it will be ROE-accretive, and we don’t necessarily believe that one should never issue common stock below NAV if market opportunities allow for sufficiently high risk-adjusted returns that will ultimately be accretive to NAV through over-earning one’s cost of capital.</w:t>
      </w:r>
    </w:p>
    <w:p>
      <w:pPr>
        <w:spacing w:after="0" w:line="170" w:lineRule="exact"/>
        <w:rPr>
          <w:sz w:val="20"/>
          <w:szCs w:val="20"/>
          <w:color w:val="auto"/>
        </w:rPr>
      </w:pPr>
    </w:p>
    <w:p>
      <w:pPr>
        <w:ind w:right="200"/>
        <w:spacing w:after="0" w:line="340" w:lineRule="auto"/>
        <w:rPr>
          <w:sz w:val="20"/>
          <w:szCs w:val="20"/>
          <w:color w:val="auto"/>
        </w:rPr>
      </w:pPr>
      <w:r>
        <w:rPr>
          <w:rFonts w:ascii="Arial" w:cs="Arial" w:eastAsia="Arial" w:hAnsi="Arial"/>
          <w:sz w:val="14"/>
          <w:szCs w:val="14"/>
          <w:color w:val="auto"/>
        </w:rPr>
        <w:t>Attached is a presentation that walks through our thought process and financial framework for this proposal. For assistance voting your TSLX shares, please call D.F. King toll-free at (800) 848-3402 or collect at (212) 269-5550. We’d also welcome the opportunity to discuss at your convenience.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Best,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Josh Easterly, Bo Stanley, Ian Simmonds and the TSLX team</w:t>
      </w:r>
    </w:p>
    <w:p>
      <w:pPr>
        <w:sectPr>
          <w:pgSz w:w="11900" w:h="16838" w:orient="portrait"/>
          <w:cols w:equalWidth="0" w:num="1">
            <w:col w:w="9640"/>
          </w:cols>
          <w:pgMar w:left="1120" w:top="257" w:right="11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2021-04-16T15:31:09Z</dcterms:created>
  <dcterms:modified xsi:type="dcterms:W3CDTF">2021-04-16T15:31:09Z</dcterms:modified>
</cp:coreProperties>
</file>