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19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500" w:type="dxa"/>
            <w:vAlign w:val="bottom"/>
          </w:tcPr>
          <w:p>
            <w:pPr>
              <w:jc w:val="center"/>
              <w:ind w:right="1902"/>
              <w:spacing w:after="0"/>
              <w:rPr>
                <w:sz w:val="20"/>
                <w:szCs w:val="20"/>
                <w:color w:val="auto"/>
              </w:rPr>
            </w:pPr>
            <w:r>
              <w:rPr>
                <w:rFonts w:ascii="Arial" w:cs="Arial" w:eastAsia="Arial" w:hAnsi="Arial"/>
                <w:sz w:val="18"/>
                <w:szCs w:val="18"/>
                <w:b w:val="1"/>
                <w:bCs w:val="1"/>
                <w:color w:val="auto"/>
                <w:w w:val="87"/>
              </w:rPr>
              <w:t>301 Commerce Street, Suite 3300,</w:t>
            </w:r>
          </w:p>
        </w:tc>
        <w:tc>
          <w:tcPr>
            <w:tcW w:w="3040" w:type="dxa"/>
            <w:vAlign w:val="bottom"/>
          </w:tcPr>
          <w:p>
            <w:pPr>
              <w:spacing w:after="0"/>
              <w:rPr>
                <w:sz w:val="24"/>
                <w:szCs w:val="24"/>
                <w:color w:val="auto"/>
              </w:rPr>
            </w:pPr>
          </w:p>
        </w:tc>
      </w:tr>
      <w:tr>
        <w:trPr>
          <w:trHeight w:val="231"/>
        </w:trPr>
        <w:tc>
          <w:tcPr>
            <w:tcW w:w="4500" w:type="dxa"/>
            <w:vAlign w:val="bottom"/>
          </w:tcPr>
          <w:p>
            <w:pPr>
              <w:jc w:val="center"/>
              <w:ind w:right="1922"/>
              <w:spacing w:after="0"/>
              <w:rPr>
                <w:sz w:val="20"/>
                <w:szCs w:val="20"/>
                <w:color w:val="auto"/>
              </w:rPr>
            </w:pPr>
            <w:r>
              <w:rPr>
                <w:rFonts w:ascii="Arial" w:cs="Arial" w:eastAsia="Arial" w:hAnsi="Arial"/>
                <w:sz w:val="18"/>
                <w:szCs w:val="18"/>
                <w:b w:val="1"/>
                <w:bCs w:val="1"/>
                <w:color w:val="auto"/>
                <w:w w:val="94"/>
              </w:rPr>
              <w:t>Fort Worth, TX</w:t>
            </w:r>
          </w:p>
        </w:tc>
        <w:tc>
          <w:tcPr>
            <w:tcW w:w="304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500" w:type="dxa"/>
            <w:vAlign w:val="bottom"/>
          </w:tcPr>
          <w:p>
            <w:pPr>
              <w:jc w:val="center"/>
              <w:ind w:right="192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80" w:space="180"/>
            <w:col w:w="116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November 7, 2013 was 555,313.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SEPTEMBER 30, 2013</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gridSpan w:val="7"/>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580" w:type="dxa"/>
            <w:vAlign w:val="bottom"/>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PART I.</w:t>
              </w:r>
            </w:hyperlink>
          </w:p>
        </w:tc>
        <w:tc>
          <w:tcPr>
            <w:tcW w:w="300" w:type="dxa"/>
            <w:vAlign w:val="bottom"/>
            <w:gridSpan w:val="2"/>
          </w:tcPr>
          <w:p>
            <w:pPr>
              <w:spacing w:after="0"/>
              <w:rPr>
                <w:sz w:val="22"/>
                <w:szCs w:val="22"/>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300" w:type="dxa"/>
            <w:vAlign w:val="bottom"/>
            <w:gridSpan w:val="2"/>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September 30, 2013 and December 31, 2012 (Unaudited)</w:t>
              </w:r>
            </w:hyperlink>
          </w:p>
        </w:tc>
        <w:tc>
          <w:tcPr>
            <w:tcW w:w="35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nine months ended September 30, 2013 and 2012 (Unaudited)</w:t>
              </w:r>
            </w:hyperlink>
          </w:p>
        </w:tc>
        <w:tc>
          <w:tcPr>
            <w:tcW w:w="170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Schedules of Investments as of September 30, 2013 and December 31, 2012 (Unaudited)</w:t>
              </w:r>
            </w:hyperlink>
          </w:p>
        </w:tc>
        <w:tc>
          <w:tcPr>
            <w:tcW w:w="284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Consolidated Statements of Changes in Net Assets for the nine months ended September 30, 2013 and 2012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80" w:type="dxa"/>
            <w:vAlign w:val="bottom"/>
            <w:tcBorders>
              <w:top w:val="single" w:sz="8" w:color="0000EE"/>
            </w:tcBorders>
            <w:gridSpan w:val="18"/>
          </w:tcPr>
          <w:p>
            <w:pPr>
              <w:spacing w:after="0"/>
              <w:rPr>
                <w:rFonts w:ascii="Arial" w:cs="Arial" w:eastAsia="Arial" w:hAnsi="Arial"/>
                <w:sz w:val="18"/>
                <w:szCs w:val="18"/>
                <w:color w:val="0000EE"/>
                <w:w w:val="95"/>
              </w:rPr>
            </w:pPr>
            <w:hyperlink w:anchor="page13">
              <w:r>
                <w:rPr>
                  <w:rFonts w:ascii="Arial" w:cs="Arial" w:eastAsia="Arial" w:hAnsi="Arial"/>
                  <w:sz w:val="18"/>
                  <w:szCs w:val="18"/>
                  <w:color w:val="0000EE"/>
                  <w:w w:val="95"/>
                </w:rPr>
                <w:t>Consolidated Statements of Cash Flows for the nine months ended September 30, 2013 and 2012 (Unaudited)</w:t>
              </w:r>
            </w:hyperlink>
          </w:p>
        </w:tc>
        <w:tc>
          <w:tcPr>
            <w:tcW w:w="158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Notes to Consolidated Financial Statements (Unaudited)</w:t>
              </w:r>
            </w:hyperlink>
          </w:p>
        </w:tc>
        <w:tc>
          <w:tcPr>
            <w:tcW w:w="3740" w:type="dxa"/>
            <w:vAlign w:val="bottom"/>
            <w:tcBorders>
              <w:top w:val="single" w:sz="8" w:color="0000EE"/>
            </w:tcBorders>
            <w:gridSpan w:val="5"/>
          </w:tcPr>
          <w:p>
            <w:pPr>
              <w:spacing w:after="0"/>
              <w:rPr>
                <w:sz w:val="24"/>
                <w:szCs w:val="24"/>
                <w:color w:val="auto"/>
              </w:rPr>
            </w:pPr>
          </w:p>
        </w:tc>
        <w:tc>
          <w:tcPr>
            <w:tcW w:w="234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100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60" w:type="dxa"/>
            <w:vAlign w:val="bottom"/>
            <w:tcBorders>
              <w:left w:val="single" w:sz="8" w:color="0000EE"/>
            </w:tcBorders>
            <w:shd w:val="clear" w:color="auto" w:fill="0000EE"/>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tcBorders>
              <w:left w:val="single" w:sz="8" w:color="0000EE"/>
            </w:tcBorders>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PART II.</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240" w:type="dxa"/>
            <w:vAlign w:val="bottom"/>
          </w:tcPr>
          <w:p>
            <w:pPr>
              <w:spacing w:after="0"/>
              <w:rPr>
                <w:sz w:val="24"/>
                <w:szCs w:val="24"/>
                <w:color w:val="auto"/>
              </w:rPr>
            </w:pPr>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58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320" w:type="dxa"/>
            <w:vAlign w:val="bottom"/>
            <w:gridSpan w:val="1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100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78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10060" w:type="dxa"/>
            <w:vAlign w:val="bottom"/>
            <w:gridSpan w:val="2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60" w:type="dxa"/>
            <w:vAlign w:val="bottom"/>
            <w:gridSpan w:val="1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940" w:type="dxa"/>
            <w:vAlign w:val="bottom"/>
            <w:gridSpan w:val="2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83"/>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gridSpan w:val="2"/>
          </w:tcPr>
          <w:p>
            <w:pPr>
              <w:spacing w:after="0"/>
              <w:rPr>
                <w:sz w:val="24"/>
                <w:szCs w:val="24"/>
                <w:color w:val="auto"/>
              </w:rPr>
            </w:pPr>
          </w:p>
        </w:tc>
        <w:tc>
          <w:tcPr>
            <w:tcW w:w="6100" w:type="dxa"/>
            <w:vAlign w:val="bottom"/>
            <w:gridSpan w:val="11"/>
          </w:tcPr>
          <w:p>
            <w:pPr>
              <w:jc w:val="right"/>
              <w:ind w:right="135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4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sections entitled “Risk Factors” in this report and in our Annual Report on Form 10-K for the year ended December 31, 2012, filed with the SEC on March 15, 2013, as amended, and elsewhere in our filings with the SEC.</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(the “1934 Act”), which preclude civil liability for certain forward-looking statements, do not apply to the forward-looking statements in this report because we are an investment company.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this Quarterly Report, “Company”, “TSL”, “we”, “us” and “our” refer to TPG Specialty Lending, Inc. and its consolidated subsidiaries unless the context states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Non-controlled, non-affiliated investments (amortized cost of $874,580 and $644,421, respectively)</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889,330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19,643</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13,240</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926,154</w:t>
            </w:r>
          </w:p>
        </w:tc>
        <w:tc>
          <w:tcPr>
            <w:tcW w:w="8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Revolving credit facilities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338,267</w:t>
            </w:r>
          </w:p>
        </w:tc>
        <w:tc>
          <w:tcPr>
            <w:tcW w:w="8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5,051</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300" w:type="dxa"/>
            <w:vAlign w:val="bottom"/>
          </w:tcPr>
          <w:p>
            <w:pPr>
              <w:spacing w:after="0"/>
              <w:rPr>
                <w:sz w:val="18"/>
                <w:szCs w:val="18"/>
                <w:color w:val="auto"/>
              </w:rPr>
            </w:pPr>
          </w:p>
        </w:tc>
        <w:tc>
          <w:tcPr>
            <w:tcW w:w="16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on foreign currency forward contracts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Payables to affiliate</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1,682</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365,065</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Common stock, $0.01 par value; 100,000,000 shares authorized; 549,120 and 474,677 shares issued,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respectively; and 548,121 and 473,678 shares outstanding, respectively</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545,643</w:t>
            </w: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Treasury stock at cost; 999 shares</w:t>
            </w:r>
          </w:p>
        </w:tc>
        <w:tc>
          <w:tcPr>
            <w:tcW w:w="300" w:type="dxa"/>
            <w:vAlign w:val="bottom"/>
          </w:tcPr>
          <w:p>
            <w:pPr>
              <w:spacing w:after="0"/>
              <w:rPr>
                <w:sz w:val="18"/>
                <w:szCs w:val="18"/>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investment income</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gains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13,527</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net realized gains</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561,089</w:t>
            </w:r>
          </w:p>
        </w:tc>
        <w:tc>
          <w:tcPr>
            <w:tcW w:w="8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926,154</w:t>
            </w:r>
          </w:p>
        </w:tc>
        <w:tc>
          <w:tcPr>
            <w:tcW w:w="8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Asset Value Per Share</w:t>
            </w: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vMerge w:val="continue"/>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1,023.66</w:t>
            </w:r>
          </w:p>
        </w:tc>
        <w:tc>
          <w:tcPr>
            <w:tcW w:w="8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8"/>
              </w:rPr>
              <w:t>Three Months Ended</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2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2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Investment income from non-controlled, non-affiliated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13,486</w:t>
            </w:r>
          </w:p>
        </w:tc>
        <w:tc>
          <w:tcPr>
            <w:tcW w:w="6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w:t>
            </w: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affiliated investments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w:t>
            </w: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60" w:type="dxa"/>
            <w:vAlign w:val="bottom"/>
          </w:tcPr>
          <w:p>
            <w:pPr>
              <w:ind w:left="1060"/>
              <w:spacing w:after="0"/>
              <w:rPr>
                <w:sz w:val="20"/>
                <w:szCs w:val="20"/>
                <w:color w:val="auto"/>
              </w:rPr>
            </w:pPr>
            <w:r>
              <w:rPr>
                <w:rFonts w:ascii="Arial" w:cs="Arial" w:eastAsia="Arial" w:hAnsi="Arial"/>
                <w:sz w:val="18"/>
                <w:szCs w:val="18"/>
                <w:color w:val="auto"/>
              </w:rPr>
              <w:t>affiliated investments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14,554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32,842</w:t>
            </w: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Management fees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2,528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9,698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Professional fees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Management fees waived (Note 3)</w:t>
            </w:r>
          </w:p>
        </w:tc>
        <w:tc>
          <w:tcPr>
            <w:tcW w:w="3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(5,038)</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Net Expenses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14,665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40,592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Investment Income</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14,585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7,917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40,508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Non-controlled, affiliated investments</w:t>
            </w:r>
          </w:p>
        </w:tc>
        <w:tc>
          <w:tcPr>
            <w:tcW w:w="3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Total net change in unrealized gains</w:t>
            </w: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860"/>
              <w:spacing w:after="0"/>
              <w:rPr>
                <w:sz w:val="20"/>
                <w:szCs w:val="20"/>
                <w:color w:val="auto"/>
              </w:rPr>
            </w:pPr>
            <w:r>
              <w:rPr>
                <w:rFonts w:ascii="Arial" w:cs="Arial" w:eastAsia="Arial" w:hAnsi="Arial"/>
                <w:sz w:val="18"/>
                <w:szCs w:val="18"/>
                <w:color w:val="auto"/>
              </w:rPr>
              <w:t>Total realized gains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Unrealized and Realized Gains</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5,664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Pr>
          <w:p>
            <w:pPr>
              <w:ind w:left="1280"/>
              <w:spacing w:after="0"/>
              <w:rPr>
                <w:sz w:val="20"/>
                <w:szCs w:val="20"/>
                <w:color w:val="auto"/>
              </w:rPr>
            </w:pPr>
            <w:r>
              <w:rPr>
                <w:rFonts w:ascii="Arial" w:cs="Arial" w:eastAsia="Arial" w:hAnsi="Arial"/>
                <w:sz w:val="18"/>
                <w:szCs w:val="18"/>
                <w:b w:val="1"/>
                <w:bCs w:val="1"/>
                <w:color w:val="auto"/>
              </w:rPr>
              <w:t>Increase in Net Assets Resulting from</w:t>
            </w: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60" w:type="dxa"/>
            <w:vAlign w:val="bottom"/>
          </w:tcPr>
          <w:p>
            <w:pPr>
              <w:ind w:left="1500"/>
              <w:spacing w:after="0"/>
              <w:rPr>
                <w:sz w:val="20"/>
                <w:szCs w:val="20"/>
                <w:color w:val="auto"/>
              </w:rPr>
            </w:pPr>
            <w:r>
              <w:rPr>
                <w:rFonts w:ascii="Arial" w:cs="Arial" w:eastAsia="Arial" w:hAnsi="Arial"/>
                <w:sz w:val="18"/>
                <w:szCs w:val="18"/>
                <w:b w:val="1"/>
                <w:bCs w:val="1"/>
                <w:color w:val="auto"/>
              </w:rPr>
              <w:t>Operations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16,259</w:t>
            </w:r>
          </w:p>
        </w:tc>
        <w:tc>
          <w:tcPr>
            <w:tcW w:w="280" w:type="dxa"/>
            <w:vAlign w:val="bottom"/>
          </w:tcPr>
          <w:p>
            <w:pPr>
              <w:spacing w:after="0"/>
              <w:rPr>
                <w:sz w:val="19"/>
                <w:szCs w:val="19"/>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13,581</w:t>
            </w:r>
          </w:p>
        </w:tc>
        <w:tc>
          <w:tcPr>
            <w:tcW w:w="6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45,927</w:t>
            </w:r>
          </w:p>
        </w:tc>
        <w:tc>
          <w:tcPr>
            <w:tcW w:w="300" w:type="dxa"/>
            <w:vAlign w:val="bottom"/>
          </w:tcPr>
          <w:p>
            <w:pPr>
              <w:spacing w:after="0"/>
              <w:rPr>
                <w:sz w:val="19"/>
                <w:szCs w:val="19"/>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66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4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Acquisition</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Amortized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2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74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4"/>
              </w:rPr>
              <w:t>Cost (2)</w:t>
            </w:r>
          </w:p>
        </w:tc>
        <w:tc>
          <w:tcPr>
            <w:tcW w:w="8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46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3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Beverage, food,</w:t>
            </w:r>
          </w:p>
        </w:tc>
        <w:tc>
          <w:tcPr>
            <w:tcW w:w="8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6"/>
              </w:rPr>
              <w:t>Senior secured loan</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and tobacco</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($45,017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due 8/2015)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8/31/2011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44,375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45,692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Office products</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($20,217</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par, due 10/2016)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10/17/2011</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20,001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20,419</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Aerospace and</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defense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($54,156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11/2017)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12/23/2011</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53,477</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54,156</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Mandalay Baseball Properties, LLC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Hotel, gaming,</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and leisure</w:t>
            </w:r>
          </w:p>
        </w:tc>
        <w:tc>
          <w:tcPr>
            <w:tcW w:w="1480" w:type="dxa"/>
            <w:vAlign w:val="bottom"/>
            <w:gridSpan w:val="2"/>
          </w:tcPr>
          <w:p>
            <w:pPr>
              <w:spacing w:after="0"/>
              <w:rPr>
                <w:sz w:val="20"/>
                <w:szCs w:val="20"/>
                <w:color w:val="auto"/>
              </w:rPr>
            </w:pPr>
            <w:r>
              <w:rPr>
                <w:rFonts w:ascii="Arial" w:cs="Arial" w:eastAsia="Arial" w:hAnsi="Arial"/>
                <w:sz w:val="18"/>
                <w:szCs w:val="18"/>
                <w:color w:val="auto"/>
              </w:rPr>
              <w:t>($34,489 par, due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(incl.</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3/2017)</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4.50%</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PIK)</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4/12/2012</w:t>
            </w: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33,869</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35,362</w:t>
            </w: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 (3)(4)</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Insurance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($32,306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6/1/2012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31,815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32,225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Consona Holdings,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92"/>
              </w:rPr>
              <w:t>Business services</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($29,700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8/2018)</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8/13/2012</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29,337</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29,403</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 LLC (3)(4)</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Automotive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($37,472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8/28/2012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36,682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36,723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Mediware Information Systems,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Healthcare and</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pharmaceuticals</w:t>
            </w:r>
          </w:p>
        </w:tc>
        <w:tc>
          <w:tcPr>
            <w:tcW w:w="1480" w:type="dxa"/>
            <w:vAlign w:val="bottom"/>
            <w:gridSpan w:val="2"/>
          </w:tcPr>
          <w:p>
            <w:pPr>
              <w:spacing w:after="0"/>
              <w:rPr>
                <w:sz w:val="20"/>
                <w:szCs w:val="20"/>
                <w:color w:val="auto"/>
              </w:rPr>
            </w:pPr>
            <w:r>
              <w:rPr>
                <w:rFonts w:ascii="Arial" w:cs="Arial" w:eastAsia="Arial" w:hAnsi="Arial"/>
                <w:sz w:val="18"/>
                <w:szCs w:val="18"/>
                <w:color w:val="auto"/>
              </w:rPr>
              <w:t>($72,092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5/2018)</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70,496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71,371</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(3)(4)</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Human resource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support services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($7,503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11/2018)</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11/16/2012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7,422</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Rogue Wave Holdings,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w w:val="93"/>
              </w:rPr>
              <w:t>Financial services</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($45,975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11/2017)</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11/21/2012</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44,948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45,745</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Embarcadero Technologies,</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3"/>
              </w:rPr>
              <w:t>Financial services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 (3)(4)</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($43,596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12/2017)</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12/28/2012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42,644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43,487</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Healthcare and</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pharmaceuticals</w:t>
            </w:r>
          </w:p>
        </w:tc>
        <w:tc>
          <w:tcPr>
            <w:tcW w:w="1480" w:type="dxa"/>
            <w:vAlign w:val="bottom"/>
            <w:gridSpan w:val="2"/>
          </w:tcPr>
          <w:p>
            <w:pPr>
              <w:spacing w:after="0"/>
              <w:rPr>
                <w:sz w:val="20"/>
                <w:szCs w:val="20"/>
                <w:color w:val="auto"/>
              </w:rPr>
            </w:pPr>
            <w:r>
              <w:rPr>
                <w:rFonts w:ascii="Arial" w:cs="Arial" w:eastAsia="Arial" w:hAnsi="Arial"/>
                <w:sz w:val="18"/>
                <w:szCs w:val="18"/>
                <w:color w:val="auto"/>
              </w:rPr>
              <w:t>($36,094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12/2017)</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12/28/2012</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35,196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35,191</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Automotive</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 (3)(4)</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($21,775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12/2016)</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12/31/2012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21,541</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21,666</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The Newark Group,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Containers and</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packaging</w:t>
            </w:r>
          </w:p>
        </w:tc>
        <w:tc>
          <w:tcPr>
            <w:tcW w:w="1480" w:type="dxa"/>
            <w:vAlign w:val="bottom"/>
            <w:gridSpan w:val="2"/>
          </w:tcPr>
          <w:p>
            <w:pPr>
              <w:spacing w:after="0"/>
              <w:rPr>
                <w:sz w:val="20"/>
                <w:szCs w:val="20"/>
                <w:color w:val="auto"/>
              </w:rPr>
            </w:pPr>
            <w:r>
              <w:rPr>
                <w:rFonts w:ascii="Arial" w:cs="Arial" w:eastAsia="Arial" w:hAnsi="Arial"/>
                <w:sz w:val="18"/>
                <w:szCs w:val="18"/>
                <w:color w:val="auto"/>
              </w:rPr>
              <w:t>($47,040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2/2018)</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2/8/2013</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46,619</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47,510</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Actian Corporation (3)(4)</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2"/>
              </w:rPr>
              <w:t>Business services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($68,933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4/2018)</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4/11/2013</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66,633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66,865</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PAI Group, 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Human resource</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support services</w:t>
            </w:r>
          </w:p>
        </w:tc>
        <w:tc>
          <w:tcPr>
            <w:tcW w:w="1480" w:type="dxa"/>
            <w:vAlign w:val="bottom"/>
            <w:gridSpan w:val="2"/>
          </w:tcPr>
          <w:p>
            <w:pPr>
              <w:spacing w:after="0"/>
              <w:rPr>
                <w:sz w:val="20"/>
                <w:szCs w:val="20"/>
                <w:color w:val="auto"/>
              </w:rPr>
            </w:pPr>
            <w:r>
              <w:rPr>
                <w:rFonts w:ascii="Arial" w:cs="Arial" w:eastAsia="Arial" w:hAnsi="Arial"/>
                <w:sz w:val="18"/>
                <w:szCs w:val="18"/>
                <w:color w:val="auto"/>
              </w:rPr>
              <w:t>($34,825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5/2018)</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5/8/2013</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34,031</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34,029</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Intelident Solutions, Inc. (3)</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Healthcare and</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pharmaceuticals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($27,555 par, due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(incl.2.00%</w:t>
            </w: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6/4/2013</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26,848</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26,807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Jeeves Information Systems</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Manufacturing</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8"/>
                <w:szCs w:val="18"/>
                <w:color w:val="auto"/>
              </w:rPr>
              <w:t>AB (3)(5)</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w w:val="98"/>
              </w:rPr>
              <w:t>(SEK 177,608 par,</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due 6/2018)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6/5/2013</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26,446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27,061</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 (3)</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2"/>
              </w:rPr>
              <w:t>Business services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($29,659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9/2018)</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9/12/2013</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29,055</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29,050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8"/>
                <w:szCs w:val="18"/>
                <w:color w:val="auto"/>
              </w:rPr>
              <w:t>AMF Bowling Worldwide,</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Hotel, gaming,</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20"/>
              <w:spacing w:after="0"/>
              <w:rPr>
                <w:sz w:val="20"/>
                <w:szCs w:val="20"/>
                <w:color w:val="auto"/>
              </w:rPr>
            </w:pPr>
            <w:r>
              <w:rPr>
                <w:rFonts w:ascii="Arial" w:cs="Arial" w:eastAsia="Arial" w:hAnsi="Arial"/>
                <w:sz w:val="18"/>
                <w:szCs w:val="18"/>
                <w:color w:val="auto"/>
              </w:rPr>
              <w:t>Inc.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and leisure</w:t>
            </w:r>
          </w:p>
        </w:tc>
        <w:tc>
          <w:tcPr>
            <w:tcW w:w="1480" w:type="dxa"/>
            <w:vAlign w:val="bottom"/>
            <w:gridSpan w:val="2"/>
          </w:tcPr>
          <w:p>
            <w:pPr>
              <w:spacing w:after="0"/>
              <w:rPr>
                <w:sz w:val="20"/>
                <w:szCs w:val="20"/>
                <w:color w:val="auto"/>
              </w:rPr>
            </w:pPr>
            <w:r>
              <w:rPr>
                <w:rFonts w:ascii="Arial" w:cs="Arial" w:eastAsia="Arial" w:hAnsi="Arial"/>
                <w:sz w:val="18"/>
                <w:szCs w:val="18"/>
                <w:color w:val="auto"/>
              </w:rPr>
              <w:t>($14,906 par, due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6/2018)</w:t>
            </w:r>
          </w:p>
        </w:tc>
        <w:tc>
          <w:tcPr>
            <w:tcW w:w="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7/2/2013</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13,716</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14,666</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Management, Inc. (3)</w:t>
            </w:r>
          </w:p>
        </w:tc>
        <w:tc>
          <w:tcPr>
            <w:tcW w:w="16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Education</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Senior secured loan</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($30,000 par, due</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9/2018)</w:t>
            </w:r>
          </w:p>
        </w:tc>
        <w:tc>
          <w:tcPr>
            <w:tcW w:w="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8.75%</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9/30/2013</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29,250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29,250</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8"/>
                <w:szCs w:val="18"/>
                <w:color w:val="auto"/>
              </w:rPr>
              <w:t>Global Geophysical (3)(4)</w:t>
            </w:r>
          </w:p>
        </w:tc>
        <w:tc>
          <w:tcPr>
            <w:tcW w:w="1660" w:type="dxa"/>
            <w:vAlign w:val="bottom"/>
            <w:gridSpan w:val="3"/>
          </w:tcPr>
          <w:p>
            <w:pPr>
              <w:ind w:left="300"/>
              <w:spacing w:after="0"/>
              <w:rPr>
                <w:sz w:val="20"/>
                <w:szCs w:val="20"/>
                <w:color w:val="auto"/>
              </w:rPr>
            </w:pPr>
            <w:r>
              <w:rPr>
                <w:rFonts w:ascii="Arial" w:cs="Arial" w:eastAsia="Arial" w:hAnsi="Arial"/>
                <w:sz w:val="18"/>
                <w:szCs w:val="18"/>
                <w:color w:val="auto"/>
              </w:rPr>
              <w:t>Oil, gas, and</w:t>
            </w:r>
          </w:p>
        </w:tc>
        <w:tc>
          <w:tcPr>
            <w:tcW w:w="1480" w:type="dxa"/>
            <w:vAlign w:val="bottom"/>
            <w:gridSpan w:val="2"/>
          </w:tcPr>
          <w:p>
            <w:pPr>
              <w:spacing w:after="0"/>
              <w:rPr>
                <w:sz w:val="20"/>
                <w:szCs w:val="20"/>
                <w:color w:val="auto"/>
              </w:rPr>
            </w:pPr>
            <w:r>
              <w:rPr>
                <w:rFonts w:ascii="Arial" w:cs="Arial" w:eastAsia="Arial" w:hAnsi="Arial"/>
                <w:sz w:val="18"/>
                <w:szCs w:val="18"/>
                <w:color w:val="auto"/>
                <w:w w:val="91"/>
              </w:rPr>
              <w:t>Senior secured loan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40,262</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40,262</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920" w:type="dxa"/>
            <w:vAlign w:val="bottom"/>
          </w:tcPr>
          <w:p>
            <w:pPr>
              <w:ind w:left="620"/>
              <w:spacing w:after="0"/>
              <w:rPr>
                <w:sz w:val="20"/>
                <w:szCs w:val="20"/>
                <w:color w:val="auto"/>
              </w:rPr>
            </w:pPr>
            <w:r>
              <w:rPr>
                <w:rFonts w:ascii="Arial" w:cs="Arial" w:eastAsia="Arial" w:hAnsi="Arial"/>
                <w:sz w:val="18"/>
                <w:szCs w:val="18"/>
                <w:color w:val="auto"/>
                <w:w w:val="91"/>
              </w:rPr>
              <w:t>consumable fuels</w:t>
            </w:r>
          </w:p>
        </w:tc>
        <w:tc>
          <w:tcPr>
            <w:tcW w:w="1520" w:type="dxa"/>
            <w:vAlign w:val="bottom"/>
          </w:tcPr>
          <w:p>
            <w:pPr>
              <w:ind w:left="60"/>
              <w:spacing w:after="0"/>
              <w:rPr>
                <w:sz w:val="20"/>
                <w:szCs w:val="20"/>
                <w:color w:val="auto"/>
              </w:rPr>
            </w:pPr>
            <w:r>
              <w:rPr>
                <w:rFonts w:ascii="Arial" w:cs="Arial" w:eastAsia="Arial" w:hAnsi="Arial"/>
                <w:sz w:val="18"/>
                <w:szCs w:val="18"/>
                <w:color w:val="auto"/>
              </w:rPr>
              <w:t>($41,000 par, due</w:t>
            </w: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ind w:left="60"/>
              <w:spacing w:after="0"/>
              <w:rPr>
                <w:sz w:val="20"/>
                <w:szCs w:val="20"/>
                <w:color w:val="auto"/>
              </w:rPr>
            </w:pPr>
            <w:r>
              <w:rPr>
                <w:rFonts w:ascii="Arial" w:cs="Arial" w:eastAsia="Arial" w:hAnsi="Arial"/>
                <w:sz w:val="18"/>
                <w:szCs w:val="18"/>
                <w:color w:val="auto"/>
              </w:rPr>
              <w:t>9/2016)</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Senior Secured Loans</w:t>
            </w:r>
          </w:p>
        </w:tc>
        <w:tc>
          <w:tcPr>
            <w:tcW w:w="1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784,663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794,403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21"/>
        </w:trPr>
        <w:tc>
          <w:tcPr>
            <w:tcW w:w="3140" w:type="dxa"/>
            <w:vAlign w:val="bottom"/>
          </w:tcPr>
          <w:p>
            <w:pPr>
              <w:spacing w:after="0"/>
              <w:rPr>
                <w:sz w:val="20"/>
                <w:szCs w:val="20"/>
                <w:color w:val="auto"/>
              </w:rPr>
            </w:pPr>
            <w:r>
              <w:rPr>
                <w:rFonts w:ascii="Arial" w:cs="Arial" w:eastAsia="Arial" w:hAnsi="Arial"/>
                <w:sz w:val="18"/>
                <w:szCs w:val="18"/>
                <w:b w:val="1"/>
                <w:bCs w:val="1"/>
                <w:color w:val="auto"/>
              </w:rPr>
              <w:t>Junior Secured Loans</w:t>
            </w: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Centaur, LLC (3)</w:t>
            </w:r>
          </w:p>
        </w:tc>
        <w:tc>
          <w:tcPr>
            <w:tcW w:w="1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Hotel, gaming,</w:t>
            </w: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Junior secured loan</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and leisure</w:t>
            </w: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($10,000 par, due</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2/2020)</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2/15/2013</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3140" w:type="dxa"/>
            <w:vAlign w:val="bottom"/>
          </w:tcPr>
          <w:p>
            <w:pPr>
              <w:spacing w:after="0"/>
              <w:rPr>
                <w:sz w:val="20"/>
                <w:szCs w:val="20"/>
                <w:color w:val="auto"/>
              </w:rPr>
            </w:pPr>
            <w:r>
              <w:rPr>
                <w:rFonts w:ascii="Arial" w:cs="Arial" w:eastAsia="Arial" w:hAnsi="Arial"/>
                <w:sz w:val="18"/>
                <w:szCs w:val="18"/>
                <w:color w:val="auto"/>
              </w:rPr>
              <w:t>Mannington Mills, Inc. (3)(4)</w:t>
            </w:r>
          </w:p>
        </w:tc>
        <w:tc>
          <w:tcPr>
            <w:tcW w:w="1920" w:type="dxa"/>
            <w:vAlign w:val="bottom"/>
          </w:tcPr>
          <w:p>
            <w:pPr>
              <w:ind w:left="620"/>
              <w:spacing w:after="0"/>
              <w:rPr>
                <w:sz w:val="20"/>
                <w:szCs w:val="20"/>
                <w:color w:val="auto"/>
              </w:rPr>
            </w:pPr>
            <w:r>
              <w:rPr>
                <w:rFonts w:ascii="Arial" w:cs="Arial" w:eastAsia="Arial" w:hAnsi="Arial"/>
                <w:sz w:val="18"/>
                <w:szCs w:val="18"/>
                <w:color w:val="auto"/>
                <w:w w:val="94"/>
              </w:rPr>
              <w:t>Construction and</w:t>
            </w:r>
          </w:p>
        </w:tc>
        <w:tc>
          <w:tcPr>
            <w:tcW w:w="1520" w:type="dxa"/>
            <w:vAlign w:val="bottom"/>
          </w:tcPr>
          <w:p>
            <w:pPr>
              <w:ind w:left="60"/>
              <w:spacing w:after="0"/>
              <w:rPr>
                <w:sz w:val="20"/>
                <w:szCs w:val="20"/>
                <w:color w:val="auto"/>
              </w:rPr>
            </w:pPr>
            <w:r>
              <w:rPr>
                <w:rFonts w:ascii="Arial" w:cs="Arial" w:eastAsia="Arial" w:hAnsi="Arial"/>
                <w:sz w:val="18"/>
                <w:szCs w:val="18"/>
                <w:color w:val="auto"/>
                <w:w w:val="91"/>
              </w:rPr>
              <w:t>Junior secured loan</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14.00%</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1920" w:type="dxa"/>
            <w:vAlign w:val="bottom"/>
          </w:tcPr>
          <w:p>
            <w:pPr>
              <w:ind w:left="620"/>
              <w:spacing w:after="0"/>
              <w:rPr>
                <w:sz w:val="20"/>
                <w:szCs w:val="20"/>
                <w:color w:val="auto"/>
              </w:rPr>
            </w:pPr>
            <w:r>
              <w:rPr>
                <w:rFonts w:ascii="Arial" w:cs="Arial" w:eastAsia="Arial" w:hAnsi="Arial"/>
                <w:sz w:val="18"/>
                <w:szCs w:val="18"/>
                <w:color w:val="auto"/>
              </w:rPr>
              <w:t>building</w:t>
            </w:r>
          </w:p>
        </w:tc>
        <w:tc>
          <w:tcPr>
            <w:tcW w:w="1520" w:type="dxa"/>
            <w:vAlign w:val="bottom"/>
          </w:tcPr>
          <w:p>
            <w:pPr>
              <w:ind w:left="60"/>
              <w:spacing w:after="0"/>
              <w:rPr>
                <w:sz w:val="20"/>
                <w:szCs w:val="20"/>
                <w:color w:val="auto"/>
              </w:rPr>
            </w:pPr>
            <w:r>
              <w:rPr>
                <w:rFonts w:ascii="Arial" w:cs="Arial" w:eastAsia="Arial" w:hAnsi="Arial"/>
                <w:sz w:val="18"/>
                <w:szCs w:val="18"/>
                <w:color w:val="auto"/>
              </w:rPr>
              <w:t>($47,488 par, due</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8"/>
              </w:rPr>
              <w:t>(incl.2.00%</w:t>
            </w: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20" w:type="dxa"/>
            <w:vAlign w:val="bottom"/>
          </w:tcPr>
          <w:p>
            <w:pPr>
              <w:ind w:left="60"/>
              <w:spacing w:after="0"/>
              <w:rPr>
                <w:sz w:val="20"/>
                <w:szCs w:val="20"/>
                <w:color w:val="auto"/>
              </w:rPr>
            </w:pPr>
            <w:r>
              <w:rPr>
                <w:rFonts w:ascii="Arial" w:cs="Arial" w:eastAsia="Arial" w:hAnsi="Arial"/>
                <w:sz w:val="18"/>
                <w:szCs w:val="18"/>
                <w:color w:val="auto"/>
              </w:rPr>
              <w:t>3/2017)</w:t>
            </w:r>
          </w:p>
        </w:tc>
        <w:tc>
          <w:tcPr>
            <w:tcW w:w="1000" w:type="dxa"/>
            <w:vAlign w:val="bottom"/>
          </w:tcPr>
          <w:p>
            <w:pPr>
              <w:jc w:val="right"/>
              <w:ind w:right="112"/>
              <w:spacing w:after="0"/>
              <w:rPr>
                <w:sz w:val="20"/>
                <w:szCs w:val="20"/>
                <w:color w:val="auto"/>
              </w:rPr>
            </w:pPr>
            <w:r>
              <w:rPr>
                <w:rFonts w:ascii="Arial" w:cs="Arial" w:eastAsia="Arial" w:hAnsi="Arial"/>
                <w:sz w:val="18"/>
                <w:szCs w:val="18"/>
                <w:color w:val="auto"/>
              </w:rPr>
              <w:t>PIK)</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3/2/2012</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46,543</w:t>
            </w:r>
          </w:p>
        </w:tc>
        <w:tc>
          <w:tcPr>
            <w:tcW w:w="680" w:type="dxa"/>
            <w:vAlign w:val="bottom"/>
          </w:tcPr>
          <w:p>
            <w:pPr>
              <w:jc w:val="right"/>
              <w:spacing w:after="0"/>
              <w:rPr>
                <w:sz w:val="20"/>
                <w:szCs w:val="20"/>
                <w:color w:val="auto"/>
              </w:rPr>
            </w:pPr>
            <w:r>
              <w:rPr>
                <w:rFonts w:ascii="Arial" w:cs="Arial" w:eastAsia="Arial" w:hAnsi="Arial"/>
                <w:sz w:val="18"/>
                <w:szCs w:val="18"/>
                <w:color w:val="auto"/>
              </w:rPr>
              <w:t>52,238</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9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6"/>
              </w:rPr>
              <w:t>Human resource</w:t>
            </w: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1"/>
              </w:rPr>
              <w:t>Junior secured loan</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18"/>
                <w:szCs w:val="18"/>
                <w:color w:val="auto"/>
              </w:rPr>
            </w:pPr>
          </w:p>
        </w:tc>
        <w:tc>
          <w:tcPr>
            <w:tcW w:w="19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7"/>
              </w:rPr>
              <w:t>support services</w:t>
            </w: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($10,000 par, due</w:t>
            </w:r>
          </w:p>
        </w:tc>
        <w:tc>
          <w:tcPr>
            <w:tcW w:w="10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4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5/2019)</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2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7"/>
              </w:rPr>
              <w:t>11/16/2012</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1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Junior Secured Loans</w:t>
            </w:r>
          </w:p>
        </w:tc>
        <w:tc>
          <w:tcPr>
            <w:tcW w:w="1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4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66,408</w:t>
            </w:r>
          </w:p>
        </w:tc>
        <w:tc>
          <w:tcPr>
            <w:tcW w:w="680" w:type="dxa"/>
            <w:vAlign w:val="bottom"/>
          </w:tcPr>
          <w:p>
            <w:pPr>
              <w:jc w:val="right"/>
              <w:spacing w:after="0"/>
              <w:rPr>
                <w:sz w:val="20"/>
                <w:szCs w:val="20"/>
                <w:color w:val="auto"/>
              </w:rPr>
            </w:pPr>
            <w:r>
              <w:rPr>
                <w:rFonts w:ascii="Arial" w:cs="Arial" w:eastAsia="Arial" w:hAnsi="Arial"/>
                <w:sz w:val="18"/>
                <w:szCs w:val="18"/>
                <w:color w:val="auto"/>
              </w:rPr>
              <w:t>72,213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72"/>
        </w:trPr>
        <w:tc>
          <w:tcPr>
            <w:tcW w:w="3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ind w:left="620"/>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60" w:type="dxa"/>
            <w:vAlign w:val="bottom"/>
          </w:tcPr>
          <w:p>
            <w:pPr>
              <w:spacing w:after="0"/>
              <w:rPr>
                <w:sz w:val="14"/>
                <w:szCs w:val="14"/>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Investment</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7"/>
              </w:rPr>
              <w:t>Acquisition</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Amortized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8"/>
        </w:trPr>
        <w:tc>
          <w:tcPr>
            <w:tcW w:w="32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76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6"/>
              </w:rPr>
              <w:t>Interest</w:t>
            </w:r>
          </w:p>
        </w:tc>
        <w:tc>
          <w:tcPr>
            <w:tcW w:w="1740" w:type="dxa"/>
            <w:vAlign w:val="bottom"/>
            <w:gridSpan w:val="2"/>
          </w:tcPr>
          <w:p>
            <w:pPr>
              <w:jc w:val="right"/>
              <w:ind w:right="1160"/>
              <w:spacing w:after="0" w:line="148"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rPr>
              <w:t>Cost (2)</w:t>
            </w:r>
          </w:p>
        </w:tc>
        <w:tc>
          <w:tcPr>
            <w:tcW w:w="100" w:type="dxa"/>
            <w:vAlign w:val="bottom"/>
          </w:tcPr>
          <w:p>
            <w:pPr>
              <w:spacing w:after="0"/>
              <w:rPr>
                <w:sz w:val="12"/>
                <w:szCs w:val="12"/>
                <w:color w:val="auto"/>
              </w:rPr>
            </w:pPr>
          </w:p>
        </w:tc>
        <w:tc>
          <w:tcPr>
            <w:tcW w:w="860" w:type="dxa"/>
            <w:vAlign w:val="bottom"/>
            <w:gridSpan w:val="2"/>
          </w:tcPr>
          <w:p>
            <w:pPr>
              <w:jc w:val="right"/>
              <w:ind w:right="240"/>
              <w:spacing w:after="0" w:line="148" w:lineRule="exact"/>
              <w:rPr>
                <w:sz w:val="20"/>
                <w:szCs w:val="20"/>
                <w:color w:val="auto"/>
              </w:rPr>
            </w:pPr>
            <w:r>
              <w:rPr>
                <w:rFonts w:ascii="Arial" w:cs="Arial" w:eastAsia="Arial" w:hAnsi="Arial"/>
                <w:sz w:val="14"/>
                <w:szCs w:val="14"/>
                <w:b w:val="1"/>
                <w:bCs w:val="1"/>
                <w:color w:val="auto"/>
                <w:w w:val="89"/>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Revolving Loans</w:t>
            </w:r>
          </w:p>
        </w:tc>
        <w:tc>
          <w:tcPr>
            <w:tcW w:w="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Infogix, Inc. (3)(4)</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Insurance</w:t>
            </w:r>
          </w:p>
        </w:tc>
        <w:tc>
          <w:tcPr>
            <w:tcW w:w="1580" w:type="dxa"/>
            <w:vAlign w:val="bottom"/>
            <w:gridSpan w:val="2"/>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par, due 6/2017)</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6/1/2012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3,227</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3,288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Heartland Automotive Holdings, LLC (3)(4)</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Automotive</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($2,778 par, due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6/2017)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8/28/2012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SRS Software, LLC (3)</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2"/>
          </w:tcPr>
          <w:p>
            <w:pPr>
              <w:spacing w:after="0"/>
              <w:rPr>
                <w:sz w:val="20"/>
                <w:szCs w:val="20"/>
                <w:color w:val="auto"/>
              </w:rPr>
            </w:pPr>
            <w:r>
              <w:rPr>
                <w:rFonts w:ascii="Arial" w:cs="Arial" w:eastAsia="Arial" w:hAnsi="Arial"/>
                <w:sz w:val="18"/>
                <w:szCs w:val="18"/>
                <w:color w:val="auto"/>
              </w:rPr>
              <w:t>Senior secured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pharmaceuticals</w:t>
            </w:r>
          </w:p>
        </w:tc>
        <w:tc>
          <w:tcPr>
            <w:tcW w:w="1580" w:type="dxa"/>
            <w:vAlign w:val="bottom"/>
            <w:gridSpan w:val="2"/>
          </w:tcPr>
          <w:p>
            <w:pPr>
              <w:spacing w:after="0"/>
              <w:rPr>
                <w:sz w:val="20"/>
                <w:szCs w:val="20"/>
                <w:color w:val="auto"/>
              </w:rPr>
            </w:pPr>
            <w:r>
              <w:rPr>
                <w:rFonts w:ascii="Arial" w:cs="Arial" w:eastAsia="Arial" w:hAnsi="Arial"/>
                <w:sz w:val="18"/>
                <w:szCs w:val="18"/>
                <w:color w:val="auto"/>
              </w:rPr>
              <w:t>revolving loan</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($2,000 par, due</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12/2017)</w:t>
            </w: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8.75%</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w w:val="93"/>
              </w:rPr>
              <w:t>12/28/2012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1,950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Intelident Solutions, Inc. (3)</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pharmaceuticals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($1,642 par, due</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6/4/2013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5"/>
            <w:vMerge w:val="continue"/>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9,529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9,539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Bonds</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Soho House Bond Ltd. (5)</w:t>
            </w: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Hotel, gaming,</w:t>
            </w:r>
          </w:p>
        </w:tc>
        <w:tc>
          <w:tcPr>
            <w:tcW w:w="1580" w:type="dxa"/>
            <w:vAlign w:val="bottom"/>
            <w:gridSpan w:val="2"/>
          </w:tcPr>
          <w:p>
            <w:pPr>
              <w:spacing w:after="0"/>
              <w:rPr>
                <w:sz w:val="20"/>
                <w:szCs w:val="20"/>
                <w:color w:val="auto"/>
              </w:rPr>
            </w:pPr>
            <w:r>
              <w:rPr>
                <w:rFonts w:ascii="Arial" w:cs="Arial" w:eastAsia="Arial" w:hAnsi="Arial"/>
                <w:sz w:val="18"/>
                <w:szCs w:val="18"/>
                <w:color w:val="auto"/>
              </w:rPr>
              <w:t>Bond (GBP 7,000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and leisure</w:t>
            </w:r>
          </w:p>
        </w:tc>
        <w:tc>
          <w:tcPr>
            <w:tcW w:w="1580" w:type="dxa"/>
            <w:vAlign w:val="bottom"/>
            <w:gridSpan w:val="2"/>
          </w:tcPr>
          <w:p>
            <w:pPr>
              <w:spacing w:after="0"/>
              <w:rPr>
                <w:sz w:val="20"/>
                <w:szCs w:val="20"/>
                <w:color w:val="auto"/>
              </w:rPr>
            </w:pPr>
            <w:r>
              <w:rPr>
                <w:rFonts w:ascii="Arial" w:cs="Arial" w:eastAsia="Arial" w:hAnsi="Arial"/>
                <w:sz w:val="18"/>
                <w:szCs w:val="18"/>
                <w:color w:val="auto"/>
              </w:rPr>
              <w:t>par, due 10/2018)</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9.00%</w:t>
            </w: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rPr>
              <w:t>9/20/2013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11,200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11,455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Corporate Bonds</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11,455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pharmaceuticals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(1,980 shares)</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3"/>
              </w:rPr>
              <w:t>12/28/2012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931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Common Shares</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Class B</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(2,953,020 shares)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8"/>
                <w:szCs w:val="18"/>
                <w:color w:val="auto"/>
                <w:w w:val="93"/>
              </w:rPr>
              <w:t>12/28/2012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1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4"/>
              </w:rPr>
              <w:t>Business services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Non-Voting</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(774,099 units)</w:t>
            </w:r>
          </w:p>
        </w:tc>
        <w:tc>
          <w:tcPr>
            <w:tcW w:w="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9/12/2013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Total Equity</w:t>
            </w: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2,780</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1,720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874,580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889,330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340" w:hanging="572"/>
        <w:spacing w:after="0" w:line="253"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September 30, 2013, the Company does not “control” any of the portfolio companies nor are any of its portfolio companies considered to be “affiliates” – see Note 4. Certain portfolio company investments are subject to contractual restrictions on sales.</w:t>
      </w:r>
    </w:p>
    <w:p>
      <w:pPr>
        <w:ind w:left="580" w:right="38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40" w:hanging="572"/>
        <w:spacing w:after="0" w:line="281"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580" w:right="740" w:hanging="572"/>
        <w:spacing w:after="0" w:line="250"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jc w:val="both"/>
        <w:ind w:left="580" w:right="200" w:hanging="572"/>
        <w:spacing w:after="0" w:line="361"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This portfolio company is a non-U.S. corporation and, as a result, is not a qualifying asset under Section 55(a) of the 1940 Act. Under the 1940 Act, the Company may not acquire any non-qualifying asset unless, at the time such acquisition is made, qualifying assets represent at least 70% of total assets.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Consolidated Schedule of Investments as of December 31,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1"/>
              </w:rPr>
              <w:t>Company (1)</w:t>
            </w:r>
          </w:p>
        </w:tc>
        <w:tc>
          <w:tcPr>
            <w:tcW w:w="230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Investment</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7"/>
              </w:rPr>
              <w:t>Acquisition</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68"/>
        </w:trPr>
        <w:tc>
          <w:tcPr>
            <w:tcW w:w="800" w:type="dxa"/>
            <w:vAlign w:val="bottom"/>
            <w:tcBorders>
              <w:bottom w:val="single" w:sz="8" w:color="auto"/>
            </w:tcBorders>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6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Interest</w:t>
            </w:r>
          </w:p>
        </w:tc>
        <w:tc>
          <w:tcPr>
            <w:tcW w:w="164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4"/>
                <w:szCs w:val="14"/>
                <w:color w:val="auto"/>
              </w:rPr>
            </w:pPr>
          </w:p>
        </w:tc>
        <w:tc>
          <w:tcPr>
            <w:tcW w:w="580" w:type="dxa"/>
            <w:vAlign w:val="bottom"/>
          </w:tcPr>
          <w:p>
            <w:pPr>
              <w:jc w:val="right"/>
              <w:ind w:right="13"/>
              <w:spacing w:after="0" w:line="148" w:lineRule="exact"/>
              <w:rPr>
                <w:sz w:val="20"/>
                <w:szCs w:val="20"/>
                <w:color w:val="auto"/>
              </w:rPr>
            </w:pPr>
            <w:r>
              <w:rPr>
                <w:rFonts w:ascii="Arial" w:cs="Arial" w:eastAsia="Arial" w:hAnsi="Arial"/>
                <w:sz w:val="14"/>
                <w:szCs w:val="14"/>
                <w:b w:val="1"/>
                <w:bCs w:val="1"/>
                <w:color w:val="auto"/>
                <w:w w:val="88"/>
              </w:rPr>
              <w:t>Cost (2)</w:t>
            </w:r>
          </w:p>
        </w:tc>
        <w:tc>
          <w:tcPr>
            <w:tcW w:w="220" w:type="dxa"/>
            <w:vAlign w:val="bottom"/>
          </w:tcPr>
          <w:p>
            <w:pPr>
              <w:spacing w:after="0"/>
              <w:rPr>
                <w:sz w:val="14"/>
                <w:szCs w:val="14"/>
                <w:color w:val="auto"/>
              </w:rPr>
            </w:pPr>
          </w:p>
        </w:tc>
        <w:tc>
          <w:tcPr>
            <w:tcW w:w="9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Fair Value</w:t>
            </w:r>
          </w:p>
        </w:tc>
        <w:tc>
          <w:tcPr>
            <w:tcW w:w="94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195"/>
        </w:trPr>
        <w:tc>
          <w:tcPr>
            <w:tcW w:w="310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AFS Technologies, Inc. (3)(4)</w:t>
            </w:r>
          </w:p>
        </w:tc>
        <w:tc>
          <w:tcPr>
            <w:tcW w:w="6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Beverage, food</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Senior secured</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tobacco</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loan ($46,884</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par, due 8/2015)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8/31/2011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46,532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Ecommerce Industries,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Office products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loan ($21,562</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par, due 10/2016)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10/17/2011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21,808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MSC.Software Corporation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Aerospace and</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defense</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($56,266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12/23/2011</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55,984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Federal Signal Corporation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Capital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equipment</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($41,608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2/2017)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12.00%</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2/22/2012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43,064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Mandalay Baseball Properties, LLC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Hotel, gaming</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leisure</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($28,414 par,</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(incl.4.00%</w:t>
            </w: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3/2017)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PIK)</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4/12/2012</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Infogix,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Insurance</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($30,613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6/2017)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6/1/2012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29,974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30,346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Attachmate Corporation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6"/>
              </w:rPr>
              <w:t>Business services</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loan ($926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11/2017)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6/25/2012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eResearch Technology,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4"/>
              </w:rPr>
              <w:t>pharmaceuticals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($24,937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7/3/2012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24,626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Teletrac, Inc.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Transportation</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($17,413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7/2017)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7/23/2012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Consona Holdings,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86"/>
              </w:rPr>
              <w:t>Business services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($29,925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8/2018)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7.25%</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8/13/2012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29,925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Heartland Automotive Holdings,</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Automotive</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LLC (3)(4)</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($38,951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6/2017)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9.00%</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8/28/2012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Environmental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industries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loan ($3,134</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par, due 10/2014)</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11/8/2012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Equipment Solutions,</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Capital</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equipment</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($29,391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9/2016)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9/18/2012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w w:val="91"/>
              </w:rPr>
              <w:t>Mediware Information Systems,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4"/>
              </w:rPr>
              <w:t>pharmaceuticals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($50,500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5/2018)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rPr>
              <w:t>11/9/2012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49,218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Human resource</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support services</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($10,000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11/2018)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11/16/2012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Rogue Wave Holdings, Inc.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Financial</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services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($40,000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11/2017)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8.25%</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11/21/2012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39,600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Embarcadero Technologies, Inc.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Financial</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services</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($59,714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12/2017)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12/28/2012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58,223</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8"/>
        </w:trPr>
        <w:tc>
          <w:tcPr>
            <w:tcW w:w="3100" w:type="dxa"/>
            <w:vAlign w:val="bottom"/>
            <w:gridSpan w:val="2"/>
          </w:tcPr>
          <w:p>
            <w:pPr>
              <w:spacing w:after="0"/>
              <w:rPr>
                <w:sz w:val="20"/>
                <w:szCs w:val="20"/>
                <w:color w:val="auto"/>
              </w:rPr>
            </w:pPr>
            <w:r>
              <w:rPr>
                <w:rFonts w:ascii="Arial" w:cs="Arial" w:eastAsia="Arial" w:hAnsi="Arial"/>
                <w:sz w:val="18"/>
                <w:szCs w:val="18"/>
                <w:color w:val="auto"/>
              </w:rPr>
              <w:t>SRS Software, LLC (3)(4)</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Healthcare and</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4"/>
              </w:rPr>
              <w:t>pharmaceuticals</w:t>
            </w: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w w:val="98"/>
              </w:rPr>
              <w:t>loan ($37,500 par,</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color w:val="auto"/>
              </w:rPr>
              <w:t>due 12/2017)</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640" w:type="dxa"/>
            <w:vAlign w:val="bottom"/>
            <w:gridSpan w:val="2"/>
          </w:tcPr>
          <w:p>
            <w:pPr>
              <w:jc w:val="right"/>
              <w:ind w:right="780"/>
              <w:spacing w:after="0"/>
              <w:rPr>
                <w:sz w:val="20"/>
                <w:szCs w:val="20"/>
                <w:color w:val="auto"/>
              </w:rPr>
            </w:pPr>
            <w:r>
              <w:rPr>
                <w:rFonts w:ascii="Arial" w:cs="Arial" w:eastAsia="Arial" w:hAnsi="Arial"/>
                <w:sz w:val="18"/>
                <w:szCs w:val="18"/>
                <w:color w:val="auto"/>
                <w:w w:val="93"/>
              </w:rPr>
              <w:t>12/28/2012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36,563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0"/>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Automotive Interiors, Inc. (3)(4)</w:t>
            </w: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Automotive</w:t>
            </w: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loan ($19,878 par,</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due 12/2016)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3"/>
              </w:rPr>
              <w:t>12/31/2012</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ind w:left="440"/>
              <w:spacing w:after="0"/>
              <w:rPr>
                <w:sz w:val="20"/>
                <w:szCs w:val="20"/>
                <w:color w:val="auto"/>
              </w:rPr>
            </w:pPr>
            <w:r>
              <w:rPr>
                <w:rFonts w:ascii="Arial" w:cs="Arial" w:eastAsia="Arial" w:hAnsi="Arial"/>
                <w:sz w:val="18"/>
                <w:szCs w:val="18"/>
                <w:b w:val="1"/>
                <w:bCs w:val="1"/>
                <w:color w:val="auto"/>
              </w:rPr>
              <w:t>Total Senior Secured Loans</w:t>
            </w: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0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574,676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581,856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842" w:gutter="0" w:footer="0" w:header="0"/>
        </w:sect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842"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3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Industry</w:t>
            </w:r>
          </w:p>
        </w:tc>
        <w:tc>
          <w:tcPr>
            <w:tcW w:w="80" w:type="dxa"/>
            <w:vAlign w:val="bottom"/>
          </w:tcPr>
          <w:p>
            <w:pPr>
              <w:spacing w:after="0"/>
              <w:rPr>
                <w:sz w:val="14"/>
                <w:szCs w:val="14"/>
                <w:color w:val="auto"/>
              </w:rPr>
            </w:pPr>
          </w:p>
        </w:tc>
        <w:tc>
          <w:tcPr>
            <w:tcW w:w="15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Investment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right"/>
              <w:ind w:right="777"/>
              <w:spacing w:after="0"/>
              <w:rPr>
                <w:sz w:val="20"/>
                <w:szCs w:val="20"/>
                <w:color w:val="auto"/>
              </w:rPr>
            </w:pPr>
            <w:r>
              <w:rPr>
                <w:rFonts w:ascii="Arial" w:cs="Arial" w:eastAsia="Arial" w:hAnsi="Arial"/>
                <w:sz w:val="14"/>
                <w:szCs w:val="14"/>
                <w:b w:val="1"/>
                <w:bCs w:val="1"/>
                <w:color w:val="auto"/>
                <w:w w:val="97"/>
              </w:rPr>
              <w:t>Acquisition</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0"/>
              </w:rPr>
              <w:t>Amortized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200" w:type="dxa"/>
            <w:vAlign w:val="bottom"/>
            <w:gridSpan w:val="3"/>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4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Interest</w:t>
            </w:r>
          </w:p>
        </w:tc>
        <w:tc>
          <w:tcPr>
            <w:tcW w:w="1620" w:type="dxa"/>
            <w:vAlign w:val="bottom"/>
          </w:tcPr>
          <w:p>
            <w:pPr>
              <w:jc w:val="right"/>
              <w:ind w:right="957"/>
              <w:spacing w:after="0" w:line="148" w:lineRule="exact"/>
              <w:rPr>
                <w:sz w:val="20"/>
                <w:szCs w:val="20"/>
                <w:color w:val="auto"/>
              </w:rPr>
            </w:pPr>
            <w:r>
              <w:rPr>
                <w:rFonts w:ascii="Arial" w:cs="Arial" w:eastAsia="Arial" w:hAnsi="Arial"/>
                <w:sz w:val="14"/>
                <w:szCs w:val="14"/>
                <w:b w:val="1"/>
                <w:bCs w:val="1"/>
                <w:color w:val="auto"/>
              </w:rPr>
              <w:t>Date</w:t>
            </w:r>
          </w:p>
        </w:tc>
        <w:tc>
          <w:tcPr>
            <w:tcW w:w="66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rPr>
              <w:t>Cost (2)</w:t>
            </w:r>
          </w:p>
        </w:tc>
        <w:tc>
          <w:tcPr>
            <w:tcW w:w="20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Junior Secured Loans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Mannington Mills, Inc. (3)(4)</w:t>
            </w:r>
          </w:p>
        </w:tc>
        <w:tc>
          <w:tcPr>
            <w:tcW w:w="1300" w:type="dxa"/>
            <w:vAlign w:val="bottom"/>
          </w:tcPr>
          <w:p>
            <w:pPr>
              <w:spacing w:after="0"/>
              <w:rPr>
                <w:sz w:val="20"/>
                <w:szCs w:val="20"/>
                <w:color w:val="auto"/>
              </w:rPr>
            </w:pPr>
            <w:r>
              <w:rPr>
                <w:rFonts w:ascii="Arial" w:cs="Arial" w:eastAsia="Arial" w:hAnsi="Arial"/>
                <w:sz w:val="18"/>
                <w:szCs w:val="18"/>
                <w:color w:val="auto"/>
                <w:w w:val="94"/>
              </w:rPr>
              <w:t>Construction and</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w w:val="94"/>
              </w:rPr>
              <w:t>Junior secured loan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14.00%</w:t>
            </w: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building</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($50,537 par, due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(incl.2.00%</w:t>
            </w: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3/2017)</w:t>
            </w: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PIK)</w:t>
            </w:r>
          </w:p>
        </w:tc>
        <w:tc>
          <w:tcPr>
            <w:tcW w:w="1620" w:type="dxa"/>
            <w:vAlign w:val="bottom"/>
          </w:tcPr>
          <w:p>
            <w:pPr>
              <w:jc w:val="right"/>
              <w:ind w:right="677"/>
              <w:spacing w:after="0"/>
              <w:rPr>
                <w:sz w:val="20"/>
                <w:szCs w:val="20"/>
                <w:color w:val="auto"/>
              </w:rPr>
            </w:pPr>
            <w:r>
              <w:rPr>
                <w:rFonts w:ascii="Arial" w:cs="Arial" w:eastAsia="Arial" w:hAnsi="Arial"/>
                <w:sz w:val="18"/>
                <w:szCs w:val="18"/>
                <w:color w:val="auto"/>
              </w:rPr>
              <w:t>3/2/2012</w:t>
            </w:r>
          </w:p>
        </w:tc>
        <w:tc>
          <w:tcPr>
            <w:tcW w:w="660" w:type="dxa"/>
            <w:vAlign w:val="bottom"/>
          </w:tcPr>
          <w:p>
            <w:pPr>
              <w:jc w:val="right"/>
              <w:spacing w:after="0"/>
              <w:rPr>
                <w:sz w:val="20"/>
                <w:szCs w:val="20"/>
                <w:color w:val="auto"/>
              </w:rPr>
            </w:pPr>
            <w:r>
              <w:rPr>
                <w:rFonts w:ascii="Arial" w:cs="Arial" w:eastAsia="Arial" w:hAnsi="Arial"/>
                <w:sz w:val="18"/>
                <w:szCs w:val="18"/>
                <w:color w:val="auto"/>
              </w:rPr>
              <w:t>49,551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53,190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SumTotal Systems, LLC (3)</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89"/>
              </w:rPr>
              <w:t>Financial services</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4"/>
              </w:rPr>
              <w:t>Junior secured loan</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($5,000 par, due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5/2018)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10.25%</w:t>
            </w:r>
          </w:p>
        </w:tc>
        <w:tc>
          <w:tcPr>
            <w:tcW w:w="162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3"/>
              </w:rPr>
              <w:t>11/16/2012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Synagro Technologies, Inc. (3)</w:t>
            </w:r>
          </w:p>
        </w:tc>
        <w:tc>
          <w:tcPr>
            <w:tcW w:w="1300" w:type="dxa"/>
            <w:vAlign w:val="bottom"/>
          </w:tcPr>
          <w:p>
            <w:pPr>
              <w:spacing w:after="0"/>
              <w:rPr>
                <w:sz w:val="20"/>
                <w:szCs w:val="20"/>
                <w:color w:val="auto"/>
              </w:rPr>
            </w:pPr>
            <w:r>
              <w:rPr>
                <w:rFonts w:ascii="Arial" w:cs="Arial" w:eastAsia="Arial" w:hAnsi="Arial"/>
                <w:sz w:val="18"/>
                <w:szCs w:val="18"/>
                <w:color w:val="auto"/>
              </w:rPr>
              <w:t>Environmental</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w w:val="94"/>
              </w:rPr>
              <w:t>Junior secured loan</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industries</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($5,670 par, due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10/2014)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620" w:type="dxa"/>
            <w:vAlign w:val="bottom"/>
          </w:tcPr>
          <w:p>
            <w:pPr>
              <w:jc w:val="right"/>
              <w:ind w:right="677"/>
              <w:spacing w:after="0"/>
              <w:rPr>
                <w:sz w:val="20"/>
                <w:szCs w:val="20"/>
                <w:color w:val="auto"/>
              </w:rPr>
            </w:pPr>
            <w:r>
              <w:rPr>
                <w:rFonts w:ascii="Arial" w:cs="Arial" w:eastAsia="Arial" w:hAnsi="Arial"/>
                <w:sz w:val="18"/>
                <w:szCs w:val="18"/>
                <w:color w:val="auto"/>
              </w:rPr>
              <w:t>9/14/2012</w:t>
            </w:r>
          </w:p>
        </w:tc>
        <w:tc>
          <w:tcPr>
            <w:tcW w:w="660" w:type="dxa"/>
            <w:vAlign w:val="bottom"/>
          </w:tcPr>
          <w:p>
            <w:pPr>
              <w:jc w:val="right"/>
              <w:spacing w:after="0"/>
              <w:rPr>
                <w:sz w:val="20"/>
                <w:szCs w:val="20"/>
                <w:color w:val="auto"/>
              </w:rPr>
            </w:pPr>
            <w:r>
              <w:rPr>
                <w:rFonts w:ascii="Arial" w:cs="Arial" w:eastAsia="Arial" w:hAnsi="Arial"/>
                <w:sz w:val="18"/>
                <w:szCs w:val="18"/>
                <w:color w:val="auto"/>
              </w:rPr>
              <w:t>2,814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1,517</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Junior Secured Loans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1"/>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Senior Secured Revolving Loans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Heartland Automotive Holdings, LLC (3)</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Senior secured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w:t>
            </w: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revolving loan</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($555 par,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due 6/2017)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62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rPr>
              <w:t>8/28/2012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gridSpan w:val="3"/>
            <w:vMerge w:val="restart"/>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Bonds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Checkers Drive-In Restaurants, Inc. (4)</w:t>
            </w:r>
          </w:p>
        </w:tc>
        <w:tc>
          <w:tcPr>
            <w:tcW w:w="1300" w:type="dxa"/>
            <w:vAlign w:val="bottom"/>
          </w:tcPr>
          <w:p>
            <w:pPr>
              <w:spacing w:after="0"/>
              <w:rPr>
                <w:sz w:val="20"/>
                <w:szCs w:val="20"/>
                <w:color w:val="auto"/>
              </w:rPr>
            </w:pPr>
            <w:r>
              <w:rPr>
                <w:rFonts w:ascii="Arial" w:cs="Arial" w:eastAsia="Arial" w:hAnsi="Arial"/>
                <w:sz w:val="18"/>
                <w:szCs w:val="18"/>
                <w:color w:val="auto"/>
              </w:rPr>
              <w:t>Beverage, food</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w w:val="96"/>
              </w:rPr>
              <w:t>Bond ($10,000 par,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and tobacco</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due 12/2017)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1620" w:type="dxa"/>
            <w:vAlign w:val="bottom"/>
          </w:tcPr>
          <w:p>
            <w:pPr>
              <w:jc w:val="right"/>
              <w:ind w:right="677"/>
              <w:spacing w:after="0"/>
              <w:rPr>
                <w:sz w:val="20"/>
                <w:szCs w:val="20"/>
                <w:color w:val="auto"/>
              </w:rPr>
            </w:pPr>
            <w:r>
              <w:rPr>
                <w:rFonts w:ascii="Arial" w:cs="Arial" w:eastAsia="Arial" w:hAnsi="Arial"/>
                <w:sz w:val="18"/>
                <w:szCs w:val="18"/>
                <w:color w:val="auto"/>
                <w:w w:val="93"/>
              </w:rPr>
              <w:t>11/16/2012</w:t>
            </w:r>
          </w:p>
        </w:tc>
        <w:tc>
          <w:tcPr>
            <w:tcW w:w="660" w:type="dxa"/>
            <w:vAlign w:val="bottom"/>
          </w:tcPr>
          <w:p>
            <w:pPr>
              <w:jc w:val="right"/>
              <w:spacing w:after="0"/>
              <w:rPr>
                <w:sz w:val="20"/>
                <w:szCs w:val="20"/>
                <w:color w:val="auto"/>
              </w:rPr>
            </w:pPr>
            <w:r>
              <w:rPr>
                <w:rFonts w:ascii="Arial" w:cs="Arial" w:eastAsia="Arial" w:hAnsi="Arial"/>
                <w:sz w:val="18"/>
                <w:szCs w:val="18"/>
                <w:color w:val="auto"/>
              </w:rPr>
              <w:t>10,017</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10,025</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Corporate Bonds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1"/>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Parent Corp.</w:t>
            </w: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Healthcare and</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Common Shares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7"/>
              </w:rPr>
              <w:t>pharmaceuticals</w:t>
            </w: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Class A</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(1,980 shares)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3"/>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Common Shares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Class B</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w w:val="97"/>
              </w:rPr>
              <w:t>(2,953,020 shares)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ind w:right="677"/>
              <w:spacing w:after="0"/>
              <w:rPr>
                <w:sz w:val="20"/>
                <w:szCs w:val="20"/>
                <w:color w:val="auto"/>
              </w:rPr>
            </w:pPr>
            <w:r>
              <w:rPr>
                <w:rFonts w:ascii="Arial" w:cs="Arial" w:eastAsia="Arial" w:hAnsi="Arial"/>
                <w:sz w:val="18"/>
                <w:szCs w:val="18"/>
                <w:color w:val="auto"/>
                <w:w w:val="93"/>
              </w:rPr>
              <w:t>12/28/2012</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Equity</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0" w:type="dxa"/>
            <w:vAlign w:val="bottom"/>
            <w:gridSpan w:val="3"/>
            <w:vMerge w:val="continue"/>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644,421</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right="360" w:hanging="572"/>
        <w:spacing w:after="0" w:line="253"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Unless otherwise indicated, the Company’s portfolio companies are domiciled in the United States. As of December 31, 2012, the Company does not “control” any of the portfolio companies nor are any of its portfolio companies considered to be “affiliates” – see Note 4. Certain portfolio company investments are subject to contractual restrictions on sales.</w:t>
      </w:r>
    </w:p>
    <w:p>
      <w:pPr>
        <w:ind w:left="580" w:right="3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80" w:right="40" w:hanging="572"/>
        <w:spacing w:after="0" w:line="281" w:lineRule="auto"/>
        <w:tabs>
          <w:tab w:leader="none" w:pos="5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 contains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its arrangement with other lenders in a syndication.</w:t>
      </w:r>
    </w:p>
    <w:p>
      <w:pPr>
        <w:spacing w:after="0" w:line="2" w:lineRule="exact"/>
        <w:rPr>
          <w:rFonts w:ascii="Arial" w:cs="Arial" w:eastAsia="Arial" w:hAnsi="Arial"/>
          <w:sz w:val="16"/>
          <w:szCs w:val="16"/>
          <w:color w:val="auto"/>
        </w:rPr>
      </w:pPr>
    </w:p>
    <w:p>
      <w:pPr>
        <w:ind w:left="580" w:right="740" w:hanging="572"/>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investment, or a portion thereof, is held within TPG SL SPV, LLC, a wholly-owned subsidiary of the Company, and is pledged as collateral supporting the amounts outstanding under the revolving credit facility with Natixis Bank (see Note 7).</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Transactions during the year ended December 31, 2012 in which the issuer was an affiliated company (but not a portfolio company that we “control”)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As of and for the Year</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Ended December 31, 2012</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1"/>
                <w:szCs w:val="11"/>
                <w:color w:val="auto"/>
              </w:rPr>
            </w:pPr>
          </w:p>
        </w:tc>
        <w:tc>
          <w:tcPr>
            <w:tcW w:w="7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1"/>
                <w:szCs w:val="11"/>
                <w:color w:val="auto"/>
              </w:rPr>
            </w:pPr>
          </w:p>
        </w:tc>
        <w:tc>
          <w:tcPr>
            <w:tcW w:w="840" w:type="dxa"/>
            <w:vAlign w:val="bottom"/>
            <w:gridSpan w:val="2"/>
          </w:tcPr>
          <w:p>
            <w:pPr>
              <w:jc w:val="center"/>
              <w:ind w:right="98"/>
              <w:spacing w:after="0" w:line="129"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98"/>
              <w:spacing w:after="0" w:line="12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820" w:type="dxa"/>
            <w:vAlign w:val="bottom"/>
          </w:tcPr>
          <w:p>
            <w:pPr>
              <w:jc w:val="center"/>
              <w:ind w:left="207"/>
              <w:spacing w:after="0" w:line="129"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Value at</w:t>
            </w:r>
          </w:p>
        </w:tc>
        <w:tc>
          <w:tcPr>
            <w:tcW w:w="2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Additions</w:t>
            </w:r>
          </w:p>
        </w:tc>
        <w:tc>
          <w:tcPr>
            <w:tcW w:w="140" w:type="dxa"/>
            <w:vAlign w:val="bottom"/>
          </w:tcPr>
          <w:p>
            <w:pPr>
              <w:spacing w:after="0"/>
              <w:rPr>
                <w:sz w:val="12"/>
                <w:szCs w:val="12"/>
                <w:color w:val="auto"/>
              </w:rPr>
            </w:pPr>
          </w:p>
        </w:tc>
        <w:tc>
          <w:tcPr>
            <w:tcW w:w="84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6"/>
              </w:rPr>
              <w:t>Reductions</w:t>
            </w:r>
          </w:p>
        </w:tc>
        <w:tc>
          <w:tcPr>
            <w:tcW w:w="12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820" w:type="dxa"/>
            <w:vAlign w:val="bottom"/>
          </w:tcPr>
          <w:p>
            <w:pPr>
              <w:jc w:val="center"/>
              <w:ind w:left="207"/>
              <w:spacing w:after="0" w:line="149" w:lineRule="exact"/>
              <w:rPr>
                <w:sz w:val="20"/>
                <w:szCs w:val="20"/>
                <w:color w:val="auto"/>
              </w:rPr>
            </w:pPr>
            <w:r>
              <w:rPr>
                <w:rFonts w:ascii="Arial" w:cs="Arial" w:eastAsia="Arial" w:hAnsi="Arial"/>
                <w:sz w:val="14"/>
                <w:szCs w:val="14"/>
                <w:b w:val="1"/>
                <w:bCs w:val="1"/>
                <w:color w:val="auto"/>
                <w:w w:val="85"/>
              </w:rPr>
              <w:t>Value at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Realized</w:t>
            </w:r>
          </w:p>
        </w:tc>
        <w:tc>
          <w:tcPr>
            <w:tcW w:w="16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Dividend</w:t>
            </w:r>
          </w:p>
        </w:tc>
        <w:tc>
          <w:tcPr>
            <w:tcW w:w="160" w:type="dxa"/>
            <w:vAlign w:val="bottom"/>
          </w:tcPr>
          <w:p>
            <w:pPr>
              <w:spacing w:after="0"/>
              <w:rPr>
                <w:sz w:val="12"/>
                <w:szCs w:val="12"/>
                <w:color w:val="auto"/>
              </w:rPr>
            </w:pP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2980" w:type="dxa"/>
            <w:vAlign w:val="bottom"/>
            <w:gridSpan w:val="2"/>
            <w:vMerge w:val="continue"/>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 2011</w:t>
            </w:r>
          </w:p>
        </w:tc>
        <w:tc>
          <w:tcPr>
            <w:tcW w:w="28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840" w:type="dxa"/>
            <w:vAlign w:val="bottom"/>
            <w:gridSpan w:val="2"/>
          </w:tcPr>
          <w:p>
            <w:pPr>
              <w:jc w:val="center"/>
              <w:ind w:right="98"/>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260" w:type="dxa"/>
            <w:vAlign w:val="bottom"/>
          </w:tcPr>
          <w:p>
            <w:pPr>
              <w:spacing w:after="0"/>
              <w:rPr>
                <w:sz w:val="14"/>
                <w:szCs w:val="14"/>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0"/>
        </w:trPr>
        <w:tc>
          <w:tcPr>
            <w:tcW w:w="2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AFS Technologies, Inc. (c)</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42,663</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15,990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(58,316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ind w:right="647"/>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$ 1,231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42,663</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15,990</w:t>
            </w:r>
          </w:p>
        </w:tc>
        <w:tc>
          <w:tcPr>
            <w:tcW w:w="98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(58,316)</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(337)</w:t>
            </w:r>
          </w:p>
        </w:tc>
        <w:tc>
          <w:tcPr>
            <w:tcW w:w="940" w:type="dxa"/>
            <w:vAlign w:val="bottom"/>
            <w:gridSpan w:val="2"/>
          </w:tcPr>
          <w:p>
            <w:pPr>
              <w:jc w:val="center"/>
              <w:ind w:right="527"/>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80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89"/>
              </w:rPr>
              <w:t>$ 1,231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ind w:left="460" w:right="5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connection with the redemption of the Company’s preferred equity investment, AFS Technologies, Inc. was no longer an affiliated company as of December 31, 2012.</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Nine Months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Ended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September 30, 2013</w:t>
            </w:r>
          </w:p>
        </w:tc>
        <w:tc>
          <w:tcPr>
            <w:tcW w:w="1580" w:type="dxa"/>
            <w:vAlign w:val="bottom"/>
            <w:gridSpan w:val="4"/>
          </w:tcPr>
          <w:p>
            <w:pPr>
              <w:ind w:left="34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40,508</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realized gains</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tcPr>
          <w:p>
            <w:pPr>
              <w:spacing w:after="0"/>
              <w:rPr>
                <w:sz w:val="20"/>
                <w:szCs w:val="20"/>
                <w:color w:val="auto"/>
              </w:rPr>
            </w:pPr>
            <w:r>
              <w:rPr>
                <w:rFonts w:ascii="Arial" w:cs="Arial" w:eastAsia="Arial" w:hAnsi="Arial"/>
                <w:sz w:val="18"/>
                <w:szCs w:val="18"/>
                <w:b w:val="1"/>
                <w:bCs w:val="1"/>
                <w:color w:val="auto"/>
                <w:w w:val="92"/>
              </w:rPr>
              <w:t>Increase in Net Assets Resulting from Capital Share Transactions</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sold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(40,575)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09"/>
        </w:trPr>
        <w:tc>
          <w:tcPr>
            <w:tcW w:w="5220" w:type="dxa"/>
            <w:vAlign w:val="bottom"/>
          </w:tcPr>
          <w:p>
            <w:pPr>
              <w:ind w:left="440"/>
              <w:spacing w:after="0"/>
              <w:rPr>
                <w:sz w:val="20"/>
                <w:szCs w:val="20"/>
                <w:color w:val="auto"/>
              </w:rPr>
            </w:pPr>
            <w:r>
              <w:rPr>
                <w:rFonts w:ascii="Arial" w:cs="Arial" w:eastAsia="Arial" w:hAnsi="Arial"/>
                <w:sz w:val="18"/>
                <w:szCs w:val="18"/>
                <w:b w:val="1"/>
                <w:bCs w:val="1"/>
                <w:color w:val="auto"/>
              </w:rPr>
              <w:t>Increase in Net Assets Resulting from Capital Share</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640"/>
              <w:spacing w:after="0"/>
              <w:rPr>
                <w:sz w:val="20"/>
                <w:szCs w:val="20"/>
                <w:color w:val="auto"/>
              </w:rPr>
            </w:pPr>
            <w:r>
              <w:rPr>
                <w:rFonts w:ascii="Arial" w:cs="Arial" w:eastAsia="Arial" w:hAnsi="Arial"/>
                <w:sz w:val="18"/>
                <w:szCs w:val="18"/>
                <w:b w:val="1"/>
                <w:bCs w:val="1"/>
                <w:color w:val="auto"/>
              </w:rPr>
              <w:t>Transactions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479,803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Assets, End of Period</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561,089</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Undistributed Net Investment Income Included in Net Assets at</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20" w:type="dxa"/>
            <w:vAlign w:val="bottom"/>
          </w:tcPr>
          <w:p>
            <w:pPr>
              <w:ind w:left="220"/>
              <w:spacing w:after="0"/>
              <w:rPr>
                <w:sz w:val="20"/>
                <w:szCs w:val="20"/>
                <w:color w:val="auto"/>
              </w:rPr>
            </w:pPr>
            <w:r>
              <w:rPr>
                <w:rFonts w:ascii="Arial" w:cs="Arial" w:eastAsia="Arial" w:hAnsi="Arial"/>
                <w:sz w:val="18"/>
                <w:szCs w:val="18"/>
                <w:b w:val="1"/>
                <w:bCs w:val="1"/>
                <w:color w:val="auto"/>
              </w:rPr>
              <w:t>the End of the Period</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(1,083)</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2"/>
              </w:rPr>
              <w:t>Nine Months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September 30, 2013</w:t>
            </w:r>
          </w:p>
        </w:tc>
        <w:tc>
          <w:tcPr>
            <w:tcW w:w="4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45,927</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increase in net assets resulting from operations to net cash used in operating</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Net change in unrealized gains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(4,004)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Realized gains on foreign currency forward contracts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1,514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(432,428)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Proceeds from investments, net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46,357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on investments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164,250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Paid-in-kind interest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(2,061)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(722)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116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1,202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(1,891)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(186,185)</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Borrowings on revolving credit facilities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717,000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Payments on revolving credit facilities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(710,569)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56,857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 paid to stockholders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(17,858)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Debt issuance costs</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44,003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(142,182)</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161,825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19,643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178,291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Interest paid during the period</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6,263</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during the period</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40,575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Reinvestment of dividends during the period</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19,077</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receivable</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in thousands, unless otherwise indicated)</w:t>
      </w:r>
    </w:p>
    <w:p>
      <w:pPr>
        <w:spacing w:after="0" w:line="252" w:lineRule="exact"/>
        <w:rPr>
          <w:sz w:val="20"/>
          <w:szCs w:val="20"/>
          <w:color w:val="auto"/>
        </w:rPr>
      </w:pPr>
    </w:p>
    <w:p>
      <w:pPr>
        <w:ind w:right="828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TPG Specialty Lending, Inc. (collectively with its consolidated subsidiaries,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 is managed by TSL Advisers, LLC (the “Adviser”). On June 1, 2011, the Company formed a wholly-owned subsidiary, TC Lending, LLC, a Delaware limited liability company. On March 22, 2012, the Company formed a wholly-owned subsidiary, TPG SL SPV, LLC, a Delaware limited liability company.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financial statements should be read in conjunction with the Company’s consolidated financial statements and notes related thereto included in the Company’s Annual Report on Form 10-K for the year ended December 31, 2012, which was filed with the Securities and Exchange Commission (“SEC”) on March 15, 2013.</w:t>
      </w:r>
    </w:p>
    <w:p>
      <w:pPr>
        <w:spacing w:after="0" w:line="11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funding date which is generally the date of the binding commitment.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 the reversal of previously recorded unrealized gains or losses with respect to investments realized during the period.</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utilizes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Board considers the pricing indicated by the external event to corroborate its valuation.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each quarter, which includes, among other procedures,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a value for each investment to the Board.</w:t>
      </w:r>
    </w:p>
    <w:p>
      <w:pPr>
        <w:spacing w:after="0" w:line="9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debt and equity securities that were valued at fair value in good faith by the Board, the Board has engaged independent third-party valuation firms to perform certain limited procedures that the Board identified and requested them to perform. As of September 30, 2013, independent third-party valuation firms performed their procedures over substantially all of the Company’s investments. Upon completion of such limited procedures for the quarter ended September 30, 2013, the third-party valuation firms determined that the fair value, as determined by the Board, of those investments subjected to their limited procedures, was reasonable.</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(i.e., broker quotes), the Company subjects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0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9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including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value of investments, other assets and liabilities: at the spot exchange rate on the last business day of the period;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and sales of investments, income and expenses: at the rates of exchange prevailing on the respective dates of such transactions, income or expenses.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has elected to be treated as a RIC under the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1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In June 2013, the Financial Accounting Standards Board issued Accounting Standards Update (“ASU”) 2013-08,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Companies (Topic 946): Amendments to the Scope, Measurement, and Disclosure Requirements </w:t>
      </w:r>
      <w:r>
        <w:rPr>
          <w:rFonts w:ascii="Arial" w:cs="Arial" w:eastAsia="Arial" w:hAnsi="Arial"/>
          <w:sz w:val="18"/>
          <w:szCs w:val="18"/>
          <w:color w:val="auto"/>
        </w:rPr>
        <w:t>(“ASU 2013-08”). ASU 2013-08 amends the criteria that define</w:t>
      </w:r>
      <w:r>
        <w:rPr>
          <w:rFonts w:ascii="Arial" w:cs="Arial" w:eastAsia="Arial" w:hAnsi="Arial"/>
          <w:sz w:val="18"/>
          <w:szCs w:val="18"/>
          <w:i w:val="1"/>
          <w:iCs w:val="1"/>
          <w:color w:val="auto"/>
        </w:rPr>
        <w:t xml:space="preserve"> </w:t>
      </w:r>
      <w:r>
        <w:rPr>
          <w:rFonts w:ascii="Arial" w:cs="Arial" w:eastAsia="Arial" w:hAnsi="Arial"/>
          <w:sz w:val="18"/>
          <w:szCs w:val="18"/>
          <w:color w:val="auto"/>
        </w:rPr>
        <w:t>an investment company, clarifies the measurement guidance and requires certain additional disclosures. Public companies are required to apply ASU 2013-08 prospectively for interim and annual reporting periods beginning after December 15, 2013. The Company has evaluated the impact of the adoption of ASU 2013-08 on its financial statements and disclosures and determined the adoption of ASU 2013-08 will not have a material effect on the Company’s financial condition and results of operations.</w:t>
      </w:r>
    </w:p>
    <w:p>
      <w:pPr>
        <w:spacing w:after="0" w:line="219" w:lineRule="exact"/>
        <w:rPr>
          <w:sz w:val="20"/>
          <w:szCs w:val="20"/>
          <w:color w:val="auto"/>
        </w:rPr>
      </w:pPr>
    </w:p>
    <w:p>
      <w:pPr>
        <w:ind w:right="7880" w:firstLine="8"/>
        <w:spacing w:after="0" w:line="347" w:lineRule="auto"/>
        <w:tabs>
          <w:tab w:leader="none" w:pos="17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three and nine months ended September 30, 2013, the Company incurred expenses of $0.3 million and $0.9 million, respectively, for administrative services payable to the Adviser under the terms of the Administration Agreement. For the three and nine months ended September 30, 2012, the Company incurred expenses of $0.2 million and $0.7 million, respectively, for administrative services payable to the Adviser under the terms of the Administration Agreement.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November 5, 2013, the Board renewed the Administration Agreement which now remains in effect, unless earlier terminated as described below, for a period of one year from the date it was approved by the Board. The Administration Agreement may be terminated by either party without penalty upon at least 60 days’ written notice to the other party.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 person who is an officer, director or employee of the Adviser and who serves as a director of the Company receives any compensation from the Company for such services.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a percentage of time such individuals devote, on an estimated basis, to the business and affairs of the Company). Directors who are not affiliated with the Adviser receive compensation for their services and reimbursement of expenses incurred to attend meetings.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The Advisory Agreement was subsequently amended on December 12, 2011.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certain incentive fees (the “Incentive Fee”).</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Management Fees are payable quarterly in arrears and are prorated for any partial month or quarter.</w:t>
      </w:r>
    </w:p>
    <w:p>
      <w:pPr>
        <w:spacing w:after="0" w:line="14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For the three and nine months ended September 30, 2013, Management Fees were $3.4 million and $9.7 million, respectively. For the three and nine months ended September 30, 2012, Management Fees were $2.5 million and $6.1 million, respectively.</w:t>
      </w:r>
    </w:p>
    <w:p>
      <w:pPr>
        <w:spacing w:after="0" w:line="1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Until such time that the Company has an initial public offering of its Common Stock (an “IPO”), the Adviser has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For the three and nine months ended September 30, 2013, Management Fees of $1.9 million and $5.0 million, respectively, were waived. For the three and nine months ended September 30, 2012, Management Fees of $1.2 million and $2.4 million, respectively, were waived.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will equal 100% of the excess of pre-incentive fee net investment income in excess of a 1.5% quarterly hurdle rate until the Adviser has received 15% (17.5% subsequent to an IPO) of total net investment income for that quarter, and 15% (17.5% subsequent to an IPO) of all remaining pre-incentive fee net investment income for that quarter.</w:t>
      </w:r>
    </w:p>
    <w:p>
      <w:pPr>
        <w:spacing w:after="0" w:line="25" w:lineRule="exact"/>
        <w:rPr>
          <w:rFonts w:ascii="Arial" w:cs="Arial" w:eastAsia="Arial" w:hAnsi="Arial"/>
          <w:sz w:val="16"/>
          <w:szCs w:val="16"/>
          <w:color w:val="auto"/>
        </w:rPr>
      </w:pPr>
    </w:p>
    <w:p>
      <w:pPr>
        <w:ind w:left="900" w:right="40" w:hanging="446"/>
        <w:spacing w:after="0" w:line="290"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 IPO, equal 15% of cumulative realized capital gains from the inception of the Company to the end of such fiscal year, less cumulative realized capital losses, unrealized capital depreciation and net of the aggregate amount of any previously paid capital gain incentive fees for prior periods (the “Capital Gains Fee”). Following an IPO, the Capital Gains Fee will equal a weighted percentage of the Company’s realized capital gains, if any, on a cumulative basis as between the inception of the Company to an IPO and from such IPO to the end of such fiscal year. The weighted percentage is intended to ensure that for each fiscal year following an IPO, the portion of the Company’s realized capital gains that accrued prior to an IPO will be subject to an incentive fee rate of 15% and the portion of the Company’s realized capital gains that accrued following an IPO will be subject to an incentive fee rate of 17.5%.</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Notwithstanding the forgoing, if prior to an IPO,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accrues Incentive Fees taking into account unrealized gains and losses; however, Section 205(b)(3) of the Investment Advisers Act of 1940, as amended, prohibits the Adviser from receiving the payment of fees until such gains are realized. There can be no assurance that such unrealized gains will be realized in the future.</w:t>
      </w:r>
    </w:p>
    <w:p>
      <w:pPr>
        <w:spacing w:after="0" w:line="14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the three and nine months ended September 30, 2013, Incentive Fees were $2.9 million and $8.1 million, respectively, of which $2.6 million and $7.3 million, respectively, were realized and payable to the Adviser. For the three and nine months ended September 30, 2012, Incentive Fees were $2.4 million and $4.8 million, respectively, of which $1.5 million and $3.3 million, respectively, were realized and payable to the Adviser.</w:t>
      </w:r>
    </w:p>
    <w:p>
      <w:pPr>
        <w:spacing w:after="0" w:line="10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November 5, 2013, the Board renewed the Advisory Agreement which now remains in effect, unless earlier terminated as described below, for a period of one year from the date it was approved by the Board. The Advisory Agreement will automatically terminate in the event of an assignment and may be terminated by either party without penalty upon at least 60 days’ written notice to the other party.</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 Expenses incurred by the Adviser on behalf of the Company for the three and nine months ended September 30, 2013, were $1.2 million and $3.4 million, respectively. Expenses incurred by the Adviser on behalf of the Company for the three and nine months ended September 30, 2012, were $0.9 million and $2.6 million,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(as defined under the 1940 Act).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(as defined under the 1940 Act). Detailed information with respect to the Company’s non-controlled, non-affiliated; non-controlled, affiliated; and controlled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Amortized Cost (1)</w:t>
            </w:r>
          </w:p>
        </w:tc>
        <w:tc>
          <w:tcPr>
            <w:tcW w:w="5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3"/>
              </w:rPr>
              <w:t>Gains (Losses)</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871,800</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$887,610</w:t>
            </w:r>
          </w:p>
        </w:tc>
        <w:tc>
          <w:tcPr>
            <w:tcW w:w="40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15,810</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780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00" w:type="dxa"/>
            <w:vAlign w:val="bottom"/>
            <w:tcBorders>
              <w:lef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874,580</w:t>
            </w:r>
          </w:p>
        </w:tc>
        <w:tc>
          <w:tcPr>
            <w:tcW w:w="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889,330</w:t>
            </w:r>
          </w:p>
        </w:tc>
        <w:tc>
          <w:tcPr>
            <w:tcW w:w="40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2012</w:t>
            </w: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9"/>
              </w:rPr>
              <w:t>Amortized Cost (1)</w:t>
            </w:r>
          </w:p>
        </w:tc>
        <w:tc>
          <w:tcPr>
            <w:tcW w:w="5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642,421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$651,944</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Common equity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644,421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400" w:type="dxa"/>
            <w:vAlign w:val="bottom"/>
            <w:tcBorders>
              <w:lef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580" w:hanging="572"/>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4"/>
              </w:rPr>
              <w:t>September 30, 2013</w:t>
            </w:r>
          </w:p>
        </w:tc>
        <w:tc>
          <w:tcPr>
            <w:tcW w:w="620" w:type="dxa"/>
            <w:vAlign w:val="bottom"/>
          </w:tcPr>
          <w:p>
            <w:pPr>
              <w:spacing w:after="0"/>
              <w:rPr>
                <w:sz w:val="14"/>
                <w:szCs w:val="14"/>
                <w:color w:val="auto"/>
              </w:rPr>
            </w:pP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w:t>
            </w:r>
          </w:p>
        </w:tc>
        <w:tc>
          <w:tcPr>
            <w:tcW w:w="50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Automotive</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6.9%</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5.1%</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Business services</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14.2%</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Construction and building</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5.9%</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Containers and packaging</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Education</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Financial services</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10.0%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Healthcare and pharmaceutical</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15.5%</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8.0%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Human resource support services</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Insurance</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Office products</w:t>
            </w:r>
          </w:p>
        </w:tc>
        <w:tc>
          <w:tcPr>
            <w:tcW w:w="3160" w:type="dxa"/>
            <w:vAlign w:val="bottom"/>
            <w:gridSpan w:val="3"/>
          </w:tcPr>
          <w:p>
            <w:pPr>
              <w:jc w:val="right"/>
              <w:ind w:right="480"/>
              <w:spacing w:after="0"/>
              <w:rPr>
                <w:sz w:val="20"/>
                <w:szCs w:val="20"/>
                <w:color w:val="auto"/>
              </w:rPr>
            </w:pPr>
            <w:r>
              <w:rPr>
                <w:rFonts w:ascii="Arial" w:cs="Arial" w:eastAsia="Arial" w:hAnsi="Arial"/>
                <w:sz w:val="18"/>
                <w:szCs w:val="18"/>
                <w:color w:val="auto"/>
              </w:rPr>
              <w:t>2.3%</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Oil, gas, and consumable fuels</w:t>
            </w:r>
          </w:p>
        </w:tc>
        <w:tc>
          <w:tcPr>
            <w:tcW w:w="3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Transportation</w:t>
            </w:r>
          </w:p>
        </w:tc>
        <w:tc>
          <w:tcPr>
            <w:tcW w:w="140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as of September 30, 2013 and December 31, 2012,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September 30, 2013</w:t>
            </w:r>
          </w:p>
        </w:tc>
        <w:tc>
          <w:tcPr>
            <w:tcW w:w="1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96"/>
        </w:trPr>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3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Midwest</w:t>
            </w:r>
          </w:p>
        </w:tc>
        <w:tc>
          <w:tcPr>
            <w:tcW w:w="4140" w:type="dxa"/>
            <w:vAlign w:val="bottom"/>
            <w:gridSpan w:val="3"/>
          </w:tcPr>
          <w:p>
            <w:pPr>
              <w:jc w:val="right"/>
              <w:ind w:right="480"/>
              <w:spacing w:after="0"/>
              <w:rPr>
                <w:sz w:val="20"/>
                <w:szCs w:val="20"/>
                <w:color w:val="auto"/>
              </w:rPr>
            </w:pPr>
            <w:r>
              <w:rPr>
                <w:rFonts w:ascii="Arial" w:cs="Arial" w:eastAsia="Arial" w:hAnsi="Arial"/>
                <w:sz w:val="18"/>
                <w:szCs w:val="18"/>
                <w:color w:val="auto"/>
              </w:rPr>
              <w:t>16.5%</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Northeast</w:t>
            </w:r>
          </w:p>
        </w:tc>
        <w:tc>
          <w:tcPr>
            <w:tcW w:w="4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740" w:type="dxa"/>
            <w:vAlign w:val="bottom"/>
          </w:tcPr>
          <w:p>
            <w:pPr>
              <w:ind w:left="440"/>
              <w:spacing w:after="0"/>
              <w:rPr>
                <w:sz w:val="20"/>
                <w:szCs w:val="20"/>
                <w:color w:val="auto"/>
              </w:rPr>
            </w:pPr>
            <w:r>
              <w:rPr>
                <w:rFonts w:ascii="Arial" w:cs="Arial" w:eastAsia="Arial" w:hAnsi="Arial"/>
                <w:sz w:val="18"/>
                <w:szCs w:val="18"/>
                <w:color w:val="auto"/>
              </w:rPr>
              <w:t>South</w:t>
            </w:r>
          </w:p>
        </w:tc>
        <w:tc>
          <w:tcPr>
            <w:tcW w:w="4140" w:type="dxa"/>
            <w:vAlign w:val="bottom"/>
            <w:gridSpan w:val="3"/>
          </w:tcPr>
          <w:p>
            <w:pPr>
              <w:jc w:val="right"/>
              <w:ind w:right="480"/>
              <w:spacing w:after="0"/>
              <w:rPr>
                <w:sz w:val="20"/>
                <w:szCs w:val="20"/>
                <w:color w:val="auto"/>
              </w:rPr>
            </w:pPr>
            <w:r>
              <w:rPr>
                <w:rFonts w:ascii="Arial" w:cs="Arial" w:eastAsia="Arial" w:hAnsi="Arial"/>
                <w:sz w:val="18"/>
                <w:szCs w:val="18"/>
                <w:color w:val="auto"/>
              </w:rPr>
              <w:t>25.4%</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West</w:t>
            </w:r>
          </w:p>
        </w:tc>
        <w:tc>
          <w:tcPr>
            <w:tcW w:w="41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Europe</w:t>
            </w:r>
          </w:p>
        </w:tc>
        <w:tc>
          <w:tcPr>
            <w:tcW w:w="2380" w:type="dxa"/>
            <w:vAlign w:val="bottom"/>
          </w:tcPr>
          <w:p>
            <w:pPr>
              <w:spacing w:after="0"/>
              <w:rPr>
                <w:sz w:val="18"/>
                <w:szCs w:val="18"/>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23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380" w:type="dxa"/>
            <w:vAlign w:val="bottom"/>
            <w:vMerge w:val="restart"/>
          </w:tcPr>
          <w:p>
            <w:pPr>
              <w:jc w:val="right"/>
              <w:ind w:right="616"/>
              <w:spacing w:after="0"/>
              <w:rPr>
                <w:sz w:val="20"/>
                <w:szCs w:val="20"/>
                <w:color w:val="auto"/>
              </w:rPr>
            </w:pPr>
            <w:r>
              <w:rPr>
                <w:rFonts w:ascii="Arial" w:cs="Arial" w:eastAsia="Arial" w:hAnsi="Arial"/>
                <w:sz w:val="18"/>
                <w:szCs w:val="18"/>
                <w:color w:val="auto"/>
              </w:rPr>
              <w:t>18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74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160" w:firstLine="8"/>
        <w:spacing w:after="0" w:line="444" w:lineRule="auto"/>
        <w:tabs>
          <w:tab w:leader="none" w:pos="176"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w:t>
      </w:r>
      <w:r>
        <w:rPr>
          <w:rFonts w:ascii="Arial" w:cs="Arial" w:eastAsia="Arial" w:hAnsi="Arial"/>
          <w:sz w:val="16"/>
          <w:szCs w:val="16"/>
          <w:i w:val="1"/>
          <w:iCs w:val="1"/>
          <w:color w:val="auto"/>
        </w:rPr>
        <w:t>Foreign Currency</w:t>
      </w:r>
    </w:p>
    <w:p>
      <w:pPr>
        <w:spacing w:after="0" w:line="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approximately one month. The volume of open contracts at the end of each reporting period is reflective of the typical volume of transactions during each month.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During the three and nine months ended September 30, 2013, we entered into foreign currency forward contracts related to our investments in Jeeves Information Systems AB (SEK) and Soho House Bond Ltd. (GBP).</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details of open foreign currency forward contracts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4"/>
              </w:rPr>
              <w:t>Unrealized</w:t>
            </w:r>
          </w:p>
        </w:tc>
        <w:tc>
          <w:tcPr>
            <w:tcW w:w="0" w:type="dxa"/>
            <w:vAlign w:val="bottom"/>
          </w:tcPr>
          <w:p>
            <w:pPr>
              <w:spacing w:after="0"/>
              <w:rPr>
                <w:sz w:val="1"/>
                <w:szCs w:val="1"/>
                <w:color w:val="auto"/>
              </w:rPr>
            </w:pPr>
          </w:p>
        </w:tc>
      </w:tr>
      <w:tr>
        <w:trPr>
          <w:trHeight w:val="149"/>
        </w:trPr>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92"/>
              </w:rPr>
              <w:t>Foreign Currency</w:t>
            </w:r>
          </w:p>
        </w:tc>
        <w:tc>
          <w:tcPr>
            <w:tcW w:w="250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86"/>
              </w:rPr>
              <w:t>Amount (in ‘000s)</w:t>
            </w:r>
          </w:p>
        </w:tc>
        <w:tc>
          <w:tcPr>
            <w:tcW w:w="14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USD Value at</w:t>
            </w:r>
          </w:p>
        </w:tc>
        <w:tc>
          <w:tcPr>
            <w:tcW w:w="120" w:type="dxa"/>
            <w:vAlign w:val="bottom"/>
          </w:tcPr>
          <w:p>
            <w:pPr>
              <w:spacing w:after="0"/>
              <w:rPr>
                <w:sz w:val="12"/>
                <w:szCs w:val="12"/>
                <w:color w:val="auto"/>
              </w:rPr>
            </w:pPr>
          </w:p>
        </w:tc>
        <w:tc>
          <w:tcPr>
            <w:tcW w:w="1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USD Value at</w:t>
            </w:r>
          </w:p>
        </w:tc>
        <w:tc>
          <w:tcPr>
            <w:tcW w:w="9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0" w:type="dxa"/>
            <w:vAlign w:val="bottom"/>
          </w:tcPr>
          <w:p>
            <w:pPr>
              <w:spacing w:after="0"/>
              <w:rPr>
                <w:sz w:val="1"/>
                <w:szCs w:val="1"/>
                <w:color w:val="auto"/>
              </w:rPr>
            </w:pPr>
          </w:p>
        </w:tc>
      </w:tr>
      <w:tr>
        <w:trPr>
          <w:trHeight w:val="168"/>
        </w:trPr>
        <w:tc>
          <w:tcPr>
            <w:tcW w:w="1100" w:type="dxa"/>
            <w:vAlign w:val="bottom"/>
            <w:tcBorders>
              <w:bottom w:val="single" w:sz="8" w:color="auto"/>
            </w:tcBorders>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176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Settlement Date</w:t>
            </w:r>
          </w:p>
        </w:tc>
        <w:tc>
          <w:tcPr>
            <w:tcW w:w="208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w w:val="90"/>
              </w:rPr>
              <w:t>and Transaction</w:t>
            </w:r>
          </w:p>
        </w:tc>
        <w:tc>
          <w:tcPr>
            <w:tcW w:w="14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Settlement Date</w:t>
            </w:r>
          </w:p>
        </w:tc>
        <w:tc>
          <w:tcPr>
            <w:tcW w:w="16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September 30, 2013</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7"/>
              </w:rPr>
              <w:t>(Depreciation)</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Swedish Kronor (SEK)</w:t>
            </w:r>
          </w:p>
        </w:tc>
        <w:tc>
          <w:tcPr>
            <w:tcW w:w="12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October 17, 2013</w:t>
            </w:r>
          </w:p>
        </w:tc>
        <w:tc>
          <w:tcPr>
            <w:tcW w:w="4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193,326 sold</w:t>
            </w:r>
          </w:p>
        </w:tc>
        <w:tc>
          <w:tcPr>
            <w:tcW w:w="10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7"/>
              </w:rPr>
              <w:t>(28,949)</w:t>
            </w: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w w:val="77"/>
              </w:rPr>
              <w:t>(30,088)</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(1,139)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British Pound (GBP)</w:t>
            </w: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October 17, 2013</w:t>
            </w:r>
          </w:p>
        </w:tc>
        <w:tc>
          <w:tcPr>
            <w:tcW w:w="2080" w:type="dxa"/>
            <w:vAlign w:val="bottom"/>
            <w:gridSpan w:val="2"/>
          </w:tcPr>
          <w:p>
            <w:pPr>
              <w:jc w:val="right"/>
              <w:ind w:right="1040"/>
              <w:spacing w:after="0"/>
              <w:rPr>
                <w:sz w:val="20"/>
                <w:szCs w:val="20"/>
                <w:color w:val="auto"/>
              </w:rPr>
            </w:pPr>
            <w:r>
              <w:rPr>
                <w:rFonts w:ascii="Arial" w:cs="Arial" w:eastAsia="Arial" w:hAnsi="Arial"/>
                <w:sz w:val="18"/>
                <w:szCs w:val="18"/>
                <w:color w:val="auto"/>
              </w:rPr>
              <w:t>7,000 sold</w:t>
            </w:r>
          </w:p>
        </w:tc>
        <w:tc>
          <w:tcPr>
            <w:tcW w:w="24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(11,251)</w:t>
            </w:r>
          </w:p>
        </w:tc>
        <w:tc>
          <w:tcPr>
            <w:tcW w:w="120" w:type="dxa"/>
            <w:vAlign w:val="bottom"/>
          </w:tcPr>
          <w:p>
            <w:pPr>
              <w:spacing w:after="0"/>
              <w:rPr>
                <w:sz w:val="18"/>
                <w:szCs w:val="18"/>
                <w:color w:val="auto"/>
              </w:rPr>
            </w:pPr>
          </w:p>
        </w:tc>
        <w:tc>
          <w:tcPr>
            <w:tcW w:w="1500" w:type="dxa"/>
            <w:vAlign w:val="bottom"/>
            <w:gridSpan w:val="2"/>
          </w:tcPr>
          <w:p>
            <w:pPr>
              <w:ind w:left="480"/>
              <w:spacing w:after="0"/>
              <w:rPr>
                <w:sz w:val="20"/>
                <w:szCs w:val="20"/>
                <w:color w:val="auto"/>
              </w:rPr>
            </w:pPr>
            <w:r>
              <w:rPr>
                <w:rFonts w:ascii="Arial" w:cs="Arial" w:eastAsia="Arial" w:hAnsi="Arial"/>
                <w:sz w:val="18"/>
                <w:szCs w:val="18"/>
                <w:color w:val="auto"/>
              </w:rPr>
              <w:t>(11,335)</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(40,200)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open foreign currency forward contracts as of December 31, 2012.</w:t>
      </w:r>
    </w:p>
    <w:p>
      <w:pPr>
        <w:spacing w:after="0" w:line="246" w:lineRule="exact"/>
        <w:rPr>
          <w:sz w:val="20"/>
          <w:szCs w:val="20"/>
          <w:color w:val="auto"/>
        </w:rPr>
      </w:pPr>
    </w:p>
    <w:p>
      <w:pPr>
        <w:ind w:right="8280" w:firstLine="8"/>
        <w:spacing w:after="0" w:line="444" w:lineRule="auto"/>
        <w:tabs>
          <w:tab w:leader="none" w:pos="176"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i w:val="1"/>
          <w:iCs w:val="1"/>
          <w:color w:val="auto"/>
        </w:rPr>
        <w:t>Financial Instruments Carried at Fair Value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fair value measurements for Investments at fair value and foreign currency forward contracts based on the inputs used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90"/>
              </w:rPr>
              <w:t>Fair Value Hierarchy at September 30, 2013</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6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Level 3</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$53,559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$834,051</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$887,610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292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29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92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53,559</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835,771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889,330</w:t>
            </w:r>
          </w:p>
        </w:tc>
        <w:tc>
          <w:tcPr>
            <w:tcW w:w="0" w:type="dxa"/>
            <w:vAlign w:val="bottom"/>
          </w:tcPr>
          <w:p>
            <w:pPr>
              <w:spacing w:after="0"/>
              <w:rPr>
                <w:sz w:val="1"/>
                <w:szCs w:val="1"/>
                <w:color w:val="auto"/>
              </w:rPr>
            </w:pP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9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29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3340" w:type="dxa"/>
            <w:vAlign w:val="bottom"/>
            <w:gridSpan w:val="2"/>
          </w:tcPr>
          <w:p>
            <w:pPr>
              <w:jc w:val="right"/>
              <w:ind w:right="17"/>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52,336</w:t>
            </w: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835,771</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888,107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w w:val="90"/>
              </w:rPr>
              <w:t>Fair Value Hierarchy at December 31, 2012</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Level 2</w:t>
            </w:r>
          </w:p>
        </w:tc>
        <w:tc>
          <w:tcPr>
            <w:tcW w:w="66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Level 3</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9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$84,650</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$567,294</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$651,944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Common equity</w:t>
            </w:r>
          </w:p>
        </w:tc>
        <w:tc>
          <w:tcPr>
            <w:tcW w:w="2920" w:type="dxa"/>
            <w:vAlign w:val="bottom"/>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33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84,650</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569,294</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653,944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920" w:type="dxa"/>
            <w:vAlign w:val="bottom"/>
            <w:vMerge w:val="restart"/>
          </w:tcPr>
          <w:p>
            <w:pPr>
              <w:jc w:val="right"/>
              <w:ind w:right="1472"/>
              <w:spacing w:after="0"/>
              <w:rPr>
                <w:sz w:val="20"/>
                <w:szCs w:val="20"/>
                <w:color w:val="auto"/>
              </w:rPr>
            </w:pPr>
            <w:r>
              <w:rPr>
                <w:rFonts w:ascii="Arial" w:cs="Arial" w:eastAsia="Arial" w:hAnsi="Arial"/>
                <w:sz w:val="18"/>
                <w:szCs w:val="18"/>
                <w:color w:val="auto"/>
              </w:rPr>
              <w:t>19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9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tables present changes in Investments at fair value that use Level 3 inputs as of and for the three and nine months ended September 30, 2013:</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As of and for the Three</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2013</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Preferred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Debt</w:t>
            </w:r>
          </w:p>
        </w:tc>
        <w:tc>
          <w:tcPr>
            <w:tcW w:w="3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Equity /</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Investments</w:t>
            </w:r>
          </w:p>
        </w:tc>
        <w:tc>
          <w:tcPr>
            <w:tcW w:w="3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Mezzanine</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$ 744,206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$ 1,244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$ 745,450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146,192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146,972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(60,965)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(60,965)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808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808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00" w:type="dxa"/>
            <w:vAlign w:val="bottom"/>
          </w:tcPr>
          <w:p>
            <w:pPr>
              <w:spacing w:after="0"/>
              <w:rPr>
                <w:sz w:val="19"/>
                <w:szCs w:val="19"/>
                <w:color w:val="auto"/>
              </w:rPr>
            </w:pPr>
          </w:p>
        </w:tc>
      </w:tr>
      <w:tr>
        <w:trPr>
          <w:trHeight w:val="216"/>
        </w:trPr>
        <w:tc>
          <w:tcPr>
            <w:tcW w:w="51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$ 834,051</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$ 835,771</w:t>
            </w: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6"/>
              </w:rPr>
              <w:t>As of and for the Nine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7"/>
              </w:rPr>
              <w:t>Months Ended September 30, 2013</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Preferred</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Debt</w:t>
            </w:r>
          </w:p>
        </w:tc>
        <w:tc>
          <w:tcPr>
            <w:tcW w:w="32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Equity /</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5"/>
              </w:rPr>
              <w:t>Investments</w:t>
            </w:r>
          </w:p>
        </w:tc>
        <w:tc>
          <w:tcPr>
            <w:tcW w:w="32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Equity</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Mezzanine</w:t>
            </w:r>
          </w:p>
        </w:tc>
        <w:tc>
          <w:tcPr>
            <w:tcW w:w="22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$ 567,294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$ 2,000</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$ 569,294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Purchases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389,756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390,536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(30,615)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(30,615)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9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(132,988)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(132,988)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2,060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4,241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(1,060)</w:t>
            </w:r>
          </w:p>
        </w:tc>
        <w:tc>
          <w:tcPr>
            <w:tcW w:w="8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3,181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4,235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4,235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3</w:t>
            </w:r>
          </w:p>
        </w:tc>
        <w:tc>
          <w:tcPr>
            <w:tcW w:w="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29,926</w:t>
            </w:r>
          </w:p>
        </w:tc>
        <w:tc>
          <w:tcPr>
            <w:tcW w:w="100" w:type="dxa"/>
            <w:vAlign w:val="bottom"/>
            <w:shd w:val="clear" w:color="auto" w:fill="CCEEFF"/>
          </w:tcPr>
          <w:p>
            <w:pPr>
              <w:spacing w:after="0"/>
              <w:rPr>
                <w:sz w:val="18"/>
                <w:szCs w:val="18"/>
                <w:color w:val="auto"/>
              </w:rPr>
            </w:pPr>
          </w:p>
        </w:tc>
      </w:tr>
      <w:tr>
        <w:trPr>
          <w:trHeight w:val="222"/>
        </w:trPr>
        <w:tc>
          <w:tcPr>
            <w:tcW w:w="5100" w:type="dxa"/>
            <w:vAlign w:val="bottom"/>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$ 834,051</w:t>
            </w:r>
          </w:p>
        </w:tc>
        <w:tc>
          <w:tcPr>
            <w:tcW w:w="24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780</w:t>
            </w:r>
          </w:p>
        </w:tc>
        <w:tc>
          <w:tcPr>
            <w:tcW w:w="34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$ 835,771</w:t>
            </w: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Consona Holdings, Inc. transferred into Level 3 during the three months ended June 30, 2013, as a result of changes in the observability of inputs into its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changes in Investments at fair value that use Level 3 inputs as of and for the three and nine months ended September 30, 2012:</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As of and for the Three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Months Ended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Preferred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Debt</w:t>
            </w:r>
          </w:p>
        </w:tc>
        <w:tc>
          <w:tcPr>
            <w:tcW w:w="560" w:type="dxa"/>
            <w:vAlign w:val="bottom"/>
          </w:tcPr>
          <w:p>
            <w:pPr>
              <w:spacing w:after="0"/>
              <w:rPr>
                <w:sz w:val="12"/>
                <w:szCs w:val="12"/>
                <w:color w:val="auto"/>
              </w:rPr>
            </w:pPr>
          </w:p>
        </w:tc>
        <w:tc>
          <w:tcPr>
            <w:tcW w:w="16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Equity/Mezzanine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Investments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8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$ 394,598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w:t>
            </w:r>
          </w:p>
        </w:tc>
        <w:tc>
          <w:tcPr>
            <w:tcW w:w="2700" w:type="dxa"/>
            <w:vAlign w:val="bottom"/>
            <w:gridSpan w:val="3"/>
          </w:tcPr>
          <w:p>
            <w:pPr>
              <w:jc w:val="right"/>
              <w:ind w:right="120"/>
              <w:spacing w:after="0"/>
              <w:rPr>
                <w:sz w:val="20"/>
                <w:szCs w:val="20"/>
                <w:color w:val="auto"/>
              </w:rPr>
            </w:pPr>
            <w:r>
              <w:rPr>
                <w:rFonts w:ascii="Arial" w:cs="Arial" w:eastAsia="Arial" w:hAnsi="Arial"/>
                <w:sz w:val="18"/>
                <w:szCs w:val="18"/>
                <w:color w:val="auto"/>
              </w:rPr>
              <w:t>116,051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116,051</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Repayments / redemptions</w:t>
            </w:r>
          </w:p>
        </w:tc>
        <w:tc>
          <w:tcPr>
            <w:tcW w:w="2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(45,742)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(45,742)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Paid-in-kind interest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950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5,179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8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$ 471,200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80" w:type="dxa"/>
            <w:vAlign w:val="bottom"/>
            <w:vMerge w:val="restart"/>
          </w:tcPr>
          <w:p>
            <w:pPr>
              <w:jc w:val="right"/>
              <w:ind w:right="732"/>
              <w:spacing w:after="0"/>
              <w:rPr>
                <w:sz w:val="20"/>
                <w:szCs w:val="20"/>
                <w:color w:val="auto"/>
              </w:rPr>
            </w:pPr>
            <w:r>
              <w:rPr>
                <w:rFonts w:ascii="Arial" w:cs="Arial" w:eastAsia="Arial" w:hAnsi="Arial"/>
                <w:sz w:val="18"/>
                <w:szCs w:val="18"/>
                <w:color w:val="auto"/>
              </w:rPr>
              <w:t>20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As of and for the Nine</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Months Ended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9"/>
              </w:rPr>
              <w:t>Preferred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Debt</w:t>
            </w:r>
          </w:p>
        </w:tc>
        <w:tc>
          <w:tcPr>
            <w:tcW w:w="540" w:type="dxa"/>
            <w:vAlign w:val="bottom"/>
          </w:tcPr>
          <w:p>
            <w:pPr>
              <w:spacing w:after="0"/>
              <w:rPr>
                <w:sz w:val="12"/>
                <w:szCs w:val="12"/>
                <w:color w:val="auto"/>
              </w:rPr>
            </w:pPr>
          </w:p>
        </w:tc>
        <w:tc>
          <w:tcPr>
            <w:tcW w:w="16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0"/>
              </w:rPr>
              <w:t>Investments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Investments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$ 174,348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$184,348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Purchases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414,992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414,987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(60,905)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(60,905)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(53,146)</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(53,146)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change in unrealized gains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Realized gains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2,181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(14,170)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$ 471,200</w:t>
            </w:r>
          </w:p>
        </w:tc>
        <w:tc>
          <w:tcPr>
            <w:tcW w:w="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58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481,200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Rare Restaurant Group, LLC transferred out of Level 3 during the three months ended March 31, 2012, as a result of changes in the observability of inputs into its valuation.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at fair value for the three and nine months ended September 30, 2013 and 2012 for which Level 3 inputs were used in determining fair value that are still held by the Company as of September 30, 2013 and 2012:</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 Change in Unrealized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860" w:type="dxa"/>
            <w:vAlign w:val="bottom"/>
            <w:gridSpan w:val="4"/>
          </w:tcPr>
          <w:p>
            <w:pPr>
              <w:jc w:val="center"/>
              <w:ind w:left="2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160" w:type="dxa"/>
            <w:vAlign w:val="bottom"/>
            <w:gridSpan w:val="4"/>
          </w:tcPr>
          <w:p>
            <w:pPr>
              <w:jc w:val="center"/>
              <w:ind w:left="1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38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the Three Months Ended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September 30, 2013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jc w:val="center"/>
              <w:ind w:right="1372"/>
              <w:spacing w:after="0"/>
              <w:rPr>
                <w:sz w:val="20"/>
                <w:szCs w:val="20"/>
                <w:color w:val="auto"/>
              </w:rPr>
            </w:pPr>
            <w:r>
              <w:rPr>
                <w:rFonts w:ascii="Arial" w:cs="Arial" w:eastAsia="Arial" w:hAnsi="Arial"/>
                <w:sz w:val="18"/>
                <w:szCs w:val="18"/>
                <w:color w:val="auto"/>
                <w:w w:val="87"/>
              </w:rPr>
              <w:t>investments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jc w:val="center"/>
              <w:ind w:right="1392"/>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1,861</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8"/>
              </w:rPr>
              <w:t>Net Change in Unrealized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Net Change in Unrealized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860" w:type="dxa"/>
            <w:vAlign w:val="bottom"/>
            <w:gridSpan w:val="4"/>
          </w:tcPr>
          <w:p>
            <w:pPr>
              <w:jc w:val="center"/>
              <w:ind w:left="20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2160" w:type="dxa"/>
            <w:vAlign w:val="bottom"/>
            <w:gridSpan w:val="4"/>
          </w:tcPr>
          <w:p>
            <w:pPr>
              <w:jc w:val="center"/>
              <w:ind w:left="182"/>
              <w:spacing w:after="0" w:line="149" w:lineRule="exact"/>
              <w:rPr>
                <w:sz w:val="20"/>
                <w:szCs w:val="20"/>
                <w:color w:val="auto"/>
              </w:rPr>
            </w:pPr>
            <w:r>
              <w:rPr>
                <w:rFonts w:ascii="Arial" w:cs="Arial" w:eastAsia="Arial" w:hAnsi="Arial"/>
                <w:sz w:val="14"/>
                <w:szCs w:val="14"/>
                <w:b w:val="1"/>
                <w:bCs w:val="1"/>
                <w:color w:val="auto"/>
                <w:w w:val="88"/>
              </w:rPr>
              <w:t>Appreciation or Depreciation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380" w:type="dxa"/>
            <w:vAlign w:val="bottom"/>
          </w:tcPr>
          <w:p>
            <w:pPr>
              <w:spacing w:after="0"/>
              <w:rPr>
                <w:sz w:val="12"/>
                <w:szCs w:val="12"/>
                <w:color w:val="auto"/>
              </w:rPr>
            </w:pPr>
          </w:p>
        </w:tc>
        <w:tc>
          <w:tcPr>
            <w:tcW w:w="1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for the Nine Months Ended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September 30, 2013 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 2012 on</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Investments Held at</w:t>
            </w: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September 30, 2013</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 2012</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jc w:val="center"/>
              <w:ind w:right="1372"/>
              <w:spacing w:after="0"/>
              <w:rPr>
                <w:sz w:val="20"/>
                <w:szCs w:val="20"/>
                <w:color w:val="auto"/>
              </w:rPr>
            </w:pPr>
            <w:r>
              <w:rPr>
                <w:rFonts w:ascii="Arial" w:cs="Arial" w:eastAsia="Arial" w:hAnsi="Arial"/>
                <w:sz w:val="18"/>
                <w:szCs w:val="18"/>
                <w:color w:val="auto"/>
                <w:w w:val="87"/>
              </w:rPr>
              <w:t>investments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jc w:val="center"/>
              <w:ind w:right="1392"/>
              <w:spacing w:after="0"/>
              <w:rPr>
                <w:sz w:val="20"/>
                <w:szCs w:val="20"/>
                <w:color w:val="auto"/>
              </w:rPr>
            </w:pPr>
            <w:r>
              <w:rPr>
                <w:rFonts w:ascii="Arial" w:cs="Arial" w:eastAsia="Arial" w:hAnsi="Arial"/>
                <w:sz w:val="18"/>
                <w:szCs w:val="18"/>
                <w:b w:val="1"/>
                <w:bCs w:val="1"/>
                <w:color w:val="auto"/>
                <w:w w:val="88"/>
              </w:rPr>
              <w:t>Total</w:t>
            </w: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74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5,354</w:t>
            </w:r>
          </w:p>
        </w:tc>
        <w:tc>
          <w:tcPr>
            <w:tcW w:w="4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jc w:val="right"/>
              <w:ind w:right="112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fair value of Level 3 Investments at fair value and the significant unobservable inputs used in the valuations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 and December 31,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87"/>
              </w:rPr>
              <w:t>September 30, 2013</w:t>
            </w:r>
          </w:p>
        </w:tc>
        <w:tc>
          <w:tcPr>
            <w:tcW w:w="2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Unobservable Input</w:t>
            </w:r>
          </w:p>
        </w:tc>
        <w:tc>
          <w:tcPr>
            <w:tcW w:w="2420" w:type="dxa"/>
            <w:vAlign w:val="bottom"/>
            <w:gridSpan w:val="2"/>
          </w:tcPr>
          <w:p>
            <w:pPr>
              <w:ind w:left="240"/>
              <w:spacing w:after="0"/>
              <w:rPr>
                <w:sz w:val="20"/>
                <w:szCs w:val="20"/>
                <w:color w:val="auto"/>
              </w:rPr>
            </w:pPr>
            <w:r>
              <w:rPr>
                <w:rFonts w:ascii="Arial" w:cs="Arial" w:eastAsia="Arial" w:hAnsi="Arial"/>
                <w:sz w:val="14"/>
                <w:szCs w:val="14"/>
                <w:b w:val="1"/>
                <w:bCs w:val="1"/>
                <w:color w:val="auto"/>
              </w:rPr>
              <w:t>Range (Weighted Average)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764,540</w:t>
            </w:r>
          </w:p>
        </w:tc>
        <w:tc>
          <w:tcPr>
            <w:tcW w:w="4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5.90% — 12.06% (10.01%)</w:t>
            </w: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Preferred equity / mezzanine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780</w:t>
            </w:r>
          </w:p>
        </w:tc>
        <w:tc>
          <w:tcPr>
            <w:tcW w:w="1660" w:type="dxa"/>
            <w:vAlign w:val="bottom"/>
          </w:tcPr>
          <w:p>
            <w:pPr>
              <w:spacing w:after="0"/>
              <w:rPr>
                <w:sz w:val="20"/>
                <w:szCs w:val="20"/>
                <w:color w:val="auto"/>
              </w:rPr>
            </w:pPr>
            <w:r>
              <w:rPr>
                <w:rFonts w:ascii="Arial" w:cs="Arial" w:eastAsia="Arial" w:hAnsi="Arial"/>
                <w:sz w:val="18"/>
                <w:szCs w:val="18"/>
                <w:color w:val="auto"/>
                <w:w w:val="99"/>
              </w:rPr>
              <w:t>Market Approach (2)</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940</w:t>
            </w: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Market Approach</w:t>
            </w:r>
          </w:p>
        </w:tc>
        <w:tc>
          <w:tcPr>
            <w:tcW w:w="19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EBITDA Multiple</w:t>
            </w:r>
          </w:p>
        </w:tc>
        <w:tc>
          <w:tcPr>
            <w:tcW w:w="2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9.5x</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365"/>
        </w:trPr>
        <w:tc>
          <w:tcPr>
            <w:tcW w:w="2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w w:val="88"/>
              </w:rPr>
              <w:t>December 31, 2012</w:t>
            </w:r>
          </w:p>
        </w:tc>
        <w:tc>
          <w:tcPr>
            <w:tcW w:w="2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Impact to Valuation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Valuation Technique</w:t>
            </w: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from an Increase to</w:t>
            </w: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Fair Value (1)</w:t>
            </w:r>
          </w:p>
        </w:tc>
        <w:tc>
          <w:tcPr>
            <w:tcW w:w="16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Unobservable Input</w:t>
            </w:r>
          </w:p>
        </w:tc>
        <w:tc>
          <w:tcPr>
            <w:tcW w:w="2420" w:type="dxa"/>
            <w:vAlign w:val="bottom"/>
            <w:gridSpan w:val="2"/>
          </w:tcPr>
          <w:p>
            <w:pPr>
              <w:ind w:left="240"/>
              <w:spacing w:after="0"/>
              <w:rPr>
                <w:sz w:val="20"/>
                <w:szCs w:val="20"/>
                <w:color w:val="auto"/>
              </w:rPr>
            </w:pPr>
            <w:r>
              <w:rPr>
                <w:rFonts w:ascii="Arial" w:cs="Arial" w:eastAsia="Arial" w:hAnsi="Arial"/>
                <w:sz w:val="14"/>
                <w:szCs w:val="14"/>
                <w:b w:val="1"/>
                <w:bCs w:val="1"/>
                <w:color w:val="auto"/>
              </w:rPr>
              <w:t>Range (Weighted Average)</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Input</w:t>
            </w: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452,831</w:t>
            </w:r>
          </w:p>
        </w:tc>
        <w:tc>
          <w:tcPr>
            <w:tcW w:w="4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Approach</w:t>
            </w:r>
          </w:p>
        </w:tc>
        <w:tc>
          <w:tcPr>
            <w:tcW w:w="3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Yield</w:t>
            </w:r>
          </w:p>
        </w:tc>
        <w:tc>
          <w:tcPr>
            <w:tcW w:w="3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7.00% — 11.29%(9.84%)</w:t>
            </w:r>
          </w:p>
        </w:tc>
        <w:tc>
          <w:tcPr>
            <w:tcW w:w="4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Decrease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Common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2,000</w:t>
            </w:r>
          </w:p>
        </w:tc>
        <w:tc>
          <w:tcPr>
            <w:tcW w:w="1660" w:type="dxa"/>
            <w:vAlign w:val="bottom"/>
          </w:tcPr>
          <w:p>
            <w:pPr>
              <w:spacing w:after="0"/>
              <w:rPr>
                <w:sz w:val="20"/>
                <w:szCs w:val="20"/>
                <w:color w:val="auto"/>
              </w:rPr>
            </w:pPr>
            <w:r>
              <w:rPr>
                <w:rFonts w:ascii="Arial" w:cs="Arial" w:eastAsia="Arial" w:hAnsi="Arial"/>
                <w:sz w:val="18"/>
                <w:szCs w:val="18"/>
                <w:color w:val="auto"/>
                <w:w w:val="99"/>
              </w:rPr>
              <w:t>Market Approach (2)</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80" w:right="640" w:hanging="572"/>
        <w:spacing w:after="0" w:line="286"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$69.5 million and $114.5 million of debt investments as of September 30, 2013 and December 31, 2012, respectively, which, due to the proximity of the transactions relative to the measurement date, were valued by using the value implied from such transactions.</w:t>
      </w:r>
    </w:p>
    <w:p>
      <w:pPr>
        <w:ind w:left="580" w:right="160" w:hanging="572"/>
        <w:spacing w:after="0" w:line="261"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Due to the proximity of the transaction relative to the measurement date, the value implied from the transaction is representative of the fair value for the investments as of September 30, 2013 and December 31, 2012,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the Company’s debt, which is categorized as Level 3 within the fair value hierarchy, as of September 30, 2013 and December 31, 2012, approximates its carrying value as the outstanding balances are callable at carrying value.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of the Company’s financial assets and liabilities as of September 30, 2013 and December 31, 2012, other than investments at fair value,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borrowings, are classified as Level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2013 and December 31, 2012, the Company’s asset coverage was 265.9% and 244.6%,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September 30,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53,000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67,767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600,000</w:t>
            </w:r>
          </w:p>
        </w:tc>
        <w:tc>
          <w:tcPr>
            <w:tcW w:w="6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$ 338,267</w:t>
            </w:r>
          </w:p>
        </w:tc>
        <w:tc>
          <w:tcPr>
            <w:tcW w:w="6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$ 236,637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Total Facility</w:t>
            </w:r>
          </w:p>
        </w:tc>
        <w:tc>
          <w:tcPr>
            <w:tcW w:w="60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 (DBTCA)</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250,000</w:t>
            </w:r>
          </w:p>
        </w:tc>
        <w:tc>
          <w:tcPr>
            <w:tcW w:w="6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Revolving Credit Facility (Natixis)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66,836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60" w:type="dxa"/>
            <w:vAlign w:val="bottom"/>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520" w:type="dxa"/>
            <w:vAlign w:val="bottom"/>
            <w:gridSpan w:val="2"/>
          </w:tcPr>
          <w:p>
            <w:pPr>
              <w:ind w:left="23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550,000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$ 331,836</w:t>
            </w:r>
          </w:p>
        </w:tc>
        <w:tc>
          <w:tcPr>
            <w:tcW w:w="6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$ 189,808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380" w:type="dxa"/>
            <w:vAlign w:val="bottom"/>
            <w:vMerge w:val="restart"/>
          </w:tcPr>
          <w:p>
            <w:pPr>
              <w:jc w:val="right"/>
              <w:ind w:right="1072"/>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 On November 8, 2013, the Reinvestment Period of the Revolving Credit Facility (Natixis) expired and accordingly any availability under the facility terminated.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three and nine months ended September 30, 2013 and 2012, the components of interest expense, average debt outstanding, and weighted average interest rate on borrowings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8"/>
              </w:rPr>
              <w:t>Nine Months Ended</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4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7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Commitment fees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1,151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1,514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13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2,651</w:t>
            </w: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1,780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rPr>
              <w:t>7,330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270,999</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127,145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5"/>
              </w:rPr>
              <w:t>226,294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During July 2013, the Company delivered notices to Deutsche Bank Trust Company Americas to permanently reduce the commitment of the Company’s Revolving Credit Facility (DBTCA) from $250 million to $100 million. The elective reduction was made in anticipation of the facility expiring in December</w:t>
      </w:r>
    </w:p>
    <w:p>
      <w:pPr>
        <w:spacing w:after="0" w:line="261" w:lineRule="auto"/>
        <w:rPr>
          <w:sz w:val="20"/>
          <w:szCs w:val="20"/>
          <w:color w:val="auto"/>
        </w:rPr>
      </w:pPr>
      <w:r>
        <w:rPr>
          <w:rFonts w:ascii="Arial" w:cs="Arial" w:eastAsia="Arial" w:hAnsi="Arial"/>
          <w:sz w:val="18"/>
          <w:szCs w:val="18"/>
          <w:color w:val="auto"/>
        </w:rPr>
        <w:t>2013 and does not have a significant effect on the Company’s liquidity as (i) the Company’s borrowings are limited by the 1940 Act’s asset coverage requirement; and (ii) there is adequate availability under the Company’s other credit facilities.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(Natixis)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 July 17, 2013, the Company’s wholly-owned subsidiary TPG SL SPV, LLC amended the Revolving Credit Facility (Natixis). The amendment included additional options in the matrix table used in connection with managing the various benchmarks and compliance with the facility’s collateral quality tests.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Revolving Credit Facility (Natixis) is secured by a perfected first priority security interest in the assets of TPG SL SPV, LLC, a wholly-owned subsidiary of the Company (the “Subsidiary”) and on any payments received by the Subsidiary in respect of such assets and, as such, are not available to pay the debts of the Company. As of September 30, 2013 and December 31, 2012, the Subsidiary had $177.0 million and $163.8 million, respectively, in assets, including $167.6 million and $154.4 million, respectively, in investments, and $68.3 million and $67.3 million, respectively, in liabilities, including the outstanding borrowings, on its balance sheet. As of September 30, 2013 and December 31, 2012, the Subsidiary had $5.8 million and $4.3 million, respectively, in restricted cash, a component of Prepaid expenses and other assets, in the accompanying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(SunTrust)</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July 2, 2013, the Company entered into an agreement to amend and restate the Revolving Credit Facility (SunTrust), effective on July 3, 2013. The amended and restated facility, among other things, (a) increased the size of the facility from $200 million to $350 million; (b) increased the limit for swingline loans from $30 million to $50 million; (c) extended the expiration of the revolving period from August 24, 2015 to June 30, 2017, during which period the Company, subject to certain conditions, may make borrowings under the facility; (d) extended the stated maturity date from August 23, 2016 to July 2, 2018; (e) modified pricing; and, (f) increased advance rates for certain types of investments used in determining the borrowing base.</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amended and restated facility also reduced the fee rate on undrawn commitment amounts from 0.500% to 0.375% per annum. The amended and restated facility continues to be guaranteed by certain subsidiaries of the Company and secured by a perfected first-priority security interest in substantially all the portfolio investments held by the Company and each guarantor.</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amended and restated facility includes an uncommitted accordion feature that allows the Company, under certain circumstances, to increase the size of the facility to a maximum of $550 million. On September 30, 2013, the Company exercised its right under the accordion feature and increased the size of the facility to $400 million.</w:t>
      </w:r>
    </w:p>
    <w:p>
      <w:pPr>
        <w:spacing w:after="0" w:line="14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Prior to the amendment, the revolving credit facility contained a covenant restricting the Company from incurring secured debt (other than the facility and any capital call facility) in excess of 40% of the total assets of the Company. The amended and restated facility removes this covenant. The amended and restated facility continues to include customary covenants, including certain financial covenants related to asset coverage and liquidity and other maintenance covenants, as well as customary events of default.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and December 31, 2012, the Company was in compliance with the terms of its debt obligations.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740" w:firstLine="8"/>
        <w:spacing w:after="0" w:line="473" w:lineRule="auto"/>
        <w:tabs>
          <w:tab w:leader="none" w:pos="176" w:val="left"/>
        </w:tabs>
        <w:numPr>
          <w:ilvl w:val="0"/>
          <w:numId w:val="1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2013 and December 31, 2012, the Company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21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r>
      <w:tr>
        <w:trPr>
          <w:trHeight w:val="210"/>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Senior secured revolving loan commitments</w:t>
            </w:r>
          </w:p>
        </w:tc>
        <w:tc>
          <w:tcPr>
            <w:tcW w:w="10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w:t>
            </w:r>
          </w:p>
        </w:tc>
        <w:tc>
          <w:tcPr>
            <w:tcW w:w="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14,500</w:t>
            </w:r>
          </w:p>
        </w:tc>
        <w:tc>
          <w:tcPr>
            <w:tcW w:w="100" w:type="dxa"/>
            <w:vAlign w:val="bottom"/>
          </w:tcPr>
          <w:p>
            <w:pPr>
              <w:spacing w:after="0"/>
              <w:rPr>
                <w:sz w:val="19"/>
                <w:szCs w:val="19"/>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140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1260" w:type="dxa"/>
            <w:vAlign w:val="bottom"/>
            <w:gridSpan w:val="2"/>
            <w:shd w:val="clear" w:color="auto" w:fill="CCEEFF"/>
          </w:tcPr>
          <w:p>
            <w:pPr>
              <w:jc w:val="right"/>
              <w:ind w:right="20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of September 30, 2013 and December 31, 2012, the Company had $1.5 billion and $1.4 billion, respectively, in total capital commitments from investors ($1.0 billion and $1.0 billion unfunded, respectively), of which $117.1 million and $114.1 million, respectively, is from the Adviser and its affiliates ($76.7 million and $76.6 million unfunded, respectively).</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September 30, 2013,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7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tables summarize the total shares issued and proceeds received related to capital drawdowns delivered pursuant to the Subscription Agreements during the nine months ended September 30, 2013 and 2012:</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gridSpan w:val="3"/>
          </w:tcPr>
          <w:p>
            <w:pPr>
              <w:jc w:val="right"/>
              <w:ind w:right="63"/>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b w:val="1"/>
                <w:bCs w:val="1"/>
                <w:color w:val="auto"/>
              </w:rPr>
              <w:t>September 30,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0"/>
              </w:rPr>
              <w:t>Shares Issued</w:t>
            </w:r>
          </w:p>
        </w:tc>
        <w:tc>
          <w:tcPr>
            <w:tcW w:w="1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20, 2013</w:t>
            </w:r>
          </w:p>
        </w:tc>
        <w:tc>
          <w:tcPr>
            <w:tcW w:w="1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31,184</w:t>
            </w:r>
          </w:p>
        </w:tc>
        <w:tc>
          <w:tcPr>
            <w:tcW w:w="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September 13, 2013 (1)</w:t>
            </w:r>
          </w:p>
        </w:tc>
        <w:tc>
          <w:tcPr>
            <w:tcW w:w="17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24,504</w:t>
            </w:r>
          </w:p>
        </w:tc>
        <w:tc>
          <w:tcPr>
            <w:tcW w:w="8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55,688</w:t>
            </w:r>
          </w:p>
        </w:tc>
        <w:tc>
          <w:tcPr>
            <w:tcW w:w="1260" w:type="dxa"/>
            <w:vAlign w:val="bottom"/>
            <w:gridSpan w:val="2"/>
            <w:shd w:val="clear" w:color="auto" w:fill="CCEEFF"/>
          </w:tcPr>
          <w:p>
            <w:pPr>
              <w:jc w:val="right"/>
              <w:ind w:right="26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September 30, 2013, there were $0.1 million in capital drawdowns outstanding from investors. On October 2, 2013, all outstanding amounts had been received by the Company.</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4"/>
                <w:szCs w:val="14"/>
                <w:b w:val="1"/>
                <w:bCs w:val="1"/>
                <w:color w:val="auto"/>
              </w:rPr>
              <w:t>September 30, 2012</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Shares Issued</w:t>
            </w:r>
          </w:p>
        </w:tc>
        <w:tc>
          <w:tcPr>
            <w:tcW w:w="1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Proceeds Received</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February 15, 2012</w:t>
            </w:r>
          </w:p>
        </w:tc>
        <w:tc>
          <w:tcPr>
            <w:tcW w:w="1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w:t>
            </w:r>
          </w:p>
        </w:tc>
        <w:tc>
          <w:tcPr>
            <w:tcW w:w="7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February 22, 2012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35,521</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March 29, 2012</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76,137</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May 31, 2012</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13,379</w:t>
            </w: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13,459</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June 29, 2012 (1)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34,789</w:t>
            </w: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September 26, 2012</w:t>
            </w:r>
          </w:p>
        </w:tc>
        <w:tc>
          <w:tcPr>
            <w:tcW w:w="17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22,439</w:t>
            </w:r>
          </w:p>
        </w:tc>
        <w:tc>
          <w:tcPr>
            <w:tcW w:w="7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Capital Drawdowns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188,790</w:t>
            </w:r>
          </w:p>
        </w:tc>
        <w:tc>
          <w:tcPr>
            <w:tcW w:w="118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187,586</w:t>
            </w:r>
          </w:p>
        </w:tc>
        <w:tc>
          <w:tcPr>
            <w:tcW w:w="10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2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June 30, 2012, there were $2.9 million in capital drawdowns outstanding from investors. On July 13, 2012, all outstanding amounts had been received by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Company’s dividend reinvestment plan, the following tables summarize the shares issued to investors who have not opted out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Company’s dividend reinvestment plan during the nine months ended September 30, 2013 and 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3"/>
          </w:tcPr>
          <w:p>
            <w:pPr>
              <w:ind w:left="18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September 30, 2013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0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6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Record Date</w:t>
            </w:r>
          </w:p>
        </w:tc>
        <w:tc>
          <w:tcPr>
            <w:tcW w:w="220" w:type="dxa"/>
            <w:vAlign w:val="bottom"/>
          </w:tcPr>
          <w:p>
            <w:pPr>
              <w:spacing w:after="0"/>
              <w:rPr>
                <w:sz w:val="14"/>
                <w:szCs w:val="14"/>
                <w:color w:val="auto"/>
              </w:rPr>
            </w:pPr>
          </w:p>
        </w:tc>
        <w:tc>
          <w:tcPr>
            <w:tcW w:w="21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2012</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12, 2013</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March 31, 2013</w:t>
            </w:r>
          </w:p>
        </w:tc>
        <w:tc>
          <w:tcPr>
            <w:tcW w:w="220" w:type="dxa"/>
            <w:vAlign w:val="bottom"/>
          </w:tcPr>
          <w:p>
            <w:pPr>
              <w:spacing w:after="0"/>
              <w:rPr>
                <w:sz w:val="18"/>
                <w:szCs w:val="18"/>
                <w:color w:val="auto"/>
              </w:rPr>
            </w:pP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May 7, 2013</w:t>
            </w:r>
          </w:p>
        </w:tc>
        <w:tc>
          <w:tcPr>
            <w:tcW w:w="780" w:type="dxa"/>
            <w:vAlign w:val="bottom"/>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2013</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30, 2013</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August 6, 2013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September 30, 2012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800" w:type="dxa"/>
            <w:vAlign w:val="bottom"/>
            <w:vMerge w:val="restart"/>
          </w:tcPr>
          <w:p>
            <w:pPr>
              <w:spacing w:after="0"/>
              <w:rPr>
                <w:sz w:val="11"/>
                <w:szCs w:val="11"/>
                <w:color w:val="auto"/>
              </w:rPr>
            </w:pPr>
          </w:p>
        </w:tc>
        <w:tc>
          <w:tcPr>
            <w:tcW w:w="1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5"/>
              </w:rPr>
              <w:t>Date</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800" w:type="dxa"/>
            <w:vAlign w:val="bottom"/>
            <w:vMerge w:val="continue"/>
          </w:tcPr>
          <w:p>
            <w:pPr>
              <w:spacing w:after="0"/>
              <w:rPr>
                <w:sz w:val="14"/>
                <w:szCs w:val="14"/>
                <w:color w:val="auto"/>
              </w:rPr>
            </w:pPr>
          </w:p>
        </w:tc>
        <w:tc>
          <w:tcPr>
            <w:tcW w:w="164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Record Date</w:t>
            </w:r>
          </w:p>
        </w:tc>
        <w:tc>
          <w:tcPr>
            <w:tcW w:w="220" w:type="dxa"/>
            <w:vAlign w:val="bottom"/>
          </w:tcPr>
          <w:p>
            <w:pPr>
              <w:spacing w:after="0"/>
              <w:rPr>
                <w:sz w:val="14"/>
                <w:szCs w:val="14"/>
                <w:color w:val="auto"/>
              </w:rPr>
            </w:pPr>
          </w:p>
        </w:tc>
        <w:tc>
          <w:tcPr>
            <w:tcW w:w="216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2"/>
              </w:rPr>
              <w:t>Shares Issued</w:t>
            </w:r>
          </w:p>
        </w:tc>
        <w:tc>
          <w:tcPr>
            <w:tcW w:w="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90"/>
              </w:rPr>
              <w:t>Shares Issued</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31, 2011</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December 31, 2011</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March 20, 2012</w:t>
            </w:r>
          </w:p>
        </w:tc>
        <w:tc>
          <w:tcPr>
            <w:tcW w:w="9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March 20, 2012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March 31, 2012</w:t>
            </w:r>
          </w:p>
        </w:tc>
        <w:tc>
          <w:tcPr>
            <w:tcW w:w="220" w:type="dxa"/>
            <w:vAlign w:val="bottom"/>
          </w:tcPr>
          <w:p>
            <w:pPr>
              <w:spacing w:after="0"/>
              <w:rPr>
                <w:sz w:val="18"/>
                <w:szCs w:val="18"/>
                <w:color w:val="auto"/>
              </w:rPr>
            </w:pPr>
          </w:p>
        </w:tc>
        <w:tc>
          <w:tcPr>
            <w:tcW w:w="2160" w:type="dxa"/>
            <w:vAlign w:val="bottom"/>
            <w:gridSpan w:val="2"/>
          </w:tcPr>
          <w:p>
            <w:pPr>
              <w:jc w:val="right"/>
              <w:ind w:right="980"/>
              <w:spacing w:after="0"/>
              <w:rPr>
                <w:sz w:val="20"/>
                <w:szCs w:val="20"/>
                <w:color w:val="auto"/>
              </w:rPr>
            </w:pPr>
            <w:r>
              <w:rPr>
                <w:rFonts w:ascii="Arial" w:cs="Arial" w:eastAsia="Arial" w:hAnsi="Arial"/>
                <w:sz w:val="18"/>
                <w:szCs w:val="18"/>
                <w:color w:val="auto"/>
              </w:rPr>
              <w:t>May 16, 2012</w:t>
            </w:r>
          </w:p>
        </w:tc>
        <w:tc>
          <w:tcPr>
            <w:tcW w:w="78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2012</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June 30, 2012</w:t>
            </w: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w w:val="95"/>
              </w:rPr>
              <w:t>August 7, 2012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Shares Issued</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Dividends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dividends declared during the nine months ended September 30, 2013 and 2012:</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5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September 30, 2013</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72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2"/>
                <w:szCs w:val="12"/>
                <w:color w:val="auto"/>
              </w:rPr>
            </w:pPr>
          </w:p>
        </w:tc>
        <w:tc>
          <w:tcPr>
            <w:tcW w:w="188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12, 2013</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2013</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6, 2013</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June 30, 2013</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June 30, 2013</w:t>
            </w:r>
          </w:p>
        </w:tc>
        <w:tc>
          <w:tcPr>
            <w:tcW w:w="34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July 31, 2013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September 30, 2013</w:t>
            </w:r>
          </w:p>
        </w:tc>
        <w:tc>
          <w:tcPr>
            <w:tcW w:w="3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October 31, 2013</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gridSpan w:val="3"/>
            <w:vMerge w:val="restart"/>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540" w:type="dxa"/>
            <w:vAlign w:val="bottom"/>
            <w:vMerge w:val="restart"/>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4"/>
                <w:szCs w:val="14"/>
                <w:b w:val="1"/>
                <w:bCs w:val="1"/>
                <w:color w:val="auto"/>
              </w:rPr>
              <w:t>September 30, 2012</w:t>
            </w: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3540" w:type="dxa"/>
            <w:vAlign w:val="bottom"/>
            <w:vMerge w:val="continue"/>
          </w:tcPr>
          <w:p>
            <w:pPr>
              <w:spacing w:after="0"/>
              <w:rPr>
                <w:sz w:val="12"/>
                <w:szCs w:val="12"/>
                <w:color w:val="auto"/>
              </w:rPr>
            </w:pPr>
          </w:p>
        </w:tc>
        <w:tc>
          <w:tcPr>
            <w:tcW w:w="172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Record Date</w:t>
            </w:r>
          </w:p>
        </w:tc>
        <w:tc>
          <w:tcPr>
            <w:tcW w:w="340" w:type="dxa"/>
            <w:vAlign w:val="bottom"/>
          </w:tcPr>
          <w:p>
            <w:pPr>
              <w:spacing w:after="0"/>
              <w:rPr>
                <w:sz w:val="12"/>
                <w:szCs w:val="12"/>
                <w:color w:val="auto"/>
              </w:rPr>
            </w:pPr>
          </w:p>
        </w:tc>
        <w:tc>
          <w:tcPr>
            <w:tcW w:w="188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rPr>
              <w:t>Payment Date</w:t>
            </w:r>
          </w:p>
        </w:tc>
        <w:tc>
          <w:tcPr>
            <w:tcW w:w="11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March 20, 2012</w:t>
            </w: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March 31, 2012</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May 7, 2012</w:t>
            </w: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May 9, 2012</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June 30, 2012</w:t>
            </w:r>
          </w:p>
        </w:tc>
        <w:tc>
          <w:tcPr>
            <w:tcW w:w="34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8"/>
                <w:szCs w:val="18"/>
                <w:color w:val="auto"/>
              </w:rPr>
              <w:t>August 3, 2012</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2012</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September 30, 2012</w:t>
            </w:r>
          </w:p>
        </w:tc>
        <w:tc>
          <w:tcPr>
            <w:tcW w:w="3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1"/>
              </w:rPr>
              <w:t>October 30, 2012</w:t>
            </w:r>
          </w:p>
        </w:tc>
        <w:tc>
          <w:tcPr>
            <w:tcW w:w="4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dividends declared during the nine months ended September 30, 2013 and 2012, were derived from net investment income, determined on a tax basis.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general, the Company may make certain adjustments to the classification of stockholders’ equity as a result of permanent book-to-tax differences, which may include differences in the book and tax basis of certain assets and liabilities and nondeductible federal taxes or expenses, among other items. To the extent these differences are permanent, they are charged or credited to Additional Paid-in Capital or Accumulated Net Investment Income, as appropriate, in the period that the differences arise. These adjustments have no effect on the Company’s net assets or results of operations.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neither have any uncertain tax positions that met the recognition or measurement criteria of ASC 740-10-25, </w:t>
      </w:r>
      <w:r>
        <w:rPr>
          <w:rFonts w:ascii="Arial" w:cs="Arial" w:eastAsia="Arial" w:hAnsi="Arial"/>
          <w:sz w:val="16"/>
          <w:szCs w:val="16"/>
          <w:i w:val="1"/>
          <w:iCs w:val="1"/>
          <w:color w:val="auto"/>
        </w:rPr>
        <w:t>Income Taxes</w:t>
      </w:r>
      <w:r>
        <w:rPr>
          <w:rFonts w:ascii="Arial" w:cs="Arial" w:eastAsia="Arial" w:hAnsi="Arial"/>
          <w:sz w:val="16"/>
          <w:szCs w:val="16"/>
          <w:color w:val="auto"/>
        </w:rPr>
        <w:t>, nor did we have any unrecognized tax benefits as of the periods presented herein. Although we file federal and state tax returns, our primary tax jurisdiction is federal. Our inception-to-date taxable years remain subject to examination by the Internal Revenue Service as well as the respective state and local tax authorities.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basis of the Company’s investments as of September 30, 2013 and December 31, 2012, approximates their amortized cost.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three and nine months ended September 30, 2013, a net expense of $0.1 million and $0.1 million, respectively, was recorded for U.S. federal excise tax. For the three and nine months ended September 30, 2012, we did not incur any U.S. federal excise tax.</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per share data and ratios have been derived from information provided in the consolidated financial statements. The following are the financial highlights for a share of Common Stock outstanding during the three months ended September 30, 2013 and 2012.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7"/>
              </w:rPr>
              <w:t>Nine Months Ended</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1,012.93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980.51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(1)</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79.69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unrealized and realized gains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from investment operations</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88.05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Dividends declared (2)</w:t>
            </w:r>
          </w:p>
        </w:tc>
        <w:tc>
          <w:tcPr>
            <w:tcW w:w="260" w:type="dxa"/>
            <w:vAlign w:val="bottom"/>
          </w:tcPr>
          <w:p>
            <w:pPr>
              <w:spacing w:after="0"/>
              <w:rPr>
                <w:sz w:val="19"/>
                <w:szCs w:val="19"/>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8"/>
                <w:szCs w:val="18"/>
                <w:color w:val="auto"/>
              </w:rPr>
              <w:t>(77.32)</w:t>
            </w:r>
          </w:p>
        </w:tc>
        <w:tc>
          <w:tcPr>
            <w:tcW w:w="2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increase in net assets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8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ind w:left="420"/>
              <w:spacing w:after="0"/>
              <w:rPr>
                <w:sz w:val="20"/>
                <w:szCs w:val="20"/>
                <w:color w:val="auto"/>
              </w:rPr>
            </w:pPr>
            <w:r>
              <w:rPr>
                <w:rFonts w:ascii="Arial" w:cs="Arial" w:eastAsia="Arial" w:hAnsi="Arial"/>
                <w:sz w:val="18"/>
                <w:szCs w:val="18"/>
                <w:b w:val="1"/>
                <w:bCs w:val="1"/>
                <w:color w:val="auto"/>
              </w:rPr>
              <w:t>Net Asset Value, End of Period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1,023.66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1,008.24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548,121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370,440</w:t>
            </w:r>
          </w:p>
        </w:tc>
        <w:tc>
          <w:tcPr>
            <w:tcW w:w="0" w:type="dxa"/>
            <w:vAlign w:val="bottom"/>
          </w:tcPr>
          <w:p>
            <w:pPr>
              <w:spacing w:after="0"/>
              <w:rPr>
                <w:sz w:val="1"/>
                <w:szCs w:val="1"/>
                <w:color w:val="auto"/>
              </w:rPr>
            </w:pPr>
          </w:p>
        </w:tc>
      </w:tr>
      <w:tr>
        <w:trPr>
          <w:trHeight w:val="322"/>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Return </w:t>
            </w:r>
            <w:r>
              <w:rPr>
                <w:rFonts w:ascii="Arial" w:cs="Arial" w:eastAsia="Arial" w:hAnsi="Arial"/>
                <w:sz w:val="18"/>
                <w:szCs w:val="18"/>
                <w:color w:val="auto"/>
              </w:rPr>
              <w:t>(3) (4)</w:t>
            </w:r>
          </w:p>
        </w:tc>
        <w:tc>
          <w:tcPr>
            <w:tcW w:w="26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Ratio of net expenses to average net assets (4)</w:t>
            </w:r>
          </w:p>
        </w:tc>
        <w:tc>
          <w:tcPr>
            <w:tcW w:w="260" w:type="dxa"/>
            <w:vAlign w:val="bottom"/>
          </w:tcPr>
          <w:p>
            <w:pPr>
              <w:spacing w:after="0"/>
              <w:rPr>
                <w:sz w:val="18"/>
                <w:szCs w:val="18"/>
                <w:color w:val="auto"/>
              </w:rPr>
            </w:pP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 (4)</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561,089</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373,491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508,294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committed capital, end of period (5)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1,500,000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1,402,970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34.5%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Year of formation</w:t>
            </w:r>
          </w:p>
        </w:tc>
        <w:tc>
          <w:tcPr>
            <w:tcW w:w="260" w:type="dxa"/>
            <w:vAlign w:val="bottom"/>
          </w:tcPr>
          <w:p>
            <w:pPr>
              <w:spacing w:after="0"/>
              <w:rPr>
                <w:sz w:val="19"/>
                <w:szCs w:val="19"/>
                <w:color w:val="auto"/>
              </w:rPr>
            </w:pP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15"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return is calculated as the change in net asset value per share during the period plus declared dividends per share, divided by the beginning net asset value per share.</w:t>
      </w: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 includes $117.1 million and $98.4 million of commitments from the Adviser and its affiliates as of September 30, 2013 and 2012,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were incorporated under the laws of the State of Delaware on July 21, 2010. We elected to be treated as a business development company under the 1940 Act, and have elected to be treated as a regulated investment company (“RIC”) for U.S. federal income tax purposes. As such, we are required to comply with various statutory and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investment activity for the three months ended September 30, 2013 and 2012, is presented below (information presented herein is at amortized cost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 unless otherwise indicated):</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900" w:type="dxa"/>
            <w:vAlign w:val="bottom"/>
            <w:gridSpan w:val="3"/>
          </w:tcPr>
          <w:p>
            <w:pPr>
              <w:ind w:left="680"/>
              <w:spacing w:after="0"/>
              <w:rPr>
                <w:sz w:val="20"/>
                <w:szCs w:val="20"/>
                <w:color w:val="auto"/>
              </w:rPr>
            </w:pPr>
            <w:r>
              <w:rPr>
                <w:rFonts w:ascii="Arial" w:cs="Arial" w:eastAsia="Arial" w:hAnsi="Arial"/>
                <w:sz w:val="14"/>
                <w:szCs w:val="14"/>
                <w:b w:val="1"/>
                <w:bCs w:val="1"/>
                <w:color w:val="auto"/>
                <w:w w:val="86"/>
              </w:rPr>
              <w:t>Three Months Ended</w:t>
            </w:r>
          </w:p>
        </w:tc>
        <w:tc>
          <w:tcPr>
            <w:tcW w:w="2120" w:type="dxa"/>
            <w:vAlign w:val="bottom"/>
            <w:gridSpan w:val="4"/>
          </w:tcPr>
          <w:p>
            <w:pPr>
              <w:ind w:left="780"/>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466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6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September 30, 2013</w:t>
            </w:r>
          </w:p>
        </w:tc>
        <w:tc>
          <w:tcPr>
            <w:tcW w:w="800" w:type="dxa"/>
            <w:vAlign w:val="bottom"/>
          </w:tcPr>
          <w:p>
            <w:pPr>
              <w:spacing w:after="0"/>
              <w:rPr>
                <w:sz w:val="14"/>
                <w:szCs w:val="14"/>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September 30, 2012</w:t>
            </w: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 (2):</w:t>
            </w:r>
          </w:p>
        </w:tc>
        <w:tc>
          <w:tcPr>
            <w:tcW w:w="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Senior term debt</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150.7</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secured revolving loan</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equity / mezzanine</w:t>
            </w:r>
          </w:p>
        </w:tc>
        <w:tc>
          <w:tcPr>
            <w:tcW w:w="6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4660" w:type="dxa"/>
            <w:vAlign w:val="bottom"/>
          </w:tcPr>
          <w:p>
            <w:pPr>
              <w:ind w:left="86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172.0</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New investment commitments (3):</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Portfolio companies</w:t>
            </w:r>
          </w:p>
        </w:tc>
        <w:tc>
          <w:tcPr>
            <w:tcW w:w="11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12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Average Total Investment in New Portfolio Companies (4):</w:t>
            </w:r>
          </w:p>
        </w:tc>
        <w:tc>
          <w:tcPr>
            <w:tcW w:w="11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6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46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 of investments funded includes amounts originally funded in the period on term loans and revolving credit facilities, but not amounts subsequently repaid by borrowers in the period.</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 and term loans not funded at closing.</w:t>
      </w:r>
    </w:p>
    <w:p>
      <w:pPr>
        <w:spacing w:after="0" w:line="9"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new portfolio company debt and equity investments made during the period, including investment commitments not yet funded.</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weighted average yields at fair value and amortized cost of the following portions of our portfolio as of September 30, 2013 and December 31, 2012,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60" w:type="dxa"/>
            <w:vAlign w:val="bottom"/>
            <w:gridSpan w:val="3"/>
          </w:tcPr>
          <w:p>
            <w:pPr>
              <w:jc w:val="right"/>
              <w:ind w:right="1420"/>
              <w:spacing w:after="0"/>
              <w:rPr>
                <w:sz w:val="20"/>
                <w:szCs w:val="20"/>
                <w:color w:val="auto"/>
              </w:rPr>
            </w:pPr>
            <w:r>
              <w:rPr>
                <w:rFonts w:ascii="Arial" w:cs="Arial" w:eastAsia="Arial" w:hAnsi="Arial"/>
                <w:sz w:val="14"/>
                <w:szCs w:val="14"/>
                <w:b w:val="1"/>
                <w:bCs w:val="1"/>
                <w:color w:val="auto"/>
                <w:w w:val="85"/>
              </w:rPr>
              <w:t>September 30, 2013</w:t>
            </w:r>
          </w:p>
        </w:tc>
        <w:tc>
          <w:tcPr>
            <w:tcW w:w="620" w:type="dxa"/>
            <w:vAlign w:val="bottom"/>
          </w:tcPr>
          <w:p>
            <w:pPr>
              <w:spacing w:after="0"/>
              <w:rPr>
                <w:sz w:val="14"/>
                <w:szCs w:val="14"/>
                <w:color w:val="auto"/>
              </w:rPr>
            </w:pPr>
          </w:p>
        </w:tc>
        <w:tc>
          <w:tcPr>
            <w:tcW w:w="194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85"/>
              </w:rPr>
              <w:t>December 31, 2012</w:t>
            </w:r>
          </w:p>
        </w:tc>
      </w:tr>
      <w:tr>
        <w:trPr>
          <w:trHeight w:val="142"/>
        </w:trPr>
        <w:tc>
          <w:tcPr>
            <w:tcW w:w="47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8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8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6"/>
              </w:rPr>
              <w:t>Fair Value</w:t>
            </w:r>
          </w:p>
        </w:tc>
        <w:tc>
          <w:tcPr>
            <w:tcW w:w="82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200" w:type="dxa"/>
            <w:vAlign w:val="bottom"/>
            <w:tcBorders>
              <w:bottom w:val="single" w:sz="8" w:color="CCEEFF"/>
            </w:tcBorders>
          </w:tcPr>
          <w:p>
            <w:pPr>
              <w:spacing w:after="0"/>
              <w:rPr>
                <w:sz w:val="12"/>
                <w:szCs w:val="12"/>
                <w:color w:val="auto"/>
              </w:rPr>
            </w:pPr>
          </w:p>
        </w:tc>
      </w:tr>
      <w:tr>
        <w:trPr>
          <w:trHeight w:val="210"/>
        </w:trPr>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Senior term debt and revolving loans</w:t>
            </w:r>
          </w:p>
        </w:tc>
        <w:tc>
          <w:tcPr>
            <w:tcW w:w="14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10.2%</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w:t>
            </w:r>
          </w:p>
        </w:tc>
        <w:tc>
          <w:tcPr>
            <w:tcW w:w="14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10.2%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Junior secured loans</w:t>
            </w:r>
          </w:p>
        </w:tc>
        <w:tc>
          <w:tcPr>
            <w:tcW w:w="1420" w:type="dxa"/>
            <w:vAlign w:val="bottom"/>
            <w:gridSpan w:val="2"/>
          </w:tcPr>
          <w:p>
            <w:pPr>
              <w:jc w:val="right"/>
              <w:ind w:right="612"/>
              <w:spacing w:after="0"/>
              <w:rPr>
                <w:sz w:val="20"/>
                <w:szCs w:val="20"/>
                <w:color w:val="auto"/>
              </w:rPr>
            </w:pPr>
            <w:r>
              <w:rPr>
                <w:rFonts w:ascii="Arial" w:cs="Arial" w:eastAsia="Arial" w:hAnsi="Arial"/>
                <w:sz w:val="18"/>
                <w:szCs w:val="18"/>
                <w:color w:val="auto"/>
              </w:rPr>
              <w:t>12.2%</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13.2%</w:t>
            </w:r>
          </w:p>
        </w:tc>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13.7%</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8.9%</w:t>
            </w:r>
          </w:p>
        </w:tc>
        <w:tc>
          <w:tcPr>
            <w:tcW w:w="17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w:t>
            </w:r>
          </w:p>
        </w:tc>
        <w:tc>
          <w:tcPr>
            <w:tcW w:w="144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11.0%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Debt and income producing securities</w:t>
            </w:r>
          </w:p>
        </w:tc>
        <w:tc>
          <w:tcPr>
            <w:tcW w:w="1420" w:type="dxa"/>
            <w:vAlign w:val="bottom"/>
            <w:gridSpan w:val="2"/>
          </w:tcPr>
          <w:p>
            <w:pPr>
              <w:jc w:val="right"/>
              <w:ind w:right="612"/>
              <w:spacing w:after="0"/>
              <w:rPr>
                <w:sz w:val="20"/>
                <w:szCs w:val="20"/>
                <w:color w:val="auto"/>
              </w:rPr>
            </w:pPr>
            <w:r>
              <w:rPr>
                <w:rFonts w:ascii="Arial" w:cs="Arial" w:eastAsia="Arial" w:hAnsi="Arial"/>
                <w:sz w:val="18"/>
                <w:szCs w:val="18"/>
                <w:color w:val="auto"/>
              </w:rPr>
              <w:t>10.4%</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440" w:type="dxa"/>
            <w:vAlign w:val="bottom"/>
            <w:gridSpan w:val="2"/>
          </w:tcPr>
          <w:p>
            <w:pPr>
              <w:jc w:val="right"/>
              <w:ind w:right="612"/>
              <w:spacing w:after="0"/>
              <w:rPr>
                <w:sz w:val="20"/>
                <w:szCs w:val="20"/>
                <w:color w:val="auto"/>
              </w:rPr>
            </w:pPr>
            <w:r>
              <w:rPr>
                <w:rFonts w:ascii="Arial" w:cs="Arial" w:eastAsia="Arial" w:hAnsi="Arial"/>
                <w:sz w:val="18"/>
                <w:szCs w:val="18"/>
                <w:color w:val="auto"/>
              </w:rPr>
              <w:t>10.6%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primary driver of change between the results of our operations for the three and nine months ended September 30, 2013 versus the comparable periods in 2012 is related to our investing and other related business activities as we continued to establish our business and deploy our available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various forms, including commitment, loan origination, syndication, and prepayment fees. Certain of these fees are capitalized and amortized as additional interest income over the life of the related investment.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Investment income for the three and nine months ended September 30, 2013, was $23.3 million and $65.0 million, respectively, which consisted of $22.8 million and $63.3 million, respectively, in interest income and $0.5 million and $1.7, respectively, in other income from non-controlled, non-affiliated investments.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Investment income for the three and nine months ended September 30, 2012, was $14.6 million and $32.8 million, respectively, which consisted of $14.4 million and $32.5 million, respectively, in interest income and $0.1 million and $0.3 million, respectively, in other income. Investment income from non-controlled, non-affiliated investments was $13.6 million and $30.1 million, respectively, while investment income from non-controlled, affiliated investments was $0.9 million and $2.7 million,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primary operating expenses include the payment of the Management Fee and, depending on our operating results, the Incentive Fee, expenses reimbursable under the Administration Agreement and the Advisory Agreement, and other direct expenses that we incur, such as compensation to our Board and interest payable for borrowings. The Management Fee and Incentive Fee compensate our Adviser for work in identifying, evaluating, negotiating, closing, monitoring, and realizing our investments. Under the terms of the Administration Agreement, our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Net expenses for the three and nine months ended September 30, 2013 were $8.6 million and $24.4 million, respectively, which consisted of $2.7 million and $7.3 million, respectively, of interest expense, $1.6 million and $4.7 million, respectively, in Management Fees (net of waivers), $2.9 million and $8.1 million, respectively, in Incentive Fees, $0.9 million and $2.4 million, respectively, in professional fees, $0.1 million and $0.2 million, respectively, in directors’ fees, and $0.6 million and $1.7 million, respectively, in other general and administrative expenses.</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Net expenses for the three and nine months ended September 30, 2012, were $6.6 million and $15.7 million, respectively, which consisted of $1.8 million and $3.9 million, respectively, of interest expense, $1.3 million and $3.7 million, respectively, in Management Fees (net of waivers), $2.4 million and $4.8 million, respectively, in Incentive Fees, $0.7 million and $2.0 million, respectively, in professional fees, $0.1 million and $0.2 million, respectively, in directors’ fees, and $0.4 million and $1.1 million, respectively, in other general and administrative expenses.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Including Excise Tax</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have elected to be treated as a RIC under Subchapter M of the Code and we intend to operate in a manner so as to continue to qualify for the tax treatment applicable to RICs. To qualify as a RIC, we must, among other things, distribute to our stockholders generally at least 90% of our investment company taxable income, as defined by the Code, for each taxable year. In order to maintain our RIC status, we, among other things, have made and intend to continue to make the requisite distributions to our stockholders which will generally relieve us from U.S. federal income taxes.</w:t>
      </w:r>
    </w:p>
    <w:p>
      <w:pPr>
        <w:spacing w:after="0" w:line="113"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Depending on the level of taxable income earned in a tax year, we may choose to carry forward taxable income in excess of current year dividend distributions from such current year taxable income into the next tax year and pay a 4% excise tax on such income, as required. To the extent that we determine that our estimated current year annual taxable income will be in excess of estimated current year dividend distributions from such income, we accrue excise tax on estimated excess taxable income. For the three and nine months ended September 30, 2013, a net expense of $0.1 million and $0.1 million, respectively, was recorded for U.S. federal excise tax. For the three and nine months ended September 30, 2012, we did not incur any U.S. federal excise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Unrealized Gains/Losses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value our investments quarterly and any changes in fair value are recorded as unrealized gains or losses.</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During the three and nine months ended September 30, 2013 and 2012, the net change in unrealized gains (losses) on our investment portfolio was comprised of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gridSpan w:val="2"/>
            <w:vMerge w:val="continue"/>
          </w:tcPr>
          <w:p>
            <w:pPr>
              <w:spacing w:after="0"/>
              <w:rPr>
                <w:sz w:val="12"/>
                <w:szCs w:val="12"/>
                <w:color w:val="auto"/>
              </w:rPr>
            </w:pPr>
          </w:p>
        </w:tc>
        <w:tc>
          <w:tcPr>
            <w:tcW w:w="1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62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2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Change in unrealized gains</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Change in unrealized losses</w:t>
            </w:r>
          </w:p>
        </w:tc>
        <w:tc>
          <w:tcPr>
            <w:tcW w:w="44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Change in Unrealized Gains</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net change in unrealized gains (losses) for the three and nine months ended September 30, 2013 and 2012, consisted of the following (certain gains (losses) have been rounded to zero):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gridSpan w:val="3"/>
            <w:vMerge w:val="continue"/>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26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2013</w:t>
            </w:r>
          </w:p>
        </w:tc>
        <w:tc>
          <w:tcPr>
            <w:tcW w:w="2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Actian Corporation</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AFS Technologies, Inc.</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AMF Bowling Worldwide, Inc.</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Attachmate Corporation</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Campus Management,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Centaur, LLC.</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Checkers Drive-In Restaurants, Inc.</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Consona Holdings,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Ecommerce Industries, Inc.</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Embarcadero Technologies, Inc.</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eResearch Technology,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Federal Signal Corporation</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Geophysical</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Heartland Automotive, LLC</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Infogix,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Intelident Solutions, Inc.</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Equipment Solutions,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Jeeves Information Systems AB.</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Mandalay Baseball Properties, LLC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Mannington Mills, Inc.</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Mediware Information Systems, Inc.</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MSC Software Corporation</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Merchants, Inc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The Newark Group, Inc.</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 Group, Inc.</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Sage Automotive Interiors, Inc.</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Soho House Bond Ltd.</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Solarsoft, LP (f/k/a CMS-XKO Holding</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tcPr>
          <w:p>
            <w:pPr>
              <w:ind w:left="200"/>
              <w:spacing w:after="0"/>
              <w:rPr>
                <w:sz w:val="20"/>
                <w:szCs w:val="20"/>
                <w:color w:val="auto"/>
              </w:rPr>
            </w:pPr>
            <w:r>
              <w:rPr>
                <w:rFonts w:ascii="Arial" w:cs="Arial" w:eastAsia="Arial" w:hAnsi="Arial"/>
                <w:sz w:val="18"/>
                <w:szCs w:val="18"/>
                <w:color w:val="auto"/>
              </w:rPr>
              <w:t>Company, LP)</w:t>
            </w:r>
          </w:p>
        </w:tc>
        <w:tc>
          <w:tcPr>
            <w:tcW w:w="4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SRS Software, LLC.</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SumTotal Systems, LLC.</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Synagro Technologies, Inc.</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Teletrac, Inc.</w:t>
            </w:r>
          </w:p>
        </w:tc>
        <w:tc>
          <w:tcPr>
            <w:tcW w:w="4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Vivint, Inc.</w:t>
            </w: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2"/>
          </w:tcPr>
          <w:p>
            <w:pPr>
              <w:ind w:left="420"/>
              <w:spacing w:after="0"/>
              <w:rPr>
                <w:sz w:val="20"/>
                <w:szCs w:val="20"/>
                <w:color w:val="auto"/>
              </w:rPr>
            </w:pPr>
            <w:r>
              <w:rPr>
                <w:rFonts w:ascii="Arial" w:cs="Arial" w:eastAsia="Arial" w:hAnsi="Arial"/>
                <w:sz w:val="18"/>
                <w:szCs w:val="18"/>
                <w:color w:val="auto"/>
              </w:rPr>
              <w:t>Subtotal</w:t>
            </w: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rPr>
              <w:t>Net Change in Unrealized Gains</w:t>
            </w: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9"/>
                <w:szCs w:val="19"/>
                <w:color w:val="auto"/>
              </w:rPr>
            </w:pP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Realized Gains/Losses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three and nine months ended September 30, 2013 and 2012, realized gains (losses) consisted of the following (certain gains (losses) have been rounded to zero):</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56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2013</w:t>
            </w:r>
          </w:p>
        </w:tc>
        <w:tc>
          <w:tcPr>
            <w:tcW w:w="58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Centaur, LLC</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Checkers Drive-In Restaurants, Inc.</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Arial" w:cs="Arial" w:eastAsia="Arial" w:hAnsi="Arial"/>
                <w:sz w:val="18"/>
                <w:szCs w:val="18"/>
                <w:color w:val="auto"/>
                <w:w w:val="79"/>
              </w:rPr>
              <w:t>0.5</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El Pollo Loco, Inc.</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Arial" w:cs="Arial" w:eastAsia="Arial" w:hAnsi="Arial"/>
                <w:sz w:val="18"/>
                <w:szCs w:val="18"/>
                <w:color w:val="auto"/>
              </w:rPr>
              <w:t>Embarcadero Technologies, Inc.</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260"/>
          </w:cols>
          <w:pgMar w:left="240" w:top="459" w:right="399" w:bottom="1440" w:gutter="0" w:footer="0" w:header="0"/>
        </w:sect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60"/>
          </w:cols>
          <w:pgMar w:left="240" w:top="459" w:right="3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4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2013</w:t>
            </w:r>
          </w:p>
        </w:tc>
        <w:tc>
          <w:tcPr>
            <w:tcW w:w="74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76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Mannington Mills, Inc.</w:t>
            </w:r>
          </w:p>
        </w:tc>
        <w:tc>
          <w:tcPr>
            <w:tcW w:w="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Rare Restaurant Group, LLC.</w:t>
            </w:r>
          </w:p>
        </w:tc>
        <w:tc>
          <w:tcPr>
            <w:tcW w:w="48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Rogue Wave Holdings, Inc.</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Synagro Technologies, Inc.</w:t>
            </w: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Foreign currency forward contracts</w:t>
            </w:r>
          </w:p>
        </w:tc>
        <w:tc>
          <w:tcPr>
            <w:tcW w:w="4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74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76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Net Realized Gains</w:t>
            </w:r>
          </w:p>
        </w:tc>
        <w:tc>
          <w:tcPr>
            <w:tcW w:w="48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w:t>
            </w:r>
          </w:p>
        </w:tc>
        <w:tc>
          <w:tcPr>
            <w:tcW w:w="8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the three and nine months ended September 30, 2013, we entered into foreign currency forward contracts related to our investments in Jeeves Information Systems AB and Soho House Bond Ltd. Other than these foreign currency forward contracts, we did not enter into any other interest rate or other derivative agreements.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foreign currency forward contracts are intended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Company’s foreign currency forward contracts typically have terms of approximately one month. The volume of open contracts at the end of each reporting period is reflective of the typical volume of transactions during each calendar quarter. Risks may arise as a result of the potential inability of the counterparties to meet the terms of their contracts. The Company attempts to limit this risk by dealing with only creditworthy counterparties.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and nine months ended September 30, 2012, we did not enter into any interest rate, foreign exchange or other derivative agreements.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September 30, 2013, we had $19.6 million in cash and cash equivalents on hand, a decrease of $142.2 million from December 31, 2012. The decrease was primarily attributable to investments made during the period.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generate additional cash from (1) operations; (2) future offerings of our common or preferred shares; and, (3) borrowings from banks or other lenders.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Cash and cash equivalents on hand as of September 30, 2013, combined with our uncalled capital commitments of $1.0 billion,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During the nine months ended September 30, 2013, we entered into subscription agreements (collectively, the “Subscription Agreements”) with several investors, including our Adviser, providing for the private placement of our Common Stock. The subscription agreements brought our total capital commitments to $1.5 billion ($117.1 million from the Adviser and its affiliates), the maximum agreed to with our investors. Offering costs associated with the private placements were absorbed by the Adviser. Under the terms of the Subscription Agreements, investors are required to fund drawdowns to purchase our Common Stock up to the amount of their respective capital commitments on an as-needed basis, with a minimum of 10 business days’ prior notice.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2013 and December 31, 2012, we had $1.5 billion and $1.4 billion, respectively, in total capital commitments from investors ($1.0 billion and $1.0 billion unfunded, respectively), of which $117.1 million and $114.1 million, respectively, is from the Adviser and its affiliates ($76.7 million and $76.6 million unfunded, respectively).</w:t>
      </w:r>
    </w:p>
    <w:p>
      <w:pPr>
        <w:spacing w:after="0" w:line="140"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During the nine months ended September 30, 2013, we delivered drawdown notices to our investors relating to the issuance of 55,688 shares of our Common Stock for aggregate offering proceeds of $56.9 million. During the nine months ended September 30, 2012, we delivered drawdown notices to our investors relating to the issuance of 188,790 shares of our Common Stock for aggregate offering proceeds of $187.6 million. See Note 9 to our consolidated financial statements for the dates and amounts of our drawdowns. Proceeds from the issuances were used in our investing activities and for other general corporate purposes.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drawdown noted above, during the nine months ended September 30, 2013, we issued 18,755 shares of our Common Stock, respectively, to investors who have not opted out of our dividend reinvestment plan. During the nine months ended September 30, 2012, we issued 5,117 shares of our Common Stock, respectively, to investors who have not opted out of our dividend reinvestment plan.</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number of shares issued through the dividend reinvestment plan was determined by dividing the total dollar amount of the dividend payable to such investor by the net asset value per share of our Common Stock as of the declaration dates of the dividends. The Common Stock issued through the dividend reinvestment plan was rounded down to the nearest whole share to avoid the issuance of fractional shares, and fractional shares were paid in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September 30, 2013 and December 31,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September 30, 2013</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338.3</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5"/>
              </w:rPr>
              <w:t>December 31, 2012</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jc w:val="center"/>
              <w:ind w:right="720"/>
              <w:spacing w:after="0" w:line="129" w:lineRule="exact"/>
              <w:rPr>
                <w:sz w:val="20"/>
                <w:szCs w:val="20"/>
                <w:color w:val="auto"/>
              </w:rPr>
            </w:pPr>
            <w:r>
              <w:rPr>
                <w:rFonts w:ascii="Arial" w:cs="Arial" w:eastAsia="Arial" w:hAnsi="Arial"/>
                <w:sz w:val="14"/>
                <w:szCs w:val="14"/>
                <w:b w:val="1"/>
                <w:bCs w:val="1"/>
                <w:color w:val="auto"/>
                <w:w w:val="87"/>
              </w:rPr>
              <w:t>Borrowings</w:t>
            </w:r>
          </w:p>
        </w:tc>
        <w:tc>
          <w:tcPr>
            <w:tcW w:w="100" w:type="dxa"/>
            <w:vAlign w:val="bottom"/>
          </w:tcPr>
          <w:p>
            <w:pPr>
              <w:spacing w:after="0"/>
              <w:rPr>
                <w:sz w:val="11"/>
                <w:szCs w:val="11"/>
                <w:color w:val="auto"/>
              </w:rPr>
            </w:pPr>
          </w:p>
        </w:tc>
        <w:tc>
          <w:tcPr>
            <w:tcW w:w="620" w:type="dxa"/>
            <w:vAlign w:val="bottom"/>
          </w:tcPr>
          <w:p>
            <w:pPr>
              <w:jc w:val="right"/>
              <w:ind w:right="36"/>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Total Facility</w:t>
            </w:r>
          </w:p>
        </w:tc>
        <w:tc>
          <w:tcPr>
            <w:tcW w:w="7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Available (1)</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Debt Obligations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r>
              <w:rPr>
                <w:rFonts w:ascii="Arial" w:cs="Arial" w:eastAsia="Arial" w:hAnsi="Arial"/>
                <w:sz w:val="18"/>
                <w:szCs w:val="18"/>
                <w:u w:val="single" w:color="auto"/>
                <w:color w:val="auto"/>
              </w:rPr>
              <w:t>0</w:t>
            </w:r>
          </w:p>
        </w:tc>
        <w:tc>
          <w:tcPr>
            <w:tcW w:w="90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331.8</w:t>
            </w:r>
          </w:p>
        </w:tc>
        <w:tc>
          <w:tcPr>
            <w:tcW w:w="7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available considers any limitations related to the respective debt facilities’ borrowing bases.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of September 30, 2013 and December 31, 2012, we were in compliance with the terms of our debt arrangements. We intend to continue to utilize our credit facilities to fund investments and for other general corporate purposes.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Recent Developments</w:t>
      </w:r>
      <w:r>
        <w:rPr>
          <w:rFonts w:ascii="Arial" w:cs="Arial" w:eastAsia="Arial" w:hAnsi="Arial"/>
          <w:sz w:val="18"/>
          <w:szCs w:val="18"/>
          <w:color w:val="auto"/>
        </w:rPr>
        <w:t xml:space="preserve"> below for a summary of recent events related to our revolving credit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From time to time, we may enter into commitments to fund investments. As of September 30, 2013 and December 31, 2012, we had the following commitments to fund investments: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75"/>
        </w:trPr>
        <w:tc>
          <w:tcPr>
            <w:tcW w:w="382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06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19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10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7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Portfolio Company Commitments</w:t>
            </w:r>
          </w:p>
        </w:tc>
        <w:tc>
          <w:tcPr>
            <w:tcW w:w="220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20" w:type="dxa"/>
            <w:vAlign w:val="bottom"/>
            <w:gridSpan w:val="2"/>
            <w:shd w:val="clear" w:color="auto" w:fill="CCEEFF"/>
          </w:tcPr>
          <w:p>
            <w:pPr>
              <w:jc w:val="right"/>
              <w:ind w:right="28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vMerge w:val="restart"/>
          </w:tcPr>
          <w:p>
            <w:pPr>
              <w:jc w:val="right"/>
              <w:ind w:right="372"/>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September 30, 2013 and December 31, 2012, we had $1.5 billion and $1.4 billion, respectively, in total capital commitments from investors ($1.0 billion and $1.0 billion unfunded, respectively), of which $117.1 million and $114.1 million, respectively, is from the Adviser and its affiliates ($76.7 million and $76.6 million unfunded,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September 30, 2013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6"/>
              </w:rPr>
              <w:t>Payments Due by Period</w:t>
            </w: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1"/>
              </w:rPr>
              <w:t>Less than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42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3-5 years</w:t>
            </w:r>
          </w:p>
        </w:tc>
        <w:tc>
          <w:tcPr>
            <w:tcW w:w="46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After 5 years</w:t>
            </w:r>
          </w:p>
        </w:tc>
        <w:tc>
          <w:tcPr>
            <w:tcW w:w="0" w:type="dxa"/>
            <w:vAlign w:val="bottom"/>
          </w:tcPr>
          <w:p>
            <w:pPr>
              <w:spacing w:after="0"/>
              <w:rPr>
                <w:sz w:val="1"/>
                <w:szCs w:val="1"/>
                <w:color w:val="auto"/>
              </w:rPr>
            </w:pPr>
          </w:p>
        </w:tc>
      </w:tr>
      <w:tr>
        <w:trPr>
          <w:trHeight w:val="210"/>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(DBTCA)</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Revolving Credit Facility (Natixis)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(SunTrust)</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217.5</w:t>
            </w:r>
          </w:p>
        </w:tc>
        <w:tc>
          <w:tcPr>
            <w:tcW w:w="4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 Contractual Obligations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338.3</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5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217.5</w:t>
            </w:r>
          </w:p>
        </w:tc>
        <w:tc>
          <w:tcPr>
            <w:tcW w:w="7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80" w:type="dxa"/>
            <w:vAlign w:val="bottom"/>
          </w:tcPr>
          <w:p>
            <w:pPr>
              <w:jc w:val="center"/>
              <w:ind w:left="92"/>
              <w:spacing w:after="0"/>
              <w:rPr>
                <w:sz w:val="20"/>
                <w:szCs w:val="20"/>
                <w:color w:val="auto"/>
              </w:rPr>
            </w:pPr>
            <w:r>
              <w:rPr>
                <w:rFonts w:ascii="Arial" w:cs="Arial" w:eastAsia="Arial" w:hAnsi="Arial"/>
                <w:sz w:val="18"/>
                <w:szCs w:val="18"/>
                <w:color w:val="auto"/>
                <w:w w:val="85"/>
              </w:rPr>
              <w:t>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See the Off Balance Sheet Arrangements section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(DBTCA)</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November 5, 2013, the Company entered into an agreement to amend the Revolving Credit Facility (DBTCA) by extending the stated maturity date from December 22, 2013 to June 30,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the Company’s Annual Report on Form 10-K for the year ended December 31, 2012, which was filed with the SEC on March 15,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financial market risks, including valuation risk and interest rate risk. We currently do not hedge our exposure to these risks.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more details on estimates and judgments made by us in connection with the valuation of our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Interest rate sensitivity refers to the change in earnings that may result from changes in the level of interest rates. We also fund portions of our investments with borrowings, and at such time, our net investment income is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8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2013, the majority of the investments at fair value in our portfolio were at variable rates. Our credit facilities also bear interest at floating rates.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our balance sheet as of September 30, 2013, the following table shows the impact on net income for the three months ended September 30, 2013, of base rate changes in interest rates (considering interest rate floors and ceilings for variable rate instruments) assuming no changes in our investment and borrowing structure: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26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Net</w:t>
            </w:r>
          </w:p>
        </w:tc>
      </w:tr>
      <w:tr>
        <w:trPr>
          <w:trHeight w:val="149"/>
        </w:trPr>
        <w:tc>
          <w:tcPr>
            <w:tcW w:w="42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Basis Point Change</w:t>
            </w:r>
          </w:p>
        </w:tc>
        <w:tc>
          <w:tcPr>
            <w:tcW w:w="2620" w:type="dxa"/>
            <w:vAlign w:val="bottom"/>
          </w:tcPr>
          <w:p>
            <w:pPr>
              <w:spacing w:after="0"/>
              <w:rPr>
                <w:sz w:val="12"/>
                <w:szCs w:val="12"/>
                <w:color w:val="auto"/>
              </w:rPr>
            </w:pPr>
          </w:p>
        </w:tc>
        <w:tc>
          <w:tcPr>
            <w:tcW w:w="8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Expense</w:t>
            </w:r>
          </w:p>
        </w:tc>
        <w:tc>
          <w:tcPr>
            <w:tcW w:w="280" w:type="dxa"/>
            <w:vAlign w:val="bottom"/>
          </w:tcPr>
          <w:p>
            <w:pPr>
              <w:spacing w:after="0"/>
              <w:rPr>
                <w:sz w:val="12"/>
                <w:szCs w:val="12"/>
                <w:color w:val="auto"/>
              </w:rPr>
            </w:pPr>
          </w:p>
        </w:tc>
        <w:tc>
          <w:tcPr>
            <w:tcW w:w="5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Income</w:t>
            </w:r>
          </w:p>
        </w:tc>
      </w:tr>
      <w:tr>
        <w:trPr>
          <w:trHeight w:val="20"/>
        </w:trPr>
        <w:tc>
          <w:tcPr>
            <w:tcW w:w="1200" w:type="dxa"/>
            <w:vAlign w:val="bottom"/>
            <w:tcBorders>
              <w:top w:val="single" w:sz="8" w:color="auto"/>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97"/>
        </w:trPr>
        <w:tc>
          <w:tcPr>
            <w:tcW w:w="4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Up 300 basis points</w:t>
            </w: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76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276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(0.2)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7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(0.2)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2760" w:type="dxa"/>
            <w:vAlign w:val="bottom"/>
            <w:gridSpan w:val="2"/>
          </w:tcPr>
          <w:p>
            <w:pPr>
              <w:ind w:left="2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on Form 10-K for the year ended December 31, 2012, which was filed with the SEC on March 15,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and its affiliates for each month in the three month period ended September 30, 2013:</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spacing w:after="0"/>
        <w:rPr>
          <w:sz w:val="20"/>
          <w:szCs w:val="20"/>
          <w:color w:val="auto"/>
        </w:rPr>
      </w:pPr>
      <w:r>
        <w:rPr>
          <w:rFonts w:ascii="Arial" w:cs="Arial" w:eastAsia="Arial" w:hAnsi="Arial"/>
          <w:sz w:val="11"/>
          <w:szCs w:val="11"/>
          <w:b w:val="1"/>
          <w:bCs w:val="1"/>
          <w:color w:val="auto"/>
        </w:rPr>
        <w:t>($ in thousands, except per share amounts)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Period</w:t>
      </w:r>
    </w:p>
    <w:p>
      <w:pPr>
        <w:spacing w:after="0" w:line="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July 2013</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August 2013</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September 2013</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Maximum Number</w:t>
            </w: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0"/>
              </w:rPr>
              <w:t>(or Approximate</w:t>
            </w: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5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Shares that May Yet</w:t>
            </w:r>
          </w:p>
        </w:tc>
      </w:tr>
      <w:tr>
        <w:trPr>
          <w:trHeight w:val="149"/>
        </w:trPr>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Part of Publicly</w:t>
            </w:r>
          </w:p>
        </w:tc>
        <w:tc>
          <w:tcPr>
            <w:tcW w:w="58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Be Purchased Under</w:t>
            </w:r>
          </w:p>
        </w:tc>
      </w:tr>
      <w:tr>
        <w:trPr>
          <w:trHeight w:val="149"/>
        </w:trPr>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560" w:type="dxa"/>
            <w:vAlign w:val="bottom"/>
          </w:tcPr>
          <w:p>
            <w:pPr>
              <w:spacing w:after="0"/>
              <w:rPr>
                <w:sz w:val="12"/>
                <w:szCs w:val="12"/>
                <w:color w:val="auto"/>
              </w:rPr>
            </w:pPr>
          </w:p>
        </w:tc>
        <w:tc>
          <w:tcPr>
            <w:tcW w:w="164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 Plans or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the Plans or</w:t>
            </w:r>
          </w:p>
        </w:tc>
      </w:tr>
      <w:tr>
        <w:trPr>
          <w:trHeight w:val="161"/>
        </w:trPr>
        <w:tc>
          <w:tcPr>
            <w:tcW w:w="180" w:type="dxa"/>
            <w:vAlign w:val="bottom"/>
          </w:tcPr>
          <w:p>
            <w:pPr>
              <w:spacing w:after="0"/>
              <w:rPr>
                <w:sz w:val="14"/>
                <w:szCs w:val="14"/>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w w:val="99"/>
              </w:rPr>
              <w:t>per Share</w:t>
            </w:r>
          </w:p>
        </w:tc>
        <w:tc>
          <w:tcPr>
            <w:tcW w:w="560" w:type="dxa"/>
            <w:vAlign w:val="bottom"/>
          </w:tcPr>
          <w:p>
            <w:pPr>
              <w:spacing w:after="0"/>
              <w:rPr>
                <w:sz w:val="14"/>
                <w:szCs w:val="14"/>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3"/>
              </w:rPr>
              <w:t>Shares Purchased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22"/>
              <w:spacing w:after="0"/>
              <w:rPr>
                <w:sz w:val="20"/>
                <w:szCs w:val="20"/>
                <w:color w:val="auto"/>
              </w:rPr>
            </w:pPr>
            <w:r>
              <w:rPr>
                <w:rFonts w:ascii="Arial" w:cs="Arial" w:eastAsia="Arial" w:hAnsi="Arial"/>
                <w:sz w:val="14"/>
                <w:szCs w:val="14"/>
                <w:b w:val="1"/>
                <w:bCs w:val="1"/>
                <w:color w:val="auto"/>
                <w:w w:val="85"/>
              </w:rPr>
              <w:t>Programs</w:t>
            </w:r>
          </w:p>
        </w:tc>
      </w:tr>
      <w:tr>
        <w:trPr>
          <w:trHeight w:val="201"/>
        </w:trPr>
        <w:tc>
          <w:tcPr>
            <w:tcW w:w="1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16"/>
              <w:spacing w:after="0" w:line="201"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40" w:type="dxa"/>
            <w:vAlign w:val="bottom"/>
            <w:tcBorders>
              <w:top w:val="single" w:sz="8" w:color="auto"/>
            </w:tcBorders>
          </w:tcPr>
          <w:p>
            <w:pPr>
              <w:ind w:left="780"/>
              <w:spacing w:after="0" w:line="201"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200" w:type="dxa"/>
            <w:vAlign w:val="bottom"/>
            <w:tcBorders>
              <w:top w:val="single" w:sz="8" w:color="auto"/>
            </w:tcBorders>
          </w:tcPr>
          <w:p>
            <w:pPr>
              <w:jc w:val="right"/>
              <w:ind w:right="23"/>
              <w:spacing w:after="0" w:line="201" w:lineRule="exact"/>
              <w:rPr>
                <w:sz w:val="20"/>
                <w:szCs w:val="20"/>
                <w:color w:val="auto"/>
              </w:rPr>
            </w:pPr>
            <w:r>
              <w:rPr>
                <w:rFonts w:ascii="Arial" w:cs="Arial" w:eastAsia="Arial" w:hAnsi="Arial"/>
                <w:sz w:val="18"/>
                <w:szCs w:val="18"/>
                <w:color w:val="auto"/>
              </w:rPr>
              <w:t>—</w:t>
            </w:r>
          </w:p>
        </w:tc>
        <w:tc>
          <w:tcPr>
            <w:tcW w:w="580" w:type="dxa"/>
            <w:vAlign w:val="bottom"/>
          </w:tcPr>
          <w:p>
            <w:pPr>
              <w:spacing w:after="0"/>
              <w:rPr>
                <w:sz w:val="17"/>
                <w:szCs w:val="17"/>
                <w:color w:val="auto"/>
              </w:rPr>
            </w:pP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2"/>
              <w:spacing w:after="0" w:line="201" w:lineRule="exact"/>
              <w:rPr>
                <w:sz w:val="20"/>
                <w:szCs w:val="20"/>
                <w:color w:val="auto"/>
              </w:rPr>
            </w:pPr>
            <w:r>
              <w:rPr>
                <w:rFonts w:ascii="Arial" w:cs="Arial" w:eastAsia="Arial" w:hAnsi="Arial"/>
                <w:sz w:val="18"/>
                <w:szCs w:val="18"/>
                <w:color w:val="auto"/>
              </w:rPr>
              <w:t>—</w:t>
            </w:r>
          </w:p>
        </w:tc>
      </w:tr>
      <w:tr>
        <w:trPr>
          <w:trHeight w:val="216"/>
        </w:trPr>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3"/>
        </w:trPr>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1,020.24</w:t>
            </w:r>
          </w:p>
        </w:tc>
        <w:tc>
          <w:tcPr>
            <w:tcW w:w="5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1,914</w:t>
            </w:r>
          </w:p>
        </w:tc>
        <w:tc>
          <w:tcPr>
            <w:tcW w:w="1200" w:type="dxa"/>
            <w:vAlign w:val="bottom"/>
          </w:tcPr>
          <w:p>
            <w:pPr>
              <w:jc w:val="right"/>
              <w:spacing w:after="0"/>
              <w:rPr>
                <w:sz w:val="20"/>
                <w:szCs w:val="20"/>
                <w:color w:val="auto"/>
              </w:rPr>
            </w:pPr>
            <w:r>
              <w:rPr>
                <w:rFonts w:ascii="Arial" w:cs="Arial" w:eastAsia="Arial" w:hAnsi="Arial"/>
                <w:sz w:val="18"/>
                <w:szCs w:val="18"/>
                <w:color w:val="auto"/>
              </w:rPr>
              <w:t>1,914</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76,706</w:t>
            </w:r>
          </w:p>
        </w:tc>
      </w:tr>
      <w:tr>
        <w:trPr>
          <w:trHeight w:val="20"/>
        </w:trPr>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1,020.24</w:t>
            </w:r>
          </w:p>
        </w:tc>
        <w:tc>
          <w:tcPr>
            <w:tcW w:w="560" w:type="dxa"/>
            <w:vAlign w:val="bottom"/>
          </w:tcPr>
          <w:p>
            <w:pPr>
              <w:spacing w:after="0"/>
              <w:rPr>
                <w:sz w:val="19"/>
                <w:szCs w:val="19"/>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color w:val="auto"/>
              </w:rPr>
              <w:t>1,914</w:t>
            </w:r>
          </w:p>
        </w:tc>
        <w:tc>
          <w:tcPr>
            <w:tcW w:w="1200" w:type="dxa"/>
            <w:vAlign w:val="bottom"/>
          </w:tcPr>
          <w:p>
            <w:pPr>
              <w:jc w:val="right"/>
              <w:spacing w:after="0"/>
              <w:rPr>
                <w:sz w:val="20"/>
                <w:szCs w:val="20"/>
                <w:color w:val="auto"/>
              </w:rPr>
            </w:pPr>
            <w:r>
              <w:rPr>
                <w:rFonts w:ascii="Arial" w:cs="Arial" w:eastAsia="Arial" w:hAnsi="Arial"/>
                <w:sz w:val="18"/>
                <w:szCs w:val="18"/>
                <w:color w:val="auto"/>
              </w:rPr>
              <w:t>1,914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76,706</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-599440</wp:posOffset>
            </wp:positionV>
            <wp:extent cx="608012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80125" cy="146050"/>
                    </a:xfrm>
                    <a:prstGeom prst="rect">
                      <a:avLst/>
                    </a:prstGeom>
                    <a:noFill/>
                  </pic:spPr>
                </pic:pic>
              </a:graphicData>
            </a:graphic>
          </wp:anchor>
        </w:drawing>
        <w:drawing>
          <wp:anchor simplePos="0" relativeHeight="251657728" behindDoc="1" locked="0" layoutInCell="0" allowOverlap="1">
            <wp:simplePos x="0" y="0"/>
            <wp:positionH relativeFrom="column">
              <wp:posOffset>-2014855</wp:posOffset>
            </wp:positionH>
            <wp:positionV relativeFrom="paragraph">
              <wp:posOffset>-316865</wp:posOffset>
            </wp:positionV>
            <wp:extent cx="60801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3380" w:space="720"/>
            <w:col w:w="72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w w:val="88"/>
              </w:rPr>
              <w:t>(a) Exhibits.</w:t>
            </w:r>
          </w:p>
        </w:tc>
        <w:tc>
          <w:tcPr>
            <w:tcW w:w="9680" w:type="dxa"/>
            <w:vAlign w:val="bottom"/>
          </w:tcPr>
          <w:p>
            <w:pPr>
              <w:spacing w:after="0"/>
              <w:rPr>
                <w:sz w:val="19"/>
                <w:szCs w:val="19"/>
                <w:color w:val="auto"/>
              </w:rPr>
            </w:pPr>
          </w:p>
        </w:tc>
      </w:tr>
      <w:tr>
        <w:trPr>
          <w:trHeight w:val="412"/>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31.1</w:t>
            </w:r>
          </w:p>
        </w:tc>
        <w:tc>
          <w:tcPr>
            <w:tcW w:w="9680" w:type="dxa"/>
            <w:vAlign w:val="bottom"/>
          </w:tcPr>
          <w:p>
            <w:pPr>
              <w:ind w:left="120"/>
              <w:spacing w:after="0"/>
              <w:rPr>
                <w:sz w:val="20"/>
                <w:szCs w:val="20"/>
                <w:color w:val="auto"/>
              </w:rPr>
            </w:pPr>
            <w:r>
              <w:rPr>
                <w:rFonts w:ascii="Arial" w:cs="Arial" w:eastAsia="Arial" w:hAnsi="Arial"/>
                <w:sz w:val="18"/>
                <w:szCs w:val="18"/>
                <w:color w:val="auto"/>
                <w:w w:val="88"/>
              </w:rPr>
              <w:t>Certification of Chief Executive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r>
        <w:trPr>
          <w:trHeight w:val="318"/>
        </w:trPr>
        <w:tc>
          <w:tcPr>
            <w:tcW w:w="1040" w:type="dxa"/>
            <w:vAlign w:val="bottom"/>
          </w:tcPr>
          <w:p>
            <w:pPr>
              <w:jc w:val="right"/>
              <w:ind w:right="392"/>
              <w:spacing w:after="0"/>
              <w:rPr>
                <w:sz w:val="20"/>
                <w:szCs w:val="20"/>
                <w:color w:val="auto"/>
              </w:rPr>
            </w:pPr>
            <w:r>
              <w:rPr>
                <w:rFonts w:ascii="Arial" w:cs="Arial" w:eastAsia="Arial" w:hAnsi="Arial"/>
                <w:sz w:val="18"/>
                <w:szCs w:val="18"/>
                <w:color w:val="auto"/>
              </w:rPr>
              <w:t>31.2</w:t>
            </w:r>
          </w:p>
        </w:tc>
        <w:tc>
          <w:tcPr>
            <w:tcW w:w="9680" w:type="dxa"/>
            <w:vAlign w:val="bottom"/>
          </w:tcPr>
          <w:p>
            <w:pPr>
              <w:ind w:left="120"/>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302 of the Sarbanes-Oxley</w:t>
            </w:r>
          </w:p>
        </w:tc>
      </w:tr>
      <w:tr>
        <w:trPr>
          <w:trHeight w:val="222"/>
        </w:trPr>
        <w:tc>
          <w:tcPr>
            <w:tcW w:w="1040" w:type="dxa"/>
            <w:vAlign w:val="bottom"/>
          </w:tcPr>
          <w:p>
            <w:pPr>
              <w:spacing w:after="0"/>
              <w:rPr>
                <w:sz w:val="19"/>
                <w:szCs w:val="19"/>
                <w:color w:val="auto"/>
              </w:rPr>
            </w:pPr>
          </w:p>
        </w:tc>
        <w:tc>
          <w:tcPr>
            <w:tcW w:w="9680" w:type="dxa"/>
            <w:vAlign w:val="bottom"/>
          </w:tcPr>
          <w:p>
            <w:pPr>
              <w:ind w:left="120"/>
              <w:spacing w:after="0"/>
              <w:rPr>
                <w:sz w:val="20"/>
                <w:szCs w:val="20"/>
                <w:color w:val="auto"/>
              </w:rPr>
            </w:pPr>
            <w:r>
              <w:rPr>
                <w:rFonts w:ascii="Arial" w:cs="Arial" w:eastAsia="Arial" w:hAnsi="Arial"/>
                <w:sz w:val="18"/>
                <w:szCs w:val="18"/>
                <w:color w:val="auto"/>
              </w:rPr>
              <w:t>Act of 2002.</w:t>
            </w:r>
          </w:p>
        </w:tc>
      </w:tr>
    </w:tbl>
    <w:p>
      <w:pPr>
        <w:spacing w:after="0" w:line="102" w:lineRule="exact"/>
        <w:rPr>
          <w:sz w:val="20"/>
          <w:szCs w:val="20"/>
          <w:color w:val="auto"/>
        </w:rPr>
      </w:pPr>
    </w:p>
    <w:p>
      <w:pPr>
        <w:ind w:left="1620" w:right="160" w:hanging="910"/>
        <w:spacing w:after="0" w:line="268"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TPG SPECIALTY LENDING, INC.</w:t>
            </w:r>
          </w:p>
        </w:tc>
      </w:tr>
      <w:tr>
        <w:trPr>
          <w:trHeight w:val="434"/>
        </w:trPr>
        <w:tc>
          <w:tcPr>
            <w:tcW w:w="3680" w:type="dxa"/>
            <w:vAlign w:val="bottom"/>
          </w:tcPr>
          <w:p>
            <w:pPr>
              <w:spacing w:after="0"/>
              <w:rPr>
                <w:sz w:val="20"/>
                <w:szCs w:val="20"/>
                <w:color w:val="auto"/>
              </w:rPr>
            </w:pPr>
            <w:r>
              <w:rPr>
                <w:rFonts w:ascii="Arial" w:cs="Arial" w:eastAsia="Arial" w:hAnsi="Arial"/>
                <w:sz w:val="18"/>
                <w:szCs w:val="18"/>
                <w:color w:val="auto"/>
              </w:rPr>
              <w:t>Date: November 8, 2013</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Michael Fishman</w:t>
            </w:r>
          </w:p>
        </w:tc>
      </w:tr>
      <w:tr>
        <w:trPr>
          <w:trHeight w:val="215"/>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Fishman</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4"/>
        </w:trPr>
        <w:tc>
          <w:tcPr>
            <w:tcW w:w="3680" w:type="dxa"/>
            <w:vAlign w:val="bottom"/>
          </w:tcPr>
          <w:p>
            <w:pPr>
              <w:spacing w:after="0"/>
              <w:rPr>
                <w:sz w:val="20"/>
                <w:szCs w:val="20"/>
                <w:color w:val="auto"/>
              </w:rPr>
            </w:pPr>
            <w:r>
              <w:rPr>
                <w:rFonts w:ascii="Arial" w:cs="Arial" w:eastAsia="Arial" w:hAnsi="Arial"/>
                <w:sz w:val="18"/>
                <w:szCs w:val="18"/>
                <w:color w:val="auto"/>
              </w:rPr>
              <w:t>Date: November 8, 2013</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Alan Kirshenbaum</w:t>
            </w:r>
          </w:p>
        </w:tc>
      </w:tr>
      <w:tr>
        <w:trPr>
          <w:trHeight w:val="215"/>
        </w:trPr>
        <w:tc>
          <w:tcPr>
            <w:tcW w:w="36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Alan Kirshenbaum</w:t>
            </w:r>
          </w:p>
        </w:tc>
      </w:tr>
      <w:tr>
        <w:trPr>
          <w:trHeight w:val="222"/>
        </w:trPr>
        <w:tc>
          <w:tcPr>
            <w:tcW w:w="36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3680" w:type="dxa"/>
            <w:vAlign w:val="bottom"/>
          </w:tcPr>
          <w:p>
            <w:pPr>
              <w:spacing w:after="0"/>
              <w:rPr>
                <w:sz w:val="24"/>
                <w:szCs w:val="24"/>
                <w:color w:val="auto"/>
              </w:rPr>
            </w:pPr>
          </w:p>
        </w:tc>
        <w:tc>
          <w:tcPr>
            <w:tcW w:w="2600" w:type="dxa"/>
            <w:vAlign w:val="bottom"/>
          </w:tcPr>
          <w:p>
            <w:pPr>
              <w:jc w:val="right"/>
              <w:ind w:right="392"/>
              <w:spacing w:after="0"/>
              <w:rPr>
                <w:sz w:val="20"/>
                <w:szCs w:val="20"/>
                <w:color w:val="auto"/>
              </w:rPr>
            </w:pPr>
            <w:r>
              <w:rPr>
                <w:rFonts w:ascii="Arial" w:cs="Arial" w:eastAsia="Arial" w:hAnsi="Arial"/>
                <w:sz w:val="18"/>
                <w:szCs w:val="18"/>
                <w:color w:val="auto"/>
              </w:rPr>
              <w:t>36</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8, 2013</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Michael Fishman</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Michael Fishman</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Alan Kirshenbaum,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Date: November 8, 2013</w:t>
            </w:r>
          </w:p>
        </w:tc>
        <w:tc>
          <w:tcPr>
            <w:tcW w:w="7580" w:type="dxa"/>
            <w:vAlign w:val="bottom"/>
            <w:gridSpan w:val="2"/>
          </w:tcPr>
          <w:p>
            <w:pPr>
              <w:ind w:left="2080"/>
              <w:spacing w:after="0"/>
              <w:rPr>
                <w:sz w:val="20"/>
                <w:szCs w:val="20"/>
                <w:color w:val="auto"/>
              </w:rPr>
            </w:pPr>
            <w:r>
              <w:rPr>
                <w:rFonts w:ascii="Arial" w:cs="Arial" w:eastAsia="Arial" w:hAnsi="Arial"/>
                <w:sz w:val="18"/>
                <w:szCs w:val="18"/>
                <w:color w:val="auto"/>
              </w:rPr>
              <w:t>By:  /s/ Alan Kirshenbaum</w:t>
            </w:r>
          </w:p>
        </w:tc>
      </w:tr>
      <w:tr>
        <w:trPr>
          <w:trHeight w:val="202"/>
        </w:trPr>
        <w:tc>
          <w:tcPr>
            <w:tcW w:w="38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Alan Kirshenbaum</w:t>
            </w:r>
          </w:p>
        </w:tc>
      </w:tr>
      <w:tr>
        <w:trPr>
          <w:trHeight w:val="222"/>
        </w:trPr>
        <w:tc>
          <w:tcPr>
            <w:tcW w:w="38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September 30, 2013, as filed with the Securities and Exchange Commission on the date hereof (the “Report”), Michael Fishman, as Chief Executive Officer of the Company, and Alan Kirshenbaum, as Chief Financial Officer of the Company, each hereby certifies, pursuant to 18 U.S.C. § 1350, as adopted pursuant to § 906 of the Sarbanes-Oxley Act of 2002, that, to such officer’s knowledge:</w:t>
      </w:r>
    </w:p>
    <w:p>
      <w:pPr>
        <w:spacing w:after="0" w:line="62" w:lineRule="exact"/>
        <w:rPr>
          <w:sz w:val="20"/>
          <w:szCs w:val="20"/>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Michael Fishman</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Alan Kirshenbaum</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2013</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2"/>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3"/>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5"/>
    </w:lvl>
  </w:abstractNum>
  <w:abstractNum w:abstractNumId="15">
    <w:nsid w:val="721DA317"/>
    <w:multiLevelType w:val="hybridMultilevel"/>
    <w:lvl w:ilvl="0">
      <w:lvlJc w:val="left"/>
      <w:lvlText w:val="%1."/>
      <w:numFmt w:val="decimal"/>
      <w:start w:val="6"/>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8"/>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decimal"/>
      <w:start w:val="3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2019-12-07T23:04:10Z</dcterms:created>
  <dcterms:modified xsi:type="dcterms:W3CDTF">2019-12-07T23:04:10Z</dcterms:modified>
</cp:coreProperties>
</file>