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Viola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02/08/2012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4"/>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660"/>
              <w:spacing w:after="0"/>
              <w:rPr>
                <w:sz w:val="20"/>
                <w:szCs w:val="20"/>
                <w:color w:val="auto"/>
              </w:rPr>
            </w:pPr>
            <w:r>
              <w:rPr>
                <w:rFonts w:ascii="Arial" w:cs="Arial" w:eastAsia="Arial" w:hAnsi="Arial"/>
                <w:sz w:val="18"/>
                <w:szCs w:val="18"/>
                <w:color w:val="0000FF"/>
              </w:rPr>
              <w:t>02/08/2012</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ind w:left="280"/>
              <w:spacing w:after="0"/>
              <w:rPr>
                <w:sz w:val="20"/>
                <w:szCs w:val="20"/>
                <w:color w:val="auto"/>
              </w:rPr>
            </w:pPr>
            <w:r>
              <w:rPr>
                <w:rFonts w:ascii="Arial" w:cs="Arial" w:eastAsia="Arial" w:hAnsi="Arial"/>
                <w:sz w:val="18"/>
                <w:szCs w:val="18"/>
                <w:color w:val="0000FF"/>
              </w:rPr>
              <w:t>9.9</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ind w:left="8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985.24</w:t>
            </w:r>
          </w:p>
        </w:tc>
        <w:tc>
          <w:tcPr>
            <w:tcW w:w="1300" w:type="dxa"/>
            <w:vAlign w:val="bottom"/>
            <w:gridSpan w:val="3"/>
            <w:vMerge w:val="restart"/>
          </w:tcPr>
          <w:p>
            <w:pPr>
              <w:ind w:left="480"/>
              <w:spacing w:after="0"/>
              <w:rPr>
                <w:sz w:val="20"/>
                <w:szCs w:val="20"/>
                <w:color w:val="auto"/>
              </w:rPr>
            </w:pPr>
            <w:r>
              <w:rPr>
                <w:rFonts w:ascii="Arial" w:cs="Arial" w:eastAsia="Arial" w:hAnsi="Arial"/>
                <w:sz w:val="18"/>
                <w:szCs w:val="18"/>
                <w:color w:val="0000FF"/>
              </w:rPr>
              <w:t>61.1</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0"/>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13,987 shares of Common Stock of the Issuer, including 61.1 shares of Common Stock of the Issuer indirectly beneficially owned by Mr. Viola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30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Viola pursuant to the authorization and designation letter dated March 10, 2011, which was previously filed with the Securities and Exchange Commission as an exhibit to a Form 3 filed by Mr. Viola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02/10/2011</w:t>
            </w:r>
          </w:p>
        </w:tc>
        <w:tc>
          <w:tcPr>
            <w:tcW w:w="0" w:type="dxa"/>
            <w:vAlign w:val="bottom"/>
          </w:tcPr>
          <w:p>
            <w:pPr>
              <w:spacing w:after="0"/>
              <w:rPr>
                <w:sz w:val="1"/>
                <w:szCs w:val="1"/>
                <w:color w:val="auto"/>
              </w:rPr>
            </w:pPr>
          </w:p>
        </w:tc>
      </w:tr>
      <w:tr>
        <w:trPr>
          <w:trHeight w:val="88"/>
        </w:trPr>
        <w:tc>
          <w:tcPr>
            <w:tcW w:w="10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John Viola (2)</w:t>
            </w:r>
          </w:p>
        </w:tc>
        <w:tc>
          <w:tcPr>
            <w:tcW w:w="10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20" w:type="dxa"/>
            <w:vAlign w:val="bottom"/>
            <w:tcBorders>
              <w:top w:val="single" w:sz="8" w:color="auto"/>
              <w:bottom w:val="single" w:sz="8" w:color="auto"/>
            </w:tcBorders>
            <w:vMerge w:val="continue"/>
          </w:tcPr>
          <w:p>
            <w:pPr>
              <w:spacing w:after="0"/>
              <w:rPr>
                <w:sz w:val="7"/>
                <w:szCs w:val="7"/>
                <w:color w:val="auto"/>
              </w:rPr>
            </w:pPr>
          </w:p>
        </w:tc>
        <w:tc>
          <w:tcPr>
            <w:tcW w:w="10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25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2019-12-17T05:06:02Z</dcterms:created>
  <dcterms:modified xsi:type="dcterms:W3CDTF">2019-12-17T05:06:02Z</dcterms:modified>
</cp:coreProperties>
</file>