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23, 2018</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File No. 333-217207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3940" w:type="dxa"/>
        <w:tblCellMar>
          <w:top w:w="0" w:type="dxa"/>
          <w:left w:w="0" w:type="dxa"/>
          <w:bottom w:w="0" w:type="dxa"/>
          <w:right w:w="0" w:type="dxa"/>
        </w:tblCellMar>
      </w:tblPr>
      <w:tr>
        <w:trPr>
          <w:trHeight w:val="239"/>
        </w:trPr>
        <w:tc>
          <w:tcPr>
            <w:tcW w:w="5180" w:type="dxa"/>
            <w:vAlign w:val="bottom"/>
          </w:tcPr>
          <w:p>
            <w:pPr>
              <w:ind w:left="1400"/>
              <w:spacing w:after="0" w:line="239" w:lineRule="exact"/>
              <w:rPr>
                <w:sz w:val="20"/>
                <w:szCs w:val="20"/>
                <w:color w:val="auto"/>
              </w:rPr>
            </w:pPr>
            <w:r>
              <w:rPr>
                <w:rFonts w:ascii="Arial" w:cs="Arial" w:eastAsia="Arial" w:hAnsi="Arial"/>
                <w:sz w:val="22"/>
                <w:szCs w:val="22"/>
                <w:b w:val="1"/>
                <w:bCs w:val="1"/>
                <w:i w:val="1"/>
                <w:iCs w:val="1"/>
                <w:color w:val="auto"/>
              </w:rPr>
              <w:t>UNDER</w:t>
            </w:r>
          </w:p>
        </w:tc>
        <w:tc>
          <w:tcPr>
            <w:tcW w:w="2300" w:type="dxa"/>
            <w:vAlign w:val="bottom"/>
            <w:vMerge w:val="restart"/>
          </w:tcPr>
          <w:p>
            <w:pPr>
              <w:ind w:left="21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217"/>
        </w:trPr>
        <w:tc>
          <w:tcPr>
            <w:tcW w:w="5180" w:type="dxa"/>
            <w:vAlign w:val="bottom"/>
          </w:tcPr>
          <w:p>
            <w:pPr>
              <w:jc w:val="center"/>
              <w:ind w:right="1972"/>
              <w:spacing w:after="0" w:line="217" w:lineRule="exact"/>
              <w:rPr>
                <w:sz w:val="20"/>
                <w:szCs w:val="20"/>
                <w:color w:val="auto"/>
              </w:rPr>
            </w:pPr>
            <w:r>
              <w:rPr>
                <w:rFonts w:ascii="Arial" w:cs="Arial" w:eastAsia="Arial" w:hAnsi="Arial"/>
                <w:sz w:val="22"/>
                <w:szCs w:val="22"/>
                <w:b w:val="1"/>
                <w:bCs w:val="1"/>
                <w:i w:val="1"/>
                <w:iCs w:val="1"/>
                <w:color w:val="auto"/>
                <w:w w:val="95"/>
              </w:rPr>
              <w:t>THE SECURITIES ACT OF 1933</w:t>
            </w: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80" w:type="dxa"/>
            <w:vAlign w:val="bottom"/>
          </w:tcPr>
          <w:p>
            <w:pPr>
              <w:jc w:val="center"/>
              <w:ind w:right="1972"/>
              <w:spacing w:after="0"/>
              <w:rPr>
                <w:sz w:val="20"/>
                <w:szCs w:val="20"/>
                <w:color w:val="auto"/>
              </w:rPr>
            </w:pPr>
            <w:r>
              <w:rPr>
                <w:rFonts w:ascii="Arial" w:cs="Arial" w:eastAsia="Arial" w:hAnsi="Arial"/>
                <w:sz w:val="22"/>
                <w:szCs w:val="22"/>
                <w:b w:val="1"/>
                <w:bCs w:val="1"/>
                <w:color w:val="auto"/>
                <w:w w:val="89"/>
              </w:rPr>
              <w:t>Pre-Effective Amendment No.</w:t>
            </w:r>
          </w:p>
        </w:tc>
        <w:tc>
          <w:tcPr>
            <w:tcW w:w="2300" w:type="dxa"/>
            <w:vAlign w:val="bottom"/>
          </w:tcPr>
          <w:p>
            <w:pPr>
              <w:ind w:left="21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339"/>
        </w:trPr>
        <w:tc>
          <w:tcPr>
            <w:tcW w:w="5180" w:type="dxa"/>
            <w:vAlign w:val="bottom"/>
          </w:tcPr>
          <w:p>
            <w:pPr>
              <w:jc w:val="center"/>
              <w:ind w:right="1972"/>
              <w:spacing w:after="0"/>
              <w:rPr>
                <w:sz w:val="20"/>
                <w:szCs w:val="20"/>
                <w:color w:val="auto"/>
              </w:rPr>
            </w:pPr>
            <w:r>
              <w:rPr>
                <w:rFonts w:ascii="Arial" w:cs="Arial" w:eastAsia="Arial" w:hAnsi="Arial"/>
                <w:sz w:val="22"/>
                <w:szCs w:val="22"/>
                <w:b w:val="1"/>
                <w:bCs w:val="1"/>
                <w:color w:val="auto"/>
                <w:w w:val="88"/>
              </w:rPr>
              <w:t>Post-Effective Amendment No. 4</w:t>
            </w:r>
          </w:p>
        </w:tc>
        <w:tc>
          <w:tcPr>
            <w:tcW w:w="2300" w:type="dxa"/>
            <w:vAlign w:val="bottom"/>
          </w:tcPr>
          <w:p>
            <w:pPr>
              <w:ind w:left="21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201295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(817) 871-4000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Stiepleman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Adam E. Fleisher,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Helena K. Grannis,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Cleary Gottlieb Steen &amp; Hamilton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225-2000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From time to time after the effective date of this Registration Statement.</w:t>
      </w:r>
    </w:p>
    <w:p>
      <w:pPr>
        <w:spacing w:after="0" w:line="229"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Post-Effective Amendment No. 4 to the Registration Statement on Form N-2 (File No. 333-217207) of TPG Specialty Lending, Inc. (the “Registration Statement”) is being filed pursuant to Rule 462(d) under the Securities Act of 1933, as amended (the “Securities Act”), solely for the purpose of filing exhibits to the Registration Statement. Accordingly, this Post-Effective Amendment No. 4 consists only of a facing page, this explanatory note and Part C of the Registration Statement, which sets forth the exhibits to the Registration Statement. This Post-Effective Amendment No. 4 does not modify any other part of the Registration Statement. Pursuant to Rule 462(d) under the Securities Act, this Post-Effective Amendment No. 4 shall become effective immediately upon filing with the Securities and Exchange Commission. The contents of the Registration Statement are hereby incorporated by reference.</w:t>
      </w:r>
    </w:p>
    <w:p>
      <w:pPr>
        <w:sectPr>
          <w:pgSz w:w="11900" w:h="16838" w:orient="portrait"/>
          <w:cols w:equalWidth="0" w:num="1">
            <w:col w:w="11380"/>
          </w:cols>
          <w:pgMar w:left="240" w:top="270"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320" w:type="dxa"/>
            <w:vAlign w:val="bottom"/>
          </w:tcPr>
          <w:p>
            <w:pPr>
              <w:jc w:val="center"/>
              <w:ind w:left="1010"/>
              <w:spacing w:after="0"/>
              <w:rPr>
                <w:sz w:val="20"/>
                <w:szCs w:val="20"/>
                <w:color w:val="auto"/>
              </w:rPr>
            </w:pPr>
            <w:r>
              <w:rPr>
                <w:rFonts w:ascii="Arial" w:cs="Arial" w:eastAsia="Arial" w:hAnsi="Arial"/>
                <w:sz w:val="18"/>
                <w:szCs w:val="18"/>
                <w:b w:val="1"/>
                <w:bCs w:val="1"/>
                <w:color w:val="auto"/>
              </w:rPr>
              <w:t>TPG SPECIALTY LENDING, INC.</w:t>
            </w:r>
          </w:p>
        </w:tc>
        <w:tc>
          <w:tcPr>
            <w:tcW w:w="1040" w:type="dxa"/>
            <w:vAlign w:val="bottom"/>
          </w:tcPr>
          <w:p>
            <w:pPr>
              <w:spacing w:after="0"/>
              <w:rPr>
                <w:sz w:val="20"/>
                <w:szCs w:val="20"/>
                <w:color w:val="auto"/>
              </w:rPr>
            </w:pPr>
          </w:p>
        </w:tc>
      </w:tr>
      <w:tr>
        <w:trPr>
          <w:trHeight w:val="324"/>
        </w:trPr>
        <w:tc>
          <w:tcPr>
            <w:tcW w:w="10320" w:type="dxa"/>
            <w:vAlign w:val="bottom"/>
          </w:tcPr>
          <w:p>
            <w:pPr>
              <w:jc w:val="center"/>
              <w:ind w:left="1030"/>
              <w:spacing w:after="0"/>
              <w:rPr>
                <w:sz w:val="20"/>
                <w:szCs w:val="20"/>
                <w:color w:val="auto"/>
              </w:rPr>
            </w:pPr>
            <w:r>
              <w:rPr>
                <w:rFonts w:ascii="Arial" w:cs="Arial" w:eastAsia="Arial" w:hAnsi="Arial"/>
                <w:sz w:val="18"/>
                <w:szCs w:val="18"/>
                <w:b w:val="1"/>
                <w:bCs w:val="1"/>
                <w:color w:val="auto"/>
                <w:w w:val="95"/>
              </w:rPr>
              <w:t>PART C</w:t>
            </w:r>
          </w:p>
        </w:tc>
        <w:tc>
          <w:tcPr>
            <w:tcW w:w="1040" w:type="dxa"/>
            <w:vAlign w:val="bottom"/>
          </w:tcPr>
          <w:p>
            <w:pPr>
              <w:spacing w:after="0"/>
              <w:rPr>
                <w:sz w:val="24"/>
                <w:szCs w:val="24"/>
                <w:color w:val="auto"/>
              </w:rPr>
            </w:pPr>
          </w:p>
        </w:tc>
      </w:tr>
      <w:tr>
        <w:trPr>
          <w:trHeight w:val="324"/>
        </w:trPr>
        <w:tc>
          <w:tcPr>
            <w:tcW w:w="10320" w:type="dxa"/>
            <w:vAlign w:val="bottom"/>
          </w:tcPr>
          <w:p>
            <w:pPr>
              <w:jc w:val="center"/>
              <w:ind w:left="1030"/>
              <w:spacing w:after="0"/>
              <w:rPr>
                <w:sz w:val="20"/>
                <w:szCs w:val="20"/>
                <w:color w:val="auto"/>
              </w:rPr>
            </w:pPr>
            <w:r>
              <w:rPr>
                <w:rFonts w:ascii="Arial" w:cs="Arial" w:eastAsia="Arial" w:hAnsi="Arial"/>
                <w:sz w:val="18"/>
                <w:szCs w:val="18"/>
                <w:b w:val="1"/>
                <w:bCs w:val="1"/>
                <w:color w:val="auto"/>
                <w:w w:val="94"/>
              </w:rPr>
              <w:t>Other Information</w:t>
            </w:r>
          </w:p>
        </w:tc>
        <w:tc>
          <w:tcPr>
            <w:tcW w:w="1040" w:type="dxa"/>
            <w:vAlign w:val="bottom"/>
          </w:tcPr>
          <w:p>
            <w:pPr>
              <w:spacing w:after="0"/>
              <w:rPr>
                <w:sz w:val="24"/>
                <w:szCs w:val="24"/>
                <w:color w:val="auto"/>
              </w:rPr>
            </w:pPr>
          </w:p>
        </w:tc>
      </w:tr>
      <w:tr>
        <w:trPr>
          <w:trHeight w:val="432"/>
        </w:trPr>
        <w:tc>
          <w:tcPr>
            <w:tcW w:w="10320" w:type="dxa"/>
            <w:vAlign w:val="bottom"/>
          </w:tcPr>
          <w:p>
            <w:pPr>
              <w:spacing w:after="0"/>
              <w:rPr>
                <w:sz w:val="20"/>
                <w:szCs w:val="20"/>
                <w:color w:val="auto"/>
              </w:rPr>
            </w:pPr>
            <w:r>
              <w:rPr>
                <w:rFonts w:ascii="Arial" w:cs="Arial" w:eastAsia="Arial" w:hAnsi="Arial"/>
                <w:sz w:val="18"/>
                <w:szCs w:val="18"/>
                <w:b w:val="1"/>
                <w:bCs w:val="1"/>
                <w:color w:val="auto"/>
              </w:rPr>
              <w:t>Item 25. Financial Statements and Exhibits</w:t>
            </w:r>
          </w:p>
        </w:tc>
        <w:tc>
          <w:tcPr>
            <w:tcW w:w="1040" w:type="dxa"/>
            <w:vAlign w:val="bottom"/>
          </w:tcPr>
          <w:p>
            <w:pPr>
              <w:spacing w:after="0"/>
              <w:rPr>
                <w:sz w:val="24"/>
                <w:szCs w:val="24"/>
                <w:color w:val="auto"/>
              </w:rPr>
            </w:pPr>
          </w:p>
        </w:tc>
      </w:tr>
      <w:tr>
        <w:trPr>
          <w:trHeight w:val="324"/>
        </w:trPr>
        <w:tc>
          <w:tcPr>
            <w:tcW w:w="10320" w:type="dxa"/>
            <w:vAlign w:val="bottom"/>
          </w:tcPr>
          <w:p>
            <w:pPr>
              <w:spacing w:after="0"/>
              <w:rPr>
                <w:sz w:val="20"/>
                <w:szCs w:val="20"/>
                <w:color w:val="auto"/>
              </w:rPr>
            </w:pPr>
            <w:r>
              <w:rPr>
                <w:rFonts w:ascii="Arial" w:cs="Arial" w:eastAsia="Arial" w:hAnsi="Arial"/>
                <w:sz w:val="18"/>
                <w:szCs w:val="18"/>
                <w:b w:val="1"/>
                <w:bCs w:val="1"/>
                <w:color w:val="auto"/>
              </w:rPr>
              <w:t>(1) Financial Statements</w:t>
            </w:r>
          </w:p>
        </w:tc>
        <w:tc>
          <w:tcPr>
            <w:tcW w:w="1040" w:type="dxa"/>
            <w:vAlign w:val="bottom"/>
          </w:tcPr>
          <w:p>
            <w:pPr>
              <w:spacing w:after="0"/>
              <w:rPr>
                <w:sz w:val="24"/>
                <w:szCs w:val="24"/>
                <w:color w:val="auto"/>
              </w:rPr>
            </w:pPr>
          </w:p>
        </w:tc>
      </w:tr>
      <w:tr>
        <w:trPr>
          <w:trHeight w:val="324"/>
        </w:trPr>
        <w:tc>
          <w:tcPr>
            <w:tcW w:w="10320" w:type="dxa"/>
            <w:vAlign w:val="bottom"/>
          </w:tcPr>
          <w:p>
            <w:pPr>
              <w:ind w:left="920"/>
              <w:spacing w:after="0"/>
              <w:rPr>
                <w:sz w:val="20"/>
                <w:szCs w:val="20"/>
                <w:color w:val="auto"/>
              </w:rPr>
            </w:pPr>
            <w:r>
              <w:rPr>
                <w:rFonts w:ascii="Arial" w:cs="Arial" w:eastAsia="Arial" w:hAnsi="Arial"/>
                <w:sz w:val="18"/>
                <w:szCs w:val="18"/>
                <w:color w:val="auto"/>
                <w:w w:val="99"/>
              </w:rPr>
              <w:t>The following financial statements of TPG Specialty Lending, Inc. are provided in Part A of this Registration Statement:</w:t>
            </w:r>
          </w:p>
        </w:tc>
        <w:tc>
          <w:tcPr>
            <w:tcW w:w="1040" w:type="dxa"/>
            <w:vAlign w:val="bottom"/>
          </w:tcPr>
          <w:p>
            <w:pPr>
              <w:spacing w:after="0"/>
              <w:rPr>
                <w:sz w:val="24"/>
                <w:szCs w:val="24"/>
                <w:color w:val="auto"/>
              </w:rPr>
            </w:pPr>
          </w:p>
        </w:tc>
      </w:tr>
      <w:tr>
        <w:trPr>
          <w:trHeight w:val="445"/>
        </w:trPr>
        <w:tc>
          <w:tcPr>
            <w:tcW w:w="10320" w:type="dxa"/>
            <w:vAlign w:val="bottom"/>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040" w:type="dxa"/>
            <w:vAlign w:val="bottom"/>
          </w:tcPr>
          <w:p>
            <w:pPr>
              <w:spacing w:after="0"/>
              <w:rPr>
                <w:sz w:val="24"/>
                <w:szCs w:val="24"/>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Balance Sheets as of December 31, 2016 and 2015</w:t>
            </w:r>
          </w:p>
        </w:tc>
        <w:tc>
          <w:tcPr>
            <w:tcW w:w="10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2016, 2015 and 2014</w:t>
            </w:r>
          </w:p>
        </w:tc>
        <w:tc>
          <w:tcPr>
            <w:tcW w:w="10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Schedules of Investments as of December 31, 2016 and 2015</w:t>
            </w:r>
          </w:p>
        </w:tc>
        <w:tc>
          <w:tcPr>
            <w:tcW w:w="10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Years Ended December 31, 2016, 2015 and 2014</w:t>
            </w:r>
          </w:p>
        </w:tc>
        <w:tc>
          <w:tcPr>
            <w:tcW w:w="104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tc>
        <w:tc>
          <w:tcPr>
            <w:tcW w:w="104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230"/>
        </w:trPr>
        <w:tc>
          <w:tcPr>
            <w:tcW w:w="103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F-15</w:t>
            </w:r>
          </w:p>
        </w:tc>
      </w:tr>
      <w:tr>
        <w:trPr>
          <w:trHeight w:val="310"/>
        </w:trPr>
        <w:tc>
          <w:tcPr>
            <w:tcW w:w="10320" w:type="dxa"/>
            <w:vAlign w:val="bottom"/>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040" w:type="dxa"/>
            <w:vAlign w:val="bottom"/>
          </w:tcPr>
          <w:p>
            <w:pPr>
              <w:spacing w:after="0"/>
              <w:rPr>
                <w:sz w:val="24"/>
                <w:szCs w:val="24"/>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Balance Sheets as of March 31, 2017 (Unaudited) and December 31, 2016</w:t>
            </w:r>
          </w:p>
        </w:tc>
        <w:tc>
          <w:tcPr>
            <w:tcW w:w="1040" w:type="dxa"/>
            <w:vAlign w:val="bottom"/>
          </w:tcPr>
          <w:p>
            <w:pPr>
              <w:jc w:val="right"/>
              <w:spacing w:after="0"/>
              <w:rPr>
                <w:sz w:val="20"/>
                <w:szCs w:val="20"/>
                <w:color w:val="auto"/>
              </w:rPr>
            </w:pPr>
            <w:r>
              <w:rPr>
                <w:rFonts w:ascii="Arial" w:cs="Arial" w:eastAsia="Arial" w:hAnsi="Arial"/>
                <w:sz w:val="18"/>
                <w:szCs w:val="18"/>
                <w:color w:val="auto"/>
              </w:rPr>
              <w:t>F-46</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Operations for the Three Months Ended March 31, 2017 and 2016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F-47</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Schedules of Investments as of March 31, 2017 (Unaudited) and December 31, 2016</w:t>
            </w:r>
          </w:p>
        </w:tc>
        <w:tc>
          <w:tcPr>
            <w:tcW w:w="1040" w:type="dxa"/>
            <w:vAlign w:val="bottom"/>
          </w:tcPr>
          <w:p>
            <w:pPr>
              <w:jc w:val="right"/>
              <w:spacing w:after="0"/>
              <w:rPr>
                <w:sz w:val="20"/>
                <w:szCs w:val="20"/>
                <w:color w:val="auto"/>
              </w:rPr>
            </w:pPr>
            <w:r>
              <w:rPr>
                <w:rFonts w:ascii="Arial" w:cs="Arial" w:eastAsia="Arial" w:hAnsi="Arial"/>
                <w:sz w:val="18"/>
                <w:szCs w:val="18"/>
                <w:color w:val="auto"/>
              </w:rPr>
              <w:t>F-48</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Three Months Ended March 31, 2017 and 2016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F-57</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Cash Flows for the Three Months Ended March 31, 2017 and 2016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F-58</w:t>
            </w:r>
          </w:p>
        </w:tc>
      </w:tr>
      <w:tr>
        <w:trPr>
          <w:trHeight w:val="230"/>
        </w:trPr>
        <w:tc>
          <w:tcPr>
            <w:tcW w:w="10320" w:type="dxa"/>
            <w:vAlign w:val="bottom"/>
          </w:tcPr>
          <w:p>
            <w:pPr>
              <w:spacing w:after="0"/>
              <w:rPr>
                <w:sz w:val="20"/>
                <w:szCs w:val="20"/>
                <w:color w:val="auto"/>
              </w:rPr>
            </w:pPr>
            <w:r>
              <w:rPr>
                <w:rFonts w:ascii="Arial" w:cs="Arial" w:eastAsia="Arial" w:hAnsi="Arial"/>
                <w:sz w:val="18"/>
                <w:szCs w:val="18"/>
                <w:color w:val="auto"/>
              </w:rPr>
              <w:t>Notes to Consolidated Financial Statements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F-59</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 Exhibits</w:t>
      </w:r>
    </w:p>
    <w:p>
      <w:pPr>
        <w:spacing w:after="0" w:line="256" w:lineRule="exact"/>
        <w:rPr>
          <w:sz w:val="20"/>
          <w:szCs w:val="20"/>
          <w:color w:val="auto"/>
        </w:rPr>
      </w:pPr>
    </w:p>
    <w:p>
      <w:pPr>
        <w:ind w:left="760" w:right="160" w:hanging="759"/>
        <w:spacing w:after="0" w:line="277" w:lineRule="auto"/>
        <w:tabs>
          <w:tab w:leader="none" w:pos="7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62" w:lineRule="exact"/>
        <w:rPr>
          <w:sz w:val="20"/>
          <w:szCs w:val="20"/>
          <w:color w:val="auto"/>
        </w:rPr>
      </w:pPr>
    </w:p>
    <w:p>
      <w:pPr>
        <w:ind w:left="760" w:right="540" w:hanging="759"/>
        <w:spacing w:after="0" w:line="277" w:lineRule="auto"/>
        <w:tabs>
          <w:tab w:leader="none" w:pos="7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Certificate of Amendment to Amended and Restated Certificate of Incorporation (incorporated by reference to Exhibit 3.1 to the Company’s Current Report on Form 8-K filed on March 12, 2014)</w:t>
      </w:r>
    </w:p>
    <w:p>
      <w:pPr>
        <w:spacing w:after="0" w:line="62" w:lineRule="exact"/>
        <w:rPr>
          <w:sz w:val="20"/>
          <w:szCs w:val="20"/>
          <w:color w:val="auto"/>
        </w:rPr>
      </w:pPr>
    </w:p>
    <w:p>
      <w:pPr>
        <w:ind w:left="760" w:hanging="759"/>
        <w:spacing w:after="0" w:line="277" w:lineRule="auto"/>
        <w:tabs>
          <w:tab w:leader="none" w:pos="74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Certificate of Change of Registered Agent and/or Registered Office (incorporated by reference to Exhibit 3.1 to the Company’s Quarterly Report on Form 10-Q filed on November 7, 2016)</w:t>
      </w:r>
    </w:p>
    <w:p>
      <w:pPr>
        <w:spacing w:after="0" w:line="62" w:lineRule="exact"/>
        <w:rPr>
          <w:sz w:val="20"/>
          <w:szCs w:val="20"/>
          <w:color w:val="auto"/>
        </w:rPr>
      </w:pPr>
    </w:p>
    <w:p>
      <w:pPr>
        <w:ind w:left="760" w:right="280" w:hanging="752"/>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Bylaws of TPG Specialty Lending, Inc., effective as of November 7, 2016 (incorporated by reference to Exhibit 3.2 to the Company’s Quarterly Report on Form 10-Q filed on November 7,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00"/>
          </w:cols>
          <w:pgMar w:left="240" w:top="270" w:right="259" w:bottom="1440" w:gutter="0" w:footer="0" w:header="0"/>
        </w:sectPr>
      </w:pPr>
    </w:p>
    <w:bookmarkStart w:id="3" w:name="page4"/>
    <w:bookmarkEnd w:id="3"/>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applicable</w:t>
      </w:r>
    </w:p>
    <w:p>
      <w:pPr>
        <w:spacing w:after="0" w:line="117" w:lineRule="exact"/>
        <w:rPr>
          <w:sz w:val="20"/>
          <w:szCs w:val="20"/>
          <w:color w:val="auto"/>
        </w:rPr>
      </w:pPr>
    </w:p>
    <w:p>
      <w:pPr>
        <w:ind w:left="720" w:right="160" w:hanging="719"/>
        <w:spacing w:after="0" w:line="277" w:lineRule="auto"/>
        <w:tabs>
          <w:tab w:leader="none" w:pos="70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Subscription Agreement in connection with the Private Offerings (incorporated by reference to Exhibit 4.1 to the Company’s Registration Statement on Form 10 filed on January 14, 2011)</w:t>
      </w:r>
    </w:p>
    <w:p>
      <w:pPr>
        <w:spacing w:after="0" w:line="62" w:lineRule="exact"/>
        <w:rPr>
          <w:sz w:val="20"/>
          <w:szCs w:val="20"/>
          <w:color w:val="auto"/>
        </w:rPr>
      </w:pPr>
    </w:p>
    <w:p>
      <w:pPr>
        <w:ind w:left="720" w:right="260" w:hanging="719"/>
        <w:spacing w:after="0" w:line="277" w:lineRule="auto"/>
        <w:tabs>
          <w:tab w:leader="none" w:pos="70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Common Stock Certificate (incorporated by reference to Exhibit 4.2 to the Company’s Annual Report on Form 10-K filed on March 22, 2012)</w:t>
      </w:r>
    </w:p>
    <w:p>
      <w:pPr>
        <w:spacing w:after="0" w:line="62" w:lineRule="exact"/>
        <w:rPr>
          <w:sz w:val="20"/>
          <w:szCs w:val="20"/>
          <w:color w:val="auto"/>
        </w:rPr>
      </w:pPr>
    </w:p>
    <w:p>
      <w:pPr>
        <w:ind w:left="720" w:right="380" w:hanging="719"/>
        <w:spacing w:after="0" w:line="277" w:lineRule="auto"/>
        <w:tabs>
          <w:tab w:leader="none" w:pos="70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Indenture, dated June 10, 2014, between TPG Specialty Lending, Inc. and Wells Fargo Bank, National Association, as Trustee (incorporated by reference to Exhibit 4.1 to the Company’s Current Report on Form 8-K filed on June 10, 2014)</w:t>
      </w:r>
    </w:p>
    <w:p>
      <w:pPr>
        <w:spacing w:after="0" w:line="62" w:lineRule="exact"/>
        <w:rPr>
          <w:sz w:val="20"/>
          <w:szCs w:val="20"/>
          <w:color w:val="auto"/>
        </w:rPr>
      </w:pPr>
    </w:p>
    <w:p>
      <w:pPr>
        <w:ind w:left="720" w:right="180" w:hanging="719"/>
        <w:spacing w:after="0" w:line="277" w:lineRule="auto"/>
        <w:tabs>
          <w:tab w:leader="none" w:pos="70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4.50% Convertible Senior Notes Due 2019 (incorporated by reference to Exhibit 4.2 to the Company’s Current Report on Form 8-K filed on June 10, 2014)</w:t>
      </w:r>
    </w:p>
    <w:p>
      <w:pPr>
        <w:spacing w:after="0" w:line="62" w:lineRule="exact"/>
        <w:rPr>
          <w:sz w:val="20"/>
          <w:szCs w:val="20"/>
          <w:color w:val="auto"/>
        </w:rPr>
      </w:pPr>
    </w:p>
    <w:p>
      <w:pPr>
        <w:ind w:left="720" w:right="1000" w:hanging="719"/>
        <w:spacing w:after="0" w:line="308" w:lineRule="auto"/>
        <w:tabs>
          <w:tab w:leader="none" w:pos="700" w:val="left"/>
        </w:tabs>
        <w:rPr>
          <w:sz w:val="20"/>
          <w:szCs w:val="20"/>
          <w:color w:val="auto"/>
        </w:rPr>
      </w:pPr>
      <w:r>
        <w:rPr>
          <w:rFonts w:ascii="Arial" w:cs="Arial" w:eastAsia="Arial" w:hAnsi="Arial"/>
          <w:sz w:val="17"/>
          <w:szCs w:val="17"/>
          <w:color w:val="auto"/>
        </w:rPr>
        <w:t>(d)(5)</w:t>
      </w:r>
      <w:r>
        <w:rPr>
          <w:sz w:val="20"/>
          <w:szCs w:val="20"/>
          <w:color w:val="auto"/>
        </w:rPr>
        <w:tab/>
      </w:r>
      <w:r>
        <w:rPr>
          <w:rFonts w:ascii="Arial" w:cs="Arial" w:eastAsia="Arial" w:hAnsi="Arial"/>
          <w:sz w:val="17"/>
          <w:szCs w:val="17"/>
          <w:color w:val="auto"/>
        </w:rPr>
        <w:t>Indenture, dated as of February 1, 2017, between TPG Specialty Lending, Inc. and Wells Fargo Bank, National Association, as Trustee (incorporated by reference to Exhibit 4.1 to the Company’s Current Report on Form 8-K filed on February 1, 2017)</w:t>
      </w:r>
    </w:p>
    <w:p>
      <w:pPr>
        <w:spacing w:after="0" w:line="38" w:lineRule="exact"/>
        <w:rPr>
          <w:sz w:val="20"/>
          <w:szCs w:val="20"/>
          <w:color w:val="auto"/>
        </w:rPr>
      </w:pPr>
    </w:p>
    <w:p>
      <w:pPr>
        <w:ind w:left="720" w:right="40" w:hanging="719"/>
        <w:spacing w:after="0" w:line="277" w:lineRule="auto"/>
        <w:tabs>
          <w:tab w:leader="none" w:pos="70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Form of 4.50% Convertible Senior Note Due 2022 (incorporated by reference to Exhibit 4.2 to the Company’s Current Report on Form 8-K filed on February 1, 2017)</w:t>
      </w:r>
    </w:p>
    <w:p>
      <w:pPr>
        <w:spacing w:after="0" w:line="62"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(d)(7)</w:t>
      </w:r>
      <w:r>
        <w:rPr>
          <w:sz w:val="20"/>
          <w:szCs w:val="20"/>
          <w:color w:val="auto"/>
        </w:rPr>
        <w:tab/>
      </w:r>
      <w:r>
        <w:rPr>
          <w:rFonts w:ascii="Arial" w:cs="Arial" w:eastAsia="Arial" w:hAnsi="Arial"/>
          <w:sz w:val="17"/>
          <w:szCs w:val="17"/>
          <w:color w:val="auto"/>
        </w:rPr>
        <w:t>Form of Indenture (incorporated by reference to Exhibit (d)(5) to the Company’s Registration Statement on Form N-2 filed on April 16, 2015)</w:t>
      </w:r>
    </w:p>
    <w:p>
      <w:pPr>
        <w:spacing w:after="0" w:line="1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(d)(8)</w:t>
      </w:r>
      <w:r>
        <w:rPr>
          <w:sz w:val="20"/>
          <w:szCs w:val="20"/>
          <w:color w:val="auto"/>
        </w:rPr>
        <w:tab/>
      </w:r>
      <w:r>
        <w:rPr>
          <w:rFonts w:ascii="Arial" w:cs="Arial" w:eastAsia="Arial" w:hAnsi="Arial"/>
          <w:sz w:val="18"/>
          <w:szCs w:val="18"/>
          <w:color w:val="auto"/>
        </w:rPr>
        <w:t>Statement of Eligibility of Trustee on Form T-1 (1)</w:t>
      </w:r>
    </w:p>
    <w:p>
      <w:pPr>
        <w:spacing w:after="0" w:line="117" w:lineRule="exact"/>
        <w:rPr>
          <w:sz w:val="20"/>
          <w:szCs w:val="20"/>
          <w:color w:val="auto"/>
        </w:rPr>
      </w:pPr>
    </w:p>
    <w:p>
      <w:pPr>
        <w:ind w:left="720" w:right="360" w:hanging="719"/>
        <w:spacing w:after="0" w:line="277" w:lineRule="auto"/>
        <w:tabs>
          <w:tab w:leader="none" w:pos="700" w:val="left"/>
        </w:tabs>
        <w:rPr>
          <w:sz w:val="20"/>
          <w:szCs w:val="20"/>
          <w:color w:val="auto"/>
        </w:rPr>
      </w:pPr>
      <w:r>
        <w:rPr>
          <w:rFonts w:ascii="Arial" w:cs="Arial" w:eastAsia="Arial" w:hAnsi="Arial"/>
          <w:sz w:val="18"/>
          <w:szCs w:val="18"/>
          <w:color w:val="auto"/>
        </w:rPr>
        <w:t>(d)(9)</w:t>
      </w:r>
      <w:r>
        <w:rPr>
          <w:sz w:val="20"/>
          <w:szCs w:val="20"/>
          <w:color w:val="auto"/>
        </w:rPr>
        <w:tab/>
      </w:r>
      <w:r>
        <w:rPr>
          <w:rFonts w:ascii="Arial" w:cs="Arial" w:eastAsia="Arial" w:hAnsi="Arial"/>
          <w:sz w:val="18"/>
          <w:szCs w:val="18"/>
          <w:color w:val="auto"/>
        </w:rPr>
        <w:t>Form of Subscription Certificate (incorporated by reference to Exhibit (d)(7) to Pre-Effective Amendment No. 1 to the Company’s Registration Statement on Form N-2 filed on July 25, 2014)</w:t>
      </w:r>
    </w:p>
    <w:p>
      <w:pPr>
        <w:spacing w:after="0" w:line="62" w:lineRule="exact"/>
        <w:rPr>
          <w:sz w:val="20"/>
          <w:szCs w:val="20"/>
          <w:color w:val="auto"/>
        </w:rPr>
      </w:pPr>
    </w:p>
    <w:p>
      <w:pPr>
        <w:ind w:left="720" w:right="140" w:hanging="719"/>
        <w:spacing w:after="0" w:line="277" w:lineRule="auto"/>
        <w:tabs>
          <w:tab w:leader="none" w:pos="700" w:val="left"/>
        </w:tabs>
        <w:rPr>
          <w:sz w:val="20"/>
          <w:szCs w:val="20"/>
          <w:color w:val="auto"/>
        </w:rPr>
      </w:pPr>
      <w:r>
        <w:rPr>
          <w:rFonts w:ascii="Arial" w:cs="Arial" w:eastAsia="Arial" w:hAnsi="Arial"/>
          <w:sz w:val="18"/>
          <w:szCs w:val="18"/>
          <w:color w:val="auto"/>
        </w:rPr>
        <w:t>(d)(10)</w:t>
        <w:tab/>
        <w:t>Indenture, dated as of January 22, 2018, between the Company and Wells Fargo Bank, National Association, as Trustee (incorporated by reference to Exhibit 4.1 to the Company’s Current Report on Form 8-K filed on January 22, 2018)</w:t>
      </w:r>
    </w:p>
    <w:p>
      <w:pPr>
        <w:spacing w:after="0" w:line="62" w:lineRule="exact"/>
        <w:rPr>
          <w:sz w:val="20"/>
          <w:szCs w:val="20"/>
          <w:color w:val="auto"/>
        </w:rPr>
      </w:pPr>
    </w:p>
    <w:p>
      <w:pPr>
        <w:ind w:left="720" w:right="680" w:hanging="719"/>
        <w:spacing w:after="0" w:line="308" w:lineRule="auto"/>
        <w:tabs>
          <w:tab w:leader="none" w:pos="700" w:val="left"/>
        </w:tabs>
        <w:rPr>
          <w:sz w:val="20"/>
          <w:szCs w:val="20"/>
          <w:color w:val="auto"/>
        </w:rPr>
      </w:pPr>
      <w:r>
        <w:rPr>
          <w:rFonts w:ascii="Arial" w:cs="Arial" w:eastAsia="Arial" w:hAnsi="Arial"/>
          <w:sz w:val="17"/>
          <w:szCs w:val="17"/>
          <w:color w:val="auto"/>
        </w:rPr>
        <w:t>(d)(11)</w:t>
        <w:tab/>
        <w:t>First Supplemental Indenture, dated as of January 22, 2018, between the Company and Wells Fargo Bank, National Association, as Trustee (incorporated by reference to Exhibit 4.2 to the Company’s Current Report on Form 8-K filed on January 22, 2018)</w:t>
      </w:r>
    </w:p>
    <w:p>
      <w:pPr>
        <w:spacing w:after="0" w:line="3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(d)(12)</w:t>
        <w:tab/>
        <w:t>Form of 4.50% Note Due 2023 (incorporated by reference to Exhibit 4.3 to the Company’s Current Report on Form 8-K filed on January 22, 2018)</w:t>
      </w:r>
    </w:p>
    <w:p>
      <w:pPr>
        <w:spacing w:after="0" w:line="140" w:lineRule="exact"/>
        <w:rPr>
          <w:sz w:val="20"/>
          <w:szCs w:val="20"/>
          <w:color w:val="auto"/>
        </w:rPr>
      </w:pPr>
    </w:p>
    <w:p>
      <w:pPr>
        <w:ind w:left="720" w:right="340" w:hanging="712"/>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62" w:lineRule="exact"/>
        <w:rPr>
          <w:rFonts w:ascii="Arial" w:cs="Arial" w:eastAsia="Arial" w:hAnsi="Arial"/>
          <w:sz w:val="18"/>
          <w:szCs w:val="18"/>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20" w:right="520" w:hanging="712"/>
        <w:spacing w:after="0" w:line="308"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63" w:lineRule="exact"/>
        <w:rPr>
          <w:sz w:val="20"/>
          <w:szCs w:val="20"/>
          <w:color w:val="auto"/>
        </w:rPr>
      </w:pPr>
    </w:p>
    <w:p>
      <w:pPr>
        <w:ind w:left="720" w:right="300" w:hanging="719"/>
        <w:spacing w:after="0" w:line="277" w:lineRule="auto"/>
        <w:tabs>
          <w:tab w:leader="none" w:pos="70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Securities (incorporated by reference to Exhibit (h)(1) to the Company’s Registration Statement on Form N-2 filed on March 31, 2016)</w:t>
      </w:r>
    </w:p>
    <w:p>
      <w:pPr>
        <w:spacing w:after="0" w:line="62" w:lineRule="exact"/>
        <w:rPr>
          <w:sz w:val="20"/>
          <w:szCs w:val="20"/>
          <w:color w:val="auto"/>
        </w:rPr>
      </w:pPr>
    </w:p>
    <w:p>
      <w:pPr>
        <w:ind w:left="720" w:hanging="719"/>
        <w:spacing w:after="0" w:line="277" w:lineRule="auto"/>
        <w:tabs>
          <w:tab w:leader="none" w:pos="70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Securities (incorporated by reference to Exhibit (h)(2) to the Company’s Registration Statement on Form N-2 filed on March 31, 2016)</w:t>
      </w:r>
    </w:p>
    <w:p>
      <w:pPr>
        <w:spacing w:after="0" w:line="6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(h)(3)</w:t>
      </w:r>
      <w:r>
        <w:rPr>
          <w:sz w:val="20"/>
          <w:szCs w:val="20"/>
          <w:color w:val="auto"/>
        </w:rPr>
        <w:tab/>
      </w:r>
      <w:r>
        <w:rPr>
          <w:rFonts w:ascii="Arial" w:cs="Arial" w:eastAsia="Arial" w:hAnsi="Arial"/>
          <w:sz w:val="16"/>
          <w:szCs w:val="16"/>
          <w:color w:val="auto"/>
        </w:rPr>
        <w:t>Underwriting Agreement, dated January 17, 2018, between the Company, the Adviser and the several underwriters named in Schedule 1 thereto (1)</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(h)(4)</w:t>
      </w:r>
      <w:r>
        <w:rPr>
          <w:sz w:val="20"/>
          <w:szCs w:val="20"/>
          <w:color w:val="auto"/>
        </w:rPr>
        <w:tab/>
      </w:r>
      <w:r>
        <w:rPr>
          <w:rFonts w:ascii="Arial" w:cs="Arial" w:eastAsia="Arial" w:hAnsi="Arial"/>
          <w:sz w:val="16"/>
          <w:szCs w:val="16"/>
          <w:color w:val="auto"/>
        </w:rPr>
        <w:t>Underwriting Agreement, dated March 20, 2018, between the Company, the Adviser and the several underwriters named in Schedule 1 thereto</w:t>
      </w:r>
    </w:p>
    <w:p>
      <w:pPr>
        <w:spacing w:after="0" w:line="140"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20" w:right="140" w:hanging="712"/>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382" w:right="239" w:bottom="1440" w:gutter="0" w:footer="0" w:header="0"/>
        </w:sectPr>
      </w:pPr>
    </w:p>
    <w:bookmarkStart w:id="4" w:name="page5"/>
    <w:bookmarkEnd w:id="4"/>
    <w:p>
      <w:pPr>
        <w:ind w:left="740" w:right="700" w:hanging="759"/>
        <w:spacing w:after="0" w:line="277" w:lineRule="auto"/>
        <w:tabs>
          <w:tab w:leader="none" w:pos="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(k)(1)</w:t>
      </w:r>
      <w:r>
        <w:rPr>
          <w:sz w:val="20"/>
          <w:szCs w:val="20"/>
          <w:color w:val="auto"/>
        </w:rPr>
        <w:tab/>
      </w:r>
      <w:r>
        <w:rPr>
          <w:rFonts w:ascii="Arial" w:cs="Arial" w:eastAsia="Arial" w:hAnsi="Arial"/>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62" w:lineRule="exact"/>
        <w:rPr>
          <w:sz w:val="20"/>
          <w:szCs w:val="20"/>
          <w:color w:val="auto"/>
        </w:rPr>
      </w:pPr>
    </w:p>
    <w:p>
      <w:pPr>
        <w:ind w:left="740" w:hanging="759"/>
        <w:spacing w:after="0" w:line="264" w:lineRule="auto"/>
        <w:tabs>
          <w:tab w:leader="none" w:pos="72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73" w:lineRule="exact"/>
        <w:rPr>
          <w:sz w:val="20"/>
          <w:szCs w:val="20"/>
          <w:color w:val="auto"/>
        </w:rPr>
      </w:pPr>
    </w:p>
    <w:p>
      <w:pPr>
        <w:ind w:left="740" w:right="340" w:hanging="759"/>
        <w:spacing w:after="0" w:line="264" w:lineRule="auto"/>
        <w:tabs>
          <w:tab w:leader="none" w:pos="72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73" w:lineRule="exact"/>
        <w:rPr>
          <w:sz w:val="20"/>
          <w:szCs w:val="20"/>
          <w:color w:val="auto"/>
        </w:rPr>
      </w:pPr>
    </w:p>
    <w:p>
      <w:pPr>
        <w:ind w:left="740" w:right="120" w:hanging="759"/>
        <w:spacing w:after="0" w:line="286" w:lineRule="auto"/>
        <w:tabs>
          <w:tab w:leader="none" w:pos="720" w:val="left"/>
        </w:tabs>
        <w:rPr>
          <w:sz w:val="20"/>
          <w:szCs w:val="20"/>
          <w:color w:val="auto"/>
        </w:rPr>
      </w:pPr>
      <w:r>
        <w:rPr>
          <w:rFonts w:ascii="Arial" w:cs="Arial" w:eastAsia="Arial" w:hAnsi="Arial"/>
          <w:sz w:val="17"/>
          <w:szCs w:val="17"/>
          <w:color w:val="auto"/>
        </w:rPr>
        <w:t>(k)(4)</w:t>
      </w:r>
      <w:r>
        <w:rPr>
          <w:sz w:val="20"/>
          <w:szCs w:val="20"/>
          <w:color w:val="auto"/>
        </w:rPr>
        <w:tab/>
      </w:r>
      <w:r>
        <w:rPr>
          <w:rFonts w:ascii="Arial" w:cs="Arial" w:eastAsia="Arial" w:hAnsi="Arial"/>
          <w:sz w:val="17"/>
          <w:szCs w:val="17"/>
          <w:color w:val="auto"/>
        </w:rPr>
        <w:t>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10.20 to the Company’s Annual Report on Form 10-K filed on March 4, 2014)</w:t>
      </w:r>
    </w:p>
    <w:p>
      <w:pPr>
        <w:spacing w:after="0" w:line="57" w:lineRule="exact"/>
        <w:rPr>
          <w:sz w:val="20"/>
          <w:szCs w:val="20"/>
          <w:color w:val="auto"/>
        </w:rPr>
      </w:pPr>
    </w:p>
    <w:p>
      <w:pPr>
        <w:ind w:left="740" w:right="120" w:hanging="759"/>
        <w:spacing w:after="0" w:line="312" w:lineRule="auto"/>
        <w:tabs>
          <w:tab w:leader="none" w:pos="720" w:val="left"/>
        </w:tabs>
        <w:rPr>
          <w:sz w:val="20"/>
          <w:szCs w:val="20"/>
          <w:color w:val="auto"/>
        </w:rPr>
      </w:pPr>
      <w:r>
        <w:rPr>
          <w:rFonts w:ascii="Arial" w:cs="Arial" w:eastAsia="Arial" w:hAnsi="Arial"/>
          <w:sz w:val="16"/>
          <w:szCs w:val="16"/>
          <w:color w:val="auto"/>
        </w:rPr>
        <w:t>(k)(5)</w:t>
      </w:r>
      <w:r>
        <w:rPr>
          <w:sz w:val="20"/>
          <w:szCs w:val="20"/>
          <w:color w:val="auto"/>
        </w:rPr>
        <w:tab/>
      </w:r>
      <w:r>
        <w:rPr>
          <w:rFonts w:ascii="Arial" w:cs="Arial" w:eastAsia="Arial" w:hAnsi="Arial"/>
          <w:sz w:val="16"/>
          <w:szCs w:val="16"/>
          <w:color w:val="auto"/>
        </w:rPr>
        <w:t>Form of Increase Letter pursuant to the 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10.3 to the Company’s Quarterly Report on Form 10-Q filed on August 4, 2014)</w:t>
      </w:r>
    </w:p>
    <w:p>
      <w:pPr>
        <w:spacing w:after="0" w:line="39" w:lineRule="exact"/>
        <w:rPr>
          <w:sz w:val="20"/>
          <w:szCs w:val="20"/>
          <w:color w:val="auto"/>
        </w:rPr>
      </w:pPr>
    </w:p>
    <w:p>
      <w:pPr>
        <w:ind w:left="740" w:right="60" w:hanging="759"/>
        <w:spacing w:after="0" w:line="264" w:lineRule="auto"/>
        <w:tabs>
          <w:tab w:leader="none" w:pos="72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First Amendment to the Second Amended and Restated Senior Secured Revolving Credit Agreement, dated June 3, 2014, among TPG Specialty Lending, Inc., as Borrower, the Lenders party thereto and SunTrust Bank, as Administrative Agent and Collateral Agent (incorporated by reference to Exhibit 10.4 to the Company’s Quarterly Report on Form 10-Q filed on August 4, 2014)</w:t>
      </w:r>
    </w:p>
    <w:p>
      <w:pPr>
        <w:spacing w:after="0" w:line="73" w:lineRule="exact"/>
        <w:rPr>
          <w:sz w:val="20"/>
          <w:szCs w:val="20"/>
          <w:color w:val="auto"/>
        </w:rPr>
      </w:pPr>
    </w:p>
    <w:p>
      <w:pPr>
        <w:ind w:left="740" w:right="440" w:hanging="759"/>
        <w:spacing w:after="0" w:line="286" w:lineRule="auto"/>
        <w:tabs>
          <w:tab w:leader="none" w:pos="720" w:val="left"/>
        </w:tabs>
        <w:rPr>
          <w:sz w:val="20"/>
          <w:szCs w:val="20"/>
          <w:color w:val="auto"/>
        </w:rPr>
      </w:pPr>
      <w:r>
        <w:rPr>
          <w:rFonts w:ascii="Arial" w:cs="Arial" w:eastAsia="Arial" w:hAnsi="Arial"/>
          <w:sz w:val="17"/>
          <w:szCs w:val="17"/>
          <w:color w:val="auto"/>
        </w:rPr>
        <w:t>(k)(7)</w:t>
      </w:r>
      <w:r>
        <w:rPr>
          <w:sz w:val="20"/>
          <w:szCs w:val="20"/>
          <w:color w:val="auto"/>
        </w:rPr>
        <w:tab/>
      </w:r>
      <w:r>
        <w:rPr>
          <w:rFonts w:ascii="Arial" w:cs="Arial" w:eastAsia="Arial" w:hAnsi="Arial"/>
          <w:sz w:val="17"/>
          <w:szCs w:val="17"/>
          <w:color w:val="auto"/>
        </w:rPr>
        <w:t>Second Amendment to the Second Amended and Restated Senior Secured Revolving Credit Agreement, dated June 27, 2014, among TPG Specialty Lending, Inc., as Borrower, Morgan Stanley Bank, N.A., as a Lender, and SunTrust Bank, as Administrative Agent (incorporated by reference to Exhibit 10.5 to the Company’s Quarterly Report on Form 10-Q filed on August 4, 2014)</w:t>
      </w:r>
    </w:p>
    <w:p>
      <w:pPr>
        <w:spacing w:after="0" w:line="57" w:lineRule="exact"/>
        <w:rPr>
          <w:sz w:val="20"/>
          <w:szCs w:val="20"/>
          <w:color w:val="auto"/>
        </w:rPr>
      </w:pPr>
    </w:p>
    <w:p>
      <w:pPr>
        <w:ind w:left="740" w:right="140" w:hanging="759"/>
        <w:spacing w:after="0" w:line="264" w:lineRule="auto"/>
        <w:tabs>
          <w:tab w:leader="none" w:pos="720" w:val="left"/>
        </w:tabs>
        <w:rPr>
          <w:sz w:val="20"/>
          <w:szCs w:val="20"/>
          <w:color w:val="auto"/>
        </w:rPr>
      </w:pPr>
      <w:r>
        <w:rPr>
          <w:rFonts w:ascii="Arial" w:cs="Arial" w:eastAsia="Arial" w:hAnsi="Arial"/>
          <w:sz w:val="18"/>
          <w:szCs w:val="18"/>
          <w:color w:val="auto"/>
        </w:rPr>
        <w:t>(k)(8)</w:t>
      </w:r>
      <w:r>
        <w:rPr>
          <w:sz w:val="20"/>
          <w:szCs w:val="20"/>
          <w:color w:val="auto"/>
        </w:rPr>
        <w:tab/>
      </w:r>
      <w:r>
        <w:rPr>
          <w:rFonts w:ascii="Arial" w:cs="Arial" w:eastAsia="Arial" w:hAnsi="Arial"/>
          <w:sz w:val="18"/>
          <w:szCs w:val="18"/>
          <w:color w:val="auto"/>
        </w:rPr>
        <w:t>Third Amendment to the Second Amended and Restated Senior Secured Revolving Credit Agreement, dated October 17, 2014, among TPG Specialty Lending, Inc., as Borrower, the Lenders party thereto and SunTrust Bank, as Administrative Agent (incorporated by reference to Exhibit 10.1 to the Company’s Quarterly Report on Form 10-Q filed on November 3, 2014)</w:t>
      </w:r>
    </w:p>
    <w:p>
      <w:pPr>
        <w:spacing w:after="0" w:line="73" w:lineRule="exact"/>
        <w:rPr>
          <w:sz w:val="20"/>
          <w:szCs w:val="20"/>
          <w:color w:val="auto"/>
        </w:rPr>
      </w:pPr>
    </w:p>
    <w:p>
      <w:pPr>
        <w:jc w:val="both"/>
        <w:ind w:left="740" w:right="100" w:hanging="759"/>
        <w:spacing w:after="0" w:line="264" w:lineRule="auto"/>
        <w:tabs>
          <w:tab w:leader="none" w:pos="720" w:val="left"/>
        </w:tabs>
        <w:rPr>
          <w:sz w:val="20"/>
          <w:szCs w:val="20"/>
          <w:color w:val="auto"/>
        </w:rPr>
      </w:pPr>
      <w:r>
        <w:rPr>
          <w:rFonts w:ascii="Arial" w:cs="Arial" w:eastAsia="Arial" w:hAnsi="Arial"/>
          <w:sz w:val="18"/>
          <w:szCs w:val="18"/>
          <w:color w:val="auto"/>
        </w:rPr>
        <w:t>(k)(9)</w:t>
      </w:r>
      <w:r>
        <w:rPr>
          <w:sz w:val="20"/>
          <w:szCs w:val="20"/>
          <w:color w:val="auto"/>
        </w:rPr>
        <w:tab/>
      </w:r>
      <w:r>
        <w:rPr>
          <w:rFonts w:ascii="Arial" w:cs="Arial" w:eastAsia="Arial" w:hAnsi="Arial"/>
          <w:sz w:val="18"/>
          <w:szCs w:val="18"/>
          <w:color w:val="auto"/>
        </w:rPr>
        <w:t>Fourth Amendment to Second Amended and Restated Senior Secured Revolving Credit Agreement, dated October 2, 2015, among TPG Specialty Lending, Inc., as Borrower, the Lenders party thereto and Suntrust Bank, as Administrative Agent (incorporated by reference to Exhibit 10.1 to the Company’s Quarterly Report on Form 10-Q filed on November 3,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60" w:top="382" w:right="239" w:bottom="1440" w:gutter="0" w:footer="0" w:header="0"/>
        </w:sectPr>
      </w:pPr>
    </w:p>
    <w:bookmarkStart w:id="5" w:name="page6"/>
    <w:bookmarkEnd w:id="5"/>
    <w:p>
      <w:pPr>
        <w:jc w:val="both"/>
        <w:ind w:left="940" w:right="460" w:hanging="939"/>
        <w:spacing w:after="0" w:line="264" w:lineRule="auto"/>
        <w:tabs>
          <w:tab w:leader="none" w:pos="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(k)(10)</w:t>
      </w:r>
      <w:r>
        <w:rPr>
          <w:sz w:val="20"/>
          <w:szCs w:val="20"/>
          <w:color w:val="auto"/>
        </w:rPr>
        <w:tab/>
      </w:r>
      <w:r>
        <w:rPr>
          <w:rFonts w:ascii="Arial" w:cs="Arial" w:eastAsia="Arial" w:hAnsi="Arial"/>
          <w:sz w:val="18"/>
          <w:szCs w:val="18"/>
          <w:color w:val="auto"/>
        </w:rPr>
        <w:t>Fifth Amendment to Second Amended and Restated Senior Secured Revolving Credit Agreement, dated December 22, 2016, among TPG Specialty Lending, Inc., as Borrower, the Lenders party thereto and SunTrust Bank, as Administrative Agent (incorporated by reference to Exhibit 10.15 to the Company’s Annual Report on Form 10-K filed on February 22, 2017)</w:t>
      </w:r>
    </w:p>
    <w:p>
      <w:pPr>
        <w:spacing w:after="0" w:line="73" w:lineRule="exact"/>
        <w:rPr>
          <w:sz w:val="20"/>
          <w:szCs w:val="20"/>
          <w:color w:val="auto"/>
        </w:rPr>
      </w:pPr>
    </w:p>
    <w:p>
      <w:pPr>
        <w:ind w:left="940" w:right="380" w:hanging="939"/>
        <w:spacing w:after="0" w:line="277" w:lineRule="auto"/>
        <w:tabs>
          <w:tab w:leader="none" w:pos="920" w:val="left"/>
        </w:tabs>
        <w:rPr>
          <w:sz w:val="20"/>
          <w:szCs w:val="20"/>
          <w:color w:val="auto"/>
        </w:rPr>
      </w:pPr>
      <w:r>
        <w:rPr>
          <w:rFonts w:ascii="Arial" w:cs="Arial" w:eastAsia="Arial" w:hAnsi="Arial"/>
          <w:sz w:val="18"/>
          <w:szCs w:val="18"/>
          <w:color w:val="auto"/>
        </w:rPr>
        <w:t>(k)(11)</w:t>
      </w:r>
      <w:r>
        <w:rPr>
          <w:sz w:val="20"/>
          <w:szCs w:val="20"/>
          <w:color w:val="auto"/>
        </w:rPr>
        <w:tab/>
      </w:r>
      <w:r>
        <w:rPr>
          <w:rFonts w:ascii="Arial" w:cs="Arial" w:eastAsia="Arial" w:hAnsi="Arial"/>
          <w:sz w:val="18"/>
          <w:szCs w:val="18"/>
          <w:color w:val="auto"/>
        </w:rPr>
        <w:t>Amended and Restated Administration Agreement, dated as of February 22, 2017, between the Company and the Adviser (incorporated by reference to Exhibit 10.16 to the Company’s Annual Report on Form 10-K filed on February 22, 2017)</w:t>
      </w:r>
    </w:p>
    <w:p>
      <w:pPr>
        <w:spacing w:after="0" w:line="62" w:lineRule="exact"/>
        <w:rPr>
          <w:sz w:val="20"/>
          <w:szCs w:val="20"/>
          <w:color w:val="auto"/>
        </w:rPr>
      </w:pPr>
    </w:p>
    <w:p>
      <w:pPr>
        <w:jc w:val="both"/>
        <w:ind w:left="940" w:right="460" w:hanging="939"/>
        <w:spacing w:after="0" w:line="264" w:lineRule="auto"/>
        <w:tabs>
          <w:tab w:leader="none" w:pos="920" w:val="left"/>
        </w:tabs>
        <w:rPr>
          <w:sz w:val="20"/>
          <w:szCs w:val="20"/>
          <w:color w:val="auto"/>
        </w:rPr>
      </w:pPr>
      <w:r>
        <w:rPr>
          <w:rFonts w:ascii="Arial" w:cs="Arial" w:eastAsia="Arial" w:hAnsi="Arial"/>
          <w:sz w:val="18"/>
          <w:szCs w:val="18"/>
          <w:color w:val="auto"/>
        </w:rPr>
        <w:t>(k)(12)</w:t>
      </w:r>
      <w:r>
        <w:rPr>
          <w:sz w:val="20"/>
          <w:szCs w:val="20"/>
          <w:color w:val="auto"/>
        </w:rPr>
        <w:tab/>
      </w:r>
      <w:r>
        <w:rPr>
          <w:rFonts w:ascii="Arial" w:cs="Arial" w:eastAsia="Arial" w:hAnsi="Arial"/>
          <w:sz w:val="18"/>
          <w:szCs w:val="18"/>
          <w:color w:val="auto"/>
        </w:rPr>
        <w:t>Sixth Amendment to Second Amended and Restated Senior Secured Revolving Credit Agreement, dated February 20, 2018, among TPG Specialty Lending, Inc., as Borrower, the Lenders party thereto and SunTrust Bank, as Administrative Agent (incorporated by reference to Exhibit 10.16 to the Company’s Annual Report on Form 10-K filed on February 21, 2018)</w:t>
      </w:r>
    </w:p>
    <w:p>
      <w:pPr>
        <w:spacing w:after="0" w:line="7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(l)(1)</w:t>
      </w:r>
      <w:r>
        <w:rPr>
          <w:sz w:val="20"/>
          <w:szCs w:val="20"/>
          <w:color w:val="auto"/>
        </w:rPr>
        <w:tab/>
      </w:r>
      <w:r>
        <w:rPr>
          <w:rFonts w:ascii="Arial" w:cs="Arial" w:eastAsia="Arial" w:hAnsi="Arial"/>
          <w:sz w:val="18"/>
          <w:szCs w:val="18"/>
          <w:color w:val="auto"/>
        </w:rPr>
        <w:t>Opinion and Consent of Cleary Gottlieb Steen &amp; Hamilton LLP, dated April 7,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Opinion and Consent of Cleary Gottlieb Steen &amp; Hamilton LLP, dated January 22, 2018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(l)(3)</w:t>
      </w:r>
      <w:r>
        <w:rPr>
          <w:sz w:val="20"/>
          <w:szCs w:val="20"/>
          <w:color w:val="auto"/>
        </w:rPr>
        <w:tab/>
      </w:r>
      <w:r>
        <w:rPr>
          <w:rFonts w:ascii="Arial" w:cs="Arial" w:eastAsia="Arial" w:hAnsi="Arial"/>
          <w:sz w:val="18"/>
          <w:szCs w:val="18"/>
          <w:color w:val="auto"/>
        </w:rPr>
        <w:t>Opinion and Consent of Cleary Gottlieb Steen &amp; Hamilton LLP, dated March 23, 2018</w:t>
      </w:r>
    </w:p>
    <w:p>
      <w:pPr>
        <w:spacing w:after="0" w:line="117" w:lineRule="exact"/>
        <w:rPr>
          <w:sz w:val="20"/>
          <w:szCs w:val="20"/>
          <w:color w:val="auto"/>
        </w:rPr>
      </w:pPr>
    </w:p>
    <w:p>
      <w:pPr>
        <w:ind w:left="940" w:hanging="932"/>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(n)(1)</w:t>
      </w:r>
      <w:r>
        <w:rPr>
          <w:sz w:val="20"/>
          <w:szCs w:val="20"/>
          <w:color w:val="auto"/>
        </w:rPr>
        <w:tab/>
      </w:r>
      <w:r>
        <w:rPr>
          <w:rFonts w:ascii="Arial" w:cs="Arial" w:eastAsia="Arial" w:hAnsi="Arial"/>
          <w:sz w:val="18"/>
          <w:szCs w:val="18"/>
          <w:color w:val="auto"/>
        </w:rPr>
        <w:t>Consent of Cleary Gottlieb Steen &amp; Hamilton LLP, dated April 7,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(n)(2)</w:t>
      </w:r>
      <w:r>
        <w:rPr>
          <w:sz w:val="20"/>
          <w:szCs w:val="20"/>
          <w:color w:val="auto"/>
        </w:rPr>
        <w:tab/>
      </w:r>
      <w:r>
        <w:rPr>
          <w:rFonts w:ascii="Arial" w:cs="Arial" w:eastAsia="Arial" w:hAnsi="Arial"/>
          <w:sz w:val="18"/>
          <w:szCs w:val="18"/>
          <w:color w:val="auto"/>
        </w:rPr>
        <w:t>Consent of KPMG LLP, dated May 19,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(n)(3)</w:t>
      </w:r>
      <w:r>
        <w:rPr>
          <w:sz w:val="20"/>
          <w:szCs w:val="20"/>
          <w:color w:val="auto"/>
        </w:rPr>
        <w:tab/>
      </w:r>
      <w:r>
        <w:rPr>
          <w:rFonts w:ascii="Arial" w:cs="Arial" w:eastAsia="Arial" w:hAnsi="Arial"/>
          <w:sz w:val="18"/>
          <w:szCs w:val="18"/>
          <w:color w:val="auto"/>
        </w:rPr>
        <w:t>Report of KPMG LLP, dated April 7,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(n)(4)</w:t>
      </w:r>
      <w:r>
        <w:rPr>
          <w:sz w:val="20"/>
          <w:szCs w:val="20"/>
          <w:color w:val="auto"/>
        </w:rPr>
        <w:tab/>
      </w:r>
      <w:r>
        <w:rPr>
          <w:rFonts w:ascii="Arial" w:cs="Arial" w:eastAsia="Arial" w:hAnsi="Arial"/>
          <w:sz w:val="18"/>
          <w:szCs w:val="18"/>
          <w:color w:val="auto"/>
        </w:rPr>
        <w:t>Consent of Cleary Gottlieb Steen &amp; Hamilton LLP, dated January 22, 2018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(n)(5)</w:t>
      </w:r>
      <w:r>
        <w:rPr>
          <w:sz w:val="20"/>
          <w:szCs w:val="20"/>
          <w:color w:val="auto"/>
        </w:rPr>
        <w:tab/>
      </w:r>
      <w:r>
        <w:rPr>
          <w:rFonts w:ascii="Arial" w:cs="Arial" w:eastAsia="Arial" w:hAnsi="Arial"/>
          <w:sz w:val="18"/>
          <w:szCs w:val="18"/>
          <w:color w:val="auto"/>
        </w:rPr>
        <w:t>Consent of KPMG LLP, dated March 20, 2018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(n)(6)</w:t>
      </w:r>
      <w:r>
        <w:rPr>
          <w:sz w:val="20"/>
          <w:szCs w:val="20"/>
          <w:color w:val="auto"/>
        </w:rPr>
        <w:tab/>
      </w:r>
      <w:r>
        <w:rPr>
          <w:rFonts w:ascii="Arial" w:cs="Arial" w:eastAsia="Arial" w:hAnsi="Arial"/>
          <w:sz w:val="18"/>
          <w:szCs w:val="18"/>
          <w:color w:val="auto"/>
        </w:rPr>
        <w:t>Report of KPMG LLP, dated March 20, 2018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(n)(7)</w:t>
      </w:r>
      <w:r>
        <w:rPr>
          <w:sz w:val="20"/>
          <w:szCs w:val="20"/>
          <w:color w:val="auto"/>
        </w:rPr>
        <w:tab/>
      </w:r>
      <w:r>
        <w:rPr>
          <w:rFonts w:ascii="Arial" w:cs="Arial" w:eastAsia="Arial" w:hAnsi="Arial"/>
          <w:sz w:val="18"/>
          <w:szCs w:val="18"/>
          <w:color w:val="auto"/>
        </w:rPr>
        <w:t>Consent of Cleary Gottlieb Steen &amp; Hamilton LLP, dated March 23, 2018 (included in Exhibit (l)(3))</w:t>
      </w:r>
    </w:p>
    <w:p>
      <w:pPr>
        <w:spacing w:after="0" w:line="117" w:lineRule="exact"/>
        <w:rPr>
          <w:sz w:val="20"/>
          <w:szCs w:val="20"/>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(r)(1)</w:t>
            </w:r>
          </w:p>
        </w:tc>
        <w:tc>
          <w:tcPr>
            <w:tcW w:w="10680" w:type="dxa"/>
            <w:vAlign w:val="bottom"/>
          </w:tcPr>
          <w:p>
            <w:pPr>
              <w:ind w:left="280"/>
              <w:spacing w:after="0"/>
              <w:rPr>
                <w:sz w:val="20"/>
                <w:szCs w:val="20"/>
                <w:color w:val="auto"/>
              </w:rPr>
            </w:pPr>
            <w:r>
              <w:rPr>
                <w:rFonts w:ascii="Arial" w:cs="Arial" w:eastAsia="Arial" w:hAnsi="Arial"/>
                <w:sz w:val="18"/>
                <w:szCs w:val="18"/>
                <w:color w:val="auto"/>
                <w:w w:val="91"/>
              </w:rPr>
              <w:t>Code of Ethics of TPG Specialty Lending, Inc. (incorporated by reference to Exhibit (r)(1) to Pre-Effective Amendment No. 4 to the Company’s</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(r)(2)</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Code of Ethics of TSL Advisers, LLC (incorporated by reference to Exhibit (r)(2) to Pre-Effective Amendment No. 4 to the Company’s</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Common Stock Offerings (incorporated by reference to Exhibit 99.1 to Pre-Effective</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99.2</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Preferred Stock Offerings (incorporated by reference to Exhibit 99.2 to Pre-Effective</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99.3</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Debt Securities Offerings (incorporated by reference to Exhibit 99.3 to Pre-Effective</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99.4</w:t>
            </w:r>
          </w:p>
        </w:tc>
        <w:tc>
          <w:tcPr>
            <w:tcW w:w="10680" w:type="dxa"/>
            <w:vAlign w:val="bottom"/>
          </w:tcPr>
          <w:p>
            <w:pPr>
              <w:ind w:left="280"/>
              <w:spacing w:after="0"/>
              <w:rPr>
                <w:sz w:val="20"/>
                <w:szCs w:val="20"/>
                <w:color w:val="auto"/>
              </w:rPr>
            </w:pPr>
            <w:r>
              <w:rPr>
                <w:rFonts w:ascii="Arial" w:cs="Arial" w:eastAsia="Arial" w:hAnsi="Arial"/>
                <w:sz w:val="18"/>
                <w:szCs w:val="18"/>
                <w:color w:val="auto"/>
                <w:w w:val="91"/>
              </w:rPr>
              <w:t>Form of Preliminary Prospectus Supplement For Rights Offerings (incorporated by reference to Exhibit 99.4 to Pre-Effective Amendment No. 1</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to the Company’s Registration Statement on Form N-2 filed on July 25, 2014)</w:t>
            </w:r>
          </w:p>
        </w:tc>
      </w:tr>
      <w:tr>
        <w:trPr>
          <w:trHeight w:val="365"/>
        </w:trPr>
        <w:tc>
          <w:tcPr>
            <w:tcW w:w="660" w:type="dxa"/>
            <w:vAlign w:val="bottom"/>
          </w:tcPr>
          <w:p>
            <w:pPr>
              <w:spacing w:after="0"/>
              <w:rPr>
                <w:sz w:val="24"/>
                <w:szCs w:val="24"/>
                <w:color w:val="auto"/>
              </w:rPr>
            </w:pPr>
          </w:p>
        </w:tc>
        <w:tc>
          <w:tcPr>
            <w:tcW w:w="10680" w:type="dxa"/>
            <w:vAlign w:val="bottom"/>
          </w:tcPr>
          <w:p>
            <w:pPr>
              <w:ind w:left="4920"/>
              <w:spacing w:after="0"/>
              <w:rPr>
                <w:sz w:val="20"/>
                <w:szCs w:val="20"/>
                <w:color w:val="auto"/>
              </w:rPr>
            </w:pPr>
            <w:r>
              <w:rPr>
                <w:rFonts w:ascii="Arial" w:cs="Arial" w:eastAsia="Arial" w:hAnsi="Arial"/>
                <w:sz w:val="18"/>
                <w:szCs w:val="18"/>
                <w:color w:val="auto"/>
              </w:rPr>
              <w:t>C-4</w:t>
            </w:r>
          </w:p>
        </w:tc>
      </w:tr>
    </w:tbl>
    <w:p>
      <w:pPr>
        <w:sectPr>
          <w:pgSz w:w="11900" w:h="16838" w:orient="portrait"/>
          <w:cols w:equalWidth="0" w:num="1">
            <w:col w:w="11340"/>
          </w:cols>
          <w:pgMar w:left="240" w:top="382" w:right="319" w:bottom="1440" w:gutter="0" w:footer="0" w:header="0"/>
        </w:sectPr>
      </w:pPr>
    </w:p>
    <w:bookmarkStart w:id="6" w:name="page7"/>
    <w:bookmarkEnd w:id="6"/>
    <w:p>
      <w:pPr>
        <w:ind w:left="700" w:hanging="688"/>
        <w:spacing w:after="0" w:line="277" w:lineRule="auto"/>
        <w:tabs>
          <w:tab w:leader="none" w:pos="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99.5</w:t>
      </w:r>
      <w:r>
        <w:rPr>
          <w:sz w:val="20"/>
          <w:szCs w:val="20"/>
          <w:color w:val="auto"/>
        </w:rPr>
        <w:tab/>
      </w:r>
      <w:r>
        <w:rPr>
          <w:rFonts w:ascii="Arial" w:cs="Arial" w:eastAsia="Arial" w:hAnsi="Arial"/>
          <w:sz w:val="18"/>
          <w:szCs w:val="18"/>
          <w:color w:val="auto"/>
        </w:rPr>
        <w:t>Form of Preliminary Prospectus Supplement For Warrant Offerings (incorporated by reference to Exhibit 99.5 to Pre-Effective Amendment No. 1 to the Company’s Registration Statement on Form N-2 filed on July 25, 2014)</w:t>
      </w:r>
    </w:p>
    <w:p>
      <w:pPr>
        <w:spacing w:after="0" w:line="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99.6</w:t>
      </w:r>
      <w:r>
        <w:rPr>
          <w:sz w:val="20"/>
          <w:szCs w:val="20"/>
          <w:color w:val="auto"/>
        </w:rPr>
        <w:tab/>
      </w:r>
      <w:r>
        <w:rPr>
          <w:rFonts w:ascii="Arial" w:cs="Arial" w:eastAsia="Arial" w:hAnsi="Arial"/>
          <w:sz w:val="16"/>
          <w:szCs w:val="16"/>
          <w:color w:val="auto"/>
        </w:rPr>
        <w:t>Statement of Computation of Ratio of Earnings to Fixed Charges (1)</w:t>
      </w:r>
    </w:p>
    <w:p>
      <w:pPr>
        <w:spacing w:after="0" w:line="2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as an exhibit to this registration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26. Marketing Arrangements</w:t>
      </w:r>
    </w:p>
    <w:p>
      <w:pPr>
        <w:spacing w:after="0" w:line="121"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Item 27. Other Expenses of Issuance and Distribution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86,925*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113,000**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10,075(1)</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700,000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23" w:lineRule="exact"/>
        <w:rPr>
          <w:sz w:val="20"/>
          <w:szCs w:val="20"/>
          <w:color w:val="auto"/>
        </w:rPr>
      </w:pPr>
    </w:p>
    <w:p>
      <w:pPr>
        <w:ind w:right="460" w:firstLine="8"/>
        <w:spacing w:after="0" w:line="323" w:lineRule="auto"/>
        <w:tabs>
          <w:tab w:leader="none" w:pos="446" w:val="left"/>
        </w:tabs>
        <w:numPr>
          <w:ilvl w:val="0"/>
          <w:numId w:val="9"/>
        </w:numPr>
        <w:rPr>
          <w:rFonts w:ascii="Arial" w:cs="Arial" w:eastAsia="Arial" w:hAnsi="Arial"/>
          <w:sz w:val="16"/>
          <w:szCs w:val="16"/>
          <w:color w:val="auto"/>
        </w:rPr>
      </w:pPr>
      <w:r>
        <w:rPr>
          <w:rFonts w:ascii="Arial" w:cs="Arial" w:eastAsia="Arial" w:hAnsi="Arial"/>
          <w:sz w:val="16"/>
          <w:szCs w:val="16"/>
          <w:color w:val="auto"/>
        </w:rPr>
        <w:t>$77,609.98 of this amount has been offset against filing fees associated with unsold securities registered under a previous registration statement. ** $101,185.00 of this amount has been offset against filing fees associated with unsold securities registered under a previous registration statement.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28. Persons Controlled by or Under Common Control</w:t>
      </w:r>
    </w:p>
    <w:p>
      <w:pPr>
        <w:spacing w:after="0" w:line="12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29. Number of Holders of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May 15, 2017.</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4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Number of Record Holders</w:t>
            </w:r>
          </w:p>
        </w:tc>
      </w:tr>
      <w:tr>
        <w:trPr>
          <w:trHeight w:val="210"/>
        </w:trPr>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$0.01 par value</w:t>
            </w:r>
          </w:p>
        </w:tc>
        <w:tc>
          <w:tcPr>
            <w:tcW w:w="29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CCEEFF"/>
            </w:tcBorders>
            <w:shd w:val="clear" w:color="auto" w:fill="CCEEFF"/>
          </w:tcPr>
          <w:p>
            <w:pPr>
              <w:spacing w:after="0"/>
              <w:rPr>
                <w:sz w:val="18"/>
                <w:szCs w:val="18"/>
                <w:color w:val="auto"/>
              </w:rPr>
            </w:pPr>
          </w:p>
        </w:tc>
      </w:tr>
      <w:tr>
        <w:trPr>
          <w:trHeight w:val="365"/>
        </w:trPr>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720" w:type="dxa"/>
            <w:vAlign w:val="bottom"/>
            <w:gridSpan w:val="3"/>
          </w:tcPr>
          <w:p>
            <w:pPr>
              <w:ind w:left="700"/>
              <w:spacing w:after="0"/>
              <w:rPr>
                <w:sz w:val="20"/>
                <w:szCs w:val="20"/>
                <w:color w:val="auto"/>
              </w:rPr>
            </w:pPr>
            <w:r>
              <w:rPr>
                <w:rFonts w:ascii="Arial" w:cs="Arial" w:eastAsia="Arial" w:hAnsi="Arial"/>
                <w:sz w:val="18"/>
                <w:szCs w:val="18"/>
                <w:color w:val="auto"/>
              </w:rPr>
              <w:t>C-5</w:t>
            </w:r>
          </w:p>
        </w:tc>
      </w:tr>
    </w:tbl>
    <w:p>
      <w:pPr>
        <w:sectPr>
          <w:pgSz w:w="11900" w:h="16838" w:orient="portrait"/>
          <w:cols w:equalWidth="0" w:num="1">
            <w:col w:w="11380"/>
          </w:cols>
          <w:pgMar w:left="240" w:top="382"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 Indemnification</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66"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93"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2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20"/>
          </w:cols>
          <w:pgMar w:left="240" w:top="270" w:right="239" w:bottom="1440" w:gutter="0" w:footer="0" w:header="0"/>
        </w:sectPr>
      </w:pPr>
    </w:p>
    <w:bookmarkStart w:id="8" w:name="page9"/>
    <w:bookmarkEnd w:id="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agreed to indemnify the underwriters against certain liabilities, including liabilities under the Securities Act.</w:t>
      </w:r>
    </w:p>
    <w:p>
      <w:pPr>
        <w:spacing w:after="0" w:line="225"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31. Business and Other Connections of Investment Advisor</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32. Location of Accounts and Records</w:t>
      </w:r>
    </w:p>
    <w:p>
      <w:pPr>
        <w:spacing w:after="0" w:line="12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33. Management Services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135" w:lineRule="exact"/>
        <w:rPr>
          <w:sz w:val="20"/>
          <w:szCs w:val="20"/>
          <w:color w:val="auto"/>
        </w:rPr>
      </w:pPr>
    </w:p>
    <w:p>
      <w:pPr>
        <w:ind w:left="900" w:right="4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274" w:right="259" w:bottom="1440" w:gutter="0" w:footer="0" w:header="0"/>
        </w:sectPr>
      </w:pPr>
    </w:p>
    <w:bookmarkStart w:id="9" w:name="page10"/>
    <w:bookmarkEnd w:id="9"/>
    <w:p>
      <w:pPr>
        <w:ind w:left="446" w:hanging="446"/>
        <w:spacing w:after="0"/>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applicable.</w:t>
      </w:r>
    </w:p>
    <w:p>
      <w:pPr>
        <w:spacing w:after="0" w:line="130" w:lineRule="exact"/>
        <w:rPr>
          <w:rFonts w:ascii="Arial" w:cs="Arial" w:eastAsia="Arial" w:hAnsi="Arial"/>
          <w:sz w:val="18"/>
          <w:szCs w:val="18"/>
          <w:color w:val="auto"/>
        </w:rPr>
      </w:pPr>
    </w:p>
    <w:p>
      <w:pPr>
        <w:ind w:left="446" w:hanging="446"/>
        <w:spacing w:after="0" w:line="273" w:lineRule="auto"/>
        <w:tabs>
          <w:tab w:leader="none" w:pos="446"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83" w:lineRule="exact"/>
        <w:rPr>
          <w:rFonts w:ascii="Arial" w:cs="Arial" w:eastAsia="Arial" w:hAnsi="Arial"/>
          <w:sz w:val="17"/>
          <w:szCs w:val="17"/>
          <w:color w:val="auto"/>
        </w:rPr>
      </w:pPr>
    </w:p>
    <w:p>
      <w:pPr>
        <w:ind w:left="446" w:hanging="446"/>
        <w:spacing w:after="0"/>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66" w:hanging="440"/>
        <w:spacing w:after="0" w:line="264" w:lineRule="auto"/>
        <w:tabs>
          <w:tab w:leader="none" w:pos="146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466" w:right="80" w:hanging="440"/>
        <w:spacing w:after="0" w:line="277" w:lineRule="auto"/>
        <w:tabs>
          <w:tab w:leader="none" w:pos="146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026" w:right="140" w:hanging="567"/>
        <w:spacing w:after="0" w:line="264" w:lineRule="auto"/>
        <w:tabs>
          <w:tab w:leader="none" w:pos="10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6" w:lineRule="exact"/>
        <w:rPr>
          <w:rFonts w:ascii="Arial" w:cs="Arial" w:eastAsia="Arial" w:hAnsi="Arial"/>
          <w:sz w:val="18"/>
          <w:szCs w:val="18"/>
          <w:color w:val="auto"/>
        </w:rPr>
      </w:pPr>
    </w:p>
    <w:p>
      <w:pPr>
        <w:ind w:left="1026" w:right="260" w:hanging="567"/>
        <w:spacing w:after="0" w:line="277" w:lineRule="auto"/>
        <w:tabs>
          <w:tab w:leader="none" w:pos="10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75" w:lineRule="exact"/>
        <w:rPr>
          <w:rFonts w:ascii="Arial" w:cs="Arial" w:eastAsia="Arial" w:hAnsi="Arial"/>
          <w:sz w:val="18"/>
          <w:szCs w:val="18"/>
          <w:color w:val="auto"/>
        </w:rPr>
      </w:pPr>
    </w:p>
    <w:p>
      <w:pPr>
        <w:ind w:left="1026" w:right="80" w:hanging="567"/>
        <w:spacing w:after="0" w:line="290" w:lineRule="auto"/>
        <w:tabs>
          <w:tab w:leader="none" w:pos="1026"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9"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0926"/>
          </w:cols>
          <w:pgMar w:left="694" w:top="274" w:right="279" w:bottom="1440" w:gutter="0" w:footer="0" w:header="0"/>
        </w:sectPr>
      </w:pPr>
    </w:p>
    <w:bookmarkStart w:id="10" w:name="page11"/>
    <w:bookmarkEnd w:id="10"/>
    <w:p>
      <w:pPr>
        <w:ind w:left="1026" w:hanging="567"/>
        <w:spacing w:after="0" w:line="279" w:lineRule="auto"/>
        <w:tabs>
          <w:tab w:leader="none" w:pos="1026" w:val="left"/>
        </w:tabs>
        <w:numPr>
          <w:ilvl w:val="1"/>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76" w:lineRule="exact"/>
        <w:rPr>
          <w:rFonts w:ascii="Arial" w:cs="Arial" w:eastAsia="Arial" w:hAnsi="Arial"/>
          <w:sz w:val="17"/>
          <w:szCs w:val="17"/>
          <w:color w:val="auto"/>
        </w:rPr>
      </w:pPr>
    </w:p>
    <w:p>
      <w:pPr>
        <w:ind w:left="1466" w:right="600" w:hanging="440"/>
        <w:spacing w:after="0" w:line="277" w:lineRule="auto"/>
        <w:tabs>
          <w:tab w:leader="none" w:pos="1466"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466" w:right="700" w:hanging="440"/>
        <w:spacing w:after="0" w:line="277" w:lineRule="auto"/>
        <w:tabs>
          <w:tab w:leader="none" w:pos="1466"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130" w:lineRule="exact"/>
        <w:rPr>
          <w:rFonts w:ascii="Arial" w:cs="Arial" w:eastAsia="Arial" w:hAnsi="Arial"/>
          <w:sz w:val="18"/>
          <w:szCs w:val="18"/>
          <w:color w:val="auto"/>
        </w:rPr>
      </w:pPr>
    </w:p>
    <w:p>
      <w:pPr>
        <w:ind w:left="1026" w:right="80" w:hanging="567"/>
        <w:spacing w:after="0" w:line="312" w:lineRule="auto"/>
        <w:tabs>
          <w:tab w:leader="none" w:pos="1026"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52" w:lineRule="exact"/>
        <w:rPr>
          <w:rFonts w:ascii="Arial" w:cs="Arial" w:eastAsia="Arial" w:hAnsi="Arial"/>
          <w:sz w:val="16"/>
          <w:szCs w:val="16"/>
          <w:color w:val="auto"/>
        </w:rPr>
      </w:pPr>
    </w:p>
    <w:p>
      <w:pPr>
        <w:ind w:left="1026" w:right="20" w:hanging="567"/>
        <w:spacing w:after="0" w:line="264" w:lineRule="auto"/>
        <w:tabs>
          <w:tab w:leader="none" w:pos="1026"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446" w:right="420" w:hanging="446"/>
        <w:spacing w:after="0" w:line="277" w:lineRule="auto"/>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jc w:val="both"/>
        <w:ind w:left="446" w:right="280" w:hanging="446"/>
        <w:spacing w:after="0" w:line="264" w:lineRule="auto"/>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undertake to file a post-effective amendment to the registration statement pursuant to Section 8(c) of the Securities Act in connection with any rights offering off of the registration statement that will result in greater than 15% dilution to the net asset value per share of our common stock.</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undertake to file a post-effective amendment or a new registration statement for any offering of debt securities referred to as “senior.”</w:t>
      </w:r>
    </w:p>
    <w:p>
      <w:pPr>
        <w:spacing w:after="0" w:line="16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946"/>
          </w:cols>
          <w:pgMar w:left="694" w:top="274"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4 to the Registration Statement on Form N-2 to be signed on its behalf by the undersigned, thereunto duly authorized, in the City of New York, and the State of New York on the 23</w:t>
      </w:r>
      <w:r>
        <w:rPr>
          <w:rFonts w:ascii="Arial" w:cs="Arial" w:eastAsia="Arial" w:hAnsi="Arial"/>
          <w:sz w:val="15"/>
          <w:szCs w:val="15"/>
          <w:color w:val="auto"/>
        </w:rPr>
        <w:t>rd</w:t>
      </w:r>
      <w:r>
        <w:rPr>
          <w:rFonts w:ascii="Arial" w:cs="Arial" w:eastAsia="Arial" w:hAnsi="Arial"/>
          <w:sz w:val="18"/>
          <w:szCs w:val="18"/>
          <w:color w:val="auto"/>
        </w:rPr>
        <w:t xml:space="preserve"> day of March, 2018.</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Ian T. Simmonds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tabs>
          <w:tab w:leader="none" w:pos="78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4 to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Chief Executive Officer, Director and Chairman of the Board of</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23,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87"/>
              </w:rPr>
              <w:t>Joshua Easterly</w:t>
            </w:r>
          </w:p>
        </w:tc>
        <w:tc>
          <w:tcPr>
            <w:tcW w:w="10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Directors (Principal Executive Officer)</w:t>
            </w:r>
          </w:p>
        </w:tc>
        <w:tc>
          <w:tcPr>
            <w:tcW w:w="174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2"/>
              <w:spacing w:after="0"/>
              <w:rPr>
                <w:sz w:val="20"/>
                <w:szCs w:val="20"/>
                <w:color w:val="auto"/>
              </w:rPr>
            </w:pPr>
            <w:r>
              <w:rPr>
                <w:rFonts w:ascii="Arial" w:cs="Arial" w:eastAsia="Arial" w:hAnsi="Arial"/>
                <w:sz w:val="18"/>
                <w:szCs w:val="18"/>
                <w:color w:val="auto"/>
                <w:w w:val="89"/>
              </w:rPr>
              <w:t>/s/ Ian T. Simmonds</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Chief Financial Officer (Principal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23,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1"/>
              </w:rPr>
              <w:t>Ian T. Simmonds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Vice President and Principal Accounting Officer (Principal</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23,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4"/>
              </w:rPr>
              <w:t>Michael Graf</w:t>
            </w:r>
          </w:p>
        </w:tc>
        <w:tc>
          <w:tcPr>
            <w:tcW w:w="10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Accounting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 and Chairman of the Audit Committee</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23,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89"/>
              </w:rPr>
              <w:t>John A. Ross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23,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3"/>
              </w:rPr>
              <w:t>Richard A. Higginbotham</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23,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12"/>
              <w:spacing w:after="0"/>
              <w:rPr>
                <w:sz w:val="20"/>
                <w:szCs w:val="20"/>
                <w:color w:val="auto"/>
              </w:rPr>
            </w:pPr>
            <w:r>
              <w:rPr>
                <w:rFonts w:ascii="Arial" w:cs="Arial" w:eastAsia="Arial" w:hAnsi="Arial"/>
                <w:sz w:val="18"/>
                <w:szCs w:val="18"/>
                <w:color w:val="auto"/>
                <w:w w:val="90"/>
              </w:rPr>
              <w:t>Ronald K. Tanemura</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23,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1"/>
              </w:rPr>
              <w:t>Michael Fishman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58"/>
        </w:trPr>
        <w:tc>
          <w:tcPr>
            <w:tcW w:w="4280" w:type="dxa"/>
            <w:vAlign w:val="bottom"/>
            <w:gridSpan w:val="2"/>
          </w:tcPr>
          <w:p>
            <w:pPr>
              <w:spacing w:after="0"/>
              <w:rPr>
                <w:sz w:val="20"/>
                <w:szCs w:val="20"/>
                <w:color w:val="auto"/>
              </w:rPr>
            </w:pPr>
            <w:r>
              <w:rPr>
                <w:rFonts w:ascii="Arial" w:cs="Arial" w:eastAsia="Arial" w:hAnsi="Arial"/>
                <w:sz w:val="18"/>
                <w:szCs w:val="18"/>
                <w:color w:val="auto"/>
              </w:rPr>
              <w:t>*By:  /s/ Ian T. Simmonds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4"/>
        </w:trPr>
        <w:tc>
          <w:tcPr>
            <w:tcW w:w="420" w:type="dxa"/>
            <w:vAlign w:val="bottom"/>
          </w:tcPr>
          <w:p>
            <w:pPr>
              <w:spacing w:after="0"/>
              <w:rPr>
                <w:sz w:val="19"/>
                <w:szCs w:val="19"/>
                <w:color w:val="auto"/>
              </w:rPr>
            </w:pPr>
          </w:p>
        </w:tc>
        <w:tc>
          <w:tcPr>
            <w:tcW w:w="38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Attorney-in-fact</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(h)(4)</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3,750,000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TPG Specialty Lending, Inc., a Delaware corporation (the “Company”) proposes, subject to the terms and conditions stated herein, to issue and to sell to the several Underwriters listed in Schedule 1 hereto (the “Underwriters”), for whom you are acting as representative (the “Representative”), an aggregate of 3,750,000 shares of common stock, par value $0.01 per share, of the Company (the “Underwritten Shares”) and, at the option of the Underwriters, up to an additional 562,500 shares of common stock, par value $0.01 per share of the Company (the “Option Shares”). The Underwritten Shares and the Option Shares are herein referred to as the “Shares.” The shares of common stock, par value $0.01 per share, of the Company to be outstanding after giving effect to the sale of the Shares are referred to herein as the “Stock.”</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confirms its agreement with the several Underwriters concerning the purchase and sale of the Shares, as follows:</w:t>
      </w:r>
    </w:p>
    <w:p>
      <w:pPr>
        <w:spacing w:after="0" w:line="225" w:lineRule="exact"/>
        <w:rPr>
          <w:sz w:val="20"/>
          <w:szCs w:val="20"/>
          <w:color w:val="auto"/>
        </w:rPr>
      </w:pPr>
    </w:p>
    <w:p>
      <w:pPr>
        <w:ind w:firstLine="464"/>
        <w:spacing w:after="0" w:line="255" w:lineRule="auto"/>
        <w:tabs>
          <w:tab w:leader="none" w:pos="63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shelf registration statement on Form N-2 (File No. 333-217207), relating to the Shares, which registration statement was declared effective on May 30, 2017 by the Commission. The Company has also filed with the Commission a preliminary prospectus supplement, dated March 20, 2018, as such prospectus may be amended, which contains a base prospectus, dated May 30, 2017 (the “Base Prospectus” and, collectively, the “Preliminary Prospectus”). Promptly after execution and delivery of this Agreement, the Company will prepare and file a prospectus in accordance with the provisions of Rule 430C (“Rule 430C”) of the rules and regulations of the</w:t>
      </w:r>
    </w:p>
    <w:p>
      <w:pPr>
        <w:sectPr>
          <w:pgSz w:w="11900" w:h="16838" w:orient="portrait"/>
          <w:cols w:equalWidth="0" w:num="1">
            <w:col w:w="11420"/>
          </w:cols>
          <w:pgMar w:left="240" w:top="121" w:right="239" w:bottom="1440" w:gutter="0" w:footer="0" w:header="0"/>
        </w:sectPr>
      </w:pPr>
    </w:p>
    <w:bookmarkStart w:id="13" w:name="page14"/>
    <w:bookmarkEnd w:id="1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Commission under the Securities Act and Rule 497 under the Securities Act. The information included in such prospectus that was omitted from such registration statement at the time it became effective but that is deemed to be part of such registration statement pursuant to Rule 430C is referred to as “Rule 430C Information.” Unless the context otherwise requires, such registration statement, including all documents filed as a part thereof, and including all post-effective amendments thereto filed on or prior to the date hereof and any Rule 430C Information contained in a prospectus subsequently filed with the Commission pursuant to Rule 497 under the Securities Act and deemed to be part of the registration statement, is herein called the “Registration Statement.” The final prospectus in the form first used in connection with confirmation of sales of the Shares, which will include the Base Prospectus, together with a final prospectus supplement, is herein called the “Prospectus.”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95"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filed pursuant to Section 54(a) of the Investment Company Act (File No. 814-00854) (the “Notification of Election”) was filed under the Investment Company Act with the Commission on April 15, 2011.</w:t>
      </w:r>
    </w:p>
    <w:p>
      <w:pPr>
        <w:spacing w:after="0" w:line="17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Company has entered into an Amended and Restated Investment Advisory and Management Agreement, dated as of December 12, 2011 (the “Investment Management Agreement”), with TSL Advisers, LLC, a Delaware limited liability company registered as an investment adviser (the “Adviser”) under the Investment Advisers Act of 1940, as amended, and the rules and regulations thereunder (the “Advisers Act”).</w:t>
      </w:r>
    </w:p>
    <w:p>
      <w:pPr>
        <w:spacing w:after="0" w:line="166"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Company has also entered into an Amended and Restated Administration Agreement, dated as of February 22, 2017 (the “Administration Agreement”) with the Adviser.</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At or prior to the Applicable Time (as defined below), the Company had prepared the Preliminary Prospectus, which together with the pricing information set forth on Annex A, comprises the “Pricing Disclosure Package.”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“Applicable Time” means 6:15 P.M., New York City time, on March 20, 2018.</w:t>
      </w:r>
    </w:p>
    <w:p>
      <w:pPr>
        <w:spacing w:after="0" w:line="225"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Purchase of the Shares by the Underwriters</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59" w:lineRule="auto"/>
        <w:tabs>
          <w:tab w:leader="none" w:pos="7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agrees to issue and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number of Underwritten Shares set forth opposite such Underwriter’s name in Schedule 1 hereto at a price per share (the “Purchase Price”) of $16.9265.</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4" w:name="page15"/>
    <w:bookmarkEnd w:id="14"/>
    <w:p>
      <w:pPr>
        <w:ind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w:t>
      </w:r>
    </w:p>
    <w:p>
      <w:pPr>
        <w:spacing w:after="0" w:line="17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11 hereof) bears to the aggregate number of Underwritten Shares being purchased from the Company by the several Underwriters, subject, however, to such adjustments to eliminate any fractional Shares as the Representative in its sole discretion shall make.</w:t>
      </w:r>
    </w:p>
    <w:p>
      <w:pPr>
        <w:spacing w:after="0" w:line="18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Underwriters may exercise the option to purchase Option Shares at any time in whole, or from time to time in part, on or before the thirtieth day following the date of the Prospectus, by written notice from the Representative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or later than the tenth full business day (as hereinafter defined) after the date of such notice (unless such time and date are postponed in accordance with the provisions of Section 11 hereof). Any such notice shall be given at least three business days prior to the date and time of delivery specified therein.</w:t>
      </w:r>
    </w:p>
    <w:p>
      <w:pPr>
        <w:spacing w:after="0" w:line="70" w:lineRule="exact"/>
        <w:rPr>
          <w:sz w:val="20"/>
          <w:szCs w:val="20"/>
          <w:color w:val="auto"/>
        </w:rPr>
      </w:pPr>
    </w:p>
    <w:p>
      <w:pPr>
        <w:jc w:val="both"/>
        <w:ind w:right="60" w:firstLine="464"/>
        <w:spacing w:after="0" w:line="264" w:lineRule="auto"/>
        <w:tabs>
          <w:tab w:leader="none" w:pos="7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make a public offering of the Shares as soon after the effectiveness of this Agreement as in the judgment of the Representative is advisable, and initially to offer the Shares on the terms set forth in the Prospectus. The Company acknowledges and agrees that the Underwriters may offer and sell Shares to or through any affiliate of an Underwriter.</w:t>
      </w:r>
    </w:p>
    <w:p>
      <w:pPr>
        <w:spacing w:after="0" w:line="73" w:lineRule="exact"/>
        <w:rPr>
          <w:rFonts w:ascii="Arial" w:cs="Arial" w:eastAsia="Arial" w:hAnsi="Arial"/>
          <w:sz w:val="18"/>
          <w:szCs w:val="18"/>
          <w:color w:val="auto"/>
        </w:rPr>
      </w:pPr>
    </w:p>
    <w:p>
      <w:pPr>
        <w:ind w:right="60" w:firstLine="464"/>
        <w:spacing w:after="0" w:line="255" w:lineRule="auto"/>
        <w:tabs>
          <w:tab w:leader="none" w:pos="701"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 for the Shares shall be made by wire transfer in immediately available funds to the account specified by the Company to the Representative, at the offices of Freshfields Bruckhaus Deringer US LLP, 601 Lexington Avenue, Floor 31, New York, NY 10022, at 10:00 A.M., New York City time, on March 23, 2018, or at such other time or place on the same or such other date, not later than the fifth business day thereafter, as the Representative and the Company may agree upon in writing, or, in the case of the Option Shares, on the date and at the time and place specified by the Representative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15" w:name="page16"/>
    <w:bookmarkEnd w:id="15"/>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for the Shares to be purchased on the Closing Date or the Additional Closing Date, as the case may be, shall be made against delivery to the Representative for the respective accounts of the several Underwriters of the Shares to be purchased on such date with any transfer taxes payable in connection with the sale of such Shares duly paid by the Company. Delivery of the Shares shall be made through the facilities of The Depository Trust Company (“DTC”) unless the Representative shall otherwise instruct.</w:t>
      </w:r>
    </w:p>
    <w:p>
      <w:pPr>
        <w:spacing w:after="0" w:line="79" w:lineRule="exact"/>
        <w:rPr>
          <w:sz w:val="20"/>
          <w:szCs w:val="20"/>
          <w:color w:val="auto"/>
        </w:rPr>
      </w:pPr>
    </w:p>
    <w:p>
      <w:pPr>
        <w:ind w:right="20" w:firstLine="464"/>
        <w:spacing w:after="0" w:line="271" w:lineRule="auto"/>
        <w:tabs>
          <w:tab w:leader="none" w:pos="71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are acting solely in the capacity of an arm’s-length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Underwriter that:</w:t>
      </w:r>
    </w:p>
    <w:p>
      <w:pPr>
        <w:spacing w:after="0" w:line="117" w:lineRule="exact"/>
        <w:rPr>
          <w:sz w:val="20"/>
          <w:szCs w:val="20"/>
          <w:color w:val="auto"/>
        </w:rPr>
      </w:pPr>
    </w:p>
    <w:p>
      <w:pPr>
        <w:ind w:firstLine="464"/>
        <w:spacing w:after="0" w:line="291" w:lineRule="auto"/>
        <w:tabs>
          <w:tab w:leader="none" w:pos="701"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Preliminary Prospectus. </w:t>
      </w:r>
      <w:r>
        <w:rPr>
          <w:rFonts w:ascii="Arial" w:cs="Arial" w:eastAsia="Arial" w:hAnsi="Arial"/>
          <w:sz w:val="16"/>
          <w:szCs w:val="16"/>
          <w:color w:val="auto"/>
        </w:rPr>
        <w:t>No order preventing or suspending the use of the Preliminary Prospectus has been issued by the Commission,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8(b) hereof.</w:t>
      </w:r>
    </w:p>
    <w:p>
      <w:pPr>
        <w:spacing w:after="0" w:line="59" w:lineRule="exact"/>
        <w:rPr>
          <w:rFonts w:ascii="Arial" w:cs="Arial" w:eastAsia="Arial" w:hAnsi="Arial"/>
          <w:sz w:val="16"/>
          <w:szCs w:val="16"/>
          <w:color w:val="auto"/>
        </w:rPr>
      </w:pPr>
    </w:p>
    <w:p>
      <w:pPr>
        <w:ind w:right="20" w:firstLine="464"/>
        <w:spacing w:after="0" w:line="272" w:lineRule="auto"/>
        <w:tabs>
          <w:tab w:leader="none" w:pos="711"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Pricing Disclosure Package</w:t>
      </w:r>
      <w:r>
        <w:rPr>
          <w:rFonts w:ascii="Arial" w:cs="Arial" w:eastAsia="Arial" w:hAnsi="Arial"/>
          <w:sz w:val="17"/>
          <w:szCs w:val="17"/>
          <w:color w:val="auto"/>
        </w:rPr>
        <w:t>. The Pricing Disclosure Package as of the Applicable Time did not, and the Pricing Disclosure Package (together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amendment or supplement thereto)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such Pricing Disclosure Package, it being understood and agreed that the only such information furnished by any Underwriter consists of the information described as such in Section 8(b) hereof.</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16" w:name="page17"/>
    <w:bookmarkEnd w:id="16"/>
    <w:p>
      <w:pPr>
        <w:ind w:left="-20" w:firstLine="464"/>
        <w:spacing w:after="0" w:line="286" w:lineRule="auto"/>
        <w:tabs>
          <w:tab w:leader="none" w:pos="681"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Registration Statement and Prospectus. </w:t>
      </w:r>
      <w:r>
        <w:rPr>
          <w:rFonts w:ascii="Arial" w:cs="Arial" w:eastAsia="Arial" w:hAnsi="Arial"/>
          <w:sz w:val="16"/>
          <w:szCs w:val="16"/>
          <w:color w:val="auto"/>
        </w:rPr>
        <w:t>The Company is eligible to use Form N-2. The Registration Statement has been declared effective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Commission. No order suspending the effectiveness of the Registration Statement has been issued by the Commission, and, no proceeding for that purpose or pursuant to Section 8A of the Securities Act against the Company or related to the offering of the Shares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and the Investment Company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66" w:lineRule="exact"/>
        <w:rPr>
          <w:rFonts w:ascii="Arial" w:cs="Arial" w:eastAsia="Arial" w:hAnsi="Arial"/>
          <w:sz w:val="16"/>
          <w:szCs w:val="16"/>
          <w:color w:val="auto"/>
        </w:rPr>
      </w:pPr>
    </w:p>
    <w:p>
      <w:pPr>
        <w:ind w:left="-20" w:right="20" w:firstLine="464"/>
        <w:spacing w:after="0" w:line="290" w:lineRule="auto"/>
        <w:tabs>
          <w:tab w:leader="none" w:pos="691"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(including the related notes thereto) of the Company and its consolidated subsidiaries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58" w:lineRule="exact"/>
        <w:rPr>
          <w:rFonts w:ascii="Arial" w:cs="Arial" w:eastAsia="Arial" w:hAnsi="Arial"/>
          <w:sz w:val="16"/>
          <w:szCs w:val="16"/>
          <w:color w:val="auto"/>
        </w:rPr>
      </w:pPr>
    </w:p>
    <w:p>
      <w:pPr>
        <w:ind w:left="-20" w:right="160" w:firstLine="464"/>
        <w:spacing w:after="0" w:line="273" w:lineRule="auto"/>
        <w:tabs>
          <w:tab w:leader="none" w:pos="681"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Except as disclosed in the Registration Statement, the Pricing Disclosure Package and the Prospectus, since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most recent financial statements of the Company included in the Registration Statement, the Pricing Disclosure Package and the Prospectus, (i) 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(other than with respect to 153,295 shares of common stock of the Company issued on January 12, 2018; pursuant to the Company’s dividend reinvestment plan), or any material adverse change, or any development that would reasonably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4" w:right="239" w:bottom="1440" w:gutter="0" w:footer="0" w:header="0"/>
        </w:sectPr>
      </w:pPr>
    </w:p>
    <w:bookmarkStart w:id="17" w:name="page18"/>
    <w:bookmarkEnd w:id="17"/>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70" w:lineRule="exact"/>
        <w:rPr>
          <w:sz w:val="20"/>
          <w:szCs w:val="20"/>
          <w:color w:val="auto"/>
        </w:rPr>
      </w:pPr>
    </w:p>
    <w:p>
      <w:pPr>
        <w:ind w:firstLine="464"/>
        <w:spacing w:after="0" w:line="290" w:lineRule="auto"/>
        <w:tabs>
          <w:tab w:leader="none" w:pos="681"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and Good Standing. </w:t>
      </w:r>
      <w:r>
        <w:rPr>
          <w:rFonts w:ascii="Arial" w:cs="Arial" w:eastAsia="Arial" w:hAnsi="Arial"/>
          <w:sz w:val="16"/>
          <w:szCs w:val="16"/>
          <w:color w:val="auto"/>
        </w:rPr>
        <w:t>The Company and each of its subsidiaries have been duly organized and are validly existing and in good 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Investment Management Agreement and the Administration Agreement (a “Material Adverse Effect”). The subsidiaries listed in Schedule 2 to this Agreement are the only subsidiaries of the Company.</w:t>
      </w:r>
    </w:p>
    <w:p>
      <w:pPr>
        <w:spacing w:after="0" w:line="58" w:lineRule="exact"/>
        <w:rPr>
          <w:rFonts w:ascii="Arial" w:cs="Arial" w:eastAsia="Arial" w:hAnsi="Arial"/>
          <w:sz w:val="16"/>
          <w:szCs w:val="16"/>
          <w:color w:val="auto"/>
        </w:rPr>
      </w:pPr>
    </w:p>
    <w:p>
      <w:pPr>
        <w:ind w:right="20" w:firstLine="464"/>
        <w:spacing w:after="0" w:line="268" w:lineRule="auto"/>
        <w:tabs>
          <w:tab w:leader="none" w:pos="711"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As of December 31, 2017, the Company had the authorized capitalization as set forth in the Registration Statement, the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Package and the Prospectus in “Capitalization” under the heading “Actual,”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8" w:name="page19"/>
    <w:bookmarkEnd w:id="18"/>
    <w:p>
      <w:pPr>
        <w:ind w:left="700" w:hanging="2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Stock Options. </w:t>
      </w:r>
      <w:r>
        <w:rPr>
          <w:rFonts w:ascii="Arial" w:cs="Arial" w:eastAsia="Arial" w:hAnsi="Arial"/>
          <w:sz w:val="18"/>
          <w:szCs w:val="18"/>
          <w:color w:val="auto"/>
        </w:rPr>
        <w:t>The Company has not granted, and has no policy or expectation of granting stock options.</w:t>
      </w:r>
    </w:p>
    <w:p>
      <w:pPr>
        <w:spacing w:after="0" w:line="117" w:lineRule="exact"/>
        <w:rPr>
          <w:rFonts w:ascii="Arial" w:cs="Arial" w:eastAsia="Arial" w:hAnsi="Arial"/>
          <w:sz w:val="18"/>
          <w:szCs w:val="18"/>
          <w:color w:val="auto"/>
        </w:rPr>
      </w:pPr>
    </w:p>
    <w:p>
      <w:pPr>
        <w:ind w:left="-20" w:right="60" w:firstLine="464"/>
        <w:spacing w:after="0" w:line="257" w:lineRule="auto"/>
        <w:tabs>
          <w:tab w:leader="none" w:pos="651"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corporate power and authority to execute and deliver this Agreement and at the applicable time had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power and authority to execute and deliver the Investment Management Agreement and the Administration Agreement and to perform its obligations hereunder and thereunder; and all action required to be taken for the due and proper authorization, execution and delivery by it of this Agreement and each of the Investment Management Agreement and the Administration Agreement and the consummation by it of the transactions contemplated hereby and thereby has been duly and validly taken.</w:t>
      </w:r>
    </w:p>
    <w:p>
      <w:pPr>
        <w:spacing w:after="0" w:line="80" w:lineRule="exact"/>
        <w:rPr>
          <w:rFonts w:ascii="Arial" w:cs="Arial" w:eastAsia="Arial" w:hAnsi="Arial"/>
          <w:sz w:val="18"/>
          <w:szCs w:val="18"/>
          <w:color w:val="auto"/>
        </w:rPr>
      </w:pPr>
    </w:p>
    <w:p>
      <w:pPr>
        <w:ind w:left="660" w:hanging="21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20" w:right="260" w:firstLine="464"/>
        <w:spacing w:after="0" w:line="259" w:lineRule="auto"/>
        <w:tabs>
          <w:tab w:leader="none" w:pos="691"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Investment Management Agreement and Administration Agreement. </w:t>
      </w:r>
      <w:r>
        <w:rPr>
          <w:rFonts w:ascii="Arial" w:cs="Arial" w:eastAsia="Arial" w:hAnsi="Arial"/>
          <w:sz w:val="18"/>
          <w:szCs w:val="18"/>
          <w:color w:val="auto"/>
        </w:rPr>
        <w:t>The Investment Management Agreement and the Administration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78" w:lineRule="exact"/>
        <w:rPr>
          <w:rFonts w:ascii="Arial" w:cs="Arial" w:eastAsia="Arial" w:hAnsi="Arial"/>
          <w:sz w:val="18"/>
          <w:szCs w:val="18"/>
          <w:color w:val="auto"/>
        </w:rPr>
      </w:pPr>
    </w:p>
    <w:p>
      <w:pPr>
        <w:ind w:left="-20" w:right="140" w:firstLine="464"/>
        <w:spacing w:after="0" w:line="259" w:lineRule="auto"/>
        <w:tabs>
          <w:tab w:leader="none" w:pos="651"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The Shares. </w:t>
      </w:r>
      <w:r>
        <w:rPr>
          <w:rFonts w:ascii="Arial" w:cs="Arial" w:eastAsia="Arial" w:hAnsi="Arial"/>
          <w:sz w:val="18"/>
          <w:szCs w:val="18"/>
          <w:color w:val="auto"/>
        </w:rPr>
        <w:t>The Shares to be issued and sold by the Company hereunder have been duly authorized and, when issued and delivered and paid for 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w:t>
      </w:r>
    </w:p>
    <w:p>
      <w:pPr>
        <w:spacing w:after="0" w:line="78" w:lineRule="exact"/>
        <w:rPr>
          <w:rFonts w:ascii="Arial" w:cs="Arial" w:eastAsia="Arial" w:hAnsi="Arial"/>
          <w:sz w:val="18"/>
          <w:szCs w:val="18"/>
          <w:color w:val="auto"/>
        </w:rPr>
      </w:pPr>
    </w:p>
    <w:p>
      <w:pPr>
        <w:ind w:left="-20" w:firstLine="464"/>
        <w:spacing w:after="0" w:line="264" w:lineRule="auto"/>
        <w:tabs>
          <w:tab w:leader="none" w:pos="741"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Descriptions of Investment Management Agreement and Administration Agreement</w:t>
      </w:r>
      <w:r>
        <w:rPr>
          <w:rFonts w:ascii="Arial" w:cs="Arial" w:eastAsia="Arial" w:hAnsi="Arial"/>
          <w:sz w:val="18"/>
          <w:szCs w:val="18"/>
          <w:color w:val="auto"/>
        </w:rPr>
        <w:t>. Both the Investment Management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Agreement conform in all material respects to the descriptions thereof contained in the Registration Statement, the Pricing Disclosure Package and the Prospectus.</w:t>
      </w:r>
    </w:p>
    <w:p>
      <w:pPr>
        <w:spacing w:after="0" w:line="73" w:lineRule="exact"/>
        <w:rPr>
          <w:rFonts w:ascii="Arial" w:cs="Arial" w:eastAsia="Arial" w:hAnsi="Arial"/>
          <w:sz w:val="18"/>
          <w:szCs w:val="18"/>
          <w:color w:val="auto"/>
        </w:rPr>
      </w:pPr>
    </w:p>
    <w:p>
      <w:pPr>
        <w:ind w:left="-20" w:right="60" w:firstLine="464"/>
        <w:spacing w:after="0" w:line="254" w:lineRule="auto"/>
        <w:tabs>
          <w:tab w:leader="none" w:pos="691"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Company nor any of its subsidiaries is (i) in violation of its charter or by-laws or similar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74" w:right="259" w:bottom="1440" w:gutter="0" w:footer="0" w:header="0"/>
        </w:sectPr>
      </w:pPr>
    </w:p>
    <w:bookmarkStart w:id="19" w:name="page20"/>
    <w:bookmarkEnd w:id="19"/>
    <w:p>
      <w:pPr>
        <w:ind w:left="-20" w:firstLine="464"/>
        <w:spacing w:after="0" w:line="269" w:lineRule="auto"/>
        <w:tabs>
          <w:tab w:leader="none" w:pos="691"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Conflicts. </w:t>
      </w:r>
      <w:r>
        <w:rPr>
          <w:rFonts w:ascii="Arial" w:cs="Arial" w:eastAsia="Arial" w:hAnsi="Arial"/>
          <w:sz w:val="17"/>
          <w:szCs w:val="17"/>
          <w:color w:val="auto"/>
        </w:rPr>
        <w:t>The execution, delivery and performance by the Company of this Agreement, the issuance and sale of the Shares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consummation of the transactions contemplated by this Agreement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74" w:lineRule="exact"/>
        <w:rPr>
          <w:rFonts w:ascii="Arial" w:cs="Arial" w:eastAsia="Arial" w:hAnsi="Arial"/>
          <w:sz w:val="17"/>
          <w:szCs w:val="17"/>
          <w:color w:val="auto"/>
        </w:rPr>
      </w:pPr>
    </w:p>
    <w:p>
      <w:pPr>
        <w:ind w:left="-20" w:right="20" w:firstLine="464"/>
        <w:spacing w:after="0" w:line="253" w:lineRule="auto"/>
        <w:tabs>
          <w:tab w:leader="none" w:pos="691"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No Consents Required. </w:t>
      </w:r>
      <w:r>
        <w:rPr>
          <w:rFonts w:ascii="Arial" w:cs="Arial" w:eastAsia="Arial" w:hAnsi="Arial"/>
          <w:sz w:val="18"/>
          <w:szCs w:val="18"/>
          <w:color w:val="auto"/>
        </w:rPr>
        <w:t>No consent, approval, authorization, order, license, registration or qualification of or with any court or arbitrator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authority is required for the execution, delivery and performance by the Company of this Agreement, the issuance and sale of the Shares and the consummation of the transactions contemplated by this Agreement or the performance by the Company of the Investment Management Agreement and the Administration Agreement, except for (i) the registration of the Shares under the Securities Act, (ii) such consents, approvals, authorizations, orders, licenses, registrations or qualifications as have already been obtained or made, (iii) such consents, approvals, authorizations, orders and registrations or qualifications as may be required by the Financial Industry Regulatory Authority, Inc. (“FINRA”), the New York Stock Exchange or under applicable state securities laws in connection with the purchase and distribution of the Shares by the Underwriters and (iv) where the failure to obtain any such consent, approval, authorization, order, license, registration or qualification would not reasonably be expected, individually or in the aggregate, to have a Material Adverse Effect.</w:t>
      </w:r>
    </w:p>
    <w:p>
      <w:pPr>
        <w:spacing w:after="0" w:line="89" w:lineRule="exact"/>
        <w:rPr>
          <w:rFonts w:ascii="Arial" w:cs="Arial" w:eastAsia="Arial" w:hAnsi="Arial"/>
          <w:sz w:val="18"/>
          <w:szCs w:val="18"/>
          <w:color w:val="auto"/>
        </w:rPr>
      </w:pPr>
    </w:p>
    <w:p>
      <w:pPr>
        <w:ind w:left="-20" w:right="20" w:firstLine="464"/>
        <w:spacing w:after="0" w:line="288" w:lineRule="auto"/>
        <w:tabs>
          <w:tab w:leader="none" w:pos="691"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Except as described in the Registration Statement, the Pricing Disclosure Package and the Prospectus,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74" w:right="239" w:bottom="1440" w:gutter="0" w:footer="0" w:header="0"/>
        </w:sectPr>
      </w:pPr>
    </w:p>
    <w:bookmarkStart w:id="20" w:name="page21"/>
    <w:bookmarkEnd w:id="20"/>
    <w:p>
      <w:pPr>
        <w:ind w:left="-8" w:right="160" w:firstLine="464"/>
        <w:spacing w:after="0" w:line="259" w:lineRule="auto"/>
        <w:tabs>
          <w:tab w:leader="none" w:pos="673"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Notification of Election</w:t>
      </w:r>
      <w:r>
        <w:rPr>
          <w:rFonts w:ascii="Arial" w:cs="Arial" w:eastAsia="Arial" w:hAnsi="Arial"/>
          <w:sz w:val="18"/>
          <w:szCs w:val="18"/>
          <w:color w:val="auto"/>
        </w:rPr>
        <w:t>. When the Notification of Election was filed with the Commission, it (i) contained all statements required to be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left="-8" w:right="40" w:firstLine="464"/>
        <w:spacing w:after="0" w:line="271" w:lineRule="auto"/>
        <w:tabs>
          <w:tab w:leader="none" w:pos="683" w:val="left"/>
        </w:tabs>
        <w:numPr>
          <w:ilvl w:val="1"/>
          <w:numId w:val="25"/>
        </w:numPr>
        <w:rPr>
          <w:rFonts w:ascii="Arial" w:cs="Arial" w:eastAsia="Arial" w:hAnsi="Arial"/>
          <w:sz w:val="17"/>
          <w:szCs w:val="17"/>
          <w:color w:val="auto"/>
        </w:rPr>
      </w:pPr>
      <w:r>
        <w:rPr>
          <w:rFonts w:ascii="Arial" w:cs="Arial" w:eastAsia="Arial" w:hAnsi="Arial"/>
          <w:sz w:val="17"/>
          <w:szCs w:val="17"/>
          <w:i w:val="1"/>
          <w:iCs w:val="1"/>
          <w:color w:val="auto"/>
        </w:rPr>
        <w:t>Election to be Treated as a Business Development Company</w:t>
      </w:r>
      <w:r>
        <w:rPr>
          <w:rFonts w:ascii="Arial" w:cs="Arial" w:eastAsia="Arial" w:hAnsi="Arial"/>
          <w:sz w:val="17"/>
          <w:szCs w:val="17"/>
          <w:color w:val="auto"/>
        </w:rPr>
        <w:t>. (A) The Company has duly elected to be treated by the Commission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each sale of Shares, as of the Closing Date and as of any Additional Closing Date, the operations of the Company are in compliance in all material respects with the provisions of the Investment Company Act applicable to business development companies.</w:t>
      </w:r>
    </w:p>
    <w:p>
      <w:pPr>
        <w:spacing w:after="0" w:line="70" w:lineRule="exact"/>
        <w:rPr>
          <w:rFonts w:ascii="Arial" w:cs="Arial" w:eastAsia="Arial" w:hAnsi="Arial"/>
          <w:sz w:val="17"/>
          <w:szCs w:val="17"/>
          <w:color w:val="auto"/>
        </w:rPr>
      </w:pPr>
    </w:p>
    <w:p>
      <w:pPr>
        <w:ind w:left="-8" w:firstLine="464"/>
        <w:spacing w:after="0" w:line="264" w:lineRule="auto"/>
        <w:tabs>
          <w:tab w:leader="none" w:pos="663"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Independent Accountants</w:t>
      </w:r>
      <w:r>
        <w:rPr>
          <w:rFonts w:ascii="Arial" w:cs="Arial" w:eastAsia="Arial" w:hAnsi="Arial"/>
          <w:sz w:val="18"/>
          <w:szCs w:val="18"/>
          <w:color w:val="auto"/>
        </w:rPr>
        <w:t>. KPMG LLP, who have certified certain financial statements of the Company and its subsidiaries, is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73" w:lineRule="exact"/>
        <w:rPr>
          <w:rFonts w:ascii="Arial" w:cs="Arial" w:eastAsia="Arial" w:hAnsi="Arial"/>
          <w:sz w:val="18"/>
          <w:szCs w:val="18"/>
          <w:color w:val="auto"/>
        </w:rPr>
      </w:pPr>
    </w:p>
    <w:p>
      <w:pPr>
        <w:ind w:left="-8" w:right="60" w:firstLine="464"/>
        <w:spacing w:after="0" w:line="286" w:lineRule="auto"/>
        <w:tabs>
          <w:tab w:leader="none" w:pos="703"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Title to Real and Personal Property</w:t>
      </w:r>
      <w:r>
        <w:rPr>
          <w:rFonts w:ascii="Arial" w:cs="Arial" w:eastAsia="Arial" w:hAnsi="Arial"/>
          <w:sz w:val="16"/>
          <w:szCs w:val="16"/>
          <w:color w:val="auto"/>
        </w:rPr>
        <w:t>. Except as would not reasonably be expected, individually or in the aggregate,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3(v)) that are material to the business of the Company and its subsidiaries, in each case free and clear of all liens, encumbrances, claims and defects and imperfections of title except</w:t>
      </w:r>
    </w:p>
    <w:p>
      <w:pPr>
        <w:spacing w:after="0" w:line="1" w:lineRule="exact"/>
        <w:rPr>
          <w:rFonts w:ascii="Arial" w:cs="Arial" w:eastAsia="Arial" w:hAnsi="Arial"/>
          <w:sz w:val="16"/>
          <w:szCs w:val="16"/>
          <w:color w:val="auto"/>
        </w:rPr>
      </w:pPr>
    </w:p>
    <w:p>
      <w:pPr>
        <w:ind w:left="-8" w:right="180" w:firstLine="8"/>
        <w:spacing w:after="0" w:line="261" w:lineRule="auto"/>
        <w:tabs>
          <w:tab w:leader="none" w:pos="2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75" w:lineRule="exact"/>
        <w:rPr>
          <w:rFonts w:ascii="Arial" w:cs="Arial" w:eastAsia="Arial" w:hAnsi="Arial"/>
          <w:sz w:val="18"/>
          <w:szCs w:val="18"/>
          <w:color w:val="auto"/>
        </w:rPr>
      </w:pPr>
    </w:p>
    <w:p>
      <w:pPr>
        <w:ind w:left="712" w:hanging="256"/>
        <w:spacing w:after="0"/>
        <w:tabs>
          <w:tab w:leader="none" w:pos="712"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Title to Intellectual Property</w:t>
      </w:r>
      <w:r>
        <w:rPr>
          <w:rFonts w:ascii="Arial" w:cs="Arial" w:eastAsia="Arial" w:hAnsi="Arial"/>
          <w:sz w:val="17"/>
          <w:szCs w:val="17"/>
          <w:color w:val="auto"/>
        </w:rPr>
        <w:t>. Except as would not reasonably be expected, individually or in the aggregate, to have a Material Adverse Effect,</w:t>
      </w:r>
    </w:p>
    <w:p>
      <w:pPr>
        <w:spacing w:after="0" w:line="35" w:lineRule="exact"/>
        <w:rPr>
          <w:sz w:val="20"/>
          <w:szCs w:val="20"/>
          <w:color w:val="auto"/>
        </w:rPr>
      </w:pPr>
    </w:p>
    <w:p>
      <w:pPr>
        <w:ind w:left="-8" w:right="20" w:firstLine="8"/>
        <w:spacing w:after="0" w:line="323" w:lineRule="auto"/>
        <w:tabs>
          <w:tab w:leader="none" w:pos="20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w:t>
      </w:r>
    </w:p>
    <w:p>
      <w:pPr>
        <w:spacing w:after="0" w:line="7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74" w:right="259" w:bottom="1440" w:gutter="0" w:footer="0" w:header="0"/>
        </w:sectPr>
      </w:pPr>
    </w:p>
    <w:bookmarkStart w:id="21" w:name="page22"/>
    <w:bookmarkEnd w:id="21"/>
    <w:p>
      <w:pPr>
        <w:ind w:right="2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80" w:lineRule="exact"/>
        <w:rPr>
          <w:sz w:val="20"/>
          <w:szCs w:val="20"/>
          <w:color w:val="auto"/>
        </w:rPr>
      </w:pPr>
    </w:p>
    <w:p>
      <w:pPr>
        <w:jc w:val="both"/>
        <w:ind w:firstLine="464"/>
        <w:spacing w:after="0" w:line="312" w:lineRule="auto"/>
        <w:tabs>
          <w:tab w:leader="none" w:pos="751"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No Undisclosed Relationships</w:t>
      </w:r>
      <w:r>
        <w:rPr>
          <w:rFonts w:ascii="Arial" w:cs="Arial" w:eastAsia="Arial" w:hAnsi="Arial"/>
          <w:sz w:val="16"/>
          <w:szCs w:val="16"/>
          <w:color w:val="auto"/>
        </w:rPr>
        <w:t>. No relationship, direct or indirect, exists between or among the Company or any of its subsidiaries, on the one hand,</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38" w:lineRule="exact"/>
        <w:rPr>
          <w:rFonts w:ascii="Arial" w:cs="Arial" w:eastAsia="Arial" w:hAnsi="Arial"/>
          <w:sz w:val="16"/>
          <w:szCs w:val="16"/>
          <w:color w:val="auto"/>
        </w:rPr>
      </w:pPr>
    </w:p>
    <w:p>
      <w:pPr>
        <w:ind w:firstLine="464"/>
        <w:spacing w:after="0" w:line="276" w:lineRule="auto"/>
        <w:tabs>
          <w:tab w:leader="none" w:pos="711"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Investment Company Act</w:t>
      </w:r>
      <w:r>
        <w:rPr>
          <w:rFonts w:ascii="Arial" w:cs="Arial" w:eastAsia="Arial" w:hAnsi="Arial"/>
          <w:sz w:val="17"/>
          <w:szCs w:val="17"/>
          <w:color w:val="auto"/>
        </w:rPr>
        <w:t>. The Company is not and its subsidiaries are not, and, after giving effect to the offering and sale of the Shares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64" w:lineRule="exact"/>
        <w:rPr>
          <w:rFonts w:ascii="Arial" w:cs="Arial" w:eastAsia="Arial" w:hAnsi="Arial"/>
          <w:sz w:val="17"/>
          <w:szCs w:val="17"/>
          <w:color w:val="auto"/>
        </w:rPr>
      </w:pPr>
    </w:p>
    <w:p>
      <w:pPr>
        <w:ind w:right="40" w:firstLine="464"/>
        <w:spacing w:after="0" w:line="273" w:lineRule="auto"/>
        <w:tabs>
          <w:tab w:leader="none" w:pos="711"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Taxes. </w:t>
      </w:r>
      <w:r>
        <w:rPr>
          <w:rFonts w:ascii="Arial" w:cs="Arial" w:eastAsia="Arial" w:hAnsi="Arial"/>
          <w:sz w:val="17"/>
          <w:szCs w:val="17"/>
          <w:color w:val="auto"/>
        </w:rPr>
        <w:t>The Company and its subsidiaries have paid (or caused to be paid) all federal, state, local and foreign taxes required by law to be paid, and</w:t>
      </w:r>
      <w:r>
        <w:rPr>
          <w:rFonts w:ascii="Arial" w:cs="Arial" w:eastAsia="Arial" w:hAnsi="Arial"/>
          <w:sz w:val="17"/>
          <w:szCs w:val="17"/>
          <w:i w:val="1"/>
          <w:iCs w:val="1"/>
          <w:color w:val="auto"/>
        </w:rPr>
        <w:t xml:space="preserve"> </w:t>
      </w:r>
      <w:r>
        <w:rPr>
          <w:rFonts w:ascii="Arial" w:cs="Arial" w:eastAsia="Arial" w:hAnsi="Arial"/>
          <w:sz w:val="17"/>
          <w:szCs w:val="17"/>
          <w:color w:val="auto"/>
        </w:rPr>
        <w:t>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70" w:lineRule="exact"/>
        <w:rPr>
          <w:rFonts w:ascii="Arial" w:cs="Arial" w:eastAsia="Arial" w:hAnsi="Arial"/>
          <w:sz w:val="17"/>
          <w:szCs w:val="17"/>
          <w:color w:val="auto"/>
        </w:rPr>
      </w:pPr>
    </w:p>
    <w:p>
      <w:pPr>
        <w:ind w:firstLine="464"/>
        <w:spacing w:after="0" w:line="253" w:lineRule="auto"/>
        <w:tabs>
          <w:tab w:leader="none" w:pos="70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Licenses and Permits. </w:t>
      </w:r>
      <w:r>
        <w:rPr>
          <w:rFonts w:ascii="Arial" w:cs="Arial" w:eastAsia="Arial" w:hAnsi="Arial"/>
          <w:sz w:val="18"/>
          <w:szCs w:val="18"/>
          <w:color w:val="auto"/>
        </w:rPr>
        <w:t>The Company and its subsidiaries possess all licenses, certificates, permits and other authorizations issued by, and have made</w:t>
      </w:r>
      <w:r>
        <w:rPr>
          <w:rFonts w:ascii="Arial" w:cs="Arial" w:eastAsia="Arial" w:hAnsi="Arial"/>
          <w:sz w:val="18"/>
          <w:szCs w:val="18"/>
          <w:i w:val="1"/>
          <w:iCs w:val="1"/>
          <w:color w:val="auto"/>
        </w:rPr>
        <w:t xml:space="preserve"> </w:t>
      </w:r>
      <w:r>
        <w:rPr>
          <w:rFonts w:ascii="Arial" w:cs="Arial" w:eastAsia="Arial" w:hAnsi="Arial"/>
          <w:sz w:val="18"/>
          <w:szCs w:val="18"/>
          <w:color w:val="auto"/>
        </w:rPr>
        <w:t>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2" w:name="page23"/>
    <w:bookmarkEnd w:id="22"/>
    <w:p>
      <w:pPr>
        <w:ind w:firstLine="464"/>
        <w:spacing w:after="0" w:line="293" w:lineRule="auto"/>
        <w:tabs>
          <w:tab w:leader="none" w:pos="781"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 Controls</w:t>
      </w:r>
      <w:r>
        <w:rPr>
          <w:rFonts w:ascii="Arial" w:cs="Arial" w:eastAsia="Arial" w:hAnsi="Arial"/>
          <w:sz w:val="16"/>
          <w:szCs w:val="16"/>
          <w:color w:val="auto"/>
        </w:rPr>
        <w:t>. The Company maintains an effective system of “disclosure controls and procedures” (as defined in Rule 13a-15(e)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Exchange Act of 1934, as amended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56" w:lineRule="exact"/>
        <w:rPr>
          <w:rFonts w:ascii="Arial" w:cs="Arial" w:eastAsia="Arial" w:hAnsi="Arial"/>
          <w:sz w:val="16"/>
          <w:szCs w:val="16"/>
          <w:color w:val="auto"/>
        </w:rPr>
      </w:pPr>
    </w:p>
    <w:p>
      <w:pPr>
        <w:ind w:firstLine="464"/>
        <w:spacing w:after="0" w:line="286" w:lineRule="auto"/>
        <w:tabs>
          <w:tab w:leader="none" w:pos="801"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maintains a system of “internal control over financial reporting” (as defined in Rule 13a-15(f)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276" w:lineRule="exact"/>
        <w:rPr>
          <w:rFonts w:ascii="Arial" w:cs="Arial" w:eastAsia="Arial" w:hAnsi="Arial"/>
          <w:sz w:val="16"/>
          <w:szCs w:val="16"/>
          <w:color w:val="auto"/>
        </w:rPr>
      </w:pPr>
    </w:p>
    <w:p>
      <w:pPr>
        <w:jc w:val="both"/>
        <w:ind w:right="80" w:firstLine="464"/>
        <w:spacing w:after="0" w:line="279" w:lineRule="auto"/>
        <w:tabs>
          <w:tab w:leader="none" w:pos="781"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Insurance. </w:t>
      </w:r>
      <w:r>
        <w:rPr>
          <w:rFonts w:ascii="Arial" w:cs="Arial" w:eastAsia="Arial" w:hAnsi="Arial"/>
          <w:sz w:val="17"/>
          <w:szCs w:val="17"/>
          <w:color w:val="auto"/>
        </w:rPr>
        <w:t>The Company and its subsidiaries have insurance covering their respective properties, operations, personnel and businesses,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3" w:name="page24"/>
    <w:bookmarkEnd w:id="23"/>
    <w:p>
      <w:pPr>
        <w:jc w:val="both"/>
        <w:ind w:right="5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57" w:lineRule="exact"/>
        <w:rPr>
          <w:sz w:val="20"/>
          <w:szCs w:val="20"/>
          <w:color w:val="auto"/>
        </w:rPr>
      </w:pPr>
    </w:p>
    <w:p>
      <w:pPr>
        <w:ind w:right="40" w:firstLine="464"/>
        <w:spacing w:after="0" w:line="269" w:lineRule="auto"/>
        <w:tabs>
          <w:tab w:leader="none" w:pos="801"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Neither the Company nor any of its subsidiaries nor any director, officer, or employee of the Company or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71" w:lineRule="exact"/>
        <w:rPr>
          <w:rFonts w:ascii="Arial" w:cs="Arial" w:eastAsia="Arial" w:hAnsi="Arial"/>
          <w:sz w:val="17"/>
          <w:szCs w:val="17"/>
          <w:color w:val="auto"/>
        </w:rPr>
      </w:pPr>
    </w:p>
    <w:p>
      <w:pPr>
        <w:ind w:firstLine="464"/>
        <w:spacing w:after="0" w:line="272" w:lineRule="auto"/>
        <w:tabs>
          <w:tab w:leader="none" w:pos="781"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Compliance with Money Laundering Laws</w:t>
      </w:r>
      <w:r>
        <w:rPr>
          <w:rFonts w:ascii="Arial" w:cs="Arial" w:eastAsia="Arial" w:hAnsi="Arial"/>
          <w:sz w:val="17"/>
          <w:szCs w:val="17"/>
          <w:color w:val="auto"/>
        </w:rPr>
        <w:t>. The operations of the Company and its subsidiaries are and have been conducted at all times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69" w:lineRule="exact"/>
        <w:rPr>
          <w:rFonts w:ascii="Arial" w:cs="Arial" w:eastAsia="Arial" w:hAnsi="Arial"/>
          <w:sz w:val="17"/>
          <w:szCs w:val="17"/>
          <w:color w:val="auto"/>
        </w:rPr>
      </w:pPr>
    </w:p>
    <w:p>
      <w:pPr>
        <w:ind w:right="40" w:firstLine="464"/>
        <w:spacing w:after="0" w:line="257" w:lineRule="auto"/>
        <w:tabs>
          <w:tab w:leader="none" w:pos="738"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No Conflicts with Sanctions Laws. </w:t>
      </w:r>
      <w:r>
        <w:rPr>
          <w:rFonts w:ascii="Arial" w:cs="Arial" w:eastAsia="Arial" w:hAnsi="Arial"/>
          <w:sz w:val="18"/>
          <w:szCs w:val="18"/>
          <w:color w:val="auto"/>
        </w:rPr>
        <w:t>Neither the Company nor any of its subsidiaries, directors, officers or employees, nor,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4" w:name="page25"/>
    <w:bookmarkEnd w:id="2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Council (“UNSC”), the European Union, Her Majesty’s Treasury (“HMT”),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Crimea, Cuba, Iran, North Korea and Syria, that broadly prohibit dealings with that country or territory (each, a “Sanctioned Territory”); and the Company will not directly or indirectly use the proceeds of the offering of the Shares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70" w:lineRule="exact"/>
        <w:rPr>
          <w:sz w:val="20"/>
          <w:szCs w:val="20"/>
          <w:color w:val="auto"/>
        </w:rPr>
      </w:pPr>
    </w:p>
    <w:p>
      <w:pPr>
        <w:ind w:right="100" w:firstLine="464"/>
        <w:spacing w:after="0" w:line="257" w:lineRule="auto"/>
        <w:tabs>
          <w:tab w:leader="none" w:pos="80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No subsidiary of the Company is currently prohibited, directly or indirectly, under any agreement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80" w:lineRule="exact"/>
        <w:rPr>
          <w:rFonts w:ascii="Arial" w:cs="Arial" w:eastAsia="Arial" w:hAnsi="Arial"/>
          <w:sz w:val="18"/>
          <w:szCs w:val="18"/>
          <w:color w:val="auto"/>
        </w:rPr>
      </w:pPr>
    </w:p>
    <w:p>
      <w:pPr>
        <w:ind w:right="220" w:firstLine="464"/>
        <w:spacing w:after="0" w:line="264" w:lineRule="auto"/>
        <w:tabs>
          <w:tab w:leader="none" w:pos="80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 person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this Agreement) that would give rise to a valid claim against the Company or any of its subsidiaries or any Underwriter for a brokerage commission, finder’s fee or like payment in connection with the offering and sale of the Shares.</w:t>
      </w:r>
    </w:p>
    <w:p>
      <w:pPr>
        <w:spacing w:after="0" w:line="73" w:lineRule="exact"/>
        <w:rPr>
          <w:rFonts w:ascii="Arial" w:cs="Arial" w:eastAsia="Arial" w:hAnsi="Arial"/>
          <w:sz w:val="18"/>
          <w:szCs w:val="18"/>
          <w:color w:val="auto"/>
        </w:rPr>
      </w:pPr>
    </w:p>
    <w:p>
      <w:pPr>
        <w:ind w:right="600" w:firstLine="464"/>
        <w:spacing w:after="0" w:line="308" w:lineRule="auto"/>
        <w:tabs>
          <w:tab w:leader="none" w:pos="721"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No Registration Rights</w:t>
      </w:r>
      <w:r>
        <w:rPr>
          <w:rFonts w:ascii="Arial" w:cs="Arial" w:eastAsia="Arial" w:hAnsi="Arial"/>
          <w:sz w:val="17"/>
          <w:szCs w:val="17"/>
          <w:color w:val="auto"/>
        </w:rPr>
        <w:t>. No person has the right to require the Company or any of its subsidiaries to register any securities for sale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by reason of the filing of the Registration Statement with the Commission or the issuance and sale of the Shares.</w:t>
      </w:r>
    </w:p>
    <w:p>
      <w:pPr>
        <w:spacing w:after="0" w:line="38" w:lineRule="exact"/>
        <w:rPr>
          <w:rFonts w:ascii="Arial" w:cs="Arial" w:eastAsia="Arial" w:hAnsi="Arial"/>
          <w:sz w:val="17"/>
          <w:szCs w:val="17"/>
          <w:color w:val="auto"/>
        </w:rPr>
      </w:pPr>
    </w:p>
    <w:p>
      <w:pPr>
        <w:jc w:val="both"/>
        <w:ind w:right="20" w:firstLine="464"/>
        <w:spacing w:after="0" w:line="286" w:lineRule="auto"/>
        <w:tabs>
          <w:tab w:leader="none" w:pos="721"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Except permitted activity pursuant to Regulation M and Rule 10b-18 under the Exchange Act, and as set forth in Section 4(q)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the Adviser, the Company has not taken, directly or indirectly, without giving effect to any activities by the Underwriters, any action designed to or that would reasonably be expected to cause or result in any stabilization or manipulation of the price of the Shares.</w:t>
      </w:r>
    </w:p>
    <w:p>
      <w:pPr>
        <w:spacing w:after="0" w:line="57" w:lineRule="exact"/>
        <w:rPr>
          <w:rFonts w:ascii="Arial" w:cs="Arial" w:eastAsia="Arial" w:hAnsi="Arial"/>
          <w:sz w:val="17"/>
          <w:szCs w:val="17"/>
          <w:color w:val="auto"/>
        </w:rPr>
      </w:pPr>
    </w:p>
    <w:p>
      <w:pPr>
        <w:ind w:right="180" w:firstLine="464"/>
        <w:spacing w:after="0" w:line="264" w:lineRule="auto"/>
        <w:tabs>
          <w:tab w:leader="none" w:pos="80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contained in the Registration Statement, the Pricing Disclosure Package or the Prospectus has been made or reaffirmed without a reasonable basis or has been disclosed other than in good faith.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5" w:name="page26"/>
    <w:bookmarkEnd w:id="25"/>
    <w:p>
      <w:pPr>
        <w:ind w:left="-20" w:right="20" w:firstLine="464"/>
        <w:spacing w:after="0" w:line="264" w:lineRule="auto"/>
        <w:tabs>
          <w:tab w:leader="none" w:pos="701"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Statistical and Market Data. </w:t>
      </w:r>
      <w:r>
        <w:rPr>
          <w:rFonts w:ascii="Arial" w:cs="Arial" w:eastAsia="Arial" w:hAnsi="Arial"/>
          <w:sz w:val="18"/>
          <w:szCs w:val="18"/>
          <w:color w:val="auto"/>
        </w:rPr>
        <w:t>Nothing has come to the attention of the Company that has caused the Company to believe that the statistical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market-related data included in the Registration Statement, the Pricing Disclosure Package and the Prospectus is not based on or derived from sources that are reasonably reliable and accurate in all material respects.</w:t>
      </w:r>
    </w:p>
    <w:p>
      <w:pPr>
        <w:spacing w:after="0" w:line="73" w:lineRule="exact"/>
        <w:rPr>
          <w:rFonts w:ascii="Arial" w:cs="Arial" w:eastAsia="Arial" w:hAnsi="Arial"/>
          <w:sz w:val="18"/>
          <w:szCs w:val="18"/>
          <w:color w:val="auto"/>
        </w:rPr>
      </w:pPr>
    </w:p>
    <w:p>
      <w:pPr>
        <w:ind w:left="-20" w:right="280" w:firstLine="464"/>
        <w:spacing w:after="0" w:line="259" w:lineRule="auto"/>
        <w:tabs>
          <w:tab w:leader="none" w:pos="881"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There is and has been no failure on the part of the Company or, to the knowledge of the Company, any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78" w:lineRule="exact"/>
        <w:rPr>
          <w:rFonts w:ascii="Arial" w:cs="Arial" w:eastAsia="Arial" w:hAnsi="Arial"/>
          <w:sz w:val="18"/>
          <w:szCs w:val="18"/>
          <w:color w:val="auto"/>
        </w:rPr>
      </w:pPr>
    </w:p>
    <w:p>
      <w:pPr>
        <w:ind w:left="-20" w:right="140" w:firstLine="464"/>
        <w:spacing w:after="0" w:line="286" w:lineRule="auto"/>
        <w:tabs>
          <w:tab w:leader="none" w:pos="781"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Rule 38a-1 Compliance</w:t>
      </w:r>
      <w:r>
        <w:rPr>
          <w:rFonts w:ascii="Arial" w:cs="Arial" w:eastAsia="Arial" w:hAnsi="Arial"/>
          <w:sz w:val="17"/>
          <w:szCs w:val="17"/>
          <w:color w:val="auto"/>
        </w:rPr>
        <w:t>. The Company has adopted and implemented written policies and procedures reasonably designed to prevent violation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57" w:lineRule="exact"/>
        <w:rPr>
          <w:rFonts w:ascii="Arial" w:cs="Arial" w:eastAsia="Arial" w:hAnsi="Arial"/>
          <w:sz w:val="17"/>
          <w:szCs w:val="17"/>
          <w:color w:val="auto"/>
        </w:rPr>
      </w:pPr>
    </w:p>
    <w:p>
      <w:pPr>
        <w:ind w:left="-20" w:firstLine="464"/>
        <w:spacing w:after="0" w:line="312" w:lineRule="auto"/>
        <w:tabs>
          <w:tab w:leader="none" w:pos="781"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Regulated Investment Company</w:t>
      </w:r>
      <w:r>
        <w:rPr>
          <w:rFonts w:ascii="Arial" w:cs="Arial" w:eastAsia="Arial" w:hAnsi="Arial"/>
          <w:sz w:val="16"/>
          <w:szCs w:val="16"/>
          <w:color w:val="auto"/>
        </w:rPr>
        <w:t>. The Company has elected to be treated, and has operated, and intends to continue to operate, its business in such a</w:t>
      </w:r>
      <w:r>
        <w:rPr>
          <w:rFonts w:ascii="Arial" w:cs="Arial" w:eastAsia="Arial" w:hAnsi="Arial"/>
          <w:sz w:val="16"/>
          <w:szCs w:val="16"/>
          <w:i w:val="1"/>
          <w:iCs w:val="1"/>
          <w:color w:val="auto"/>
        </w:rPr>
        <w:t xml:space="preserve"> </w:t>
      </w:r>
      <w:r>
        <w:rPr>
          <w:rFonts w:ascii="Arial" w:cs="Arial" w:eastAsia="Arial" w:hAnsi="Arial"/>
          <w:sz w:val="16"/>
          <w:szCs w:val="16"/>
          <w:color w:val="auto"/>
        </w:rPr>
        <w:t>manner so as to enable the Company to continue to qualify as a regulated investment company under Subchapter M of the Code. The Company intends to direct the investment of the proceeds of the offering of the Shares in such a manner as to comply with the requirements of Subchapter M of the Code.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Representations and Warranties of the Adviser</w:t>
      </w:r>
      <w:r>
        <w:rPr>
          <w:rFonts w:ascii="Arial" w:cs="Arial" w:eastAsia="Arial" w:hAnsi="Arial"/>
          <w:sz w:val="18"/>
          <w:szCs w:val="18"/>
          <w:color w:val="auto"/>
        </w:rPr>
        <w:t>. The Adviser represents and warrants to, and agrees with, each Underwriter that:</w:t>
      </w:r>
    </w:p>
    <w:p>
      <w:pPr>
        <w:spacing w:after="0" w:line="117" w:lineRule="exact"/>
        <w:rPr>
          <w:sz w:val="20"/>
          <w:szCs w:val="20"/>
          <w:color w:val="auto"/>
        </w:rPr>
      </w:pPr>
    </w:p>
    <w:p>
      <w:pPr>
        <w:ind w:left="-20" w:right="160" w:firstLine="464"/>
        <w:spacing w:after="0" w:line="291" w:lineRule="auto"/>
        <w:tabs>
          <w:tab w:leader="none" w:pos="681"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most recent financial statements of the Company included in the Registration Statement, the Pricing Disclosure Package and the Prospectus, (i)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59" w:lineRule="exact"/>
        <w:rPr>
          <w:rFonts w:ascii="Arial" w:cs="Arial" w:eastAsia="Arial" w:hAnsi="Arial"/>
          <w:sz w:val="16"/>
          <w:szCs w:val="16"/>
          <w:color w:val="auto"/>
        </w:rPr>
      </w:pPr>
    </w:p>
    <w:p>
      <w:pPr>
        <w:ind w:left="-20" w:right="60" w:firstLine="464"/>
        <w:spacing w:after="0" w:line="257" w:lineRule="auto"/>
        <w:tabs>
          <w:tab w:leader="none" w:pos="691"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and Good Standing. </w:t>
      </w:r>
      <w:r>
        <w:rPr>
          <w:rFonts w:ascii="Arial" w:cs="Arial" w:eastAsia="Arial" w:hAnsi="Arial"/>
          <w:sz w:val="18"/>
          <w:szCs w:val="18"/>
          <w:color w:val="auto"/>
        </w:rPr>
        <w:t>The Adviser and each of its subsidiaries have been duly organized and are validly existing and in good 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74" w:right="239" w:bottom="1440" w:gutter="0" w:footer="0" w:header="0"/>
        </w:sectPr>
      </w:pPr>
    </w:p>
    <w:bookmarkStart w:id="26" w:name="page27"/>
    <w:bookmarkEnd w:id="2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79" w:lineRule="exact"/>
        <w:rPr>
          <w:sz w:val="20"/>
          <w:szCs w:val="20"/>
          <w:color w:val="auto"/>
        </w:rPr>
      </w:pPr>
    </w:p>
    <w:p>
      <w:pPr>
        <w:ind w:right="20" w:firstLine="464"/>
        <w:spacing w:after="0" w:line="276" w:lineRule="auto"/>
        <w:tabs>
          <w:tab w:leader="none" w:pos="701"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Registration as an Investment Adviser</w:t>
      </w:r>
      <w:r>
        <w:rPr>
          <w:rFonts w:ascii="Arial" w:cs="Arial" w:eastAsia="Arial" w:hAnsi="Arial"/>
          <w:sz w:val="17"/>
          <w:szCs w:val="17"/>
          <w:color w:val="auto"/>
        </w:rPr>
        <w:t>. The Adviser is duly registered with the Commission as an investment adviser under the Advisers Act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64" w:lineRule="exact"/>
        <w:rPr>
          <w:rFonts w:ascii="Arial" w:cs="Arial" w:eastAsia="Arial" w:hAnsi="Arial"/>
          <w:sz w:val="17"/>
          <w:szCs w:val="17"/>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Adviser.</w:t>
      </w:r>
    </w:p>
    <w:p>
      <w:pPr>
        <w:spacing w:after="0" w:line="117" w:lineRule="exact"/>
        <w:rPr>
          <w:rFonts w:ascii="Arial" w:cs="Arial" w:eastAsia="Arial" w:hAnsi="Arial"/>
          <w:sz w:val="18"/>
          <w:szCs w:val="18"/>
          <w:color w:val="auto"/>
        </w:rPr>
      </w:pPr>
    </w:p>
    <w:p>
      <w:pPr>
        <w:ind w:firstLine="464"/>
        <w:spacing w:after="0" w:line="259" w:lineRule="auto"/>
        <w:tabs>
          <w:tab w:leader="none" w:pos="70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Investment Management Agreement and the Administration Agreement. </w:t>
      </w:r>
      <w:r>
        <w:rPr>
          <w:rFonts w:ascii="Arial" w:cs="Arial" w:eastAsia="Arial" w:hAnsi="Arial"/>
          <w:sz w:val="18"/>
          <w:szCs w:val="18"/>
          <w:color w:val="auto"/>
        </w:rPr>
        <w:t>The Investment Management Agreement and the Administration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78" w:lineRule="exact"/>
        <w:rPr>
          <w:rFonts w:ascii="Arial" w:cs="Arial" w:eastAsia="Arial" w:hAnsi="Arial"/>
          <w:sz w:val="18"/>
          <w:szCs w:val="18"/>
          <w:color w:val="auto"/>
        </w:rPr>
      </w:pPr>
    </w:p>
    <w:p>
      <w:pPr>
        <w:ind w:right="60" w:firstLine="464"/>
        <w:spacing w:after="0" w:line="254" w:lineRule="auto"/>
        <w:tabs>
          <w:tab w:leader="none" w:pos="68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Adviser nor any of its subsidiaries is (i) in violation of its charter or by-laws or similar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84" w:lineRule="exact"/>
        <w:rPr>
          <w:rFonts w:ascii="Arial" w:cs="Arial" w:eastAsia="Arial" w:hAnsi="Arial"/>
          <w:sz w:val="18"/>
          <w:szCs w:val="18"/>
          <w:color w:val="auto"/>
        </w:rPr>
      </w:pPr>
    </w:p>
    <w:p>
      <w:pPr>
        <w:ind w:right="100" w:firstLine="464"/>
        <w:spacing w:after="0" w:line="297" w:lineRule="auto"/>
        <w:tabs>
          <w:tab w:leader="none" w:pos="711"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Adviser of this Agreement and the performance by the Adviser of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7" w:name="page28"/>
    <w:bookmarkEnd w:id="27"/>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80" w:lineRule="exact"/>
        <w:rPr>
          <w:sz w:val="20"/>
          <w:szCs w:val="20"/>
          <w:color w:val="auto"/>
        </w:rPr>
      </w:pPr>
    </w:p>
    <w:p>
      <w:pPr>
        <w:ind w:right="380" w:firstLine="464"/>
        <w:spacing w:after="0" w:line="255" w:lineRule="auto"/>
        <w:tabs>
          <w:tab w:leader="none" w:pos="711"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No Consents Required. </w:t>
      </w:r>
      <w:r>
        <w:rPr>
          <w:rFonts w:ascii="Arial" w:cs="Arial" w:eastAsia="Arial" w:hAnsi="Arial"/>
          <w:sz w:val="18"/>
          <w:szCs w:val="18"/>
          <w:color w:val="auto"/>
        </w:rPr>
        <w:t>No consent, approval, authorization, order, license, registration or qualification of or with any court or arbitrator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85" w:lineRule="exact"/>
        <w:rPr>
          <w:rFonts w:ascii="Arial" w:cs="Arial" w:eastAsia="Arial" w:hAnsi="Arial"/>
          <w:sz w:val="18"/>
          <w:szCs w:val="18"/>
          <w:color w:val="auto"/>
        </w:rPr>
      </w:pPr>
    </w:p>
    <w:p>
      <w:pPr>
        <w:ind w:firstLine="464"/>
        <w:spacing w:after="0" w:line="289" w:lineRule="auto"/>
        <w:tabs>
          <w:tab w:leader="none" w:pos="671"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Except as described in the Registration Statement, the Pricing Disclosure Package and the Prospectus,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58" w:lineRule="exact"/>
        <w:rPr>
          <w:rFonts w:ascii="Arial" w:cs="Arial" w:eastAsia="Arial" w:hAnsi="Arial"/>
          <w:sz w:val="16"/>
          <w:szCs w:val="16"/>
          <w:color w:val="auto"/>
        </w:rPr>
      </w:pPr>
    </w:p>
    <w:p>
      <w:pPr>
        <w:ind w:right="40" w:firstLine="464"/>
        <w:spacing w:after="0" w:line="270" w:lineRule="auto"/>
        <w:tabs>
          <w:tab w:leader="none" w:pos="671"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Adviser and its subsidiaries possess all licenses, certificates, permits and other authorizations issued by, and have made</w:t>
      </w:r>
      <w:r>
        <w:rPr>
          <w:rFonts w:ascii="Arial" w:cs="Arial" w:eastAsia="Arial" w:hAnsi="Arial"/>
          <w:sz w:val="17"/>
          <w:szCs w:val="17"/>
          <w:i w:val="1"/>
          <w:iCs w:val="1"/>
          <w:color w:val="auto"/>
        </w:rPr>
        <w:t xml:space="preserve"> </w:t>
      </w:r>
      <w:r>
        <w:rPr>
          <w:rFonts w:ascii="Arial" w:cs="Arial" w:eastAsia="Arial" w:hAnsi="Arial"/>
          <w:sz w:val="17"/>
          <w:szCs w:val="17"/>
          <w:color w:val="auto"/>
        </w:rPr>
        <w:t>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8" w:name="page29"/>
    <w:bookmarkEnd w:id="28"/>
    <w:p>
      <w:pPr>
        <w:ind w:left="-8" w:right="160" w:firstLine="464"/>
        <w:spacing w:after="0" w:line="286" w:lineRule="auto"/>
        <w:tabs>
          <w:tab w:leader="none" w:pos="703"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the Adviser</w:t>
      </w:r>
      <w:r>
        <w:rPr>
          <w:rFonts w:ascii="Arial" w:cs="Arial" w:eastAsia="Arial" w:hAnsi="Arial"/>
          <w:sz w:val="17"/>
          <w:szCs w:val="17"/>
          <w:color w:val="auto"/>
        </w:rPr>
        <w:t>. The description of the Adviser and its respective principals and business in the Registration Statement,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57" w:lineRule="exact"/>
        <w:rPr>
          <w:rFonts w:ascii="Arial" w:cs="Arial" w:eastAsia="Arial" w:hAnsi="Arial"/>
          <w:sz w:val="17"/>
          <w:szCs w:val="17"/>
          <w:color w:val="auto"/>
        </w:rPr>
      </w:pPr>
    </w:p>
    <w:p>
      <w:pPr>
        <w:ind w:left="-8" w:right="160" w:firstLine="464"/>
        <w:spacing w:after="0" w:line="264" w:lineRule="auto"/>
        <w:tabs>
          <w:tab w:leader="none" w:pos="663"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Financial Resources</w:t>
      </w:r>
      <w:r>
        <w:rPr>
          <w:rFonts w:ascii="Arial" w:cs="Arial" w:eastAsia="Arial" w:hAnsi="Arial"/>
          <w:sz w:val="18"/>
          <w:szCs w:val="18"/>
          <w:color w:val="auto"/>
        </w:rPr>
        <w:t>. The Adviser has the financial resources available to it necessary for the performance of its services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in the Pricing Disclosure Package, the Prospectus, and under this Agreement, the Investment Management Agreement and the Administration Agreement.</w:t>
      </w:r>
    </w:p>
    <w:p>
      <w:pPr>
        <w:spacing w:after="0" w:line="73" w:lineRule="exact"/>
        <w:rPr>
          <w:rFonts w:ascii="Arial" w:cs="Arial" w:eastAsia="Arial" w:hAnsi="Arial"/>
          <w:sz w:val="18"/>
          <w:szCs w:val="18"/>
          <w:color w:val="auto"/>
        </w:rPr>
      </w:pPr>
    </w:p>
    <w:p>
      <w:pPr>
        <w:ind w:left="-8" w:right="20" w:firstLine="464"/>
        <w:spacing w:after="0" w:line="291" w:lineRule="auto"/>
        <w:tabs>
          <w:tab w:leader="none" w:pos="753"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Internal Controls</w:t>
      </w:r>
      <w:r>
        <w:rPr>
          <w:rFonts w:ascii="Arial" w:cs="Arial" w:eastAsia="Arial" w:hAnsi="Arial"/>
          <w:sz w:val="16"/>
          <w:szCs w:val="16"/>
          <w:color w:val="auto"/>
        </w:rPr>
        <w:t>. The Adviser maintains a system of internal accounting controls sufficient to provide reasonable assurance that (i)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w:t>
      </w:r>
    </w:p>
    <w:p>
      <w:pPr>
        <w:spacing w:after="0" w:line="59" w:lineRule="exact"/>
        <w:rPr>
          <w:rFonts w:ascii="Arial" w:cs="Arial" w:eastAsia="Arial" w:hAnsi="Arial"/>
          <w:sz w:val="16"/>
          <w:szCs w:val="16"/>
          <w:color w:val="auto"/>
        </w:rPr>
      </w:pPr>
    </w:p>
    <w:p>
      <w:pPr>
        <w:ind w:left="-8" w:firstLine="464"/>
        <w:spacing w:after="0" w:line="291" w:lineRule="auto"/>
        <w:tabs>
          <w:tab w:leader="none" w:pos="703"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No Unlawful Payments. </w:t>
      </w:r>
      <w:r>
        <w:rPr>
          <w:rFonts w:ascii="Arial" w:cs="Arial" w:eastAsia="Arial" w:hAnsi="Arial"/>
          <w:sz w:val="16"/>
          <w:szCs w:val="16"/>
          <w:color w:val="auto"/>
        </w:rPr>
        <w:t>Neither the Adviser nor any of its subsidiaries nor any director, officer, or employee of the Adviser or any of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nor, to the knowledge of the Adviser, any agent, affiliate or other person associated with or acting on behalf of the Adviser or any of its subsidiaries has</w:t>
      </w:r>
    </w:p>
    <w:p>
      <w:pPr>
        <w:ind w:left="-8" w:right="20" w:firstLine="8"/>
        <w:spacing w:after="0" w:line="252" w:lineRule="auto"/>
        <w:tabs>
          <w:tab w:leader="none" w:pos="2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74" w:right="259" w:bottom="1440" w:gutter="0" w:footer="0" w:header="0"/>
        </w:sectPr>
      </w:pPr>
    </w:p>
    <w:bookmarkStart w:id="29" w:name="page30"/>
    <w:bookmarkEnd w:id="29"/>
    <w:p>
      <w:pPr>
        <w:ind w:left="-20" w:firstLine="464"/>
        <w:spacing w:after="0" w:line="276" w:lineRule="auto"/>
        <w:tabs>
          <w:tab w:leader="none" w:pos="691"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Money Laundering Laws</w:t>
      </w:r>
      <w:r>
        <w:rPr>
          <w:rFonts w:ascii="Arial" w:cs="Arial" w:eastAsia="Arial" w:hAnsi="Arial"/>
          <w:sz w:val="17"/>
          <w:szCs w:val="17"/>
          <w:color w:val="auto"/>
        </w:rPr>
        <w:t>. The operations of the Adviser and its subsidiaries are and have been conducted at all times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64" w:lineRule="exact"/>
        <w:rPr>
          <w:rFonts w:ascii="Arial" w:cs="Arial" w:eastAsia="Arial" w:hAnsi="Arial"/>
          <w:sz w:val="17"/>
          <w:szCs w:val="17"/>
          <w:color w:val="auto"/>
        </w:rPr>
      </w:pPr>
    </w:p>
    <w:p>
      <w:pPr>
        <w:ind w:left="-20" w:right="40" w:firstLine="464"/>
        <w:spacing w:after="0" w:line="276" w:lineRule="auto"/>
        <w:tabs>
          <w:tab w:leader="none" w:pos="691"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Adviser nor any of its subsidiaries, directors, officers or employees, nor, to the knowledge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Adviser, any agent, or affiliate or other person associated with or acting on behalf of the Adviser or any of its subsidiaries is currently the subject or the target of any Sanctions, nor is the Adviser, any of its subsidiaries 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64" w:lineRule="exact"/>
        <w:rPr>
          <w:rFonts w:ascii="Arial" w:cs="Arial" w:eastAsia="Arial" w:hAnsi="Arial"/>
          <w:sz w:val="17"/>
          <w:szCs w:val="17"/>
          <w:color w:val="auto"/>
        </w:rPr>
      </w:pPr>
    </w:p>
    <w:p>
      <w:pPr>
        <w:jc w:val="both"/>
        <w:ind w:left="-20" w:firstLine="464"/>
        <w:spacing w:after="0" w:line="264" w:lineRule="auto"/>
        <w:tabs>
          <w:tab w:leader="none" w:pos="691"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Adviser has not taken, directly or indirectly, without giving effect to any activities by the Underwriters, any action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or that would reasonably be expected to cause or result in any stabilization or manipulation of the price of the Shares, other than permitted activity pursuant to Regulation M and Rule 10b-18 under the Exchange Act.</w:t>
      </w:r>
    </w:p>
    <w:p>
      <w:pPr>
        <w:spacing w:after="0" w:line="73" w:lineRule="exact"/>
        <w:rPr>
          <w:rFonts w:ascii="Arial" w:cs="Arial" w:eastAsia="Arial" w:hAnsi="Arial"/>
          <w:sz w:val="18"/>
          <w:szCs w:val="18"/>
          <w:color w:val="auto"/>
        </w:rPr>
      </w:pPr>
    </w:p>
    <w:p>
      <w:pPr>
        <w:jc w:val="both"/>
        <w:ind w:left="-20" w:right="420" w:firstLine="464"/>
        <w:spacing w:after="0" w:line="279" w:lineRule="auto"/>
        <w:tabs>
          <w:tab w:leader="none" w:pos="661"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Key Employees. </w:t>
      </w:r>
      <w:r>
        <w:rPr>
          <w:rFonts w:ascii="Arial" w:cs="Arial" w:eastAsia="Arial" w:hAnsi="Arial"/>
          <w:sz w:val="17"/>
          <w:szCs w:val="17"/>
          <w:color w:val="auto"/>
        </w:rPr>
        <w:t>The Adviser is not aware that (i) any of its executives, key employees or significant group of employees plans to terminate</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63" w:lineRule="exact"/>
        <w:rPr>
          <w:rFonts w:ascii="Arial" w:cs="Arial" w:eastAsia="Arial" w:hAnsi="Arial"/>
          <w:sz w:val="17"/>
          <w:szCs w:val="17"/>
          <w:color w:val="auto"/>
        </w:rPr>
      </w:pPr>
    </w:p>
    <w:p>
      <w:pPr>
        <w:ind w:left="-20" w:right="120" w:firstLine="464"/>
        <w:spacing w:after="0" w:line="259" w:lineRule="auto"/>
        <w:tabs>
          <w:tab w:leader="none" w:pos="671"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Adviser or any of its subsidiaries exists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117" w:lineRule="exact"/>
        <w:rPr>
          <w:sz w:val="20"/>
          <w:szCs w:val="20"/>
          <w:color w:val="auto"/>
        </w:rPr>
      </w:pPr>
    </w:p>
    <w:p>
      <w:pPr>
        <w:ind w:left="-20" w:right="160" w:firstLine="464"/>
        <w:spacing w:after="0" w:line="272" w:lineRule="auto"/>
        <w:tabs>
          <w:tab w:leader="none" w:pos="681"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Required Filings. </w:t>
      </w:r>
      <w:r>
        <w:rPr>
          <w:rFonts w:ascii="Arial" w:cs="Arial" w:eastAsia="Arial" w:hAnsi="Arial"/>
          <w:sz w:val="17"/>
          <w:szCs w:val="17"/>
          <w:color w:val="auto"/>
        </w:rPr>
        <w:t>The Company will file the final Prospectus with the Commission within the time periods specified by Rule 497 and Rule 430C</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 may reasonably request.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74" w:right="259" w:bottom="1440" w:gutter="0" w:footer="0" w:header="0"/>
        </w:sectPr>
      </w:pPr>
    </w:p>
    <w:bookmarkStart w:id="30" w:name="page31"/>
    <w:bookmarkEnd w:id="30"/>
    <w:p>
      <w:pPr>
        <w:ind w:left="-20" w:firstLine="464"/>
        <w:spacing w:after="0" w:line="273" w:lineRule="auto"/>
        <w:tabs>
          <w:tab w:leader="none" w:pos="691"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Delivery of Copies. </w:t>
      </w:r>
      <w:r>
        <w:rPr>
          <w:rFonts w:ascii="Arial" w:cs="Arial" w:eastAsia="Arial" w:hAnsi="Arial"/>
          <w:sz w:val="17"/>
          <w:szCs w:val="17"/>
          <w:color w:val="auto"/>
        </w:rPr>
        <w:t>The Company will deliver, without charge, (i) to the Representative, electronic signed copies of the Registration Statement as</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as the Representative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in connection with sales of the Shares by any Underwriter or dealer.</w:t>
      </w:r>
    </w:p>
    <w:p>
      <w:pPr>
        <w:spacing w:after="0" w:line="70" w:lineRule="exact"/>
        <w:rPr>
          <w:rFonts w:ascii="Arial" w:cs="Arial" w:eastAsia="Arial" w:hAnsi="Arial"/>
          <w:sz w:val="17"/>
          <w:szCs w:val="17"/>
          <w:color w:val="auto"/>
        </w:rPr>
      </w:pPr>
    </w:p>
    <w:p>
      <w:pPr>
        <w:jc w:val="both"/>
        <w:ind w:left="-20" w:right="680" w:firstLine="464"/>
        <w:spacing w:after="0" w:line="259" w:lineRule="auto"/>
        <w:tabs>
          <w:tab w:leader="none" w:pos="68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w:t>
      </w:r>
      <w:r>
        <w:rPr>
          <w:rFonts w:ascii="Arial" w:cs="Arial" w:eastAsia="Arial" w:hAnsi="Arial"/>
          <w:sz w:val="18"/>
          <w:szCs w:val="18"/>
          <w:color w:val="auto"/>
        </w:rPr>
        <w:t>Before using, authorizing, approving, referring to or filing any amendment or supplement to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or the Prospectus, the Company will furnish to the Representative and counsel for the Underwriters a copy of the proposed amendment or supplement for review and will not use, authorize, approve, refer to or file any such proposed amendment or supplement to which the Representative reasonably objects in a timely manner.</w:t>
      </w:r>
    </w:p>
    <w:p>
      <w:pPr>
        <w:spacing w:after="0" w:line="78" w:lineRule="exact"/>
        <w:rPr>
          <w:rFonts w:ascii="Arial" w:cs="Arial" w:eastAsia="Arial" w:hAnsi="Arial"/>
          <w:sz w:val="18"/>
          <w:szCs w:val="18"/>
          <w:color w:val="auto"/>
        </w:rPr>
      </w:pPr>
    </w:p>
    <w:p>
      <w:pPr>
        <w:ind w:left="-20" w:right="20" w:firstLine="464"/>
        <w:spacing w:after="0" w:line="286" w:lineRule="auto"/>
        <w:tabs>
          <w:tab w:leader="none" w:pos="691"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 </w:t>
      </w:r>
      <w:r>
        <w:rPr>
          <w:rFonts w:ascii="Arial" w:cs="Arial" w:eastAsia="Arial" w:hAnsi="Arial"/>
          <w:sz w:val="16"/>
          <w:szCs w:val="16"/>
          <w:color w:val="auto"/>
        </w:rPr>
        <w:t>The Company will advise the Representative promptly, and confirm such advice in writing, (i) when any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or the Prospectus or the initiation or threatening of any proceeding for that purpose or pursuant to Section 8A of the Securities Act; (v) of the occurrence of any event or development within the Prospectus Delivery Period as a result of which the Prospectus or the Pricing Disclosure Package, as then amended or supplemented, would include any untrue statement of a material fact or omit to state a material fact necessary in order to make the statements therein, in the light of the circumstances existing when the Prospectus or the Pricing Disclosure Package is delivered to a purchaser, not misleading; and (vi) of the receipt by the Company of any notice with respect to any suspension of the qualification of the Shares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or the Prospectus or suspending any such qualification of the Shares and, if any such order is issued, will use commercially reasonable efforts to obtain as soon as possible the withdrawal thereof.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274" w:right="259" w:bottom="1440" w:gutter="0" w:footer="0" w:header="0"/>
        </w:sectPr>
      </w:pPr>
    </w:p>
    <w:bookmarkStart w:id="31" w:name="page32"/>
    <w:bookmarkEnd w:id="31"/>
    <w:p>
      <w:pPr>
        <w:ind w:left="-20" w:firstLine="464"/>
        <w:spacing w:after="0" w:line="286" w:lineRule="auto"/>
        <w:tabs>
          <w:tab w:leader="none" w:pos="681"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Ongoing Compliance. </w:t>
      </w:r>
      <w:r>
        <w:rPr>
          <w:rFonts w:ascii="Arial" w:cs="Arial" w:eastAsia="Arial" w:hAnsi="Arial"/>
          <w:sz w:val="16"/>
          <w:szCs w:val="16"/>
          <w:color w:val="auto"/>
        </w:rPr>
        <w:t>(1) If during the Prospectus Delivery Period (i) any event or development shall occur or condition shall exist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60" w:lineRule="exact"/>
        <w:rPr>
          <w:rFonts w:ascii="Arial" w:cs="Arial" w:eastAsia="Arial" w:hAnsi="Arial"/>
          <w:sz w:val="16"/>
          <w:szCs w:val="16"/>
          <w:color w:val="auto"/>
        </w:rPr>
      </w:pPr>
    </w:p>
    <w:p>
      <w:pPr>
        <w:ind w:left="-20" w:firstLine="464"/>
        <w:spacing w:after="0" w:line="276" w:lineRule="auto"/>
        <w:tabs>
          <w:tab w:leader="none" w:pos="661"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Blue Sky Compliance. </w:t>
      </w:r>
      <w:r>
        <w:rPr>
          <w:rFonts w:ascii="Arial" w:cs="Arial" w:eastAsia="Arial" w:hAnsi="Arial"/>
          <w:sz w:val="17"/>
          <w:szCs w:val="17"/>
          <w:color w:val="auto"/>
        </w:rPr>
        <w:t>The Company will use commercially reasonable efforts, in cooperation with the Representative, to qualify the Shares for offer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sale under the securities or Blue Sky laws of such jurisdictions as the Representative shall reasonably request and will continue such qualifications in effect so long as required for distribution of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64" w:lineRule="exact"/>
        <w:rPr>
          <w:rFonts w:ascii="Arial" w:cs="Arial" w:eastAsia="Arial" w:hAnsi="Arial"/>
          <w:sz w:val="17"/>
          <w:szCs w:val="17"/>
          <w:color w:val="auto"/>
        </w:rPr>
      </w:pPr>
    </w:p>
    <w:p>
      <w:pPr>
        <w:ind w:left="-20" w:right="40" w:firstLine="464"/>
        <w:spacing w:after="0" w:line="257" w:lineRule="auto"/>
        <w:tabs>
          <w:tab w:leader="none" w:pos="691"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Earning Statement. </w:t>
      </w:r>
      <w:r>
        <w:rPr>
          <w:rFonts w:ascii="Arial" w:cs="Arial" w:eastAsia="Arial" w:hAnsi="Arial"/>
          <w:sz w:val="18"/>
          <w:szCs w:val="18"/>
          <w:color w:val="auto"/>
        </w:rPr>
        <w:t>The Company will make generally available to its security holders and the Representative as soon as practicable an earning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80" w:lineRule="exact"/>
        <w:rPr>
          <w:rFonts w:ascii="Arial" w:cs="Arial" w:eastAsia="Arial" w:hAnsi="Arial"/>
          <w:sz w:val="18"/>
          <w:szCs w:val="18"/>
          <w:color w:val="auto"/>
        </w:rPr>
      </w:pPr>
    </w:p>
    <w:p>
      <w:pPr>
        <w:ind w:left="-20" w:right="20" w:firstLine="464"/>
        <w:spacing w:after="0" w:line="312" w:lineRule="auto"/>
        <w:tabs>
          <w:tab w:leader="none" w:pos="691"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Clear Market. </w:t>
      </w:r>
      <w:r>
        <w:rPr>
          <w:rFonts w:ascii="Arial" w:cs="Arial" w:eastAsia="Arial" w:hAnsi="Arial"/>
          <w:sz w:val="16"/>
          <w:szCs w:val="16"/>
          <w:color w:val="auto"/>
        </w:rPr>
        <w:t>For a period of 30 days after the date of the Prospectus, the Company will not (i) offer, pledge, sell, contract to sell, sell any option or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to purchase, purchase any option or contract to sell, grant any option, right or warrant to purchase, or otherwise transfer or dispose of, directly or indirectly, or file with the Commission a registration statement under the Securities Act relating to, any shares of Stock or any securities convertible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60" w:top="274" w:right="259" w:bottom="1440" w:gutter="0" w:footer="0" w:header="0"/>
        </w:sectPr>
      </w:pPr>
    </w:p>
    <w:bookmarkStart w:id="32" w:name="page33"/>
    <w:bookmarkEnd w:id="32"/>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into or exercisable or exchangeable for Stock, or publicly disclose the intention to make any such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the Representative on behalf of the Underwriters, other than the (A) Shares to be sold hereunder, (B) shares of Stock issued or delivered in connection with the Company’s dividend reinvestment plan and (C) the filing of a shelf registration statement on Form N-2.</w:t>
      </w:r>
    </w:p>
    <w:p>
      <w:pPr>
        <w:spacing w:after="0" w:line="50" w:lineRule="exact"/>
        <w:rPr>
          <w:sz w:val="20"/>
          <w:szCs w:val="20"/>
          <w:color w:val="auto"/>
        </w:rPr>
      </w:pPr>
    </w:p>
    <w:p>
      <w:pPr>
        <w:ind w:right="60" w:firstLine="464"/>
        <w:spacing w:after="0" w:line="277" w:lineRule="auto"/>
        <w:tabs>
          <w:tab w:leader="none" w:pos="671"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apply the net proceeds from the sale of the Shares in all material respects as described in the Pricing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Package and the Prospectus under the heading “Use of Proceeds”.</w:t>
      </w:r>
    </w:p>
    <w:p>
      <w:pPr>
        <w:spacing w:after="0" w:line="62" w:lineRule="exact"/>
        <w:rPr>
          <w:rFonts w:ascii="Arial" w:cs="Arial" w:eastAsia="Arial" w:hAnsi="Arial"/>
          <w:sz w:val="18"/>
          <w:szCs w:val="18"/>
          <w:color w:val="auto"/>
        </w:rPr>
      </w:pPr>
    </w:p>
    <w:p>
      <w:pPr>
        <w:ind w:right="180" w:firstLine="464"/>
        <w:spacing w:after="0" w:line="342" w:lineRule="auto"/>
        <w:tabs>
          <w:tab w:leader="none" w:pos="671"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No Stabilization. </w:t>
      </w:r>
      <w:r>
        <w:rPr>
          <w:rFonts w:ascii="Arial" w:cs="Arial" w:eastAsia="Arial" w:hAnsi="Arial"/>
          <w:sz w:val="16"/>
          <w:szCs w:val="16"/>
          <w:color w:val="auto"/>
        </w:rPr>
        <w:t>Except as described in 3(jj) herein, the Company will not take, directly or indirectly, without giving effect to any activities by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any action designed to or that would reasonably be expected to cause or result in any stabilization or manipulation of the price of the Stock.</w:t>
      </w:r>
    </w:p>
    <w:p>
      <w:pPr>
        <w:spacing w:after="0" w:line="15" w:lineRule="exact"/>
        <w:rPr>
          <w:rFonts w:ascii="Arial" w:cs="Arial" w:eastAsia="Arial" w:hAnsi="Arial"/>
          <w:sz w:val="16"/>
          <w:szCs w:val="16"/>
          <w:color w:val="auto"/>
        </w:rPr>
      </w:pPr>
    </w:p>
    <w:p>
      <w:pPr>
        <w:ind w:left="720" w:hanging="256"/>
        <w:spacing w:after="0"/>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Exchange Listing. </w:t>
      </w:r>
      <w:r>
        <w:rPr>
          <w:rFonts w:ascii="Arial" w:cs="Arial" w:eastAsia="Arial" w:hAnsi="Arial"/>
          <w:sz w:val="17"/>
          <w:szCs w:val="17"/>
          <w:color w:val="auto"/>
        </w:rPr>
        <w:t>The Company will use its best efforts to effect and maintain the listing of the Shares on the New York Stock Exchange.</w:t>
      </w:r>
    </w:p>
    <w:p>
      <w:pPr>
        <w:spacing w:after="0" w:line="128" w:lineRule="exact"/>
        <w:rPr>
          <w:rFonts w:ascii="Arial" w:cs="Arial" w:eastAsia="Arial" w:hAnsi="Arial"/>
          <w:sz w:val="17"/>
          <w:szCs w:val="17"/>
          <w:color w:val="auto"/>
        </w:rPr>
      </w:pPr>
    </w:p>
    <w:p>
      <w:pPr>
        <w:ind w:right="40" w:firstLine="464"/>
        <w:spacing w:after="0" w:line="257" w:lineRule="auto"/>
        <w:tabs>
          <w:tab w:leader="none" w:pos="671"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one year from the date of this Agreement, so long as the Shares are outstanding, the Company will furnish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 as soon as commercially reasonable after the date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 to the extent they are filed on EDGAR.</w:t>
      </w:r>
    </w:p>
    <w:p>
      <w:pPr>
        <w:spacing w:after="0" w:line="80" w:lineRule="exact"/>
        <w:rPr>
          <w:rFonts w:ascii="Arial" w:cs="Arial" w:eastAsia="Arial" w:hAnsi="Arial"/>
          <w:sz w:val="18"/>
          <w:szCs w:val="18"/>
          <w:color w:val="auto"/>
        </w:rPr>
      </w:pPr>
    </w:p>
    <w:p>
      <w:pPr>
        <w:ind w:firstLine="464"/>
        <w:spacing w:after="0" w:line="279" w:lineRule="auto"/>
        <w:tabs>
          <w:tab w:leader="none" w:pos="761"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Business Development Company</w:t>
      </w:r>
      <w:r>
        <w:rPr>
          <w:rFonts w:ascii="Arial" w:cs="Arial" w:eastAsia="Arial" w:hAnsi="Arial"/>
          <w:sz w:val="17"/>
          <w:szCs w:val="17"/>
          <w:color w:val="auto"/>
        </w:rPr>
        <w:t>. The Company, during a period of twelve months from the date of the Prospectus, will use commercially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reasonable efforts to maintain its status as a business development company under the Investment Company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63" w:lineRule="exact"/>
        <w:rPr>
          <w:rFonts w:ascii="Arial" w:cs="Arial" w:eastAsia="Arial" w:hAnsi="Arial"/>
          <w:sz w:val="17"/>
          <w:szCs w:val="17"/>
          <w:color w:val="auto"/>
        </w:rPr>
      </w:pPr>
    </w:p>
    <w:p>
      <w:pPr>
        <w:ind w:right="160" w:firstLine="464"/>
        <w:spacing w:after="0" w:line="264" w:lineRule="auto"/>
        <w:tabs>
          <w:tab w:leader="none" w:pos="711"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Regulated Investment Company. </w:t>
      </w:r>
      <w:r>
        <w:rPr>
          <w:rFonts w:ascii="Arial" w:cs="Arial" w:eastAsia="Arial" w:hAnsi="Arial"/>
          <w:sz w:val="18"/>
          <w:szCs w:val="18"/>
          <w:color w:val="auto"/>
        </w:rPr>
        <w:t>The Company will use commercially reasonable efforts to maintain in effect its qualification and election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a regulated investment company under Subchapter M of the Code for each taxable year during which it is a business development company under the Investment Company Act.</w:t>
      </w:r>
    </w:p>
    <w:p>
      <w:pPr>
        <w:spacing w:after="0" w:line="73" w:lineRule="exact"/>
        <w:rPr>
          <w:rFonts w:ascii="Arial" w:cs="Arial" w:eastAsia="Arial" w:hAnsi="Arial"/>
          <w:sz w:val="18"/>
          <w:szCs w:val="18"/>
          <w:color w:val="auto"/>
        </w:rPr>
      </w:pPr>
    </w:p>
    <w:p>
      <w:pPr>
        <w:ind w:right="100" w:firstLine="464"/>
        <w:spacing w:after="0" w:line="302" w:lineRule="auto"/>
        <w:tabs>
          <w:tab w:leader="none" w:pos="711"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Annual Compliance Reviews</w:t>
      </w:r>
      <w:r>
        <w:rPr>
          <w:rFonts w:ascii="Arial" w:cs="Arial" w:eastAsia="Arial" w:hAnsi="Arial"/>
          <w:sz w:val="16"/>
          <w:szCs w:val="16"/>
          <w:color w:val="auto"/>
        </w:rPr>
        <w:t>. The Company will retain qualified accountants and qualified tax experts (i) to test procedures and conduct annual</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33" w:name="page34"/>
    <w:bookmarkEnd w:id="33"/>
    <w:p>
      <w:pPr>
        <w:ind w:left="-80" w:right="100" w:firstLine="464"/>
        <w:spacing w:after="0" w:line="293" w:lineRule="auto"/>
        <w:tabs>
          <w:tab w:leader="none" w:pos="631"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Free Writing Prospectus</w:t>
      </w:r>
      <w:r>
        <w:rPr>
          <w:rFonts w:ascii="Arial" w:cs="Arial" w:eastAsia="Arial" w:hAnsi="Arial"/>
          <w:sz w:val="16"/>
          <w:szCs w:val="16"/>
          <w:color w:val="auto"/>
        </w:rPr>
        <w:t>. The Company represents and agrees that, without the prior consent of the Representative (i) it will not distribute</w:t>
      </w:r>
      <w:r>
        <w:rPr>
          <w:rFonts w:ascii="Arial" w:cs="Arial" w:eastAsia="Arial" w:hAnsi="Arial"/>
          <w:sz w:val="16"/>
          <w:szCs w:val="16"/>
          <w:i w:val="1"/>
          <w:iCs w:val="1"/>
          <w:color w:val="auto"/>
        </w:rPr>
        <w:t xml:space="preserve"> </w:t>
      </w:r>
      <w:r>
        <w:rPr>
          <w:rFonts w:ascii="Arial" w:cs="Arial" w:eastAsia="Arial" w:hAnsi="Arial"/>
          <w:sz w:val="16"/>
          <w:szCs w:val="16"/>
          <w:color w:val="auto"/>
        </w:rPr>
        <w:t>any offering material other than the Registration Statement, the Pricing Disclosure Package or the Prospectus, and (ii) it has not made and will not make any offer relating to the Shares that would constitute a “free writing prospectus” as defined in Rule 405 under the Securities Act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Shares, including any in-person roadshow or investor presentations (including slides and scripts relating thereto) made to investors by or on behalf of the Company.</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warrants and agrees that:</w:t>
      </w:r>
    </w:p>
    <w:p>
      <w:pPr>
        <w:spacing w:after="0" w:line="117" w:lineRule="exact"/>
        <w:rPr>
          <w:sz w:val="20"/>
          <w:szCs w:val="20"/>
          <w:color w:val="auto"/>
        </w:rPr>
      </w:pPr>
    </w:p>
    <w:p>
      <w:pPr>
        <w:ind w:left="-80" w:right="20" w:firstLine="464"/>
        <w:spacing w:after="0" w:line="259" w:lineRule="auto"/>
        <w:tabs>
          <w:tab w:leader="none" w:pos="621"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Shares, other than materials contained in the Pricing Disclosure Package, the Prospectus or any other offering materials prepared by or with the prior written consent of the Company.</w:t>
      </w:r>
    </w:p>
    <w:p>
      <w:pPr>
        <w:spacing w:after="0" w:line="78" w:lineRule="exact"/>
        <w:rPr>
          <w:rFonts w:ascii="Arial" w:cs="Arial" w:eastAsia="Arial" w:hAnsi="Arial"/>
          <w:sz w:val="18"/>
          <w:szCs w:val="18"/>
          <w:color w:val="auto"/>
        </w:rPr>
      </w:pPr>
    </w:p>
    <w:p>
      <w:pPr>
        <w:ind w:left="-80" w:firstLine="464"/>
        <w:spacing w:after="0" w:line="277" w:lineRule="auto"/>
        <w:tabs>
          <w:tab w:leader="none" w:pos="6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170" w:lineRule="exact"/>
        <w:rPr>
          <w:sz w:val="20"/>
          <w:szCs w:val="20"/>
          <w:color w:val="auto"/>
        </w:rPr>
      </w:pPr>
    </w:p>
    <w:p>
      <w:pPr>
        <w:ind w:left="-80" w:firstLine="464"/>
        <w:spacing w:after="0" w:line="264" w:lineRule="auto"/>
        <w:tabs>
          <w:tab w:leader="none" w:pos="55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 of each Underwriter to purchase the Underwritten Shares on the Closing Date or the Option Shares on the Closing Date or the Additional Closing Date, as the case may be, as provided herein is subject to the performance by the Company of its covenants and other obligations hereunder and to the following additional conditions:</w:t>
      </w:r>
    </w:p>
    <w:p>
      <w:pPr>
        <w:spacing w:after="0" w:line="73" w:lineRule="exact"/>
        <w:rPr>
          <w:sz w:val="20"/>
          <w:szCs w:val="20"/>
          <w:color w:val="auto"/>
        </w:rPr>
      </w:pPr>
    </w:p>
    <w:p>
      <w:pPr>
        <w:jc w:val="both"/>
        <w:ind w:left="-80" w:right="20" w:firstLine="464"/>
        <w:spacing w:after="0" w:line="259" w:lineRule="auto"/>
        <w:tabs>
          <w:tab w:leader="none" w:pos="621"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Compliance; No Stop Order. </w:t>
      </w:r>
      <w:r>
        <w:rPr>
          <w:rFonts w:ascii="Arial" w:cs="Arial" w:eastAsia="Arial" w:hAnsi="Arial"/>
          <w:sz w:val="18"/>
          <w:szCs w:val="18"/>
          <w:color w:val="auto"/>
        </w:rPr>
        <w:t>No order suspending the effectiveness of the Registration Statement shall be in effect, and no proceeding</w:t>
      </w:r>
      <w:r>
        <w:rPr>
          <w:rFonts w:ascii="Arial" w:cs="Arial" w:eastAsia="Arial" w:hAnsi="Arial"/>
          <w:sz w:val="18"/>
          <w:szCs w:val="18"/>
          <w:i w:val="1"/>
          <w:iCs w:val="1"/>
          <w:color w:val="auto"/>
        </w:rPr>
        <w:t xml:space="preserve"> </w:t>
      </w:r>
      <w:r>
        <w:rPr>
          <w:rFonts w:ascii="Arial" w:cs="Arial" w:eastAsia="Arial" w:hAnsi="Arial"/>
          <w:sz w:val="18"/>
          <w:szCs w:val="18"/>
          <w:color w:val="auto"/>
        </w:rPr>
        <w:t>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w:t>
      </w:r>
    </w:p>
    <w:p>
      <w:pPr>
        <w:spacing w:after="0" w:line="78" w:lineRule="exact"/>
        <w:rPr>
          <w:rFonts w:ascii="Arial" w:cs="Arial" w:eastAsia="Arial" w:hAnsi="Arial"/>
          <w:sz w:val="18"/>
          <w:szCs w:val="18"/>
          <w:color w:val="auto"/>
        </w:rPr>
      </w:pPr>
    </w:p>
    <w:p>
      <w:pPr>
        <w:ind w:left="-80" w:right="100" w:firstLine="464"/>
        <w:spacing w:after="0" w:line="259" w:lineRule="auto"/>
        <w:tabs>
          <w:tab w:leader="none" w:pos="631"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and the Adviser contained herein shall be true and correct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80"/>
          </w:cols>
          <w:pgMar w:left="320" w:top="274" w:right="299" w:bottom="1440" w:gutter="0" w:footer="0" w:header="0"/>
        </w:sectPr>
      </w:pPr>
    </w:p>
    <w:bookmarkStart w:id="34" w:name="page35"/>
    <w:bookmarkEnd w:id="34"/>
    <w:p>
      <w:pPr>
        <w:ind w:left="-8" w:right="80" w:firstLine="464"/>
        <w:spacing w:after="0" w:line="257" w:lineRule="auto"/>
        <w:tabs>
          <w:tab w:leader="none" w:pos="693"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Material Adverse Change. </w:t>
      </w:r>
      <w:r>
        <w:rPr>
          <w:rFonts w:ascii="Arial" w:cs="Arial" w:eastAsia="Arial" w:hAnsi="Arial"/>
          <w:sz w:val="18"/>
          <w:szCs w:val="18"/>
          <w:color w:val="auto"/>
        </w:rPr>
        <w:t>No event or condition of a type described in Section 3(e) and Section 4(a) hereof shall have occurred or shall exist,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80" w:lineRule="exact"/>
        <w:rPr>
          <w:rFonts w:ascii="Arial" w:cs="Arial" w:eastAsia="Arial" w:hAnsi="Arial"/>
          <w:sz w:val="18"/>
          <w:szCs w:val="18"/>
          <w:color w:val="auto"/>
        </w:rPr>
      </w:pPr>
    </w:p>
    <w:p>
      <w:pPr>
        <w:jc w:val="both"/>
        <w:ind w:left="-8" w:right="220" w:firstLine="464"/>
        <w:spacing w:after="0" w:line="288" w:lineRule="auto"/>
        <w:tabs>
          <w:tab w:leader="none" w:pos="703"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Company’s Officer’s Certificate. </w:t>
      </w:r>
      <w:r>
        <w:rPr>
          <w:rFonts w:ascii="Arial" w:cs="Arial" w:eastAsia="Arial" w:hAnsi="Arial"/>
          <w:sz w:val="16"/>
          <w:szCs w:val="16"/>
          <w:color w:val="auto"/>
        </w:rPr>
        <w:t>The Representative shall have received on and as of the Closing Date or the Additional Closing Date, as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may be,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w:t>
      </w:r>
    </w:p>
    <w:p>
      <w:pPr>
        <w:ind w:left="-8" w:right="80" w:firstLine="8"/>
        <w:spacing w:after="0" w:line="252" w:lineRule="auto"/>
        <w:tabs>
          <w:tab w:leader="none" w:pos="2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confirming that such officers have carefully reviewed the Registration Statement, the Pricing Disclosure Package and the Prospectus, (ii) confirming that, to the knowledge of such officers, the representations and warranties of the Company in Sections 3(b) and 3(c)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(iv) to the effect set forth in paragraph (a) above and, with respect to the Company and its subsidiaries, to the effect set forth in paragraph (c) above.</w:t>
      </w:r>
    </w:p>
    <w:p>
      <w:pPr>
        <w:spacing w:after="0" w:line="86" w:lineRule="exact"/>
        <w:rPr>
          <w:rFonts w:ascii="Arial" w:cs="Arial" w:eastAsia="Arial" w:hAnsi="Arial"/>
          <w:sz w:val="18"/>
          <w:szCs w:val="18"/>
          <w:color w:val="auto"/>
        </w:rPr>
      </w:pPr>
    </w:p>
    <w:p>
      <w:pPr>
        <w:ind w:left="-8" w:firstLine="464"/>
        <w:spacing w:after="0" w:line="255" w:lineRule="auto"/>
        <w:tabs>
          <w:tab w:leader="none" w:pos="693"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Adviser’s Officer’s Certificate. </w:t>
      </w:r>
      <w:r>
        <w:rPr>
          <w:rFonts w:ascii="Arial" w:cs="Arial" w:eastAsia="Arial" w:hAnsi="Arial"/>
          <w:sz w:val="18"/>
          <w:szCs w:val="18"/>
          <w:color w:val="auto"/>
        </w:rPr>
        <w:t>The Representative shall have received on and as of the Closing Date or the Additional Closing Date, as the case may</w:t>
      </w:r>
      <w:r>
        <w:rPr>
          <w:rFonts w:ascii="Arial" w:cs="Arial" w:eastAsia="Arial" w:hAnsi="Arial"/>
          <w:sz w:val="18"/>
          <w:szCs w:val="18"/>
          <w:i w:val="1"/>
          <w:iCs w:val="1"/>
          <w:color w:val="auto"/>
        </w:rPr>
        <w:t xml:space="preserve"> </w:t>
      </w:r>
      <w:r>
        <w:rPr>
          <w:rFonts w:ascii="Arial" w:cs="Arial" w:eastAsia="Arial" w:hAnsi="Arial"/>
          <w:sz w:val="18"/>
          <w:szCs w:val="18"/>
          <w:color w:val="auto"/>
        </w:rPr>
        <w:t>be, a certificate, which shall be delivered on 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or the Additional Closing Date, as the case may be, and (ii) with respect to the Adviser and its subsidiaries, to the effect set forth in paragraph (c) above.</w:t>
      </w:r>
    </w:p>
    <w:p>
      <w:pPr>
        <w:spacing w:after="0" w:line="85" w:lineRule="exact"/>
        <w:rPr>
          <w:rFonts w:ascii="Arial" w:cs="Arial" w:eastAsia="Arial" w:hAnsi="Arial"/>
          <w:sz w:val="18"/>
          <w:szCs w:val="18"/>
          <w:color w:val="auto"/>
        </w:rPr>
      </w:pPr>
    </w:p>
    <w:p>
      <w:pPr>
        <w:ind w:left="-8" w:right="40" w:firstLine="464"/>
        <w:spacing w:after="0" w:line="293" w:lineRule="auto"/>
        <w:tabs>
          <w:tab w:leader="none" w:pos="673" w:val="left"/>
        </w:tabs>
        <w:numPr>
          <w:ilvl w:val="1"/>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Letters. </w:t>
      </w:r>
      <w:r>
        <w:rPr>
          <w:rFonts w:ascii="Arial" w:cs="Arial" w:eastAsia="Arial" w:hAnsi="Arial"/>
          <w:sz w:val="16"/>
          <w:szCs w:val="16"/>
          <w:color w:val="auto"/>
        </w:rPr>
        <w:t>On the date of this Agreement and on the Closing Date or the Additional Closing Date, as the case may be, KPMG LLP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furnished to the Representative, at the request of 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contained in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spacing w:after="0" w:line="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12"/>
          </w:cols>
          <w:pgMar w:left="248" w:top="274" w:right="239" w:bottom="1440" w:gutter="0" w:footer="0" w:header="0"/>
        </w:sectPr>
      </w:pPr>
    </w:p>
    <w:bookmarkStart w:id="35" w:name="page36"/>
    <w:bookmarkEnd w:id="35"/>
    <w:p>
      <w:pPr>
        <w:ind w:left="-20" w:right="80" w:firstLine="464"/>
        <w:spacing w:after="0" w:line="269" w:lineRule="auto"/>
        <w:tabs>
          <w:tab w:leader="none" w:pos="691"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Opinion and 10b-5 Statement of Counsel for the Company and Adviser. </w:t>
      </w:r>
      <w:r>
        <w:rPr>
          <w:rFonts w:ascii="Arial" w:cs="Arial" w:eastAsia="Arial" w:hAnsi="Arial"/>
          <w:sz w:val="17"/>
          <w:szCs w:val="17"/>
          <w:color w:val="auto"/>
        </w:rPr>
        <w:t>Cleary Gottlieb Steen &amp; Hamilton LLP, counsel for the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Adviser, shall have furnished to the Representative, at the request of the Company and the Adviser, their written opinions and 10b-5 letter, dated the Closing Date or the Additional Closing Date, as the case may be, and addressed to the Underwriters, in form and substance reasonably satisfactory to the Representative. Schulte Roth &amp; Zabel LLP, Investment Company Act counsel for the Company and Advisers Act counsel for the Adviser, shall have furnished to the Representative, at the request of the Company and the Adviser, their written opinion, dated the Closing Date or the Additional Closing Date, as the case may be, and addressed to the Underwriters, in form and substance reasonably satisfactory to the Representative. Morris, Nichols, Arsht &amp; Tunnell LLP, Delaware counsel for the Company and the Adviser, shall have furnished to the Representative, at the request of the Company and the Adviser, their written opinion, dated the Closing Date or the Additional Closing Date, as the case may be, and addressed to the Underwriters, in form and substance reasonably satisfactory to the Representative. In-house counsel to the Company and the Adviser, shall have furnished to the Representative its written opinion, dated the Closing Date or the Additional Closing Date, as the case may be, and addressed to the Underwriters, in form and substance reasonably satisfactory to the Representative.</w:t>
      </w:r>
    </w:p>
    <w:p>
      <w:pPr>
        <w:spacing w:after="0" w:line="74" w:lineRule="exact"/>
        <w:rPr>
          <w:rFonts w:ascii="Arial" w:cs="Arial" w:eastAsia="Arial" w:hAnsi="Arial"/>
          <w:sz w:val="17"/>
          <w:szCs w:val="17"/>
          <w:color w:val="auto"/>
        </w:rPr>
      </w:pPr>
    </w:p>
    <w:p>
      <w:pPr>
        <w:ind w:left="-20" w:right="140" w:firstLine="464"/>
        <w:spacing w:after="0" w:line="259" w:lineRule="auto"/>
        <w:tabs>
          <w:tab w:leader="none" w:pos="691"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Underwriters. </w:t>
      </w:r>
      <w:r>
        <w:rPr>
          <w:rFonts w:ascii="Arial" w:cs="Arial" w:eastAsia="Arial" w:hAnsi="Arial"/>
          <w:sz w:val="18"/>
          <w:szCs w:val="18"/>
          <w:color w:val="auto"/>
        </w:rPr>
        <w:t>The Representative shall have received on and as of the Closing Date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Closing Date, as the case may be, an opinion and 10b-5 statement of Freshfields Bruckhaus Deringer US LLP, counsel for the Underwriters, with respect to such matters as the Representative may reasonably request, and such counsel shall have received such documents and information as they may reasonably request to enable them to pass upon such matters.</w:t>
      </w:r>
    </w:p>
    <w:p>
      <w:pPr>
        <w:spacing w:after="0" w:line="78" w:lineRule="exact"/>
        <w:rPr>
          <w:rFonts w:ascii="Arial" w:cs="Arial" w:eastAsia="Arial" w:hAnsi="Arial"/>
          <w:sz w:val="18"/>
          <w:szCs w:val="18"/>
          <w:color w:val="auto"/>
        </w:rPr>
      </w:pPr>
    </w:p>
    <w:p>
      <w:pPr>
        <w:ind w:left="-20" w:right="20" w:firstLine="464"/>
        <w:spacing w:after="0" w:line="279" w:lineRule="auto"/>
        <w:tabs>
          <w:tab w:leader="none" w:pos="651"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No Legal Impediment to Issuance. </w:t>
      </w:r>
      <w:r>
        <w:rPr>
          <w:rFonts w:ascii="Arial" w:cs="Arial" w:eastAsia="Arial" w:hAnsi="Arial"/>
          <w:sz w:val="17"/>
          <w:szCs w:val="17"/>
          <w:color w:val="auto"/>
        </w:rPr>
        <w:t>No action shall have been taken and no statute, rule, regulation or order shall have been enacted, adopted or</w:t>
      </w:r>
      <w:r>
        <w:rPr>
          <w:rFonts w:ascii="Arial" w:cs="Arial" w:eastAsia="Arial" w:hAnsi="Arial"/>
          <w:sz w:val="17"/>
          <w:szCs w:val="17"/>
          <w:i w:val="1"/>
          <w:iCs w:val="1"/>
          <w:color w:val="auto"/>
        </w:rPr>
        <w:t xml:space="preserve"> </w:t>
      </w:r>
      <w:r>
        <w:rPr>
          <w:rFonts w:ascii="Arial" w:cs="Arial" w:eastAsia="Arial" w:hAnsi="Arial"/>
          <w:sz w:val="17"/>
          <w:szCs w:val="17"/>
          <w:color w:val="auto"/>
        </w:rPr>
        <w:t>issued by any federal, state or foreign governmental or regulatory authority that would, as of the Closing Date or the Additional Closing Date, as the case may be, prevent the issuance and sale of the Shares; and no injunction or order of any federal, state or foreign court shall have been issued that would, as of the Closing Date or the Additional Closing Date, as the case may be, prevent the issuance and sale of the Shares.</w:t>
      </w:r>
    </w:p>
    <w:p>
      <w:pPr>
        <w:spacing w:after="0" w:line="63" w:lineRule="exact"/>
        <w:rPr>
          <w:rFonts w:ascii="Arial" w:cs="Arial" w:eastAsia="Arial" w:hAnsi="Arial"/>
          <w:sz w:val="17"/>
          <w:szCs w:val="17"/>
          <w:color w:val="auto"/>
        </w:rPr>
      </w:pPr>
    </w:p>
    <w:p>
      <w:pPr>
        <w:ind w:left="-20" w:firstLine="464"/>
        <w:spacing w:after="0" w:line="259" w:lineRule="auto"/>
        <w:tabs>
          <w:tab w:leader="none" w:pos="651"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 shall have received on and as of the Closing Date or the Additional Closing Date, as the case may be,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satisfactory evidence of the good standing of the 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w:t>
      </w:r>
    </w:p>
    <w:p>
      <w:pPr>
        <w:spacing w:after="0" w:line="78" w:lineRule="exact"/>
        <w:rPr>
          <w:rFonts w:ascii="Arial" w:cs="Arial" w:eastAsia="Arial" w:hAnsi="Arial"/>
          <w:sz w:val="18"/>
          <w:szCs w:val="18"/>
          <w:color w:val="auto"/>
        </w:rPr>
      </w:pPr>
    </w:p>
    <w:p>
      <w:pPr>
        <w:ind w:left="-20" w:right="480" w:firstLine="464"/>
        <w:spacing w:after="0" w:line="277" w:lineRule="auto"/>
        <w:tabs>
          <w:tab w:leader="none" w:pos="691"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Shares to be delivered on the Closing Date or Additional Closing Date, as the case may be, shall have been duly listed,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official notice of issuance, on the New York Stock Exchange.</w:t>
      </w:r>
    </w:p>
    <w:p>
      <w:pPr>
        <w:spacing w:after="0" w:line="62" w:lineRule="exact"/>
        <w:rPr>
          <w:rFonts w:ascii="Arial" w:cs="Arial" w:eastAsia="Arial" w:hAnsi="Arial"/>
          <w:sz w:val="18"/>
          <w:szCs w:val="18"/>
          <w:color w:val="auto"/>
        </w:rPr>
      </w:pPr>
    </w:p>
    <w:p>
      <w:pPr>
        <w:ind w:left="-20" w:right="400" w:firstLine="464"/>
        <w:spacing w:after="0" w:line="312" w:lineRule="auto"/>
        <w:tabs>
          <w:tab w:leader="none" w:pos="651"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Lock-up Agreements</w:t>
      </w:r>
      <w:r>
        <w:rPr>
          <w:rFonts w:ascii="Arial" w:cs="Arial" w:eastAsia="Arial" w:hAnsi="Arial"/>
          <w:sz w:val="16"/>
          <w:szCs w:val="16"/>
          <w:color w:val="auto"/>
        </w:rPr>
        <w:t>. The “lock-up” agreements, each substantially in the form of Exhibit A hereto, from all the officers and directors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listed in Schedule 3 and from the Adviser, relating to sales and certain other dispositions of shares of common stock or certain other securities, delivered to you on or before the date hereof, shall be in full force and effect on the Closing Date or Additional Closing Date, as the case may be.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60" w:top="274" w:right="239" w:bottom="1440" w:gutter="0" w:footer="0" w:header="0"/>
        </w:sectPr>
      </w:pPr>
    </w:p>
    <w:bookmarkStart w:id="36" w:name="page37"/>
    <w:bookmarkEnd w:id="36"/>
    <w:p>
      <w:pPr>
        <w:ind w:right="180" w:firstLine="464"/>
        <w:spacing w:after="0" w:line="297" w:lineRule="auto"/>
        <w:tabs>
          <w:tab w:leader="none" w:pos="761"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Downgrade</w:t>
      </w:r>
      <w:r>
        <w:rPr>
          <w:rFonts w:ascii="Arial" w:cs="Arial" w:eastAsia="Arial" w:hAnsi="Arial"/>
          <w:sz w:val="16"/>
          <w:szCs w:val="16"/>
          <w:color w:val="auto"/>
        </w:rPr>
        <w:t>. Subsequent to the earlier of (A) the Applicable Time and (B) the execution and delivery of this Agreement, if there are any debt</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50" w:lineRule="exact"/>
        <w:rPr>
          <w:rFonts w:ascii="Arial" w:cs="Arial" w:eastAsia="Arial" w:hAnsi="Arial"/>
          <w:sz w:val="16"/>
          <w:szCs w:val="16"/>
          <w:color w:val="auto"/>
        </w:rPr>
      </w:pPr>
    </w:p>
    <w:p>
      <w:pPr>
        <w:ind w:right="40" w:firstLine="464"/>
        <w:spacing w:after="0" w:line="277" w:lineRule="auto"/>
        <w:tabs>
          <w:tab w:leader="none" w:pos="711"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or the Additional Closing Date, as the case may be, the Company shall have furnished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such further certificates and documents as the Representative may reasonably request.</w:t>
      </w:r>
    </w:p>
    <w:p>
      <w:pPr>
        <w:spacing w:after="0" w:line="62"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68" w:lineRule="auto"/>
        <w:tabs>
          <w:tab w:leader="none" w:pos="701"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Underwriters. </w:t>
      </w:r>
      <w:r>
        <w:rPr>
          <w:rFonts w:ascii="Arial" w:cs="Arial" w:eastAsia="Arial" w:hAnsi="Arial"/>
          <w:sz w:val="17"/>
          <w:szCs w:val="17"/>
          <w:color w:val="auto"/>
        </w:rPr>
        <w:t>The Company agrees to indemnify and hold harmless each Underwriter, its affiliates, directors and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road show as defined in Rule 433(h) under the Securities Act (a “road show”)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subsection (b)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7" w:name="page38"/>
    <w:bookmarkEnd w:id="37"/>
    <w:p>
      <w:pPr>
        <w:ind w:left="-20" w:right="20" w:firstLine="464"/>
        <w:spacing w:after="0" w:line="269" w:lineRule="auto"/>
        <w:tabs>
          <w:tab w:leader="none" w:pos="691"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Indemnification of the Company. </w:t>
      </w:r>
      <w:r>
        <w:rPr>
          <w:rFonts w:ascii="Arial" w:cs="Arial" w:eastAsia="Arial" w:hAnsi="Arial"/>
          <w:sz w:val="17"/>
          <w:szCs w:val="17"/>
          <w:color w:val="auto"/>
        </w:rPr>
        <w:t>Each Underwriter agrees, severally and not jointly, to indemnify and hold harmless the Company, its directors, its</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the concession amount appearing in the fifth paragraph, the statements regarding electronic distribution in the sixteenth paragraph, and the information regarding stabilizing transactions contained in the twelfth, thirteenth and fourteenth paragraphs.</w:t>
      </w:r>
    </w:p>
    <w:p>
      <w:pPr>
        <w:spacing w:after="0" w:line="74" w:lineRule="exact"/>
        <w:rPr>
          <w:rFonts w:ascii="Arial" w:cs="Arial" w:eastAsia="Arial" w:hAnsi="Arial"/>
          <w:sz w:val="17"/>
          <w:szCs w:val="17"/>
          <w:color w:val="auto"/>
        </w:rPr>
      </w:pPr>
    </w:p>
    <w:p>
      <w:pPr>
        <w:ind w:left="-20" w:firstLine="464"/>
        <w:spacing w:after="0" w:line="285" w:lineRule="auto"/>
        <w:tabs>
          <w:tab w:leader="none" w:pos="681"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Notice and Procedures. </w:t>
      </w:r>
      <w:r>
        <w:rPr>
          <w:rFonts w:ascii="Arial" w:cs="Arial" w:eastAsia="Arial" w:hAnsi="Arial"/>
          <w:sz w:val="16"/>
          <w:szCs w:val="16"/>
          <w:color w:val="auto"/>
        </w:rPr>
        <w:t>If any suit, action, proceeding (including any governmental or regulatory investigation), claim or demand shall be brought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60" w:top="274" w:right="259" w:bottom="1440" w:gutter="0" w:footer="0" w:header="0"/>
        </w:sectPr>
      </w:pPr>
    </w:p>
    <w:bookmarkStart w:id="38" w:name="page39"/>
    <w:bookmarkEnd w:id="3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reimbursed as they are incurred. Any such separate firm for any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77" w:lineRule="exact"/>
        <w:rPr>
          <w:sz w:val="20"/>
          <w:szCs w:val="20"/>
          <w:color w:val="auto"/>
        </w:rPr>
      </w:pPr>
    </w:p>
    <w:p>
      <w:pPr>
        <w:ind w:firstLine="464"/>
        <w:spacing w:after="0" w:line="268" w:lineRule="auto"/>
        <w:tabs>
          <w:tab w:leader="none" w:pos="711"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paragraphs (a) and (b) above is unavailable to an Indemnified Person or insufficient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9" w:name="page40"/>
    <w:bookmarkEnd w:id="39"/>
    <w:p>
      <w:pPr>
        <w:ind w:left="692" w:hanging="236"/>
        <w:spacing w:after="0"/>
        <w:tabs>
          <w:tab w:leader="none" w:pos="692" w:val="left"/>
        </w:tabs>
        <w:numPr>
          <w:ilvl w:val="1"/>
          <w:numId w:val="5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Limitation on Liability. </w:t>
      </w:r>
      <w:r>
        <w:rPr>
          <w:rFonts w:ascii="Arial" w:cs="Arial" w:eastAsia="Arial" w:hAnsi="Arial"/>
          <w:sz w:val="17"/>
          <w:szCs w:val="17"/>
          <w:color w:val="auto"/>
        </w:rPr>
        <w:t>The Company and the Underwriters agree that it would not be just and equitable if contribution pursuant to paragraph</w:t>
      </w:r>
    </w:p>
    <w:p>
      <w:pPr>
        <w:spacing w:after="0" w:line="34" w:lineRule="exact"/>
        <w:rPr>
          <w:rFonts w:ascii="Arial" w:cs="Arial" w:eastAsia="Arial" w:hAnsi="Arial"/>
          <w:sz w:val="17"/>
          <w:szCs w:val="17"/>
          <w:color w:val="auto"/>
        </w:rPr>
      </w:pPr>
    </w:p>
    <w:p>
      <w:pPr>
        <w:ind w:left="-8" w:firstLine="8"/>
        <w:spacing w:after="0" w:line="268" w:lineRule="auto"/>
        <w:tabs>
          <w:tab w:leader="none" w:pos="247"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above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71" w:lineRule="exact"/>
        <w:rPr>
          <w:rFonts w:ascii="Arial" w:cs="Arial" w:eastAsia="Arial" w:hAnsi="Arial"/>
          <w:sz w:val="17"/>
          <w:szCs w:val="17"/>
          <w:color w:val="auto"/>
        </w:rPr>
      </w:pPr>
    </w:p>
    <w:p>
      <w:pPr>
        <w:ind w:left="-8" w:right="220" w:firstLine="464"/>
        <w:spacing w:after="0" w:line="277" w:lineRule="auto"/>
        <w:tabs>
          <w:tab w:leader="none" w:pos="673"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8 paragraphs (a) through (e) are not exclusive and shall not limit any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which may otherwise be available to any Indemnified Person at law or in equity.</w:t>
      </w:r>
    </w:p>
    <w:p>
      <w:pPr>
        <w:spacing w:after="0" w:line="170" w:lineRule="exact"/>
        <w:rPr>
          <w:sz w:val="20"/>
          <w:szCs w:val="20"/>
          <w:color w:val="auto"/>
        </w:rPr>
      </w:pPr>
    </w:p>
    <w:p>
      <w:pPr>
        <w:ind w:left="632" w:hanging="176"/>
        <w:spacing w:after="0"/>
        <w:tabs>
          <w:tab w:leader="none" w:pos="63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225" w:lineRule="exact"/>
        <w:rPr>
          <w:rFonts w:ascii="Arial" w:cs="Arial" w:eastAsia="Arial" w:hAnsi="Arial"/>
          <w:sz w:val="18"/>
          <w:szCs w:val="18"/>
          <w:color w:val="auto"/>
        </w:rPr>
      </w:pPr>
    </w:p>
    <w:p>
      <w:pPr>
        <w:ind w:left="-8" w:right="20" w:firstLine="464"/>
        <w:spacing w:after="0" w:line="253" w:lineRule="auto"/>
        <w:tabs>
          <w:tab w:leader="none" w:pos="71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in the absolute discretion of the Representative, by notice to the Company, if after the execution and delivery of this Agreement and prior to the Closing Date or, in the case of the Option Shares, prior to the Additional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97" w:lineRule="exact"/>
        <w:rPr>
          <w:rFonts w:ascii="Arial" w:cs="Arial" w:eastAsia="Arial" w:hAnsi="Arial"/>
          <w:sz w:val="18"/>
          <w:szCs w:val="18"/>
          <w:color w:val="auto"/>
        </w:rPr>
      </w:pPr>
    </w:p>
    <w:p>
      <w:pPr>
        <w:ind w:left="712" w:hanging="256"/>
        <w:spacing w:after="0"/>
        <w:tabs>
          <w:tab w:leader="none" w:pos="71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117" w:lineRule="exact"/>
        <w:rPr>
          <w:sz w:val="20"/>
          <w:szCs w:val="20"/>
          <w:color w:val="auto"/>
        </w:rPr>
      </w:pPr>
    </w:p>
    <w:p>
      <w:pPr>
        <w:ind w:left="-8" w:right="120" w:firstLine="464"/>
        <w:spacing w:after="0" w:line="264" w:lineRule="auto"/>
        <w:tabs>
          <w:tab w:leader="none" w:pos="693"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92"/>
          </w:cols>
          <w:pgMar w:left="248" w:top="274" w:right="259" w:bottom="1440" w:gutter="0" w:footer="0" w:header="0"/>
        </w:sectPr>
      </w:pPr>
    </w:p>
    <w:bookmarkStart w:id="40" w:name="page41"/>
    <w:bookmarkEnd w:id="40"/>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If, within 36 hours after any such default by any Underwriter, the non-defaulting Underwriters do not arrange for the purchase of such Shares, then the Company shall be entitled to a further period of 36 hours within which to procure other persons reasonably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Shares that a defaulting Underwriter agreed but failed to purchase.</w:t>
      </w:r>
    </w:p>
    <w:p>
      <w:pPr>
        <w:spacing w:after="0" w:line="74" w:lineRule="exact"/>
        <w:rPr>
          <w:sz w:val="20"/>
          <w:szCs w:val="20"/>
          <w:color w:val="auto"/>
        </w:rPr>
      </w:pPr>
    </w:p>
    <w:p>
      <w:pPr>
        <w:ind w:right="120" w:firstLine="464"/>
        <w:spacing w:after="0" w:line="273" w:lineRule="auto"/>
        <w:tabs>
          <w:tab w:leader="none" w:pos="711"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70" w:lineRule="exact"/>
        <w:rPr>
          <w:rFonts w:ascii="Arial" w:cs="Arial" w:eastAsia="Arial" w:hAnsi="Arial"/>
          <w:sz w:val="17"/>
          <w:szCs w:val="17"/>
          <w:color w:val="auto"/>
        </w:rPr>
      </w:pPr>
    </w:p>
    <w:p>
      <w:pPr>
        <w:ind w:right="140" w:firstLine="464"/>
        <w:spacing w:after="0" w:line="254" w:lineRule="auto"/>
        <w:tabs>
          <w:tab w:leader="none" w:pos="7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84"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41" w:name="page42"/>
    <w:bookmarkEnd w:id="41"/>
    <w:p>
      <w:pPr>
        <w:ind w:left="732" w:hanging="276"/>
        <w:spacing w:after="0"/>
        <w:tabs>
          <w:tab w:leader="none" w:pos="73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Expenses</w:t>
      </w:r>
      <w:r>
        <w:rPr>
          <w:rFonts w:ascii="Arial" w:cs="Arial" w:eastAsia="Arial" w:hAnsi="Arial"/>
          <w:sz w:val="18"/>
          <w:szCs w:val="18"/>
          <w:i w:val="1"/>
          <w:iCs w:val="1"/>
          <w:color w:val="auto"/>
        </w:rPr>
        <w:t>.</w:t>
      </w:r>
    </w:p>
    <w:p>
      <w:pPr>
        <w:spacing w:after="0" w:line="117" w:lineRule="exact"/>
        <w:rPr>
          <w:sz w:val="20"/>
          <w:szCs w:val="20"/>
          <w:color w:val="auto"/>
        </w:rPr>
      </w:pPr>
    </w:p>
    <w:p>
      <w:pPr>
        <w:ind w:left="-8" w:firstLine="464"/>
        <w:spacing w:after="0" w:line="285" w:lineRule="auto"/>
        <w:tabs>
          <w:tab w:leader="none" w:pos="693"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stamp, issuance, transfer or other similar taxes payable in that connection; (ii) the costs incident to the preparation, printing and filing under the Securities Act of the Registration Statement, the Preliminary Prospectus, any Pricing Disclosure Package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Shares under the state or foreign securities or blue sky laws of such jurisdictions as the Representative may designate with the prior approval of the Company (such approval not to be unreasonably withheld, conditioned or delayed) (including the related reasonable and documented fees and expenses of counsel for the Underwriters); (v) the cost of preparing stock certificates, if applicable; (vi) the costs and charges of any transfer agent and any registrar; (vii) all filing fees and the reasonable fees and expenses incurred in connection with any filing with, and clearance of the offering by, FINRA (such fees and expenses pursuant to this clause (vii) and clause (iv), in the aggregate, shall not exceed $15,000); (viii) all expenses incurred by the Company in connection with any “road show” presentation to potential investors,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Underwriters shall be responsible for 50% of the third-party costs of any chartered private aircraft incurred in connection with such road show; and (ix) all expenses and application fees related to the listing of the Shares on the New York Stock Exchange.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third-party costs of any chartered private aircraft incurred in connection with the road show and all travel, lodging and other expenses of the Underwriters incurred by them in connection with any road show.</w:t>
      </w:r>
    </w:p>
    <w:p>
      <w:pPr>
        <w:spacing w:after="0" w:line="67" w:lineRule="exact"/>
        <w:rPr>
          <w:rFonts w:ascii="Arial" w:cs="Arial" w:eastAsia="Arial" w:hAnsi="Arial"/>
          <w:sz w:val="16"/>
          <w:szCs w:val="16"/>
          <w:color w:val="auto"/>
        </w:rPr>
      </w:pPr>
    </w:p>
    <w:p>
      <w:pPr>
        <w:ind w:left="712" w:hanging="256"/>
        <w:spacing w:after="0"/>
        <w:tabs>
          <w:tab w:leader="none" w:pos="712" w:val="left"/>
        </w:tabs>
        <w:numPr>
          <w:ilvl w:val="1"/>
          <w:numId w:val="61"/>
        </w:numPr>
        <w:rPr>
          <w:rFonts w:ascii="Arial" w:cs="Arial" w:eastAsia="Arial" w:hAnsi="Arial"/>
          <w:sz w:val="16"/>
          <w:szCs w:val="16"/>
          <w:color w:val="auto"/>
        </w:rPr>
      </w:pPr>
      <w:r>
        <w:rPr>
          <w:rFonts w:ascii="Arial" w:cs="Arial" w:eastAsia="Arial" w:hAnsi="Arial"/>
          <w:sz w:val="16"/>
          <w:szCs w:val="16"/>
          <w:color w:val="auto"/>
        </w:rPr>
        <w:t>If (i) this Agreement is terminated pursuant to Section 10 (other than as a result of a termination pursuant to clauses (i), (iii) or (iv) of Section 10),</w:t>
      </w:r>
    </w:p>
    <w:p>
      <w:pPr>
        <w:spacing w:after="0" w:line="46" w:lineRule="exact"/>
        <w:rPr>
          <w:rFonts w:ascii="Arial" w:cs="Arial" w:eastAsia="Arial" w:hAnsi="Arial"/>
          <w:sz w:val="16"/>
          <w:szCs w:val="16"/>
          <w:color w:val="auto"/>
        </w:rPr>
      </w:pPr>
    </w:p>
    <w:p>
      <w:pPr>
        <w:ind w:left="-8" w:right="40" w:firstLine="8"/>
        <w:spacing w:after="0" w:line="253" w:lineRule="auto"/>
        <w:tabs>
          <w:tab w:leader="none" w:pos="25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for any reason fails to tender the Shares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Shares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91" w:lineRule="exact"/>
        <w:rPr>
          <w:sz w:val="20"/>
          <w:szCs w:val="20"/>
          <w:color w:val="auto"/>
        </w:rPr>
      </w:pPr>
    </w:p>
    <w:p>
      <w:pPr>
        <w:ind w:left="-8" w:right="160" w:firstLine="464"/>
        <w:spacing w:after="0" w:line="279" w:lineRule="auto"/>
        <w:tabs>
          <w:tab w:leader="none" w:pos="718"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12"/>
          </w:cols>
          <w:pgMar w:left="248" w:top="274" w:right="239" w:bottom="1440" w:gutter="0" w:footer="0" w:header="0"/>
        </w:sectPr>
      </w:pPr>
    </w:p>
    <w:bookmarkStart w:id="42" w:name="page43"/>
    <w:bookmarkEnd w:id="42"/>
    <w:p>
      <w:pPr>
        <w:jc w:val="both"/>
        <w:ind w:right="540" w:firstLine="464"/>
        <w:spacing w:after="0" w:line="302" w:lineRule="auto"/>
        <w:tabs>
          <w:tab w:leader="none" w:pos="726"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Survival</w:t>
      </w:r>
      <w:r>
        <w:rPr>
          <w:rFonts w:ascii="Arial" w:cs="Arial" w:eastAsia="Arial" w:hAnsi="Arial"/>
          <w:sz w:val="16"/>
          <w:szCs w:val="16"/>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Adviser or the Underwriters.</w:t>
      </w:r>
    </w:p>
    <w:p>
      <w:pPr>
        <w:spacing w:after="0" w:line="154" w:lineRule="exact"/>
        <w:rPr>
          <w:rFonts w:ascii="Arial" w:cs="Arial" w:eastAsia="Arial" w:hAnsi="Arial"/>
          <w:sz w:val="16"/>
          <w:szCs w:val="16"/>
          <w:color w:val="auto"/>
        </w:rPr>
      </w:pPr>
    </w:p>
    <w:p>
      <w:pPr>
        <w:ind w:right="100" w:firstLine="464"/>
        <w:spacing w:after="0" w:line="286" w:lineRule="auto"/>
        <w:tabs>
          <w:tab w:leader="none" w:pos="726"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65" w:lineRule="exact"/>
        <w:rPr>
          <w:rFonts w:ascii="Arial" w:cs="Arial" w:eastAsia="Arial" w:hAnsi="Arial"/>
          <w:sz w:val="17"/>
          <w:szCs w:val="17"/>
          <w:color w:val="auto"/>
        </w:rPr>
      </w:pPr>
    </w:p>
    <w:p>
      <w:pPr>
        <w:ind w:left="740" w:hanging="276"/>
        <w:spacing w:after="0"/>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20" w:firstLine="464"/>
        <w:spacing w:after="0" w:line="257" w:lineRule="auto"/>
        <w:tabs>
          <w:tab w:leader="none" w:pos="701"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confirmed by any standard form of telecommunication. Notices to the Underwriters shall be given to the Representative c/o J.P. Morgan Securities LLC, 383 Madison Avenue, New York, New York 10179 (fax: (212) 622-8358); Attention Equity Syndicate Desk. Notices to the Company or the Adviser shall be given to either of them at TPG Specialty Lending, Inc., 345 California Street, Suite 3300, San Francisco, California 94104 (fax: (917) 463-0175), Attention: David Stiepleman.</w:t>
      </w:r>
    </w:p>
    <w:p>
      <w:pPr>
        <w:spacing w:after="0" w:line="80" w:lineRule="exact"/>
        <w:rPr>
          <w:rFonts w:ascii="Arial" w:cs="Arial" w:eastAsia="Arial" w:hAnsi="Arial"/>
          <w:sz w:val="18"/>
          <w:szCs w:val="18"/>
          <w:color w:val="auto"/>
        </w:rPr>
      </w:pPr>
    </w:p>
    <w:p>
      <w:pPr>
        <w:ind w:firstLine="464"/>
        <w:spacing w:after="0" w:line="264" w:lineRule="auto"/>
        <w:tabs>
          <w:tab w:leader="none" w:pos="711"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USA Patriot Act</w:t>
      </w:r>
      <w:r>
        <w:rPr>
          <w:rFonts w:ascii="Arial" w:cs="Arial" w:eastAsia="Arial" w:hAnsi="Arial"/>
          <w:sz w:val="18"/>
          <w:szCs w:val="18"/>
          <w:color w:val="auto"/>
        </w:rPr>
        <w:t>. In accordance with the requirements of the USA Patriot Act (Title III of Pub. L, 107-56 (signed into law October 26, 2001)),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73" w:lineRule="exact"/>
        <w:rPr>
          <w:rFonts w:ascii="Arial" w:cs="Arial" w:eastAsia="Arial" w:hAnsi="Arial"/>
          <w:sz w:val="18"/>
          <w:szCs w:val="18"/>
          <w:color w:val="auto"/>
        </w:rPr>
      </w:pPr>
    </w:p>
    <w:p>
      <w:pPr>
        <w:ind w:right="700" w:firstLine="464"/>
        <w:spacing w:after="0" w:line="308" w:lineRule="auto"/>
        <w:tabs>
          <w:tab w:leader="none" w:pos="701"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the State of New York applicable to agreements made and to be performed in such state.</w:t>
      </w:r>
    </w:p>
    <w:p>
      <w:pPr>
        <w:spacing w:after="0" w:line="38" w:lineRule="exact"/>
        <w:rPr>
          <w:rFonts w:ascii="Arial" w:cs="Arial" w:eastAsia="Arial" w:hAnsi="Arial"/>
          <w:sz w:val="17"/>
          <w:szCs w:val="17"/>
          <w:color w:val="auto"/>
        </w:rPr>
      </w:pPr>
    </w:p>
    <w:p>
      <w:pPr>
        <w:ind w:right="1380" w:firstLine="464"/>
        <w:spacing w:after="0" w:line="308" w:lineRule="auto"/>
        <w:tabs>
          <w:tab w:leader="none" w:pos="711"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pacing w:after="0" w:line="38" w:lineRule="exact"/>
        <w:rPr>
          <w:rFonts w:ascii="Arial" w:cs="Arial" w:eastAsia="Arial" w:hAnsi="Arial"/>
          <w:sz w:val="17"/>
          <w:szCs w:val="17"/>
          <w:color w:val="auto"/>
        </w:rPr>
      </w:pPr>
    </w:p>
    <w:p>
      <w:pPr>
        <w:ind w:right="360" w:firstLine="464"/>
        <w:spacing w:after="0" w:line="277" w:lineRule="auto"/>
        <w:tabs>
          <w:tab w:leader="none" w:pos="701"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62" w:lineRule="exact"/>
        <w:rPr>
          <w:rFonts w:ascii="Arial" w:cs="Arial" w:eastAsia="Arial" w:hAnsi="Arial"/>
          <w:sz w:val="18"/>
          <w:szCs w:val="18"/>
          <w:color w:val="auto"/>
        </w:rPr>
      </w:pPr>
    </w:p>
    <w:p>
      <w:pPr>
        <w:ind w:right="660" w:firstLine="464"/>
        <w:spacing w:after="0" w:line="277" w:lineRule="auto"/>
        <w:tabs>
          <w:tab w:leader="none" w:pos="681"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If the foregoing is in accordance with your understanding, please indicate your acceptance of this Agreement by signing in the space provided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43" w:name="page44"/>
    <w:bookmarkEnd w:id="4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TPG SPECIALTY LENDING, INC.</w:t>
      </w:r>
    </w:p>
    <w:p>
      <w:pPr>
        <w:spacing w:after="0" w:line="22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Ian T. Simmonds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Title:  Chief Financial Officer</w:t>
      </w:r>
    </w:p>
    <w:p>
      <w:pPr>
        <w:spacing w:after="0" w:line="22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TSL ADVISERS,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Ian T. Simmonds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Underwriting Agreement]</w:t>
      </w:r>
    </w:p>
    <w:p>
      <w:pPr>
        <w:sectPr>
          <w:pgSz w:w="11900" w:h="16838" w:orient="portrait"/>
          <w:cols w:equalWidth="0" w:num="1">
            <w:col w:w="9019"/>
          </w:cols>
          <w:pgMar w:left="1440" w:top="274"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Acting on behalf of itself and the several Underwriters listed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Drummond S.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Drummond S. Rice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10219"/>
          </w:cols>
          <w:pgMar w:left="240" w:top="274"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5360" w:type="dxa"/>
            <w:vAlign w:val="bottom"/>
            <w:gridSpan w:val="2"/>
          </w:tcPr>
          <w:p>
            <w:pPr>
              <w:spacing w:after="0"/>
              <w:rPr>
                <w:sz w:val="20"/>
                <w:szCs w:val="20"/>
                <w:color w:val="auto"/>
              </w:rPr>
            </w:pPr>
            <w:r>
              <w:rPr>
                <w:rFonts w:ascii="Arial" w:cs="Arial" w:eastAsia="Arial" w:hAnsi="Arial"/>
                <w:sz w:val="14"/>
                <w:szCs w:val="14"/>
                <w:color w:val="auto"/>
              </w:rPr>
              <w:t>Underwriter</w:t>
            </w:r>
          </w:p>
        </w:tc>
        <w:tc>
          <w:tcPr>
            <w:tcW w:w="2400" w:type="dxa"/>
            <w:vAlign w:val="bottom"/>
            <w:gridSpan w:val="2"/>
          </w:tcPr>
          <w:p>
            <w:pPr>
              <w:jc w:val="right"/>
              <w:spacing w:after="0"/>
              <w:rPr>
                <w:sz w:val="20"/>
                <w:szCs w:val="20"/>
                <w:color w:val="auto"/>
              </w:rPr>
            </w:pPr>
            <w:r>
              <w:rPr>
                <w:rFonts w:ascii="Arial" w:cs="Arial" w:eastAsia="Arial" w:hAnsi="Arial"/>
                <w:sz w:val="14"/>
                <w:szCs w:val="14"/>
                <w:color w:val="auto"/>
              </w:rPr>
              <w:t>Number of Shares</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280" w:type="dxa"/>
            <w:vAlign w:val="bottom"/>
            <w:vMerge w:val="restart"/>
            <w:shd w:val="clear" w:color="auto" w:fill="CCEEFF"/>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280" w:type="dxa"/>
            <w:vAlign w:val="bottom"/>
            <w:vMerge w:val="continue"/>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468,750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412,500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 Incorporated</w:t>
            </w:r>
          </w:p>
        </w:tc>
        <w:tc>
          <w:tcPr>
            <w:tcW w:w="2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412,500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412,500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2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2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206,250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2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206,250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187,500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2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2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131,250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Ladenburg Thalmann &amp; Co. Inc.</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TPG Capital BDC, LLC</w:t>
            </w:r>
          </w:p>
        </w:tc>
        <w:tc>
          <w:tcPr>
            <w:tcW w:w="2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Comerica Securities, Inc.</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372"/>
        </w:trPr>
        <w:tc>
          <w:tcPr>
            <w:tcW w:w="700" w:type="dxa"/>
            <w:vAlign w:val="bottom"/>
          </w:tcPr>
          <w:p>
            <w:pPr>
              <w:spacing w:after="0"/>
              <w:rPr>
                <w:sz w:val="24"/>
                <w:szCs w:val="24"/>
                <w:color w:val="auto"/>
              </w:rPr>
            </w:pPr>
          </w:p>
        </w:tc>
        <w:tc>
          <w:tcPr>
            <w:tcW w:w="4660" w:type="dxa"/>
            <w:vAlign w:val="bottom"/>
          </w:tcPr>
          <w:p>
            <w:pPr>
              <w:ind w:left="2980"/>
              <w:spacing w:after="0"/>
              <w:rPr>
                <w:sz w:val="20"/>
                <w:szCs w:val="20"/>
                <w:color w:val="auto"/>
              </w:rPr>
            </w:pPr>
            <w:r>
              <w:rPr>
                <w:rFonts w:ascii="Arial" w:cs="Arial" w:eastAsia="Arial" w:hAnsi="Arial"/>
                <w:sz w:val="18"/>
                <w:szCs w:val="18"/>
                <w:color w:val="auto"/>
              </w:rPr>
              <w:t>S-1-1</w:t>
            </w:r>
          </w:p>
        </w:tc>
        <w:tc>
          <w:tcPr>
            <w:tcW w:w="12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1440" w:top="27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52"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TC Lending, LLC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TPG SL SPV, LLC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TSL MR,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27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Directors and Officers subject to Lock-Up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(Bo) Stanley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Higginbotham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Tanemura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 Waxman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Stiepleman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Pluss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Craig Hamrah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Gordon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Graf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27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Information Provided Orally by Underwriters</w:t>
      </w:r>
    </w:p>
    <w:p>
      <w:pPr>
        <w:spacing w:after="0" w:line="135"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Underwritten Shares: 3,750,000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Public Offering Price Per Share: $17.45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w:t>
      </w:r>
    </w:p>
    <w:p>
      <w:pPr>
        <w:sectPr>
          <w:pgSz w:w="11900" w:h="16838" w:orient="portrait"/>
          <w:cols w:equalWidth="0" w:num="1">
            <w:col w:w="11420"/>
          </w:cols>
          <w:pgMar w:left="240" w:top="27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w:t>
      </w:r>
    </w:p>
    <w:p>
      <w:pPr>
        <w:spacing w:after="0" w:line="23" w:lineRule="exact"/>
        <w:rPr>
          <w:sz w:val="20"/>
          <w:szCs w:val="20"/>
          <w:color w:val="auto"/>
        </w:rPr>
      </w:pPr>
    </w:p>
    <w:p>
      <w:pPr>
        <w:ind w:left="10980"/>
        <w:spacing w:after="0"/>
        <w:rPr>
          <w:sz w:val="20"/>
          <w:szCs w:val="20"/>
          <w:color w:val="auto"/>
        </w:rPr>
      </w:pPr>
      <w:r>
        <w:rPr>
          <w:rFonts w:ascii="Arial" w:cs="Arial" w:eastAsia="Arial" w:hAnsi="Arial"/>
          <w:sz w:val="15"/>
          <w:szCs w:val="15"/>
          <w:color w:val="auto"/>
        </w:rPr>
        <w:t>, 2018</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undersigned understands that you, as Representative of the several Underwriters, propose to enter into an Underwriting Agreement (the “Underwriting Agreement”) with TPG Specialty Lending, Inc., a Delaware corporation (the “Company”) and TSL Advisers, LLC, providing for the public offering (the “Public Offering”) by the several Underwriters named in Schedule 1 to the Underwriting Agreement (the “Underwriters”), of common stock, par value $0.01, of the Company (the “Shares”). Capitalized terms used herein and not otherwise defined shall have the meanings set forth in the Underwriting Agreement.</w:t>
      </w:r>
    </w:p>
    <w:p>
      <w:pPr>
        <w:spacing w:after="0" w:line="188"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consideration of the Underwriters’ agreement to purchase and make the Public Offering of the Shares, and for other good and valuable consideration receipt of which is hereby acknowledged, the undersigned hereby agrees that, without the prior written consent of J.P. Morgan Securities LLC, on behalf of the Underwriters, the undersigned will not, during the “Lock-Up Period,” which term shall mean the period ending 30 days after the date of the prospectus relating to the Public Offering (the “Prospectus”) for all of the undersigned’s shares of common stock, $0.01 per share par value, of the Company (the “Common Stock”), (1)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(the “Commission”) and including any Common Stock or other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the Common Stock or such other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20"/>
          </w:cols>
          <w:pgMar w:left="240" w:top="274" w:right="239" w:bottom="1440" w:gutter="0" w:footer="0" w:header="0"/>
        </w:sectPr>
      </w:pPr>
    </w:p>
    <w:bookmarkStart w:id="50" w:name="page51"/>
    <w:bookmarkEnd w:id="5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whether any such transaction described in clause (1) or (2) above is to be settled by delivery of Common Stock or such other securities, in cash or otherwise or (3) make any demand for or exercise any right with respect to the registration of any shares of Common Stock or any security convertible into or exercisable or exchangeable for Common Stock (except for purposes of clause (3) for such demands or exercises as will not require or permit any public filing or other public disclosure to be made in connection therewith until after the expiration of the Lock-Up Period referred to above), in each case other than:</w:t>
      </w:r>
    </w:p>
    <w:p>
      <w:pPr>
        <w:spacing w:after="0" w:line="94"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transfers of shares of Common Stock or such other securities as a bona fide gift or gifts;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transfers of Common Stock or such other securities as donations to charitable organizations;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transfers of shares of Common Stock or such other securities as a result of the operation of law, such as estate, other testamentary document or intestate succession;</w:t>
      </w:r>
    </w:p>
    <w:p>
      <w:pPr>
        <w:spacing w:after="0" w:line="75" w:lineRule="exact"/>
        <w:rPr>
          <w:rFonts w:ascii="Arial" w:cs="Arial" w:eastAsia="Arial" w:hAnsi="Arial"/>
          <w:sz w:val="18"/>
          <w:szCs w:val="18"/>
          <w:color w:val="auto"/>
        </w:rPr>
      </w:pPr>
    </w:p>
    <w:p>
      <w:pPr>
        <w:ind w:left="900" w:right="320" w:hanging="446"/>
        <w:spacing w:after="0" w:line="286"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transfer of shares of Common Stock or such other securities to any immediate family member of the undersigned or any trust for the direct or indirect benefit of the undersigned or any immediate family member of the undersigned (for purposes of this Letter Agreement, “immediate family” shall mean any relationship by blood, marriage or adoption, not more remote than first cousin);</w:t>
      </w:r>
    </w:p>
    <w:p>
      <w:pPr>
        <w:spacing w:after="0" w:line="70"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undersigned is a corporation, partnership or other business entity, transfers or distributions of shares of Common Stock or such other securities to (1) its limited or general partners, members or stockholders or (2) its direct or indirect affiliates or other entities or funds controlled or managed by the undersigned or its affiliates; or</w:t>
      </w:r>
    </w:p>
    <w:p>
      <w:pPr>
        <w:spacing w:after="0" w:line="86"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such other securities acquired in open market transactions or acquired from the Company under its dividend reinvestment plan after the completion of the Public Offering;</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transfer or distribution pursuant to clauses (i) through (v), each donee, transferee or distributee shall execute and deliver to the Representative a lock-up letter in the form of this paragraph; and provided, further, that in the case of any transfer or distribution pursuant to clauses</w:t>
      </w:r>
    </w:p>
    <w:p>
      <w:pPr>
        <w:jc w:val="both"/>
        <w:ind w:right="160" w:firstLine="8"/>
        <w:spacing w:after="0" w:line="255" w:lineRule="auto"/>
        <w:tabs>
          <w:tab w:leader="none" w:pos="2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through (v), no filing by any party (donor, donee, transferor or transferee) under the Securities Exchange Act of 1934, as amended (the “Exchange Act”), or other public announcement shall be required or shall be made voluntarily in connection with such transfer or distribution (other than a filing on a Form 5 made after the expiration of the Lock-Up Period referred to above).</w:t>
      </w:r>
    </w:p>
    <w:p>
      <w:pPr>
        <w:spacing w:after="0" w:line="19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Furthermore, the undersigned may, if permitted by the Company, establish a written trading plan meeting the requirements of Rule 10b5-1 under the Exchange Act;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establishment of such plan does not give rise to any filing or public announcement and that no sales or other transfers occur under such plan during the Lock-Up Period referred to above.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400"/>
          </w:cols>
          <w:pgMar w:left="240" w:top="274" w:right="259" w:bottom="1440" w:gutter="0" w:footer="0" w:header="0"/>
        </w:sectPr>
      </w:pPr>
    </w:p>
    <w:bookmarkStart w:id="51" w:name="page52"/>
    <w:bookmarkEnd w:id="51"/>
    <w:p>
      <w:pPr>
        <w:ind w:right="16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24"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undersigned understands that, if (i) prior to entering into the Underwriting Agreement, the Company notifies the Representative in writing that the Company does not intend to proceed with the Public Offering of Shares; (ii) the Underwriting Agreement has not been executed by all parties by March 31, 2018; or (iii)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 A-3</w:t>
      </w:r>
    </w:p>
    <w:p>
      <w:pPr>
        <w:sectPr>
          <w:pgSz w:w="11900" w:h="16838" w:orient="portrait"/>
          <w:cols w:equalWidth="0" w:num="1">
            <w:col w:w="11320"/>
          </w:cols>
          <w:pgMar w:left="240" w:top="274" w:right="339" w:bottom="1440" w:gutter="0" w:footer="0" w:header="0"/>
        </w:sectPr>
      </w:pPr>
    </w:p>
    <w:bookmarkStart w:id="52" w:name="page53"/>
    <w:bookmarkEnd w:id="5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A-4</w:t>
      </w:r>
    </w:p>
    <w:p>
      <w:pPr>
        <w:sectPr>
          <w:pgSz w:w="11900" w:h="16838" w:orient="portrait"/>
          <w:cols w:equalWidth="0" w:num="1">
            <w:col w:w="9019"/>
          </w:cols>
          <w:pgMar w:left="1440" w:top="274"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(l)(3)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172085</wp:posOffset>
            </wp:positionV>
            <wp:extent cx="6363335" cy="256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63335"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600"/>
        <w:spacing w:after="0"/>
        <w:rPr>
          <w:sz w:val="20"/>
          <w:szCs w:val="20"/>
          <w:color w:val="auto"/>
        </w:rPr>
      </w:pPr>
      <w:r>
        <w:rPr>
          <w:rFonts w:ascii="Arial" w:cs="Arial" w:eastAsia="Arial" w:hAnsi="Arial"/>
          <w:sz w:val="18"/>
          <w:szCs w:val="18"/>
          <w:color w:val="auto"/>
        </w:rPr>
        <w:t>Writer’s Direct Dial: +1 (212) 225-2286</w:t>
      </w:r>
    </w:p>
    <w:p>
      <w:pPr>
        <w:spacing w:after="0" w:line="23" w:lineRule="exact"/>
        <w:rPr>
          <w:sz w:val="20"/>
          <w:szCs w:val="20"/>
          <w:color w:val="auto"/>
        </w:rPr>
      </w:pPr>
    </w:p>
    <w:p>
      <w:pPr>
        <w:jc w:val="center"/>
        <w:ind w:right="5600"/>
        <w:spacing w:after="0"/>
        <w:rPr>
          <w:sz w:val="20"/>
          <w:szCs w:val="20"/>
          <w:color w:val="auto"/>
        </w:rPr>
      </w:pPr>
      <w:r>
        <w:rPr>
          <w:rFonts w:ascii="Arial" w:cs="Arial" w:eastAsia="Arial" w:hAnsi="Arial"/>
          <w:sz w:val="18"/>
          <w:szCs w:val="18"/>
          <w:color w:val="auto"/>
        </w:rPr>
        <w:t>E-Mail: afleisher@cgsh.com</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March 23,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have acted as counsel to TPG Specialty Lending,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Company’s offering pursuant to a registration statement on Form N-2 (No. 333-217207), as amended as of March 20, 2018 for purposes of Rule 430C(a)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(as so amended,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and the prospectus, dated May 30, 2017 (the “</w:t>
      </w:r>
      <w:r>
        <w:rPr>
          <w:rFonts w:ascii="Arial" w:cs="Arial" w:eastAsia="Arial" w:hAnsi="Arial"/>
          <w:sz w:val="17"/>
          <w:szCs w:val="17"/>
          <w:u w:val="single" w:color="auto"/>
          <w:color w:val="auto"/>
        </w:rPr>
        <w:t>Base Prospectus</w:t>
      </w:r>
      <w:r>
        <w:rPr>
          <w:rFonts w:ascii="Arial" w:cs="Arial" w:eastAsia="Arial" w:hAnsi="Arial"/>
          <w:sz w:val="17"/>
          <w:szCs w:val="17"/>
          <w:color w:val="auto"/>
        </w:rPr>
        <w:t>”), as supplemented by the prospectus supplement thereto, dated March 20, 2018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and, together with the Base Prospectus, the “</w:t>
      </w:r>
      <w:r>
        <w:rPr>
          <w:rFonts w:ascii="Arial" w:cs="Arial" w:eastAsia="Arial" w:hAnsi="Arial"/>
          <w:sz w:val="17"/>
          <w:szCs w:val="17"/>
          <w:u w:val="single" w:color="auto"/>
          <w:color w:val="auto"/>
        </w:rPr>
        <w:t>Prospectus</w:t>
      </w:r>
      <w:r>
        <w:rPr>
          <w:rFonts w:ascii="Arial" w:cs="Arial" w:eastAsia="Arial" w:hAnsi="Arial"/>
          <w:sz w:val="17"/>
          <w:szCs w:val="17"/>
          <w:color w:val="auto"/>
        </w:rPr>
        <w:t>”), of 3,750,000 shares of the Company’s common stock, par value $0.01 per share (the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the opinion expressed below, we have reviewed the following documents:</w:t>
      </w:r>
    </w:p>
    <w:p>
      <w:pPr>
        <w:spacing w:after="0" w:line="13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executed copy of the Underwriting Agreement, dated March 20, 2018, among the Company, TSL Advisers, LLC and the several underwriters named in Schedule 1 thereto;</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certificate of State Street Bank and Trust Company, as registrar and transfer agent for the Securities, certifying due issuance and registration of the Securities; and</w:t>
      </w:r>
    </w:p>
    <w:p>
      <w:pPr>
        <w:spacing w:after="0" w:line="75" w:lineRule="exact"/>
        <w:rPr>
          <w:rFonts w:ascii="Arial" w:cs="Arial" w:eastAsia="Arial" w:hAnsi="Arial"/>
          <w:sz w:val="18"/>
          <w:szCs w:val="18"/>
          <w:color w:val="auto"/>
        </w:rPr>
      </w:pPr>
    </w:p>
    <w:p>
      <w:pPr>
        <w:jc w:val="both"/>
        <w:ind w:left="900" w:right="600" w:hanging="446"/>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copies of the Company’s Amended and Restated Certificate of Incorporation and Certificate of Amendment to the Amended and Restated Certificate of Incorporation, each certified by the Secretary of State of the State of Delaware, and the Company’s Bylaws, certified by the Secretary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Cleary Gottlieb Steen &amp; Hamilton LLP or an affiliated entity has an office in each of the cities listed above.</w:t>
      </w:r>
    </w:p>
    <w:p>
      <w:pPr>
        <w:sectPr>
          <w:pgSz w:w="11900" w:h="16838" w:orient="portrait"/>
          <w:cols w:equalWidth="0" w:num="1">
            <w:col w:w="11420"/>
          </w:cols>
          <w:pgMar w:left="240" w:top="12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p. 2</w:t>
      </w:r>
    </w:p>
    <w:p>
      <w:pPr>
        <w:spacing w:after="0" w:line="11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 expressed below.</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 the Securities have been validly issued by the Company and are fully paid and nonassessable.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opinion is limited to the General Corporation Law of the State of Delaware.</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hereby consent to the use of our name in the Prospectus under the headings “Legal Matters” as counsel for the Company that has passed on the validity of the Securities, and to the use of this opinion as a part (Exhibit (l)(2)) of the Registration Statement. In giving this consent, we do not thereby admit that we are within the category of persons whose consent is required under Section 7 of the Securities Act or the rules and regulations of the Securities and Exchange Commission thereunder.</w:t>
      </w:r>
    </w:p>
    <w:p>
      <w:pPr>
        <w:spacing w:after="0" w:line="187"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Adam E. Fleisher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Adam E. Fleisher, a Partner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lowerLetter"/>
      <w:start w:val="2"/>
    </w:lvl>
  </w:abstractNum>
  <w:abstractNum w:abstractNumId="1">
    <w:nsid w:val="5072367"/>
    <w:multiLevelType w:val="hybridMultilevel"/>
    <w:lvl w:ilvl="0">
      <w:lvlJc w:val="left"/>
      <w:lvlText w:val="(%1)"/>
      <w:numFmt w:val="lowerLetter"/>
      <w:start w:val="3"/>
    </w:lvl>
  </w:abstractNum>
  <w:abstractNum w:abstractNumId="2">
    <w:nsid w:val="3804823E"/>
    <w:multiLevelType w:val="hybridMultilevel"/>
    <w:lvl w:ilvl="0">
      <w:lvlJc w:val="left"/>
      <w:lvlText w:val="(%1)"/>
      <w:numFmt w:val="lowerLetter"/>
      <w:start w:val="5"/>
    </w:lvl>
  </w:abstractNum>
  <w:abstractNum w:abstractNumId="3">
    <w:nsid w:val="77465F01"/>
    <w:multiLevelType w:val="hybridMultilevel"/>
    <w:lvl w:ilvl="0">
      <w:lvlJc w:val="left"/>
      <w:lvlText w:val="(%1)"/>
      <w:numFmt w:val="lowerLetter"/>
      <w:start w:val="9"/>
    </w:lvl>
  </w:abstractNum>
  <w:abstractNum w:abstractNumId="4">
    <w:nsid w:val="7724C67E"/>
    <w:multiLevelType w:val="hybridMultilevel"/>
    <w:lvl w:ilvl="0">
      <w:lvlJc w:val="left"/>
      <w:lvlText w:val="(%1)"/>
      <w:numFmt w:val="lowerLetter"/>
      <w:start w:val="13"/>
    </w:lvl>
  </w:abstractNum>
  <w:abstractNum w:abstractNumId="5">
    <w:nsid w:val="5C482A97"/>
    <w:multiLevelType w:val="hybridMultilevel"/>
    <w:lvl w:ilvl="0">
      <w:lvlJc w:val="left"/>
      <w:lvlText w:val="(%1)"/>
      <w:numFmt w:val="lowerLetter"/>
      <w:start w:val="15"/>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1)"/>
      <w:numFmt w:val="decimal"/>
      <w:start w:val="1"/>
    </w:lvl>
  </w:abstractNum>
  <w:abstractNum w:abstractNumId="11">
    <w:nsid w:val="153EA43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
    <w:nsid w:val="3855585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3">
    <w:nsid w:val="70A64E2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
    <w:nsid w:val="6A2342EC"/>
    <w:multiLevelType w:val="hybridMultilevel"/>
    <w:lvl w:ilvl="0">
      <w:lvlJc w:val="left"/>
      <w:lvlText w:val="%1."/>
      <w:numFmt w:val="decimal"/>
      <w:start w:val="1"/>
    </w:lvl>
  </w:abstractNum>
  <w:abstractNum w:abstractNumId="15">
    <w:nsid w:val="2A487CB0"/>
    <w:multiLevelType w:val="hybridMultilevel"/>
    <w:lvl w:ilvl="0">
      <w:lvlJc w:val="left"/>
      <w:lvlText w:val="%1."/>
      <w:numFmt w:val="decimal"/>
      <w:start w:val="2"/>
    </w:lvl>
  </w:abstractNum>
  <w:abstractNum w:abstractNumId="16">
    <w:nsid w:val="1D4ED43B"/>
    <w:multiLevelType w:val="hybridMultilevel"/>
    <w:lvl w:ilvl="0">
      <w:lvlJc w:val="left"/>
      <w:lvlText w:val="(%1)"/>
      <w:numFmt w:val="lowerLetter"/>
      <w:start w:val="1"/>
    </w:lvl>
  </w:abstractNum>
  <w:abstractNum w:abstractNumId="17">
    <w:nsid w:val="725A06FB"/>
    <w:multiLevelType w:val="hybridMultilevel"/>
    <w:lvl w:ilvl="0">
      <w:lvlJc w:val="left"/>
      <w:lvlText w:val="(%1)"/>
      <w:numFmt w:val="lowerLetter"/>
      <w:start w:val="2"/>
    </w:lvl>
  </w:abstractNum>
  <w:abstractNum w:abstractNumId="18">
    <w:nsid w:val="2CD89A32"/>
    <w:multiLevelType w:val="hybridMultilevel"/>
    <w:lvl w:ilvl="0">
      <w:lvlJc w:val="left"/>
      <w:lvlText w:val="(%1)"/>
      <w:numFmt w:val="lowerLetter"/>
      <w:start w:val="4"/>
    </w:lvl>
  </w:abstractNum>
  <w:abstractNum w:abstractNumId="19">
    <w:nsid w:val="57E4CCAF"/>
    <w:multiLevelType w:val="hybridMultilevel"/>
    <w:lvl w:ilvl="0">
      <w:lvlJc w:val="left"/>
      <w:lvlText w:val="(%1)"/>
      <w:numFmt w:val="lowerLetter"/>
      <w:start w:val="1"/>
    </w:lvl>
  </w:abstractNum>
  <w:abstractNum w:abstractNumId="20">
    <w:nsid w:val="7A6D8D3C"/>
    <w:multiLevelType w:val="hybridMultilevel"/>
    <w:lvl w:ilvl="0">
      <w:lvlJc w:val="left"/>
      <w:lvlText w:val="(%1)"/>
      <w:numFmt w:val="lowerLetter"/>
      <w:start w:val="3"/>
    </w:lvl>
  </w:abstractNum>
  <w:abstractNum w:abstractNumId="21">
    <w:nsid w:val="4B588F54"/>
    <w:multiLevelType w:val="hybridMultilevel"/>
    <w:lvl w:ilvl="0">
      <w:lvlJc w:val="left"/>
      <w:lvlText w:val="(%1)"/>
      <w:numFmt w:val="lowerLetter"/>
      <w:start w:val="6"/>
    </w:lvl>
  </w:abstractNum>
  <w:abstractNum w:abstractNumId="22">
    <w:nsid w:val="542289EC"/>
    <w:multiLevelType w:val="hybridMultilevel"/>
    <w:lvl w:ilvl="0">
      <w:lvlJc w:val="left"/>
      <w:lvlText w:val="(%1)"/>
      <w:numFmt w:val="lowerLetter"/>
      <w:start w:val="8"/>
    </w:lvl>
  </w:abstractNum>
  <w:abstractNum w:abstractNumId="23">
    <w:nsid w:val="6DE91B18"/>
    <w:multiLevelType w:val="hybridMultilevel"/>
    <w:lvl w:ilvl="0">
      <w:lvlJc w:val="left"/>
      <w:lvlText w:val="(%1)"/>
      <w:numFmt w:val="lowerLetter"/>
      <w:start w:val="15"/>
    </w:lvl>
  </w:abstractNum>
  <w:abstractNum w:abstractNumId="24">
    <w:nsid w:val="38437FDB"/>
    <w:multiLevelType w:val="hybridMultilevel"/>
    <w:lvl w:ilvl="0">
      <w:lvlJc w:val="left"/>
      <w:lvlText w:val="%1"/>
      <w:numFmt w:val="lowerLetter"/>
      <w:start w:val="1"/>
    </w:lvl>
    <w:lvl w:ilvl="1">
      <w:lvlJc w:val="left"/>
      <w:lvlText w:val="(%2)"/>
      <w:numFmt w:val="lowerLetter"/>
      <w:start w:val="18"/>
    </w:lvl>
  </w:abstractNum>
  <w:abstractNum w:abstractNumId="25">
    <w:nsid w:val="7644A45C"/>
    <w:multiLevelType w:val="hybridMultilevel"/>
    <w:lvl w:ilvl="0">
      <w:lvlJc w:val="left"/>
      <w:lvlText w:val="(%1)"/>
      <w:numFmt w:val="lowerLetter"/>
      <w:start w:val="9"/>
    </w:lvl>
    <w:lvl w:ilvl="1">
      <w:lvlJc w:val="left"/>
      <w:lvlText w:val="(%2)"/>
      <w:numFmt w:val="lowerLetter"/>
      <w:start w:val="22"/>
    </w:lvl>
  </w:abstractNum>
  <w:abstractNum w:abstractNumId="26">
    <w:nsid w:val="32FFF902"/>
    <w:multiLevelType w:val="hybridMultilevel"/>
    <w:lvl w:ilvl="0">
      <w:lvlJc w:val="left"/>
      <w:lvlText w:val="(%1)"/>
      <w:numFmt w:val="lowerRoman"/>
      <w:start w:val="1"/>
    </w:lvl>
  </w:abstractNum>
  <w:abstractNum w:abstractNumId="27">
    <w:nsid w:val="684A481A"/>
    <w:multiLevelType w:val="hybridMultilevel"/>
    <w:lvl w:ilvl="0">
      <w:lvlJc w:val="left"/>
      <w:lvlText w:val="(%1)"/>
      <w:numFmt w:val="lowerLetter"/>
      <w:start w:val="23"/>
    </w:lvl>
  </w:abstractNum>
  <w:abstractNum w:abstractNumId="28">
    <w:nsid w:val="579478FE"/>
    <w:multiLevelType w:val="hybridMultilevel"/>
    <w:lvl w:ilvl="0">
      <w:lvlJc w:val="left"/>
      <w:lvlText w:val="(%1)"/>
      <w:numFmt w:val="lowerLetter"/>
      <w:start w:val="27"/>
    </w:lvl>
  </w:abstractNum>
  <w:abstractNum w:abstractNumId="29">
    <w:nsid w:val="749ABB43"/>
    <w:multiLevelType w:val="hybridMultilevel"/>
    <w:lvl w:ilvl="0">
      <w:lvlJc w:val="left"/>
      <w:lvlText w:val="(%1)"/>
      <w:numFmt w:val="lowerLetter"/>
      <w:start w:val="30"/>
    </w:lvl>
  </w:abstractNum>
  <w:abstractNum w:abstractNumId="30">
    <w:nsid w:val="3DC240FB"/>
    <w:multiLevelType w:val="hybridMultilevel"/>
    <w:lvl w:ilvl="0">
      <w:lvlJc w:val="left"/>
      <w:lvlText w:val="(%1)"/>
      <w:numFmt w:val="lowerLetter"/>
      <w:start w:val="33"/>
    </w:lvl>
  </w:abstractNum>
  <w:abstractNum w:abstractNumId="31">
    <w:nsid w:val="1BA026FA"/>
    <w:multiLevelType w:val="hybridMultilevel"/>
    <w:lvl w:ilvl="0">
      <w:lvlJc w:val="left"/>
      <w:lvlText w:val="(%1)"/>
      <w:numFmt w:val="lowerLetter"/>
      <w:start w:val="38"/>
    </w:lvl>
  </w:abstractNum>
  <w:abstractNum w:abstractNumId="32">
    <w:nsid w:val="79A1DEAA"/>
    <w:multiLevelType w:val="hybridMultilevel"/>
    <w:lvl w:ilvl="0">
      <w:lvlJc w:val="left"/>
      <w:lvlText w:val="(%1)"/>
      <w:numFmt w:val="lowerLetter"/>
      <w:start w:val="1"/>
    </w:lvl>
  </w:abstractNum>
  <w:abstractNum w:abstractNumId="33">
    <w:nsid w:val="75C6C33A"/>
    <w:multiLevelType w:val="hybridMultilevel"/>
    <w:lvl w:ilvl="0">
      <w:lvlJc w:val="left"/>
      <w:lvlText w:val="(%1)"/>
      <w:numFmt w:val="lowerLetter"/>
      <w:start w:val="3"/>
    </w:lvl>
  </w:abstractNum>
  <w:abstractNum w:abstractNumId="34">
    <w:nsid w:val="12E685FB"/>
    <w:multiLevelType w:val="hybridMultilevel"/>
    <w:lvl w:ilvl="0">
      <w:lvlJc w:val="left"/>
      <w:lvlText w:val="(%1)"/>
      <w:numFmt w:val="lowerLetter"/>
      <w:start w:val="8"/>
    </w:lvl>
  </w:abstractNum>
  <w:abstractNum w:abstractNumId="35">
    <w:nsid w:val="70C6A529"/>
    <w:multiLevelType w:val="hybridMultilevel"/>
    <w:lvl w:ilvl="0">
      <w:lvlJc w:val="left"/>
      <w:lvlText w:val="%1"/>
      <w:numFmt w:val="lowerLetter"/>
      <w:start w:val="1"/>
    </w:lvl>
    <w:lvl w:ilvl="1">
      <w:lvlJc w:val="left"/>
      <w:lvlText w:val="(%2)"/>
      <w:numFmt w:val="lowerLetter"/>
      <w:start w:val="11"/>
    </w:lvl>
  </w:abstractNum>
  <w:abstractNum w:abstractNumId="36">
    <w:nsid w:val="520EEDD1"/>
    <w:multiLevelType w:val="hybridMultilevel"/>
    <w:lvl w:ilvl="0">
      <w:lvlJc w:val="left"/>
      <w:lvlText w:val="(%1)"/>
      <w:numFmt w:val="lowerLetter"/>
      <w:start w:val="9"/>
    </w:lvl>
    <w:lvl w:ilvl="1">
      <w:lvlJc w:val="left"/>
      <w:lvlText w:val="%2"/>
      <w:numFmt w:val="lowerLetter"/>
      <w:start w:val="1"/>
    </w:lvl>
  </w:abstractNum>
  <w:abstractNum w:abstractNumId="37">
    <w:nsid w:val="374A3FE6"/>
    <w:multiLevelType w:val="hybridMultilevel"/>
    <w:lvl w:ilvl="0">
      <w:lvlJc w:val="left"/>
      <w:lvlText w:val="(%1)"/>
      <w:numFmt w:val="lowerLetter"/>
      <w:start w:val="15"/>
    </w:lvl>
  </w:abstractNum>
  <w:abstractNum w:abstractNumId="38">
    <w:nsid w:val="4F4EF005"/>
    <w:multiLevelType w:val="hybridMultilevel"/>
    <w:lvl w:ilvl="0">
      <w:lvlJc w:val="left"/>
      <w:lvlText w:val="(%1)"/>
      <w:numFmt w:val="lowerLetter"/>
      <w:start w:val="1"/>
    </w:lvl>
  </w:abstractNum>
  <w:abstractNum w:abstractNumId="39">
    <w:nsid w:val="23F9C13C"/>
    <w:multiLevelType w:val="hybridMultilevel"/>
    <w:lvl w:ilvl="0">
      <w:lvlJc w:val="left"/>
      <w:lvlText w:val="(%1)"/>
      <w:numFmt w:val="lowerLetter"/>
      <w:start w:val="2"/>
    </w:lvl>
  </w:abstractNum>
  <w:abstractNum w:abstractNumId="40">
    <w:nsid w:val="649BB77C"/>
    <w:multiLevelType w:val="hybridMultilevel"/>
    <w:lvl w:ilvl="0">
      <w:lvlJc w:val="left"/>
      <w:lvlText w:val="(%1)"/>
      <w:numFmt w:val="lowerLetter"/>
      <w:start w:val="5"/>
    </w:lvl>
  </w:abstractNum>
  <w:abstractNum w:abstractNumId="41">
    <w:nsid w:val="275AC794"/>
    <w:multiLevelType w:val="hybridMultilevel"/>
    <w:lvl w:ilvl="0">
      <w:lvlJc w:val="left"/>
      <w:lvlText w:val="(%1)"/>
      <w:numFmt w:val="lowerLetter"/>
      <w:start w:val="9"/>
    </w:lvl>
  </w:abstractNum>
  <w:abstractNum w:abstractNumId="42">
    <w:nsid w:val="39386575"/>
    <w:multiLevelType w:val="hybridMultilevel"/>
    <w:lvl w:ilvl="0">
      <w:lvlJc w:val="left"/>
      <w:lvlText w:val="(%1)"/>
      <w:numFmt w:val="lowerLetter"/>
      <w:start w:val="16"/>
    </w:lvl>
  </w:abstractNum>
  <w:abstractNum w:abstractNumId="43">
    <w:nsid w:val="1CF10FD8"/>
    <w:multiLevelType w:val="hybridMultilevel"/>
    <w:lvl w:ilvl="0">
      <w:lvlJc w:val="left"/>
      <w:lvlText w:val="(%1)"/>
      <w:numFmt w:val="lowerLetter"/>
      <w:start w:val="1"/>
    </w:lvl>
  </w:abstractNum>
  <w:abstractNum w:abstractNumId="44">
    <w:nsid w:val="180115BE"/>
    <w:multiLevelType w:val="hybridMultilevel"/>
    <w:lvl w:ilvl="0">
      <w:lvlJc w:val="left"/>
      <w:lvlText w:val="%1."/>
      <w:numFmt w:val="decimal"/>
      <w:start w:val="7"/>
    </w:lvl>
  </w:abstractNum>
  <w:abstractNum w:abstractNumId="45">
    <w:nsid w:val="235BA861"/>
    <w:multiLevelType w:val="hybridMultilevel"/>
    <w:lvl w:ilvl="0">
      <w:lvlJc w:val="left"/>
      <w:lvlText w:val="(%1)"/>
      <w:numFmt w:val="lowerLetter"/>
      <w:start w:val="1"/>
    </w:lvl>
  </w:abstractNum>
  <w:abstractNum w:abstractNumId="46">
    <w:nsid w:val="47398C89"/>
    <w:multiLevelType w:val="hybridMultilevel"/>
    <w:lvl w:ilvl="0">
      <w:lvlJc w:val="left"/>
      <w:lvlText w:val="%1"/>
      <w:numFmt w:val="lowerLetter"/>
      <w:start w:val="1"/>
    </w:lvl>
    <w:lvl w:ilvl="1">
      <w:lvlJc w:val="left"/>
      <w:lvlText w:val="(%2)"/>
      <w:numFmt w:val="lowerLetter"/>
      <w:start w:val="3"/>
    </w:lvl>
  </w:abstractNum>
  <w:abstractNum w:abstractNumId="47">
    <w:nsid w:val="354FE9F9"/>
    <w:multiLevelType w:val="hybridMultilevel"/>
    <w:lvl w:ilvl="0">
      <w:lvlJc w:val="left"/>
      <w:lvlText w:val="(%1)"/>
      <w:numFmt w:val="lowerLetter"/>
      <w:start w:val="9"/>
    </w:lvl>
    <w:lvl w:ilvl="1">
      <w:lvlJc w:val="left"/>
      <w:lvlText w:val="(%2)"/>
      <w:numFmt w:val="lowerLetter"/>
      <w:start w:val="5"/>
    </w:lvl>
  </w:abstractNum>
  <w:abstractNum w:abstractNumId="48">
    <w:nsid w:val="15B5AF5C"/>
    <w:multiLevelType w:val="hybridMultilevel"/>
    <w:lvl w:ilvl="0">
      <w:lvlJc w:val="left"/>
      <w:lvlText w:val="(%1)"/>
      <w:numFmt w:val="lowerLetter"/>
      <w:start w:val="7"/>
    </w:lvl>
  </w:abstractNum>
  <w:abstractNum w:abstractNumId="49">
    <w:nsid w:val="741226BB"/>
    <w:multiLevelType w:val="hybridMultilevel"/>
    <w:lvl w:ilvl="0">
      <w:lvlJc w:val="left"/>
      <w:lvlText w:val="(%1)"/>
      <w:numFmt w:val="lowerLetter"/>
      <w:start w:val="13"/>
    </w:lvl>
  </w:abstractNum>
  <w:abstractNum w:abstractNumId="50">
    <w:nsid w:val="D34B6A8"/>
    <w:multiLevelType w:val="hybridMultilevel"/>
    <w:lvl w:ilvl="0">
      <w:lvlJc w:val="left"/>
      <w:lvlText w:val="%1."/>
      <w:numFmt w:val="decimal"/>
      <w:start w:val="8"/>
    </w:lvl>
  </w:abstractNum>
  <w:abstractNum w:abstractNumId="51">
    <w:nsid w:val="10233C99"/>
    <w:multiLevelType w:val="hybridMultilevel"/>
    <w:lvl w:ilvl="0">
      <w:lvlJc w:val="left"/>
      <w:lvlText w:val="(%1)"/>
      <w:numFmt w:val="lowerLetter"/>
      <w:start w:val="1"/>
    </w:lvl>
  </w:abstractNum>
  <w:abstractNum w:abstractNumId="52">
    <w:nsid w:val="3F6AB60F"/>
    <w:multiLevelType w:val="hybridMultilevel"/>
    <w:lvl w:ilvl="0">
      <w:lvlJc w:val="left"/>
      <w:lvlText w:val="(%1)"/>
      <w:numFmt w:val="lowerLetter"/>
      <w:start w:val="2"/>
    </w:lvl>
  </w:abstractNum>
  <w:abstractNum w:abstractNumId="53">
    <w:nsid w:val="61574095"/>
    <w:multiLevelType w:val="hybridMultilevel"/>
    <w:lvl w:ilvl="0">
      <w:lvlJc w:val="left"/>
      <w:lvlText w:val="(%1)"/>
      <w:numFmt w:val="lowerLetter"/>
      <w:start w:val="4"/>
    </w:lvl>
  </w:abstractNum>
  <w:abstractNum w:abstractNumId="54">
    <w:nsid w:val="7E0C57B1"/>
    <w:multiLevelType w:val="hybridMultilevel"/>
    <w:lvl w:ilvl="0">
      <w:lvlJc w:val="left"/>
      <w:lvlText w:val="%1"/>
      <w:numFmt w:val="lowerLetter"/>
      <w:start w:val="1"/>
    </w:lvl>
    <w:lvl w:ilvl="1">
      <w:lvlJc w:val="left"/>
      <w:lvlText w:val="(%2)"/>
      <w:numFmt w:val="lowerLetter"/>
      <w:start w:val="5"/>
    </w:lvl>
  </w:abstractNum>
  <w:abstractNum w:abstractNumId="55">
    <w:nsid w:val="77AE35EB"/>
    <w:multiLevelType w:val="hybridMultilevel"/>
    <w:lvl w:ilvl="0">
      <w:lvlJc w:val="left"/>
      <w:lvlText w:val="(%1)"/>
      <w:numFmt w:val="lowerLetter"/>
      <w:start w:val="4"/>
    </w:lvl>
    <w:lvl w:ilvl="1">
      <w:lvlJc w:val="left"/>
      <w:lvlText w:val="(%2)"/>
      <w:numFmt w:val="lowerLetter"/>
      <w:start w:val="6"/>
    </w:lvl>
  </w:abstractNum>
  <w:abstractNum w:abstractNumId="56">
    <w:nsid w:val="579BE4F1"/>
    <w:multiLevelType w:val="hybridMultilevel"/>
    <w:lvl w:ilvl="0">
      <w:lvlJc w:val="left"/>
      <w:lvlText w:val="%1."/>
      <w:numFmt w:val="decimal"/>
      <w:start w:val="9"/>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lowerLetter"/>
      <w:start w:val="2"/>
    </w:lvl>
  </w:abstractNum>
  <w:abstractNum w:abstractNumId="59">
    <w:nsid w:val="2F305DEF"/>
    <w:multiLevelType w:val="hybridMultilevel"/>
    <w:lvl w:ilvl="0">
      <w:lvlJc w:val="left"/>
      <w:lvlText w:val="%1."/>
      <w:numFmt w:val="decimal"/>
      <w:start w:val="12"/>
    </w:lvl>
  </w:abstractNum>
  <w:abstractNum w:abstractNumId="60">
    <w:nsid w:val="25A70BF7"/>
    <w:multiLevelType w:val="hybridMultilevel"/>
    <w:lvl w:ilvl="0">
      <w:lvlJc w:val="left"/>
      <w:lvlText w:val="%1"/>
      <w:numFmt w:val="lowerLetter"/>
      <w:start w:val="1"/>
    </w:lvl>
    <w:lvl w:ilvl="1">
      <w:lvlJc w:val="left"/>
      <w:lvlText w:val="(%2)"/>
      <w:numFmt w:val="lowerLetter"/>
      <w:start w:val="1"/>
    </w:lvl>
  </w:abstractNum>
  <w:abstractNum w:abstractNumId="61">
    <w:nsid w:val="1DBABF00"/>
    <w:multiLevelType w:val="hybridMultilevel"/>
    <w:lvl w:ilvl="0">
      <w:lvlJc w:val="left"/>
      <w:lvlText w:val="(%1)"/>
      <w:numFmt w:val="lowerLetter"/>
      <w:start w:val="35"/>
    </w:lvl>
    <w:lvl w:ilvl="1">
      <w:lvlJc w:val="left"/>
      <w:lvlText w:val="%2"/>
      <w:numFmt w:val="lowerLetter"/>
      <w:start w:val="1"/>
    </w:lvl>
  </w:abstractNum>
  <w:abstractNum w:abstractNumId="62">
    <w:nsid w:val="4AD084E9"/>
    <w:multiLevelType w:val="hybridMultilevel"/>
    <w:lvl w:ilvl="0">
      <w:lvlJc w:val="left"/>
      <w:lvlText w:val="%1."/>
      <w:numFmt w:val="decimal"/>
      <w:start w:val="13"/>
    </w:lvl>
  </w:abstractNum>
  <w:abstractNum w:abstractNumId="63">
    <w:nsid w:val="1F48EAA1"/>
    <w:multiLevelType w:val="hybridMultilevel"/>
    <w:lvl w:ilvl="0">
      <w:lvlJc w:val="left"/>
      <w:lvlText w:val="%1."/>
      <w:numFmt w:val="decimal"/>
      <w:start w:val="14"/>
    </w:lvl>
  </w:abstractNum>
  <w:abstractNum w:abstractNumId="64">
    <w:nsid w:val="1381823A"/>
    <w:multiLevelType w:val="hybridMultilevel"/>
    <w:lvl w:ilvl="0">
      <w:lvlJc w:val="left"/>
      <w:lvlText w:val="(%1)"/>
      <w:numFmt w:val="lowerLetter"/>
      <w:start w:val="1"/>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lowerRoman"/>
      <w:start w:val="1"/>
    </w:lvl>
  </w:abstractNum>
  <w:abstractNum w:abstractNumId="68">
    <w:nsid w:val="15014ACB"/>
    <w:multiLevelType w:val="hybridMultilevel"/>
    <w:lvl w:ilvl="0">
      <w:lvlJc w:val="left"/>
      <w:lvlText w:val="(%1)"/>
      <w:numFmt w:val="lowerRoman"/>
      <w:start w:val="1"/>
    </w:lvl>
  </w:abstractNum>
  <w:abstractNum w:abstractNumId="69">
    <w:nsid w:val="5F5E7FD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2019-12-07T21:46:38Z</dcterms:created>
  <dcterms:modified xsi:type="dcterms:W3CDTF">2019-12-07T21:46:38Z</dcterms:modified>
</cp:coreProperties>
</file>