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 dated January 29, 2020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 Preliminary Prospectus Supplement dated January 29, 2020 and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Prospectus dated May 7, 2019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333-231271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$50,000,000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3.875% Notes due 2024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29, 2020</w:t>
      </w:r>
    </w:p>
    <w:p>
      <w:pPr>
        <w:spacing w:after="0" w:line="211" w:lineRule="exact"/>
        <w:rPr>
          <w:sz w:val="24"/>
          <w:szCs w:val="24"/>
          <w:color w:val="auto"/>
        </w:rPr>
      </w:pPr>
    </w:p>
    <w:p>
      <w:pPr>
        <w:ind w:right="20" w:firstLine="441"/>
        <w:spacing w:after="0" w:line="297" w:lineRule="auto"/>
        <w:rPr>
          <w:sz w:val="20"/>
          <w:szCs w:val="20"/>
          <w:color w:val="auto"/>
        </w:rPr>
      </w:pPr>
      <w:r>
        <w:rPr>
          <w:rFonts w:ascii="Arial" w:cs="Arial" w:eastAsia="Arial" w:hAnsi="Arial"/>
          <w:sz w:val="16"/>
          <w:szCs w:val="16"/>
          <w:color w:val="auto"/>
        </w:rPr>
        <w:t>The following sets forth the final terms of the 3.875% Notes due 2024 and should only be read together with the preliminary prospectus supplement dated January 29, 2020, together with the accompanying prospectus dated May 7, 2019,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ectPr>
          <w:pgSz w:w="11900" w:h="16838" w:orient="portrait"/>
          <w:cols w:equalWidth="0" w:num="1">
            <w:col w:w="11020"/>
          </w:cols>
          <w:pgMar w:left="440" w:top="233" w:right="439" w:bottom="1440" w:gutter="0" w:footer="0" w:header="0"/>
        </w:sectPr>
      </w:pPr>
    </w:p>
    <w:p>
      <w:pPr>
        <w:spacing w:after="0" w:line="185"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color w:val="auto"/>
        </w:rPr>
        <w:t>TPG Specialty Lending, Inc. (the “Issuer”)</w:t>
      </w:r>
    </w:p>
    <w:p>
      <w:pPr>
        <w:spacing w:after="0" w:line="140" w:lineRule="exact"/>
        <w:rPr>
          <w:sz w:val="24"/>
          <w:szCs w:val="24"/>
          <w:color w:val="auto"/>
        </w:rPr>
      </w:pPr>
    </w:p>
    <w:p>
      <w:pPr>
        <w:sectPr>
          <w:pgSz w:w="11900" w:h="16838" w:orient="portrait"/>
          <w:cols w:equalWidth="0" w:num="2">
            <w:col w:w="3140" w:space="720"/>
            <w:col w:w="716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3.875% Notes due 2024</w:t>
      </w:r>
    </w:p>
    <w:p>
      <w:pPr>
        <w:spacing w:after="0" w:line="140" w:lineRule="exact"/>
        <w:rPr>
          <w:sz w:val="24"/>
          <w:szCs w:val="24"/>
          <w:color w:val="auto"/>
        </w:rPr>
      </w:pPr>
    </w:p>
    <w:p>
      <w:pPr>
        <w:sectPr>
          <w:pgSz w:w="11900" w:h="16838" w:orient="portrait"/>
          <w:cols w:equalWidth="0" w:num="2">
            <w:col w:w="3140" w:space="720"/>
            <w:col w:w="7160"/>
          </w:cols>
          <w:pgMar w:left="440" w:top="233" w:right="439" w:bottom="1440" w:gutter="0" w:footer="0" w:header="0"/>
          <w:type w:val="continuous"/>
        </w:sectPr>
      </w:pPr>
    </w:p>
    <w:p>
      <w:pPr>
        <w:spacing w:after="0"/>
        <w:rPr>
          <w:sz w:val="20"/>
          <w:szCs w:val="20"/>
          <w:color w:val="auto"/>
        </w:rPr>
      </w:pPr>
      <w:r>
        <w:rPr>
          <w:rFonts w:ascii="Arial" w:cs="Arial" w:eastAsia="Arial" w:hAnsi="Arial"/>
          <w:sz w:val="17"/>
          <w:szCs w:val="17"/>
          <w:color w:val="auto"/>
        </w:rPr>
        <w:t>Ratings (Moody’s/S&amp;P/Fitch)*: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Baa3/BBB-/BBB- (Stable / Stable / Stable)</w:t>
      </w:r>
    </w:p>
    <w:p>
      <w:pPr>
        <w:spacing w:after="0" w:line="140" w:lineRule="exact"/>
        <w:rPr>
          <w:sz w:val="24"/>
          <w:szCs w:val="24"/>
          <w:color w:val="auto"/>
        </w:rPr>
      </w:pPr>
    </w:p>
    <w:p>
      <w:pPr>
        <w:sectPr>
          <w:pgSz w:w="11900" w:h="16838" w:orient="portrait"/>
          <w:cols w:equalWidth="0" w:num="2">
            <w:col w:w="3140" w:space="720"/>
            <w:col w:w="716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Aggregate Principal Amount Offered: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$50,000,000</w:t>
      </w:r>
    </w:p>
    <w:p>
      <w:pPr>
        <w:spacing w:after="0" w:line="140" w:lineRule="exact"/>
        <w:rPr>
          <w:sz w:val="24"/>
          <w:szCs w:val="24"/>
          <w:color w:val="auto"/>
        </w:rPr>
      </w:pPr>
    </w:p>
    <w:p>
      <w:pPr>
        <w:sectPr>
          <w:pgSz w:w="11900" w:h="16838" w:orient="portrait"/>
          <w:cols w:equalWidth="0" w:num="2">
            <w:col w:w="3140" w:space="720"/>
            <w:col w:w="716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Series of Notes:</w:t>
      </w:r>
    </w:p>
    <w:p>
      <w:pPr>
        <w:spacing w:after="0" w:line="20" w:lineRule="exact"/>
        <w:rPr>
          <w:sz w:val="24"/>
          <w:szCs w:val="24"/>
          <w:color w:val="auto"/>
        </w:rPr>
      </w:pPr>
      <w:r>
        <w:rPr>
          <w:sz w:val="24"/>
          <w:szCs w:val="24"/>
          <w:color w:val="auto"/>
        </w:rPr>
        <w:br w:type="column"/>
      </w:r>
    </w:p>
    <w:p>
      <w:pPr>
        <w:jc w:val="both"/>
        <w:ind w:right="60"/>
        <w:spacing w:after="0" w:line="312" w:lineRule="auto"/>
        <w:rPr>
          <w:sz w:val="20"/>
          <w:szCs w:val="20"/>
          <w:color w:val="auto"/>
        </w:rPr>
      </w:pPr>
      <w:r>
        <w:rPr>
          <w:rFonts w:ascii="Arial" w:cs="Arial" w:eastAsia="Arial" w:hAnsi="Arial"/>
          <w:sz w:val="16"/>
          <w:szCs w:val="16"/>
          <w:color w:val="auto"/>
        </w:rPr>
        <w:t>The Notes are a further issuance of, fungible with, rank equally in right of payment with, and have the same terms (other than the issue date and public offering price) as the 3.875% Notes due 2024 that the Issuer issued on November 1, 2019 in the aggregate principal of $300,000,000</w:t>
      </w:r>
    </w:p>
    <w:p>
      <w:pPr>
        <w:spacing w:after="0" w:line="39" w:lineRule="exact"/>
        <w:rPr>
          <w:sz w:val="24"/>
          <w:szCs w:val="24"/>
          <w:color w:val="auto"/>
        </w:rPr>
      </w:pPr>
    </w:p>
    <w:p>
      <w:pPr>
        <w:sectPr>
          <w:pgSz w:w="11900" w:h="16838" w:orient="portrait"/>
          <w:cols w:equalWidth="0" w:num="2">
            <w:col w:w="3140" w:space="720"/>
            <w:col w:w="7160"/>
          </w:cols>
          <w:pgMar w:left="440" w:top="233" w:right="439" w:bottom="1440" w:gutter="0" w:footer="0" w:header="0"/>
          <w:type w:val="continuous"/>
        </w:sectPr>
      </w:pPr>
    </w:p>
    <w:p>
      <w:pPr>
        <w:ind w:right="400"/>
        <w:spacing w:after="0" w:line="342" w:lineRule="auto"/>
        <w:rPr>
          <w:sz w:val="20"/>
          <w:szCs w:val="20"/>
          <w:color w:val="auto"/>
        </w:rPr>
      </w:pPr>
      <w:r>
        <w:rPr>
          <w:rFonts w:ascii="Arial" w:cs="Arial" w:eastAsia="Arial" w:hAnsi="Arial"/>
          <w:sz w:val="16"/>
          <w:szCs w:val="16"/>
          <w:color w:val="auto"/>
        </w:rPr>
        <w:t>Aggregate Principal Amount of Notes Outstanding After This Offering: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$350,000,000</w:t>
      </w:r>
    </w:p>
    <w:p>
      <w:pPr>
        <w:spacing w:after="0" w:line="356" w:lineRule="exact"/>
        <w:rPr>
          <w:sz w:val="24"/>
          <w:szCs w:val="24"/>
          <w:color w:val="auto"/>
        </w:rPr>
      </w:pPr>
    </w:p>
    <w:p>
      <w:pPr>
        <w:sectPr>
          <w:pgSz w:w="11900" w:h="16838" w:orient="portrait"/>
          <w:cols w:equalWidth="0" w:num="2">
            <w:col w:w="3140" w:space="720"/>
            <w:col w:w="7160"/>
          </w:cols>
          <w:pgMar w:left="440" w:top="233" w:right="439" w:bottom="1440" w:gutter="0" w:footer="0" w:header="0"/>
          <w:type w:val="continuous"/>
        </w:sectPr>
      </w:pPr>
    </w:p>
    <w:p>
      <w:pPr>
        <w:spacing w:after="0"/>
        <w:rPr>
          <w:sz w:val="20"/>
          <w:szCs w:val="20"/>
          <w:color w:val="auto"/>
        </w:rPr>
      </w:pPr>
      <w:r>
        <w:rPr>
          <w:rFonts w:ascii="Arial" w:cs="Arial" w:eastAsia="Arial" w:hAnsi="Arial"/>
          <w:sz w:val="17"/>
          <w:szCs w:val="17"/>
          <w:color w:val="auto"/>
        </w:rPr>
        <w:t>Maturity Date:</w:t>
      </w:r>
    </w:p>
    <w:p>
      <w:pPr>
        <w:spacing w:after="0" w:line="20" w:lineRule="exact"/>
        <w:rPr>
          <w:sz w:val="24"/>
          <w:szCs w:val="24"/>
          <w:color w:val="auto"/>
        </w:rPr>
      </w:pPr>
      <w:r>
        <w:rPr>
          <w:sz w:val="24"/>
          <w:szCs w:val="24"/>
          <w:color w:val="auto"/>
        </w:rPr>
        <w:br w:type="column"/>
      </w:r>
    </w:p>
    <w:p>
      <w:pPr>
        <w:jc w:val="center"/>
        <w:ind w:right="2920"/>
        <w:spacing w:after="0"/>
        <w:rPr>
          <w:sz w:val="20"/>
          <w:szCs w:val="20"/>
          <w:color w:val="auto"/>
        </w:rPr>
      </w:pPr>
      <w:r>
        <w:rPr>
          <w:rFonts w:ascii="Arial" w:cs="Arial" w:eastAsia="Arial" w:hAnsi="Arial"/>
          <w:sz w:val="15"/>
          <w:szCs w:val="15"/>
          <w:color w:val="auto"/>
        </w:rPr>
        <w:t>November 1, 2024, unless earlier repurchased or redeemed</w:t>
      </w:r>
    </w:p>
    <w:p>
      <w:pPr>
        <w:spacing w:after="0" w:line="151" w:lineRule="exact"/>
        <w:rPr>
          <w:sz w:val="24"/>
          <w:szCs w:val="24"/>
          <w:color w:val="auto"/>
        </w:rPr>
      </w:pPr>
    </w:p>
    <w:p>
      <w:pPr>
        <w:sectPr>
          <w:pgSz w:w="11900" w:h="16838" w:orient="portrait"/>
          <w:cols w:equalWidth="0" w:num="2">
            <w:col w:w="3140" w:space="720"/>
            <w:col w:w="716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January 29, 2020</w:t>
      </w:r>
    </w:p>
    <w:p>
      <w:pPr>
        <w:spacing w:after="0" w:line="140" w:lineRule="exact"/>
        <w:rPr>
          <w:sz w:val="24"/>
          <w:szCs w:val="24"/>
          <w:color w:val="auto"/>
        </w:rPr>
      </w:pPr>
    </w:p>
    <w:p>
      <w:pPr>
        <w:sectPr>
          <w:pgSz w:w="11900" w:h="16838" w:orient="portrait"/>
          <w:cols w:equalWidth="0" w:num="2">
            <w:col w:w="3140" w:space="720"/>
            <w:col w:w="716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 (Issue Price):</w:t>
      </w:r>
    </w:p>
    <w:p>
      <w:pPr>
        <w:spacing w:after="0" w:line="20" w:lineRule="exact"/>
        <w:rPr>
          <w:sz w:val="24"/>
          <w:szCs w:val="24"/>
          <w:color w:val="auto"/>
        </w:rPr>
      </w:pPr>
      <w:r>
        <w:rPr>
          <w:sz w:val="24"/>
          <w:szCs w:val="24"/>
          <w:color w:val="auto"/>
        </w:rPr>
        <w:br w:type="column"/>
      </w:r>
    </w:p>
    <w:p>
      <w:pPr>
        <w:ind w:right="20"/>
        <w:spacing w:after="0" w:line="277" w:lineRule="auto"/>
        <w:rPr>
          <w:sz w:val="20"/>
          <w:szCs w:val="20"/>
          <w:color w:val="auto"/>
        </w:rPr>
      </w:pPr>
      <w:r>
        <w:rPr>
          <w:rFonts w:ascii="Arial" w:cs="Arial" w:eastAsia="Arial" w:hAnsi="Arial"/>
          <w:sz w:val="18"/>
          <w:szCs w:val="18"/>
          <w:color w:val="auto"/>
        </w:rPr>
        <w:t>The Notes will be issued at a price of 102.075% of their principal amount, plus accrued and unpaid interest from November 1, 2019 up to, but not including, February 5, 2020</w:t>
      </w:r>
    </w:p>
    <w:p>
      <w:pPr>
        <w:spacing w:after="0" w:line="62" w:lineRule="exact"/>
        <w:rPr>
          <w:sz w:val="24"/>
          <w:szCs w:val="24"/>
          <w:color w:val="auto"/>
        </w:rPr>
      </w:pPr>
    </w:p>
    <w:p>
      <w:pPr>
        <w:sectPr>
          <w:pgSz w:w="11900" w:h="16838" w:orient="portrait"/>
          <w:cols w:equalWidth="0" w:num="2">
            <w:col w:w="3140" w:space="720"/>
            <w:col w:w="716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Aggregate Accrued Interest: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$505,902.78 of accrued interest from November 1, 2019 up to, but not including, February 5, 2020</w:t>
      </w:r>
    </w:p>
    <w:p>
      <w:pPr>
        <w:spacing w:after="0" w:line="140" w:lineRule="exact"/>
        <w:rPr>
          <w:sz w:val="24"/>
          <w:szCs w:val="24"/>
          <w:color w:val="auto"/>
        </w:rPr>
      </w:pPr>
    </w:p>
    <w:p>
      <w:pPr>
        <w:sectPr>
          <w:pgSz w:w="11900" w:h="16838" w:orient="portrait"/>
          <w:cols w:equalWidth="0" w:num="2">
            <w:col w:w="3140" w:space="720"/>
            <w:col w:w="716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Coupon (Interest Rate):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3.875%</w:t>
      </w:r>
    </w:p>
    <w:p>
      <w:pPr>
        <w:spacing w:after="0" w:line="140" w:lineRule="exact"/>
        <w:rPr>
          <w:sz w:val="24"/>
          <w:szCs w:val="24"/>
          <w:color w:val="auto"/>
        </w:rPr>
      </w:pPr>
    </w:p>
    <w:p>
      <w:pPr>
        <w:sectPr>
          <w:pgSz w:w="11900" w:h="16838" w:orient="portrait"/>
          <w:cols w:equalWidth="0" w:num="2">
            <w:col w:w="3140" w:space="720"/>
            <w:col w:w="7160"/>
          </w:cols>
          <w:pgMar w:left="440" w:top="233" w:right="439" w:bottom="1440" w:gutter="0" w:footer="0" w:header="0"/>
          <w:type w:val="continuous"/>
        </w:sectPr>
      </w:pPr>
    </w:p>
    <w:p>
      <w:pPr>
        <w:spacing w:after="0"/>
        <w:rPr>
          <w:sz w:val="20"/>
          <w:szCs w:val="20"/>
          <w:color w:val="auto"/>
        </w:rPr>
      </w:pPr>
      <w:r>
        <w:rPr>
          <w:rFonts w:ascii="Arial" w:cs="Arial" w:eastAsia="Arial" w:hAnsi="Arial"/>
          <w:sz w:val="17"/>
          <w:szCs w:val="17"/>
          <w:color w:val="auto"/>
        </w:rPr>
        <w:t>Yield to Maturity: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3.389%</w:t>
      </w:r>
    </w:p>
    <w:p>
      <w:pPr>
        <w:spacing w:after="0" w:line="140" w:lineRule="exact"/>
        <w:rPr>
          <w:sz w:val="24"/>
          <w:szCs w:val="24"/>
          <w:color w:val="auto"/>
        </w:rPr>
      </w:pPr>
    </w:p>
    <w:p>
      <w:pPr>
        <w:sectPr>
          <w:pgSz w:w="11900" w:h="16838" w:orient="portrait"/>
          <w:cols w:equalWidth="0" w:num="2">
            <w:col w:w="3140" w:space="720"/>
            <w:col w:w="716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Spread to 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+195 basis points</w:t>
      </w:r>
    </w:p>
    <w:p>
      <w:pPr>
        <w:spacing w:after="0" w:line="140" w:lineRule="exact"/>
        <w:rPr>
          <w:sz w:val="24"/>
          <w:szCs w:val="24"/>
          <w:color w:val="auto"/>
        </w:rPr>
      </w:pPr>
    </w:p>
    <w:p>
      <w:pPr>
        <w:sectPr>
          <w:pgSz w:w="11900" w:h="16838" w:orient="portrait"/>
          <w:cols w:equalWidth="0" w:num="2">
            <w:col w:w="3140" w:space="720"/>
            <w:col w:w="716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UST 1.750% due December 31, 2024</w:t>
      </w:r>
    </w:p>
    <w:p>
      <w:pPr>
        <w:spacing w:after="0" w:line="140" w:lineRule="exact"/>
        <w:rPr>
          <w:sz w:val="24"/>
          <w:szCs w:val="24"/>
          <w:color w:val="auto"/>
        </w:rPr>
      </w:pPr>
    </w:p>
    <w:p>
      <w:pPr>
        <w:sectPr>
          <w:pgSz w:w="11900" w:h="16838" w:orient="portrait"/>
          <w:cols w:equalWidth="0" w:num="2">
            <w:col w:w="3140" w:space="720"/>
            <w:col w:w="716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 Price and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101-15 / 1.439%</w:t>
      </w:r>
    </w:p>
    <w:p>
      <w:pPr>
        <w:sectPr>
          <w:pgSz w:w="11900" w:h="16838" w:orient="portrait"/>
          <w:cols w:equalWidth="0" w:num="2">
            <w:col w:w="3140" w:space="720"/>
            <w:col w:w="7160"/>
          </w:cols>
          <w:pgMar w:left="440" w:top="233"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1 and November 1, commencing May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-201295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3140" w:space="720"/>
            <w:col w:w="7140"/>
          </w:cols>
          <w:pgMar w:left="440" w:top="274" w:right="459" w:bottom="1440" w:gutter="0" w:footer="0" w:header="0"/>
        </w:sectPr>
      </w:pPr>
    </w:p>
    <w:p>
      <w:pPr>
        <w:spacing w:after="0"/>
        <w:rPr>
          <w:sz w:val="20"/>
          <w:szCs w:val="20"/>
          <w:color w:val="auto"/>
        </w:rPr>
      </w:pPr>
      <w:r>
        <w:rPr>
          <w:rFonts w:ascii="Arial" w:cs="Arial" w:eastAsia="Arial" w:hAnsi="Arial"/>
          <w:sz w:val="16"/>
          <w:szCs w:val="16"/>
          <w:color w:val="auto"/>
        </w:rPr>
        <w:t>Make-Whole Redemption:</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Equal to the greater of the following amounts, plus, in each case, accrued and unpaid interest to the redemption date:</w:t>
      </w:r>
    </w:p>
    <w:p>
      <w:pPr>
        <w:spacing w:after="0" w:line="76" w:lineRule="exact"/>
        <w:rPr>
          <w:sz w:val="20"/>
          <w:szCs w:val="20"/>
          <w:color w:val="auto"/>
        </w:rPr>
      </w:pPr>
    </w:p>
    <w:p>
      <w:pPr>
        <w:sectPr>
          <w:pgSz w:w="11900" w:h="16838" w:orient="portrait"/>
          <w:cols w:equalWidth="0" w:num="2">
            <w:col w:w="3140" w:space="720"/>
            <w:col w:w="7140"/>
          </w:cols>
          <w:pgMar w:left="440" w:top="274" w:right="459" w:bottom="1440" w:gutter="0" w:footer="0" w:header="0"/>
          <w:type w:val="continuous"/>
        </w:sectPr>
      </w:pPr>
    </w:p>
    <w:p>
      <w:pPr>
        <w:ind w:left="38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 of the principal amount of the Notes to be redeemed, or</w:t>
      </w:r>
    </w:p>
    <w:p>
      <w:pPr>
        <w:spacing w:after="0" w:line="153" w:lineRule="exact"/>
        <w:rPr>
          <w:sz w:val="20"/>
          <w:szCs w:val="20"/>
          <w:color w:val="auto"/>
        </w:rPr>
      </w:pPr>
    </w:p>
    <w:p>
      <w:pPr>
        <w:sectPr>
          <w:pgSz w:w="11900" w:h="16838" w:orient="portrait"/>
          <w:cols w:equalWidth="0" w:num="2">
            <w:col w:w="3920" w:space="300"/>
            <w:col w:w="6780"/>
          </w:cols>
          <w:pgMar w:left="440" w:top="274" w:right="459" w:bottom="1440" w:gutter="0" w:footer="0" w:header="0"/>
          <w:type w:val="continuous"/>
        </w:sectPr>
      </w:pPr>
    </w:p>
    <w:p>
      <w:pPr>
        <w:ind w:left="38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60" w:hanging="15"/>
        <w:spacing w:after="0" w:line="290" w:lineRule="auto"/>
        <w:rPr>
          <w:sz w:val="20"/>
          <w:szCs w:val="20"/>
          <w:color w:val="auto"/>
        </w:rPr>
      </w:pPr>
      <w:r>
        <w:rPr>
          <w:rFonts w:ascii="Arial" w:cs="Arial" w:eastAsia="Arial" w:hAnsi="Arial"/>
          <w:sz w:val="16"/>
          <w:szCs w:val="16"/>
          <w:color w:val="auto"/>
        </w:rPr>
        <w:t xml:space="preserve">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40 basis points;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Issuer redeems any Notes on or after October 1, 2024 (the date falling one month prior to the maturity date of the Notes), the redemption price for the Notes will be equal to 100% of the principal amount of the Notes to be redeemed, plus accrued and unpaid interest, if any, to, but excluding, the date of redemption.</w:t>
      </w:r>
    </w:p>
    <w:p>
      <w:pPr>
        <w:spacing w:after="0" w:line="72" w:lineRule="exact"/>
        <w:rPr>
          <w:sz w:val="20"/>
          <w:szCs w:val="20"/>
          <w:color w:val="auto"/>
        </w:rPr>
      </w:pPr>
    </w:p>
    <w:p>
      <w:pPr>
        <w:sectPr>
          <w:pgSz w:w="11900" w:h="16838" w:orient="portrait"/>
          <w:cols w:equalWidth="0" w:num="2">
            <w:col w:w="3920" w:space="300"/>
            <w:col w:w="678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Change of Control:</w:t>
      </w:r>
    </w:p>
    <w:p>
      <w:pPr>
        <w:spacing w:after="0" w:line="20" w:lineRule="exact"/>
        <w:rPr>
          <w:sz w:val="20"/>
          <w:szCs w:val="20"/>
          <w:color w:val="auto"/>
        </w:rPr>
      </w:pPr>
      <w:r>
        <w:rPr>
          <w:sz w:val="20"/>
          <w:szCs w:val="20"/>
          <w:color w:val="auto"/>
        </w:rPr>
        <w:br w:type="column"/>
      </w:r>
    </w:p>
    <w:p>
      <w:pPr>
        <w:jc w:val="both"/>
        <w:ind w:right="360"/>
        <w:spacing w:after="0" w:line="264" w:lineRule="auto"/>
        <w:rPr>
          <w:sz w:val="20"/>
          <w:szCs w:val="20"/>
          <w:color w:val="auto"/>
        </w:rPr>
      </w:pPr>
      <w:r>
        <w:rPr>
          <w:rFonts w:ascii="Arial" w:cs="Arial" w:eastAsia="Arial" w:hAnsi="Arial"/>
          <w:sz w:val="18"/>
          <w:szCs w:val="18"/>
          <w:color w:val="auto"/>
        </w:rPr>
        <w:t>Holders have the right to require the Issuer to repurchase the Notes at 100% of their principal amount plus accrued and unpaid interest, if any, in the event of a change of control repurchase event.</w:t>
      </w:r>
    </w:p>
    <w:p>
      <w:pPr>
        <w:spacing w:after="0" w:line="73" w:lineRule="exact"/>
        <w:rPr>
          <w:sz w:val="20"/>
          <w:szCs w:val="20"/>
          <w:color w:val="auto"/>
        </w:rPr>
      </w:pPr>
    </w:p>
    <w:p>
      <w:pPr>
        <w:sectPr>
          <w:pgSz w:w="11900" w:h="16838" w:orient="portrait"/>
          <w:cols w:equalWidth="0" w:num="2">
            <w:col w:w="3140" w:space="720"/>
            <w:col w:w="714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5, 2020 (T+5)</w:t>
      </w:r>
    </w:p>
    <w:p>
      <w:pPr>
        <w:spacing w:after="0" w:line="140" w:lineRule="exact"/>
        <w:rPr>
          <w:sz w:val="20"/>
          <w:szCs w:val="20"/>
          <w:color w:val="auto"/>
        </w:rPr>
      </w:pPr>
    </w:p>
    <w:p>
      <w:pPr>
        <w:sectPr>
          <w:pgSz w:w="11900" w:h="16838" w:orient="portrait"/>
          <w:cols w:equalWidth="0" w:num="2">
            <w:col w:w="3140" w:space="720"/>
            <w:col w:w="714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Denomination:</w:t>
      </w:r>
    </w:p>
    <w:p>
      <w:pPr>
        <w:spacing w:after="0" w:line="20" w:lineRule="exact"/>
        <w:rPr>
          <w:sz w:val="20"/>
          <w:szCs w:val="20"/>
          <w:color w:val="auto"/>
        </w:rPr>
      </w:pPr>
      <w:r>
        <w:rPr>
          <w:sz w:val="20"/>
          <w:szCs w:val="20"/>
          <w:color w:val="auto"/>
        </w:rPr>
        <w:br w:type="column"/>
      </w:r>
    </w:p>
    <w:p>
      <w:pPr>
        <w:jc w:val="center"/>
        <w:ind w:right="3040"/>
        <w:spacing w:after="0"/>
        <w:rPr>
          <w:sz w:val="20"/>
          <w:szCs w:val="20"/>
          <w:color w:val="auto"/>
        </w:rPr>
      </w:pPr>
      <w:r>
        <w:rPr>
          <w:rFonts w:ascii="Arial" w:cs="Arial" w:eastAsia="Arial" w:hAnsi="Arial"/>
          <w:sz w:val="16"/>
          <w:szCs w:val="16"/>
          <w:color w:val="auto"/>
        </w:rPr>
        <w:t>$2,000 and integral multiples of $1,000 in excess thereof</w:t>
      </w:r>
    </w:p>
    <w:p>
      <w:pPr>
        <w:spacing w:after="0" w:line="140" w:lineRule="exact"/>
        <w:rPr>
          <w:sz w:val="20"/>
          <w:szCs w:val="20"/>
          <w:color w:val="auto"/>
        </w:rPr>
      </w:pPr>
    </w:p>
    <w:p>
      <w:pPr>
        <w:sectPr>
          <w:pgSz w:w="11900" w:h="16838" w:orient="portrait"/>
          <w:cols w:equalWidth="0" w:num="2">
            <w:col w:w="3140" w:space="720"/>
            <w:col w:w="714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87265K AF9</w:t>
      </w:r>
    </w:p>
    <w:p>
      <w:pPr>
        <w:spacing w:after="0" w:line="129" w:lineRule="exact"/>
        <w:rPr>
          <w:sz w:val="20"/>
          <w:szCs w:val="20"/>
          <w:color w:val="auto"/>
        </w:rPr>
      </w:pPr>
    </w:p>
    <w:p>
      <w:pPr>
        <w:sectPr>
          <w:pgSz w:w="11900" w:h="16838" w:orient="portrait"/>
          <w:cols w:equalWidth="0" w:num="2">
            <w:col w:w="3140" w:space="720"/>
            <w:col w:w="7140"/>
          </w:cols>
          <w:pgMar w:left="440" w:top="274" w:right="459" w:bottom="1440" w:gutter="0" w:footer="0" w:header="0"/>
          <w:type w:val="continuous"/>
        </w:sectPr>
      </w:pPr>
    </w:p>
    <w:p>
      <w:pPr>
        <w:spacing w:after="0"/>
        <w:rPr>
          <w:sz w:val="20"/>
          <w:szCs w:val="20"/>
          <w:color w:val="auto"/>
        </w:rPr>
      </w:pPr>
      <w:r>
        <w:rPr>
          <w:rFonts w:ascii="Arial" w:cs="Arial" w:eastAsia="Arial" w:hAnsi="Arial"/>
          <w:sz w:val="17"/>
          <w:szCs w:val="17"/>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US87265KAF93</w:t>
      </w:r>
    </w:p>
    <w:p>
      <w:pPr>
        <w:spacing w:after="0" w:line="140" w:lineRule="exact"/>
        <w:rPr>
          <w:sz w:val="20"/>
          <w:szCs w:val="20"/>
          <w:color w:val="auto"/>
        </w:rPr>
      </w:pPr>
    </w:p>
    <w:p>
      <w:pPr>
        <w:sectPr>
          <w:pgSz w:w="11900" w:h="16838" w:orient="portrait"/>
          <w:cols w:equalWidth="0" w:num="2">
            <w:col w:w="3140" w:space="720"/>
            <w:col w:w="714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SunTrust Robinson Humphrey,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116" w:lineRule="exact"/>
        <w:rPr>
          <w:sz w:val="20"/>
          <w:szCs w:val="20"/>
          <w:color w:val="auto"/>
        </w:rPr>
      </w:pPr>
    </w:p>
    <w:p>
      <w:pPr>
        <w:sectPr>
          <w:pgSz w:w="11900" w:h="16838" w:orient="portrait"/>
          <w:cols w:equalWidth="0" w:num="2">
            <w:col w:w="3140" w:space="720"/>
            <w:col w:w="714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ICBC Standard Bank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JMP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Raymond James &amp; Associates,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Janney Montgomery Scott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Santander Investment Securities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Comerica Securities, Inc.</w:t>
      </w:r>
    </w:p>
    <w:p>
      <w:pPr>
        <w:sectPr>
          <w:pgSz w:w="11900" w:h="16838" w:orient="portrait"/>
          <w:cols w:equalWidth="0" w:num="2">
            <w:col w:w="3140" w:space="720"/>
            <w:col w:w="7140"/>
          </w:cols>
          <w:pgMar w:left="440" w:top="274" w:right="459" w:bottom="1440" w:gutter="0" w:footer="0" w:header="0"/>
          <w:type w:val="continuous"/>
        </w:sectPr>
      </w:pPr>
    </w:p>
    <w:bookmarkStart w:id="2" w:name="page3"/>
    <w:bookmarkEnd w:id="2"/>
    <w:p>
      <w:pPr>
        <w:jc w:val="both"/>
        <w:ind w:right="700" w:firstLine="4"/>
        <w:spacing w:after="0" w:line="291" w:lineRule="auto"/>
        <w:tabs>
          <w:tab w:leader="none" w:pos="432" w:val="left"/>
        </w:tabs>
        <w:numPr>
          <w:ilvl w:val="0"/>
          <w:numId w:val="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A securities rating is not a recommendation to buy, sell or hold securities and may be subject to revision or withdrawal at any time. ** The Issuer expects that delivery of the Notes will be made to investors on or about February 5, 2020, which will be the fifth business day</w:t>
      </w:r>
    </w:p>
    <w:p>
      <w:pPr>
        <w:ind w:left="440" w:right="40"/>
        <w:spacing w:after="0" w:line="265" w:lineRule="auto"/>
        <w:rPr>
          <w:rFonts w:ascii="Arial" w:cs="Arial" w:eastAsia="Arial" w:hAnsi="Arial"/>
          <w:sz w:val="16"/>
          <w:szCs w:val="16"/>
          <w:color w:val="auto"/>
        </w:rPr>
      </w:pPr>
      <w:r>
        <w:rPr>
          <w:rFonts w:ascii="Arial" w:cs="Arial" w:eastAsia="Arial" w:hAnsi="Arial"/>
          <w:sz w:val="17"/>
          <w:szCs w:val="17"/>
          <w:color w:val="auto"/>
        </w:rPr>
        <w:t>following the date hereof. Under Rule 15c6-1 under the Securities Exchange Act of 1934, as amended, trades in the secondary market are required to settle in two business days, unless the parties to any such trade expressly agree otherwise. Accordingly, purchasers who wish to trade Notes on the date hereof or the next succeeding two business days will be required by virtue of the fact that the Notes initially settle in T+5, to specify an alternate settlement arrangement at the time of any such trade to prevent a failed settlement. Purchasers of the Notes who wish to trade the Notes on the date hereof or the next succeeding two business days should consult their advisors.</w:t>
      </w:r>
    </w:p>
    <w:p>
      <w:pPr>
        <w:spacing w:after="0" w:line="1" w:lineRule="exact"/>
        <w:rPr>
          <w:rFonts w:ascii="Arial" w:cs="Arial" w:eastAsia="Arial" w:hAnsi="Arial"/>
          <w:sz w:val="16"/>
          <w:szCs w:val="16"/>
          <w:color w:val="auto"/>
        </w:rPr>
      </w:pPr>
    </w:p>
    <w:p>
      <w:pPr>
        <w:ind w:left="440" w:right="120" w:hanging="432"/>
        <w:spacing w:after="0" w:line="253" w:lineRule="auto"/>
        <w:rPr>
          <w:rFonts w:ascii="Arial" w:cs="Arial" w:eastAsia="Arial" w:hAnsi="Arial"/>
          <w:sz w:val="16"/>
          <w:szCs w:val="16"/>
          <w:color w:val="auto"/>
        </w:rPr>
      </w:pPr>
      <w:r>
        <w:rPr>
          <w:rFonts w:ascii="Arial" w:cs="Arial" w:eastAsia="Arial" w:hAnsi="Arial"/>
          <w:sz w:val="18"/>
          <w:szCs w:val="18"/>
          <w:color w:val="auto"/>
        </w:rPr>
        <w:t>*** 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187"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Investors are advised to carefully consider the investment objectives, risks, charges and expenses of the Issuer before investing. The Preliminary Prospectus, which has been filed with the Securities and Exchange Commission (the “SEC”), contains this and other information about the Issuer and should be read carefully before investing.</w:t>
      </w:r>
    </w:p>
    <w:p>
      <w:pPr>
        <w:spacing w:after="0" w:line="18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information in the Preliminary Prospectus and in this pricing term sheet is not complete and may be changed. The Preliminary Prospectus and this pricing term sheet are not offers to sell any securities of the Issuer and are not soliciting an offer to buy such securities in any state or jurisdiction where such offer and sale is not permitted.</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The Issuer has filed a registration statement including a prospectus and the prospectus supplement with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obtain these documents for free by visiting EDGAR on the SEC Web site at </w:t>
      </w:r>
      <w:r>
        <w:rPr>
          <w:rFonts w:ascii="Arial" w:cs="Arial" w:eastAsia="Arial" w:hAnsi="Arial"/>
          <w:sz w:val="18"/>
          <w:szCs w:val="18"/>
          <w:b w:val="1"/>
          <w:bCs w:val="1"/>
          <w:u w:val="single" w:color="auto"/>
          <w:color w:val="auto"/>
        </w:rPr>
        <w:t>www.sec.gov</w:t>
      </w:r>
      <w:r>
        <w:rPr>
          <w:rFonts w:ascii="Arial" w:cs="Arial" w:eastAsia="Arial" w:hAnsi="Arial"/>
          <w:sz w:val="18"/>
          <w:szCs w:val="18"/>
          <w:b w:val="1"/>
          <w:bCs w:val="1"/>
          <w:color w:val="auto"/>
        </w:rPr>
        <w:t>. Alternatively, the Issuer, any underwriter or any dealer participating in the offering will arrange to send you the prospectus and the prospectus supplement if you request them by calling BofA Securities, Inc. at 1-800-294-1322.</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2020-01-29T14:56:52Z</dcterms:created>
  <dcterms:modified xsi:type="dcterms:W3CDTF">2020-01-29T14:56:52Z</dcterms:modified>
</cp:coreProperties>
</file>