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0"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42"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15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0"/>
          <w:szCs w:val="40"/>
          <w:b w:val="1"/>
          <w:bCs w:val="1"/>
          <w:color w:val="auto"/>
        </w:rPr>
        <w:t>Sixth Street Specialty Lending, Inc.</w:t>
      </w:r>
    </w:p>
    <w:p>
      <w:pPr>
        <w:spacing w:after="0" w:line="4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9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2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31"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77"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354455" cy="411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544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Dallas, TX 75201</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2024</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25"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are pleased to invite you to attend a Special Meeting of Stockholders of Sixth Street Specialty Lending, Inc. to be held on [●], 2024, at [●], Eastern Time, at the offices of Simpson Thacher &amp; Bartlett LLP, 425 Lexington Avenue, New York, NY 10017.</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following pages include a formal notice of the meeting and our proxy statement. The Notice of Internet Availability of Proxy Materials you received in the mail and this proxy statement describe the matter on the agenda for the meeting. At the meeting, you will be asked to consider and vote upon a proposal to authorize the Company, with approval of its Board of Directors, to sell or otherwise issue shares of its common stock at a price below its then-current net asset value per share in one or more offerings, subject to certain conditions as set forth herein, including that the number of shares issued does not exceed 25% of its then-outstanding common stock immediately prior to each such offering.</w:t>
      </w:r>
    </w:p>
    <w:p>
      <w:pPr>
        <w:spacing w:after="0" w:line="183"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Please read these materials so that you will know what we plan to do at the meeting. It is important that your shares be represented at the special meeting, regardless of whether you plan to attend the meeting in person. Please vote your shares as soon as possible through any of the voting options available to you as described in the Notice of Internet Availability of Proxy Materials and this proxy statement.</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You will also receive separate proxy materials for the Annual Meeting of Stockholders, which will be held at the same place and on the same date stated above, but not at the same time. Please be certain to vote separately each proxy card that you receive from us.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behalf of management and our Board of Directors, we thank you for your continued support of Sixth Street Specialty Lending, Inc.</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32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-127635</wp:posOffset>
            </wp:positionV>
            <wp:extent cx="27946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2024</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 for the Special Meeting of Stockholders to Be Held 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2024.</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proxy statement is available online at [●].</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following information applicable to the Special Meeting of Stockholders may be found in the proxy statement and accompanying proxy card:</w:t>
      </w:r>
    </w:p>
    <w:p>
      <w:pPr>
        <w:spacing w:after="0" w:line="142"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time and location of the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the matters intended to be acted on and our recommendations regarding those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control/identification numbers that you need to access proxy material online;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attending the meeting and voting in person.</w:t>
      </w:r>
    </w:p>
    <w:p>
      <w:pPr>
        <w:sectPr>
          <w:pgSz w:w="11900" w:h="16838" w:orient="portrait"/>
          <w:cols w:equalWidth="0" w:num="1">
            <w:col w:w="11060"/>
          </w:cols>
          <w:pgMar w:left="320" w:top="455" w:right="5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354455"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544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160020</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Notice of a 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165735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25"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NOTICE IS HEREBY GIVEN that a Special Meeting of Stockholders of Sixth Street Specialty Lending, Inc. will be held [●], at the offices of Simpson Thacher &amp; Bartlett LLP, 425 Lexington Avenue, New York, NY 10017 on [●], 2024, at [●], Eastern Time. The Special Meeting of Stockholders is being held for the following purpose:</w:t>
      </w:r>
    </w:p>
    <w:p>
      <w:pPr>
        <w:spacing w:after="0" w:line="68" w:lineRule="exact"/>
        <w:rPr>
          <w:sz w:val="20"/>
          <w:szCs w:val="20"/>
          <w:color w:val="auto"/>
        </w:rPr>
      </w:pPr>
    </w:p>
    <w:p>
      <w:pPr>
        <w:jc w:val="both"/>
        <w:ind w:left="560" w:right="40" w:firstLine="419"/>
        <w:spacing w:after="0" w:line="261" w:lineRule="auto"/>
        <w:tabs>
          <w:tab w:leader="none" w:pos="116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a proposal to authorize the Company to sell or otherwise issue shares of its common stock at a price below its then-current net asset value per share in one or more offerings, in each case subject to the approval of its Board of Directors and subject to certain conditions as set forth herein, including that the number of shares issued does not exceed 25% of its then-outstanding common stock immediately prior to each such offering.</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 2024, are entitled to notice of and to vote at the Special Meeting of Stockholders or any postponement or adjournment thereof.</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furnishing a proxy statement and proxy card to our stockholders on the internet, rather than mailing printed copies of those materials to each stockholder. If you received a Notice of Internet Availability of Proxy Materials by mail, you will not receive a printed copy of the proxy statement and proxy card unless you request them. Instead, the Notice of Internet Availability of Proxy Materials will instruct you as to how you may access and review the proxy statement, and vote your proxy, on the internet.</w:t>
      </w:r>
    </w:p>
    <w:p>
      <w:pPr>
        <w:spacing w:after="0" w:line="176"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Your vote is extremely important to us. </w:t>
      </w:r>
      <w:r>
        <w:rPr>
          <w:rFonts w:ascii="Times New Roman" w:cs="Times New Roman" w:eastAsia="Times New Roman" w:hAnsi="Times New Roman"/>
          <w:sz w:val="18"/>
          <w:szCs w:val="18"/>
          <w:color w:val="auto"/>
        </w:rPr>
        <w:t>Whether or not you plan to attend the Special Meeting of Stockholders, we encourage you to vote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on the internet by following the instructions provided on the Notice of Internet Availability of Proxy Materials or proxy card. Stockholders may also request from us free of charge hard copies of the proxy statement and proxy card by following the instructions on the Notice of Internet Availability of Proxy Materials. In the event there are not sufficient votes for a quorum at the time of the Special Meeting, the Special Meeting may be adjourned in order to permit further solicitation of proxies by the Company.</w:t>
      </w:r>
    </w:p>
    <w:p>
      <w:pPr>
        <w:spacing w:after="0" w:line="179"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INCLUDING THE INDEPENDENT DIRECTORS, UNANIMOUSLY RECOMMENDS THAT YOU VOTE “FOR” THE PROPOSAL.</w:t>
      </w:r>
    </w:p>
    <w:p>
      <w:pPr>
        <w:spacing w:after="0" w:line="18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8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Anton Brett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-127635</wp:posOffset>
            </wp:positionV>
            <wp:extent cx="27946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Chief Compliance Officer and Secretary</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2024</w:t>
      </w:r>
    </w:p>
    <w:p>
      <w:pPr>
        <w:spacing w:after="0" w:line="221" w:lineRule="exact"/>
        <w:rPr>
          <w:sz w:val="20"/>
          <w:szCs w:val="20"/>
          <w:color w:val="auto"/>
        </w:rPr>
      </w:pPr>
    </w:p>
    <w:p>
      <w:pPr>
        <w:ind w:left="120" w:right="12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YOUR VOTE IS IMPORTANT</w:t>
      </w:r>
      <w:r>
        <w:rPr>
          <w:rFonts w:ascii="Times New Roman" w:cs="Times New Roman" w:eastAsia="Times New Roman" w:hAnsi="Times New Roman"/>
          <w:sz w:val="18"/>
          <w:szCs w:val="18"/>
          <w:b w:val="1"/>
          <w:bCs w:val="1"/>
          <w:color w:val="auto"/>
        </w:rPr>
        <w:t>! WE HOPE YOU WILL VOTE OVER THE INTERNET, BY PHONE OR BY MARKING, SIGNING AND RETURNING YOUR PROXY AS SOON AS POSSIBLE, WHETHER OR NOT YOU PLAN TO ATTEND THE MEETING. EVEN IF YOU VOTE YOUR SHARES PRIOR TO THE MEETING, YOU STILL MAY ATTEND THE MEETING AND VOTE YOUR SHARES IN PERSON.</w:t>
      </w:r>
    </w:p>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6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EE"/>
              </w:rPr>
              <w:t>Proxy Statement for a Special Meeting of Stockholders</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10660" w:type="dxa"/>
            <w:vAlign w:val="bottom"/>
            <w:gridSpan w:val="12"/>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5780" w:type="dxa"/>
            <w:vAlign w:val="bottom"/>
            <w:gridSpan w:val="4"/>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06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Proposal No. 1 Authorization of The Company to Sell or Otherwise Issue Shares of its Common Stock at a Price Below its Then-Current Net</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42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Asset Value Per Share in One or More Offerings, in Each Case Subject to the Approval of its Board of Directors and Subject to the</w:t>
            </w:r>
          </w:p>
        </w:tc>
        <w:tc>
          <w:tcPr>
            <w:tcW w:w="60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4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Conditions Set Forth in this Proposal</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Business</w:t>
            </w:r>
          </w:p>
        </w:tc>
        <w:tc>
          <w:tcPr>
            <w:tcW w:w="956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Stockholder Proposals and Nominations for the 2024 Annual Meeting of Stockholders</w:t>
            </w:r>
          </w:p>
        </w:tc>
        <w:tc>
          <w:tcPr>
            <w:tcW w:w="444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06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Annual Report</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6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Householding of Proxy Materials</w:t>
            </w:r>
          </w:p>
        </w:tc>
        <w:tc>
          <w:tcPr>
            <w:tcW w:w="826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13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Privacy Principles</w:t>
            </w:r>
          </w:p>
        </w:tc>
        <w:tc>
          <w:tcPr>
            <w:tcW w:w="934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354455"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544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160020</wp:posOffset>
            </wp:positionV>
            <wp:extent cx="1474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 a</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accompanying proxy is solicited on behalf of the Board of Directors (the “Board”) of Sixth Street Specialty Lending, Inc., which is sometimes referred to in this proxy statement as “TSLX,” “we,” “us,” “our,” or the “Company,” for use at a Special Meeting of Stockholders (the “Meeting” or “Special Meeting”) to be held at the offices of Simpson Thacher &amp; Bartlett LLP, 425 Lexington Avenue, New York, NY 10017 on [●], 2024, at [●], Eastern Time. Only holders of record of our common stock at the close of business on [●], 2024, which is the record date, will be entitled to vote at the Meeting. At the close of business on the record date, we had [●] shares of common stock outstanding and entitled to vote.</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It is anticipated that the Notice of Internet Availability of Proxy Materials will first be sent to Stockholders on or about [●], 2024. This proxy statement, including the accompanying form of proxy (collectively, the “Proxy Statement”), will first be made available to stockholders on or about [●], 2024. The Proxy Statement can be accessed online at [●].</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All proxies will be voted in accordance with the instructions contained therein. Unless contrary instructions are specified, if the accompanying proxy is executed and returned (and not revoked) prior to the Meeting, the shares of the Company’s common stock represented by the proxy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proposal authorizing the Company to sell or otherwise issue shares of its common stock at a price below its then-current net asset value per share in one or more offerings, in each case subject to the approval of the Board and subject to the conditions as set forth herein, including that the number of shares issued does not exceed 25% of its then-outstanding common stock immediately prior to each such offering. Should any matter not described above be properly presented at the Meeting, the named proxies will vote in accordance with their judgment as permitted.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as of the record date. If your shares are held for your account by a broker, bank or other institution or nominee, your institution or nominee will not vote your shares unless you provide instructions to your institution or nominee on how to vote your shares. You should instruct your institution or nominee how to vote your shares by following the voting instructions provided by your institution or nominee.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Special Meeting of Stockholders is being held for the following purpose:</w:t>
      </w:r>
    </w:p>
    <w:p>
      <w:pPr>
        <w:spacing w:after="0" w:line="117" w:lineRule="exact"/>
        <w:rPr>
          <w:sz w:val="20"/>
          <w:szCs w:val="20"/>
          <w:color w:val="auto"/>
        </w:rPr>
      </w:pPr>
    </w:p>
    <w:p>
      <w:pPr>
        <w:jc w:val="both"/>
        <w:ind w:left="120" w:right="80" w:firstLine="436"/>
        <w:spacing w:after="0" w:line="261"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a proposal to authorize the Company to sell or otherwise issue shares of its common stock at a price below its then-current net asset value per share in one or more offerings, in each case subject to the approval of its Board of Directors and subject to the conditions as set forth herein, including that the number of shares issued does not exceed 25% of its then-outstanding common stock immediately prior to each such offering.</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60"/>
          </w:cols>
          <w:pgMar w:left="320" w:top="455" w:right="5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 Effect of Abstentions and Broker Non-Votes, Vote Required to Approve the Proposal</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A majority of the outstanding shares of common stock must be present or represented by proxy at the Meeting in order to have a quorum. If you have properly voted by proxy online, by phone, or via mail, you will be considered part of the quorum. We will count “abstain” votes as present for the purpose of establishing a quorum for the transaction of business at the Meeting. If at any time shares are held through brokers, we will count broker non-votes as present for the purpose of establishing a quorum. A broker non-vote occurs when a broker holding shares for a beneficial owner votes on some matters on the proxy card, but not on others, because the broker does not have instructions from the beneficial owner or discretionary authority (or declines to exercise discretionary authority) with respect to those other matters. Notwithstanding the foregoing, we do not expect any broker non-votes at the Meeting because there are no routine proposals to be voted on at the Meeting. </w:t>
      </w:r>
      <w:r>
        <w:rPr>
          <w:rFonts w:ascii="Times New Roman" w:cs="Times New Roman" w:eastAsia="Times New Roman" w:hAnsi="Times New Roman"/>
          <w:sz w:val="18"/>
          <w:szCs w:val="18"/>
          <w:b w:val="1"/>
          <w:bCs w:val="1"/>
          <w:color w:val="auto"/>
        </w:rPr>
        <w:t>For this reason, it is imperative that stockholders vote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provide instructions to their broker as to how to vote.</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You may vote “for” or “against,” or abstain from voting on, Proposal 1 (to authorize the Company, with the approval of the Board, to sell or otherwise issue shares of its common stock at a price below its then-current net asset value per share subject to certain limitations set forth herein, including that the number of shares issued does not exceed 25% of its then-outstanding common stock immediately prior to each such offering). The affirmative vote of holders of at least a “majority,” as defined in the Investment Company Act of 1940, as amended (the “1940 Act”), of (1) the outstanding shares of the Company’s common stock and (2) the outstanding shares of the Company’s common stock held by persons that are not affiliated persons of the Company, is required to approve Proposal 1. Under the 1940 Act, the vote of holders of a “majority” means the vote of the holders of the lesser of (a) 67% or more of the outstanding shares of the Company’s common stock present or represented by proxy at the Special Meeting if the holders of more than 50% of the shares of the Company’s common stock are present or represented by proxy or (b) more than 50% of the outstanding shares of the Company’s common stock. Abstentions will have the effect of a vote “against” Proposal 1. While broker non-votes would have the effect of a vote “against” Proposal 1, we do not expect any broker non-votes at the Meeting because there are no routine proposals to be voted on at the Meeting.</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Adjournment of Meeting</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the event that a quorum shall fail to attend the Meeting, either in person or represented by proxy, the stockholders entitled to vote at the Meeting (present in person or represented by proxy) shall have the power to adjourn the meeting from time to time, without notice other than announcement at the meeting, until a quorum shall be present or represented by proxy. Any such adjournment proposed by a stockholder or person named as a proxy would require the affirmative vote of the majority of the outstanding shares present in person or represented by proxy at the Meeting. In addition, pursuant to the bylaws of the Company, if there are not sufficient votes for a quorum or to approve or ratify the proposal at the time of the Meeting, the chairman of the Meeting, or any other officer entitled to preside or to act as secretary at the Meeting, may adjourn or postpone the Meeting in order to permit further solicitation of proxies by the Company, without notice other than announcement at the meeting.</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At any such adjourned or postponed meeting, any business may be transacted which might have been transacted at the meeting as originally called. If the adjournment is for more than 30 days, or if after adjournment a new record date is set, then a notice of the adjourned meeting shall be given to each stockholder of record entitled to vote at the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Proxies for the Meeting</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named proxies for the Meeting are Ian Simmonds and Anton Brett (or their duly authorized designees), who will follow submitted proxy voting instructions. They will vote as the Board recommends herein as to any submitted proxies that do not direct how to vote on any item, and will vote on any other matters properly presented at the Meeting in their judgment.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Information Regarding This Proxy</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Company will pay the expenses of soliciting proxies to be voted at the Meeting. The Company has retained [●] to assist with the distribution and collection of proxies for a fee of approximately $[●], plus reimbursement of expenses.</w:t>
      </w:r>
    </w:p>
    <w:p>
      <w:pPr>
        <w:spacing w:after="0" w:line="162"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solicitation of proxies by the use of the internet, proxies may be solicited in person and/or by telephone, mail or facsimile transmission by directors or officers of the Company and/or officers or employees of Sixth Street Specialty Lending Advisers, LLC, the Company’s investment adviser (the “Adviser”). No additional compensation will be paid to such directors, officers or regular employees for such services. The address of the Adviser is 2100 McKinney Avenue, Suite 1500, Dallas, TX 75201.</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engaged the services of [●] to assist in the solicitation of proxies. The Company has estimated that it will pay approximately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plus reimbursement of certain expenses and fees for additional services requested. Please note that may solicit stockholder proxies by telephone 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behalf of the Company. They will not attempt to influence how you vote your shares, but only ask that you take the time to authorize your proxy. You</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 also be asked if you would like to vote over the telephone and to have your vote transmitted to the proxy tabulation firm.</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 stockholder “of record” (i.e., stockholders holding shares directly in their name) may revoke any proxy by delivering a new proxy in accordance with applicable law bearing a later date, by giving notice of revocation in writing to the Secretary of the Company prior to the Meeting or by attending the Meeting and voting in person. However, the mere presence of the stockholder at the Meeting does not revoke the proxy.</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your shares are held for your account by a broker, bank or other institution or nominee, you may vote such shares at the Meeting only if you obtain proper written authority from your institution or nominee and present it at the Meeting. If your shares are held for your account by a broker, bank or other institution or nominee, to revoke any voting instructions prior to the time the vote is taken at the Meeting, you must contact such broker, bank or other institution or nominee to determine how to revoke your vote in accordance with its policies a sufficient time in advance of the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Contact Information for Proxy Solicitation</w:t>
      </w:r>
    </w:p>
    <w:p>
      <w:pPr>
        <w:spacing w:after="0" w:line="121" w:lineRule="exact"/>
        <w:rPr>
          <w:sz w:val="20"/>
          <w:szCs w:val="20"/>
          <w:color w:val="auto"/>
        </w:rPr>
      </w:pPr>
    </w:p>
    <w:p>
      <w:pPr>
        <w:ind w:left="120" w:right="240" w:firstLine="440"/>
        <w:spacing w:after="0" w:line="198" w:lineRule="auto"/>
        <w:rPr>
          <w:sz w:val="20"/>
          <w:szCs w:val="20"/>
          <w:color w:val="auto"/>
        </w:rPr>
      </w:pPr>
      <w:r>
        <w:rPr>
          <w:rFonts w:ascii="Times New Roman" w:cs="Times New Roman" w:eastAsia="Times New Roman" w:hAnsi="Times New Roman"/>
          <w:sz w:val="18"/>
          <w:szCs w:val="18"/>
          <w:color w:val="auto"/>
        </w:rPr>
        <w:t>You can contact us by mail sent to the attention of the Secretary of the Company, Anton Brett, Sixth Street Specialty Lending, Inc., 888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Avenue, 41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New York, NY 10106, or by email at abrett@sixthstreet.com. You can call us by dialing 469-621-2033. You can access our proxy materials online at [●].</w:t>
      </w:r>
    </w:p>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Attendance and Participation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Company’s Meeting will be conducted in-person at the offices of Simpson Thacher &amp; Bartlett LLP, 425 Lexington Avenue, New York, NY 10017. Stockholders as of the close of business on [●], 2024, the record date, are entitled to participate in and vote at the Meeting. If you have a question pertaining to the business of the Meeting, please submit it in accordance with the procedures described below.</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To participate in the Meeting, you will need the 16-digit control number included on your proxy card, your voting instruction form, or the Notice of Internet Availability of Proxy Materials previously mailed or made available to stockholders entitled to vote at the Meeting.</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In-person admission to the Meeting will be on a first-come, first served basis. Please bring proof of your common share ownership, such as a current brokerage statement and photo identification. If you are representing an entity that is a stockholder, you must also present documentation showing your authority to attend and act on behalf of the entity (such as a power of attorney, written proxy to vote or letter of authorization on the entity’s letterhead). We reserve the right to restrict admission to the meeting or limit the number of representatives for any entity that may be admitted to the meeting for security or health and safety reasons at our sole discretion.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Annual Meeting of Stockholders will begin promptly at [●], Eastern Time, and the Special Meeting of Stockholders will begin promptly at [●], Eastern Time. Participants should allow plenty of time to check in prior to the start of the meetings.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can vote in person at the Meeting. If you hold your shares in “street name”, you must obtain a proxy from the record holder to vote in person.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your shares are held in a bank, brokerage or other institutional account, you are a beneficial owner of these shares but not the record holder. This is known as holding shares in “street name.” If you wish to vote the shares you hold in “street name” in person at the meeting, you must obtain a legal proxy from your bank, broker or other intermediary and bring it with you to hand in with your ballot.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List</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list of our stockholders of record entitled to vote at the Meeting will be made available for viewing by stockholders at the Meeting for any purpose germane to the Meeting.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U.S. Securities and Exchange Commission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 2024, the beneficial ownership as indicated in the Company’s books and records of each current director, the nominees for director, the Company’s Named Executive Officers, the Company’s executive officers and directors as a group, and each person known to the Company to beneficially own 5% or more of the outstanding shares of the Company’s common stock. With respect to persons known to the Company to beneficially own 5% or more of the outstanding shares of the Company’s common stock, the Company bases such knowledge on beneficial ownership filings made by the holders with the SEC.</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percentage ownership is based on [●] shares of common stock outstanding as of [●], 2024. To the Company’s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2100 McKinney Avenue, Suite 1500, Dallas, TX 75201.</w:t>
      </w:r>
    </w:p>
    <w:p>
      <w:pPr>
        <w:sectPr>
          <w:pgSz w:w="11900" w:h="16838" w:orient="portrait"/>
          <w:cols w:equalWidth="0" w:num="1">
            <w:col w:w="11120"/>
          </w:cols>
          <w:pgMar w:left="320" w:top="45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Name of Individual or Identity of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Interested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line="181" w:lineRule="auto"/>
        <w:rPr>
          <w:sz w:val="20"/>
          <w:szCs w:val="20"/>
          <w:color w:val="auto"/>
        </w:rPr>
      </w:pPr>
      <w:r>
        <w:rPr>
          <w:rFonts w:ascii="Times New Roman" w:cs="Times New Roman" w:eastAsia="Times New Roman" w:hAnsi="Times New Roman"/>
          <w:sz w:val="18"/>
          <w:szCs w:val="18"/>
          <w:color w:val="auto"/>
        </w:rPr>
        <w:t>Joshua Easterly</w:t>
      </w:r>
      <w:r>
        <w:rPr>
          <w:rFonts w:ascii="Times New Roman" w:cs="Times New Roman" w:eastAsia="Times New Roman" w:hAnsi="Times New Roman"/>
          <w:sz w:val="26"/>
          <w:szCs w:val="26"/>
          <w:color w:val="auto"/>
          <w:vertAlign w:val="superscript"/>
        </w:rPr>
        <w:t>(2)</w:t>
      </w:r>
    </w:p>
    <w:p>
      <w:pPr>
        <w:ind w:left="480"/>
        <w:spacing w:after="0" w:line="181" w:lineRule="auto"/>
        <w:rPr>
          <w:sz w:val="20"/>
          <w:szCs w:val="20"/>
          <w:color w:val="auto"/>
        </w:rPr>
      </w:pPr>
      <w:r>
        <w:rPr>
          <w:rFonts w:ascii="Times New Roman" w:cs="Times New Roman" w:eastAsia="Times New Roman" w:hAnsi="Times New Roman"/>
          <w:sz w:val="17"/>
          <w:szCs w:val="17"/>
          <w:color w:val="auto"/>
        </w:rPr>
        <w:t>Michael Fishman</w:t>
      </w:r>
      <w:r>
        <w:rPr>
          <w:rFonts w:ascii="Times New Roman" w:cs="Times New Roman" w:eastAsia="Times New Roman" w:hAnsi="Times New Roman"/>
          <w:sz w:val="25"/>
          <w:szCs w:val="25"/>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Jennifer Gordon</w:t>
      </w:r>
    </w:p>
    <w:p>
      <w:pPr>
        <w:ind w:left="480"/>
        <w:spacing w:after="0" w:line="180" w:lineRule="auto"/>
        <w:rPr>
          <w:sz w:val="20"/>
          <w:szCs w:val="20"/>
          <w:color w:val="auto"/>
        </w:rPr>
      </w:pPr>
      <w:r>
        <w:rPr>
          <w:rFonts w:ascii="Times New Roman" w:cs="Times New Roman" w:eastAsia="Times New Roman" w:hAnsi="Times New Roman"/>
          <w:sz w:val="18"/>
          <w:szCs w:val="18"/>
          <w:color w:val="auto"/>
        </w:rPr>
        <w:t>David Stiepleman</w:t>
      </w:r>
      <w:r>
        <w:rPr>
          <w:rFonts w:ascii="Times New Roman" w:cs="Times New Roman" w:eastAsia="Times New Roman" w:hAnsi="Times New Roman"/>
          <w:sz w:val="26"/>
          <w:szCs w:val="26"/>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i w:val="1"/>
          <w:iCs w:val="1"/>
          <w:color w:val="auto"/>
        </w:rPr>
        <w:t>Independent Directors</w:t>
      </w:r>
    </w:p>
    <w:p>
      <w:pPr>
        <w:spacing w:after="0" w:line="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 Emery Covington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Hurley Doddy</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Richard Higginbotham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John Ross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Judy Slotkin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Ronald Tanemura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Named Executive Officers Who Are Not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Ian Simmonds</w:t>
      </w:r>
    </w:p>
    <w:p>
      <w:pPr>
        <w:ind w:left="480"/>
        <w:spacing w:after="0" w:line="181" w:lineRule="auto"/>
        <w:rPr>
          <w:sz w:val="20"/>
          <w:szCs w:val="20"/>
          <w:color w:val="auto"/>
        </w:rPr>
      </w:pPr>
      <w:r>
        <w:rPr>
          <w:rFonts w:ascii="Times New Roman" w:cs="Times New Roman" w:eastAsia="Times New Roman" w:hAnsi="Times New Roman"/>
          <w:sz w:val="18"/>
          <w:szCs w:val="18"/>
          <w:color w:val="auto"/>
        </w:rPr>
        <w:t>Robert (Bo) Stanley</w:t>
      </w:r>
      <w:r>
        <w:rPr>
          <w:rFonts w:ascii="Times New Roman" w:cs="Times New Roman" w:eastAsia="Times New Roman" w:hAnsi="Times New Roman"/>
          <w:sz w:val="26"/>
          <w:szCs w:val="26"/>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Anton Brett</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All Directors and Executive Officers as a Group (15 persons)</w:t>
      </w:r>
      <w:r>
        <w:rPr>
          <w:rFonts w:ascii="Times New Roman" w:cs="Times New Roman" w:eastAsia="Times New Roman" w:hAnsi="Times New Roman"/>
          <w:sz w:val="25"/>
          <w:szCs w:val="25"/>
          <w:color w:val="auto"/>
          <w:vertAlign w:val="superscript"/>
        </w:rPr>
        <w:t>(6)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48895</wp:posOffset>
            </wp:positionV>
            <wp:extent cx="77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8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1980" w:type="dxa"/>
            <w:vAlign w:val="bottom"/>
            <w:gridSpan w:val="2"/>
          </w:tcPr>
          <w:p>
            <w:pPr>
              <w:jc w:val="center"/>
              <w:ind w:right="100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80" w:type="dxa"/>
            <w:vAlign w:val="bottom"/>
            <w:gridSpan w:val="2"/>
          </w:tcPr>
          <w:p>
            <w:pPr>
              <w:jc w:val="center"/>
              <w:ind w:right="10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1980" w:type="dxa"/>
            <w:vAlign w:val="bottom"/>
            <w:gridSpan w:val="2"/>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73"/>
        </w:trPr>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0"/>
                <w:szCs w:val="10"/>
                <w:b w:val="1"/>
                <w:bCs w:val="1"/>
                <w:color w:val="auto"/>
              </w:rPr>
              <w:t>(1)</w:t>
            </w:r>
          </w:p>
        </w:tc>
        <w:tc>
          <w:tcPr>
            <w:tcW w:w="102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w:t>
      </w:r>
    </w:p>
    <w:p>
      <w:pPr>
        <w:spacing w:after="0" w:line="193" w:lineRule="exact"/>
        <w:rPr>
          <w:sz w:val="20"/>
          <w:szCs w:val="20"/>
          <w:color w:val="auto"/>
        </w:rPr>
      </w:pPr>
    </w:p>
    <w:p>
      <w:pPr>
        <w:sectPr>
          <w:pgSz w:w="11900" w:h="16838" w:orient="portrait"/>
          <w:cols w:equalWidth="0" w:num="2">
            <w:col w:w="7420" w:space="720"/>
            <w:col w:w="2980"/>
          </w:cols>
          <w:pgMar w:left="320" w:top="455" w:right="459" w:bottom="1440" w:gutter="0" w:footer="0" w:header="0"/>
          <w:type w:val="continuous"/>
        </w:sectPr>
      </w:pPr>
    </w:p>
    <w:p>
      <w:pPr>
        <w:ind w:left="540" w:hanging="424"/>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0.1%.</w:t>
      </w:r>
    </w:p>
    <w:p>
      <w:pPr>
        <w:spacing w:after="0" w:line="27" w:lineRule="exact"/>
        <w:rPr>
          <w:sz w:val="20"/>
          <w:szCs w:val="20"/>
          <w:color w:val="auto"/>
        </w:rPr>
      </w:pPr>
    </w:p>
    <w:p>
      <w:pPr>
        <w:ind w:left="540" w:hanging="424"/>
        <w:spacing w:after="0" w:line="251"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 of more than five percent of common stock and each director and executive officer has sole voting and/or investment power over the shares reported.</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line="261"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common stock beneficially owned by Mr. Easterly have been pledged as security in connection with a line of credit with a third party financial institution unaffiliated with the Company.</w:t>
      </w:r>
    </w:p>
    <w:p>
      <w:pPr>
        <w:ind w:left="540" w:right="100" w:hanging="424"/>
        <w:spacing w:after="0" w:line="250"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 shares of common stock beneficially owned by Mr. Fishman have been pledged as security in connection with a line of credit with a third party financial institution unaffiliated with the Company.</w:t>
      </w:r>
    </w:p>
    <w:p>
      <w:pPr>
        <w:ind w:left="540" w:right="200" w:hanging="424"/>
        <w:spacing w:after="0" w:line="250"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common stock beneficially owned by Mr. Stiepleman have been pledged as security in connection with a line of credit with a third party financial institution unaffiliated with the Company.</w:t>
      </w:r>
    </w:p>
    <w:p>
      <w:pPr>
        <w:ind w:left="540" w:right="60" w:hanging="424"/>
        <w:spacing w:after="0" w:line="250"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common stock beneficially owned by Mr. Stanley have been pledged as security in connection with a line of credit with a third party financial institution unaffiliated with the Company.</w:t>
      </w:r>
    </w:p>
    <w:p>
      <w:pPr>
        <w:ind w:left="540" w:right="160" w:hanging="424"/>
        <w:spacing w:after="0" w:line="250"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owned by officers that are not “Named Executive Officers,” as defined in Item 402 of Regulation S-K, as promulgated under the Securities Act of 1933, as amended. [●] shares of common stock beneficially owned by certain officers have been pledged as security in connection with lines of credit with a third party financial institution unaffiliated with the Company.</w:t>
      </w:r>
    </w:p>
    <w:p>
      <w:pPr>
        <w:spacing w:after="0" w:line="1" w:lineRule="exact"/>
        <w:rPr>
          <w:rFonts w:ascii="Times New Roman" w:cs="Times New Roman" w:eastAsia="Times New Roman" w:hAnsi="Times New Roman"/>
          <w:sz w:val="18"/>
          <w:szCs w:val="18"/>
          <w:color w:val="auto"/>
        </w:rPr>
      </w:pPr>
    </w:p>
    <w:p>
      <w:pPr>
        <w:ind w:left="540" w:right="40" w:hanging="424"/>
        <w:spacing w:after="0" w:line="251"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Specialty Lending Advisers, LLC holds [●] shares of common stock (the “Sixth Street Specialty Lending Advisers Shares”). The business and affairs of Sixth Street Specialty Lending Advisers are managed by Sixth Street Specialty Lending Advisers Holdings, LLC, a Delaware limited liability company, the sole member of Sixth Street Specialty Lending Advisers. Sixth Street Specialty Lending Advisers Holdings is managed by TSSP Holdco Management, LLC, a Delaware limited liability company. TSSP Holdco Management is managed by a board of directors, which is currently comprised of Alan Waxman. Mr. Waxman is the CEO and Managing Partner of TSSP Holdco Management. Because Mr. Waxman is a member of the board of directors of TSSP Holdco Management, he may be deemed to beneficially own the Sixth Street Specialty Lending Advisers Shares. Mr. Waxman disclaims beneficial ownership of the Sixth Street Specialty Lending Advisers Shares except to the extent of his pecuniary interest therein.</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jc w:val="center"/>
        <w:ind w:left="440" w:right="40"/>
        <w:spacing w:after="0" w:line="255" w:lineRule="auto"/>
        <w:rPr>
          <w:sz w:val="20"/>
          <w:szCs w:val="20"/>
          <w:color w:val="auto"/>
        </w:rPr>
      </w:pPr>
      <w:r>
        <w:rPr>
          <w:rFonts w:ascii="Times New Roman" w:cs="Times New Roman" w:eastAsia="Times New Roman" w:hAnsi="Times New Roman"/>
          <w:sz w:val="18"/>
          <w:szCs w:val="18"/>
          <w:b w:val="1"/>
          <w:bCs w:val="1"/>
          <w:color w:val="auto"/>
        </w:rPr>
        <w:t>Authorization of The Company to Sell or Otherwise Issue Shares of its Common Stock at a Price Below its Then-Current Net Asset Value Per Share in One or More Offerings, in Each Case Subject to the Approval of its Board of Directors and Subject to the Conditions Set Forth in this Proposal</w:t>
      </w:r>
    </w:p>
    <w:p>
      <w:pPr>
        <w:spacing w:after="0" w:line="186"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is a closed-end investment company that has elected to be regulated as a business development company (“BDC”) under the 1940 Act. As a BDC, the Company is generally prohibited from issuing its common stock at a price below the then-current net asset value per share (“NAV”) unless it meets certain conditions, including obtaining stockholder approval.</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a result, the Company is seeking the approval of its common stockholders so that it may, in one or more public or private offerings of its common stock, sell or otherwise issue shares of its common stock at a price below its then-current NAV, subject to the approval of the Board and the conditions set forth in this proposal, including that the number of shares issued does not exceed 25% of its then-outstanding common stock immediately prior to such offering. If approved, the authorization would be effective for securities issued during a twelve-month period expiring on the anniversary of the date of this Special Meeting.</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Board believes that having the flexibility to issue common stock below NAV in certain instances is in the best interests of the Company and its stockholders. This would, among other things, provide access to capital markets to pursue attractive investment opportunities during periods of volatility, improve capital resources to enable the Company to compete more effectively for high-quality investment opportunities and add financial flexibility to comply with regulatory requirements and debt facility covenants, including the 2:1 debt-to-equity ratio that is imposed through the 150% asset coverage requirement applicable to the Company under the 1940 Act. It could also minimize the likelihood that the Company would be required to sell assets that the Company would not otherwise sell in order to comply with regulatory requirements and debt facility covenants, which sales could occur at times and at prices that are disadvantageous to the Company.</w:t>
      </w:r>
    </w:p>
    <w:p>
      <w:pPr>
        <w:spacing w:after="0" w:line="18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While the Company has no immediate plans to issue any shares of its common stock below NAV, it is seeking stockholder approval now in order to provide flexibility if it desires in the future to issue shares of its common stock below NAV, which typically must be undertaken in circumstances where the Company must act quickly. The final terms of any such sale will be determined by the Board at the time of issuance and the shares of common stock will not include preemptive rights. Also, because the Company has no immediate plans to issue any shares of its common stock below NAV, it is not possible to describe the transaction or transactions in which such shares of common stock would be issued. Instead, any transaction in which the Company issues such shares of common stock, including the nature and amount of consideration that would be received by the Company at the time of issuance and the use of any such consideration, will be reviewed and approved by the Board at the time of issuance. </w:t>
      </w:r>
      <w:r>
        <w:rPr>
          <w:rFonts w:ascii="Times New Roman" w:cs="Times New Roman" w:eastAsia="Times New Roman" w:hAnsi="Times New Roman"/>
          <w:sz w:val="18"/>
          <w:szCs w:val="18"/>
          <w:b w:val="1"/>
          <w:bCs w:val="1"/>
          <w:color w:val="auto"/>
        </w:rPr>
        <w:t>There will be no limit on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percentage below net asset value per share at which shares may be sold by the Company or number of offerings, each for up to 25% of the Company’s then-outstanding common stock, that the Company may conduct under this proposal for the one-year period that authorization is granted. </w:t>
      </w:r>
      <w:r>
        <w:rPr>
          <w:rFonts w:ascii="Times New Roman" w:cs="Times New Roman" w:eastAsia="Times New Roman" w:hAnsi="Times New Roman"/>
          <w:sz w:val="18"/>
          <w:szCs w:val="18"/>
          <w:color w:val="auto"/>
        </w:rPr>
        <w:t>Except for such authorizations as otherwise may be required with respect to a particular issuance under applicable law, New York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(“NYSE”) rules or the Company’s certificate of incorporation, if this proposal is approved, no further authorization from the stockholders will be solicited or required prior to a sale or other issuance of shares of common stock below NAV in accordance with the terms of this proposal. If approved, the authorization would be effective for securities issued during a twelve-month period expiring on the anniversary of the date of this Special Meeting.</w:t>
      </w:r>
    </w:p>
    <w:p>
      <w:pPr>
        <w:spacing w:after="0" w:line="197"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To date, the Company has not issued shares below NAV under prior authorization granted from stockholders, but it may do so in the future pursuant to the authority granted in this proxy.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to Sales Below NAV</w:t>
      </w:r>
    </w:p>
    <w:p>
      <w:pPr>
        <w:spacing w:after="0" w:line="121"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The Company’s ability to issue shares of its common stock at a price below NAV is governed by the 1940 Act. If stockholders approve this proposal, the Company will only issue shares of its common stock at a price below NAV pursuant to this stockholder proposal if the following conditions are met:</w:t>
      </w:r>
    </w:p>
    <w:p>
      <w:pPr>
        <w:spacing w:after="0" w:line="81" w:lineRule="exact"/>
        <w:rPr>
          <w:sz w:val="20"/>
          <w:szCs w:val="20"/>
          <w:color w:val="auto"/>
        </w:rPr>
      </w:pPr>
    </w:p>
    <w:p>
      <w:pPr>
        <w:ind w:left="1080" w:right="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“required majority” of the Company’s directors have determined that any such sale would be in the best interests of the Company and its stockholders;</w:t>
      </w:r>
    </w:p>
    <w:p>
      <w:pPr>
        <w:spacing w:after="0" w:line="67"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“required majority” of the Company’s directors, in consultation with the underwriter or underwriters of the offering if it is to be underwritten, have determined in good faith, and as of a time immediately prior to the first solicitation by or on behalf of the Company of firm commitments to purchase such common stock or immediately prior to the issuance of such common stock, that the price at which such shares of common stock are to be sold is not less than a price which closely approximates the market value of those shares of common stock, less any distributing commission or discount; and</w:t>
      </w:r>
    </w:p>
    <w:p>
      <w:pPr>
        <w:spacing w:after="0" w:line="88"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to be issued does not exceed 25% of the Company’s then-outstanding common stock immediately prior to each such offering.</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Under the 1940 Act, a “required majority” of directors means both a majority of the Company’s directors who have no financial interest in the transaction and a majority of the Company’s independent directors. For these purposes, directors will not be deemed to have a financial interest solely by reason of their ownership of the Company’s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Approval</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Board, including a majority of the directors who have no financial interest in this proposal and a majority of the independent directors, has approved this proposal as in the best interests of the Company and its stockholders and recommends it to the stockholders for their approval.</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Upon obtaining the requisite stockholder approval, the Company will comply with the conditions described above in connection with any offering undertaken pursuant to this proposal. See below for a discussion of the risks of dilution.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and Reasons to Offer Common Stock Below NAV</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Board believes that having the flexibility for the Company to sell its common stock below NAV in certain instances is in the Company’s best interests and the best interests of its stockholders. The Board believes this would, among other things, provide access to the capital markets to pursue attractive investment opportunities during periods of volatility and improve capital resources to enable the Company to compete more effectively for high- quality investment opportunities (which may include acquisitions of other companies or investment portfolios) and to add financial flexibility to comply with regulatory requirements and debt facility covenants, including the 2:1 debt-to-equity ratio that is imposed through the 150% asset coverage requirement applicable to the Company under the 1940 Act. In reaching that conclusion, the Board considered the following potential benefits to the Company’s stockholders: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Market Conditions Have Created, and May in the Future Create, Attractive Investment and Acquisition Opportunities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capital markets may experience periods of disruption and instability. For example, monetary policies of the Federal Reserve and political uncertainty resulting from recent events, including changes to U.S. trade policies, the impact of the end of the transition period following United Kingdom’s exit from the European Union in January 2020 (“Brexit”), the provisional application of the EU-UK Trade and Cooperation Agreement and ongoing conflicts between Russia and Ukraine and Israel and Hamas and related</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80"/>
          </w:cols>
          <w:pgMar w:left="320" w:top="455"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responses, has led to, from time to time, disruption and instability in the global markets. Disruptions in the capital markets may increase the spread between the yields realized on risk-free and higher risk securities, resulting in illiquidity in parts of the capital markets. As a result of the disruption and volatility in the credit markets, there may be a reduction in capital available to certain specialty finance companies and other capital providers, causing a reduction in competition. These conditions may coincide with lower stock prices for BDCs, resulting in BDCs trading below NAV. The Company believes that favorable investment opportunities to invest at attractive risk-adjusted returns, including opportunities to make acquisitions of other companies or investment portfolios at attractive values, may be created during these periods of disruption and volatility.</w:t>
      </w:r>
    </w:p>
    <w:p>
      <w:pPr>
        <w:spacing w:after="0" w:line="187"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There have been continuing periods of volatility, some lasting longer and with a greater degree of magnitude than others, including recent market conditions, including those driven by the impact of COVID-19 and the ongoing conflicts between Russia and Ukraine and Israel and Hamas, and the widespread interruption to the functioning of the U.S. and global economies and recent market volatility driven by instability in the banking sector. In addition to the recent environment, the Company has seen periods during the last few years where BDCs, including the Company, have traded below NAV due to such market volatility. If adverse market conditions increase in severity and duration or recur, the Company and other companies in the financial services sector may not have access to sufficient debt capital in order to take advantage of attractive investment opportunities that are created during these periods. In addition, the debt capital that will be available, if any, may be at a higher cost and on less favorable terms and conditions in the future. Stockholder approval of the proposal to sell shares of the Company’s common stock below NAV, subject to the conditions set forth in this proposal, would provide the Company with the flexibility to raise equity capital to invest in such attractive investment opportunities, which typically need to be made expeditiously.</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Greater Investment Opportunities Due to Larger Capital Resources</w:t>
      </w:r>
    </w:p>
    <w:p>
      <w:pPr>
        <w:spacing w:after="0" w:line="121"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The additional capital raised through an offering of the Company’s common stock may help the Company generate additional investment opportunities. With more capital to make investments, the Company could be a more meaningful capital provider and such additional capital would allow it to compete more effectively for high-quality investment opportunities. Such investment opportunities may be funded with proceeds of an offering of shares of the Company’s common stock.</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Higher Market Capitalization and Liquidity May Make the Company’s Common Stock More Attractive to Investors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the Company issues additional shares, its market capitalization and the amount of its publicly tradable common stock may increase, which may afford all holders of its common stock greater liquidity. A larger market capitalization may make the Company’s stock more attractive to a larger number of investors who have limitations of the size of companies in which they invest. Furthermore, a larger number of shares outstanding may increase the Company’s trading volume, which could decrease the volatility in the secondary market price of its common stock.</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Maintenance or Possible Increase of Dividends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 larger and more diversified portfolio could provide the Company with more consistent cash flow, which may support the maintenance and growth of its dividend. The Company generally distributes dividends to its stockholders quarterly. From the earnings generated during the year ended December 31, 2023, the Company declared total dividends of $2.09 per share of its common stock (including a fourth quarter supplemental dividend of $0.08 declared in the first quarter of 2024). Although the Company will continue to seek to generate income sufficient to pay dividends in the future, the proceeds of future offerings, and the investments thereof, could enable the Company to maintain and possibly grow its dividends, which may include a return of capital.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Reduced Expenses Per Share</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An offering that increases the Company’s total assets may reduce its overall expenses per share due to the spreading of fixed expenses over a larger asset base. The Company must bear certain fixed expenses, such as certain administrative, governance and compliance costs that do not generally vary based on its size. On a per share basis, these fixed expenses will be reduced when supported by a larger asset base.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Status as a BDC and RIC and Maintaining a Favorable Debt-to-Equity Ratio</w:t>
      </w:r>
    </w:p>
    <w:p>
      <w:pPr>
        <w:spacing w:after="0" w:line="121"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As a BDC and a regulated investment company (“RIC”) for tax purposes, the Company is dependent on its ability to raise capital through the issuance of its common stock. RICs generally must distribute substantially all of their earnings to stockholders as dividends in order to achieve pass-through tax treatment, which prevents the Company from retaining any meaningful amount of earnings to support operations, which may include making new investments (including investments into existing portfolio companies). Further, BDCs that have adopted the lower asset coverage requirement of 150% must meet a debt-to-equity ratio of less than 2:1 in order to incur debt or issue senior securities. In addition, the terms of the Company’s credit facilities also require that it maintain a debt-to-equity ratio of less than 2:1 in accordance with the 150% asset coverage requirement. Therefore, to continue to build the Company’s investment portfolio, the Company endeavors to maintain consistent access to capital through the public and private debt markets and the public equity markets enabling it to take advantage of investment opportunities as they arise.</w:t>
      </w:r>
    </w:p>
    <w:p>
      <w:pPr>
        <w:spacing w:after="0" w:line="19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Exceeding the 2:1 debt-to-equity ratio could have severe negative consequences for the Company, including the inability to pay dividends, breach of debt covenants and failure to qualify for tax treatment as a RIC. Although the Company does not currently expect that it will exceed this 2:1 debt-to-equity ratio, the markets it operates in and the general economy may be volatile and uncertain. Even though the underlying performance of a particular portfolio company may not indicate an impairment or its inability to repay all principal and interest in full, volatility in the capital markets may negatively impact the valuations of investments and create unrealized losses on certain investments. Any such write-downs in value, as well as unrealized losses based on the underlying performance of the Company’s portfolio companies, if any, will negatively impact stockholders’ equity and the resulting debt-to-equity ratio. Issuing additional equity would allow the Company to realign its debt-to-equity ratio and avoid these negative consequences. In addition to meeting legal requirements applicable to BDCs, having a more favorable debt-to-equity ratio would also generally strengthen the Company’s balance sheet and give it more flexibility to fully execute its business strategy.</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Trading History</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for each fiscal quarter during the last three fiscal years and the first quarter of the current fiscal year, the NAV of the Company’s common stock, the range of high and low closing sales prices of its common stock as reported on the NYSE and the closing sales price as a premium (discount) to NAV. On [●], 2024, the last reported closing sales price of the Company’s common stock on the NYSE was $[●] per share, which represented a premium of approximately [●]% to the NAV reported by the Company as of December 31, 2023.</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4"/>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360" w:type="dxa"/>
            <w:vAlign w:val="bottom"/>
            <w:vMerge w:val="restart"/>
          </w:tcPr>
          <w:p>
            <w:pPr>
              <w:spacing w:after="0"/>
              <w:rPr>
                <w:sz w:val="13"/>
                <w:szCs w:val="13"/>
                <w:color w:val="auto"/>
              </w:rPr>
            </w:pPr>
          </w:p>
        </w:tc>
        <w:tc>
          <w:tcPr>
            <w:tcW w:w="11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High Sales</w:t>
            </w:r>
          </w:p>
        </w:tc>
        <w:tc>
          <w:tcPr>
            <w:tcW w:w="11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Low Sales</w:t>
            </w:r>
          </w:p>
        </w:tc>
        <w:tc>
          <w:tcPr>
            <w:tcW w:w="120" w:type="dxa"/>
            <w:vAlign w:val="bottom"/>
          </w:tcPr>
          <w:p>
            <w:pPr>
              <w:spacing w:after="0"/>
              <w:rPr>
                <w:sz w:val="13"/>
                <w:szCs w:val="13"/>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0" w:type="dxa"/>
            <w:vAlign w:val="bottom"/>
          </w:tcPr>
          <w:p>
            <w:pPr>
              <w:spacing w:after="0"/>
              <w:rPr>
                <w:sz w:val="1"/>
                <w:szCs w:val="1"/>
                <w:color w:val="auto"/>
              </w:rPr>
            </w:pPr>
          </w:p>
        </w:tc>
      </w:tr>
      <w:tr>
        <w:trPr>
          <w:trHeight w:val="165"/>
        </w:trPr>
        <w:tc>
          <w:tcPr>
            <w:tcW w:w="38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Borders>
              <w:bottom w:val="single" w:sz="8" w:color="auto"/>
            </w:tcBorders>
            <w:gridSpan w:val="4"/>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118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Price to</w:t>
            </w:r>
          </w:p>
        </w:tc>
        <w:tc>
          <w:tcPr>
            <w:tcW w:w="114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Price to</w:t>
            </w:r>
          </w:p>
        </w:tc>
        <w:tc>
          <w:tcPr>
            <w:tcW w:w="68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0" w:type="dxa"/>
            <w:vAlign w:val="bottom"/>
          </w:tcPr>
          <w:p>
            <w:pPr>
              <w:spacing w:after="0"/>
              <w:rPr>
                <w:sz w:val="1"/>
                <w:szCs w:val="1"/>
                <w:color w:val="auto"/>
              </w:rPr>
            </w:pPr>
          </w:p>
        </w:tc>
      </w:tr>
      <w:tr>
        <w:trPr>
          <w:trHeight w:val="117"/>
        </w:trPr>
        <w:tc>
          <w:tcPr>
            <w:tcW w:w="38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80" w:type="dxa"/>
            <w:vAlign w:val="bottom"/>
            <w:gridSpan w:val="2"/>
            <w:vMerge w:val="restart"/>
          </w:tcPr>
          <w:p>
            <w:pPr>
              <w:ind w:left="40"/>
              <w:spacing w:after="0" w:line="290" w:lineRule="exact"/>
              <w:rPr>
                <w:sz w:val="20"/>
                <w:szCs w:val="20"/>
                <w:color w:val="auto"/>
              </w:rPr>
            </w:pPr>
            <w:r>
              <w:rPr>
                <w:rFonts w:ascii="Times New Roman" w:cs="Times New Roman" w:eastAsia="Times New Roman" w:hAnsi="Times New Roman"/>
                <w:sz w:val="28"/>
                <w:szCs w:val="28"/>
                <w:b w:val="1"/>
                <w:bCs w:val="1"/>
                <w:color w:val="auto"/>
                <w:vertAlign w:val="subscript"/>
              </w:rPr>
              <w:t>NAV</w:t>
            </w:r>
            <w:r>
              <w:rPr>
                <w:rFonts w:ascii="Times New Roman" w:cs="Times New Roman" w:eastAsia="Times New Roman" w:hAnsi="Times New Roman"/>
                <w:sz w:val="11"/>
                <w:szCs w:val="11"/>
                <w:b w:val="1"/>
                <w:bCs w:val="1"/>
                <w:color w:val="auto"/>
              </w:rPr>
              <w:t>(1)</w:t>
            </w:r>
          </w:p>
        </w:tc>
        <w:tc>
          <w:tcPr>
            <w:tcW w:w="180" w:type="dxa"/>
            <w:vAlign w:val="bottom"/>
          </w:tcPr>
          <w:p>
            <w:pPr>
              <w:spacing w:after="0"/>
              <w:rPr>
                <w:sz w:val="10"/>
                <w:szCs w:val="10"/>
                <w:color w:val="auto"/>
              </w:rPr>
            </w:pPr>
          </w:p>
        </w:tc>
        <w:tc>
          <w:tcPr>
            <w:tcW w:w="6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High</w:t>
            </w:r>
          </w:p>
        </w:tc>
        <w:tc>
          <w:tcPr>
            <w:tcW w:w="180" w:type="dxa"/>
            <w:vAlign w:val="bottom"/>
          </w:tcPr>
          <w:p>
            <w:pPr>
              <w:spacing w:after="0"/>
              <w:rPr>
                <w:sz w:val="10"/>
                <w:szCs w:val="10"/>
                <w:color w:val="auto"/>
              </w:rPr>
            </w:pPr>
          </w:p>
        </w:tc>
        <w:tc>
          <w:tcPr>
            <w:tcW w:w="8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Low</w:t>
            </w:r>
          </w:p>
        </w:tc>
        <w:tc>
          <w:tcPr>
            <w:tcW w:w="1180" w:type="dxa"/>
            <w:vAlign w:val="bottom"/>
            <w:gridSpan w:val="2"/>
          </w:tcPr>
          <w:p>
            <w:pPr>
              <w:jc w:val="center"/>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Net Asset</w:t>
            </w:r>
          </w:p>
        </w:tc>
        <w:tc>
          <w:tcPr>
            <w:tcW w:w="1140" w:type="dxa"/>
            <w:vAlign w:val="bottom"/>
            <w:gridSpan w:val="2"/>
          </w:tcPr>
          <w:p>
            <w:pPr>
              <w:jc w:val="center"/>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Net Asset</w:t>
            </w:r>
          </w:p>
        </w:tc>
        <w:tc>
          <w:tcPr>
            <w:tcW w:w="120" w:type="dxa"/>
            <w:vAlign w:val="bottom"/>
          </w:tcPr>
          <w:p>
            <w:pPr>
              <w:spacing w:after="0"/>
              <w:rPr>
                <w:sz w:val="10"/>
                <w:szCs w:val="10"/>
                <w:color w:val="auto"/>
              </w:rPr>
            </w:pPr>
          </w:p>
        </w:tc>
        <w:tc>
          <w:tcPr>
            <w:tcW w:w="56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Per</w:t>
            </w: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1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0"/>
                <w:szCs w:val="10"/>
                <w:b w:val="1"/>
                <w:bCs w:val="1"/>
                <w:color w:val="auto"/>
              </w:rPr>
              <w:t>(2)</w:t>
            </w:r>
          </w:p>
        </w:tc>
        <w:tc>
          <w:tcPr>
            <w:tcW w:w="11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8"/>
              </w:rPr>
              <w:t>Value</w:t>
            </w:r>
            <w:r>
              <w:rPr>
                <w:rFonts w:ascii="Times New Roman" w:cs="Times New Roman" w:eastAsia="Times New Roman" w:hAnsi="Times New Roman"/>
                <w:sz w:val="10"/>
                <w:szCs w:val="10"/>
                <w:b w:val="1"/>
                <w:bCs w:val="1"/>
                <w:color w:val="auto"/>
                <w:w w:val="98"/>
              </w:rPr>
              <w:t>(2)</w:t>
            </w:r>
          </w:p>
        </w:tc>
        <w:tc>
          <w:tcPr>
            <w:tcW w:w="6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15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24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$16.47</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$22.90</w:t>
            </w: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$20.16</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39.0%</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240" w:type="dxa"/>
            <w:vAlign w:val="bottom"/>
            <w:gridSpan w:val="3"/>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$16.85</w:t>
            </w:r>
          </w:p>
        </w:tc>
        <w:tc>
          <w:tcPr>
            <w:tcW w:w="8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$22.78</w:t>
            </w:r>
          </w:p>
        </w:tc>
        <w:tc>
          <w:tcPr>
            <w:tcW w:w="104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$20.80</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35.2%</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24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$17.18</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$23.97</w:t>
            </w: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$21.13</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39.5%</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240" w:type="dxa"/>
            <w:vAlign w:val="bottom"/>
            <w:gridSpan w:val="3"/>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$16.84</w:t>
            </w:r>
          </w:p>
        </w:tc>
        <w:tc>
          <w:tcPr>
            <w:tcW w:w="8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$24.74</w:t>
            </w:r>
          </w:p>
        </w:tc>
        <w:tc>
          <w:tcPr>
            <w:tcW w:w="104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$21.97</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46.9%</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0.98</w:t>
            </w:r>
          </w:p>
        </w:tc>
        <w:tc>
          <w:tcPr>
            <w:tcW w:w="0" w:type="dxa"/>
            <w:vAlign w:val="bottom"/>
          </w:tcPr>
          <w:p>
            <w:pPr>
              <w:spacing w:after="0"/>
              <w:rPr>
                <w:sz w:val="1"/>
                <w:szCs w:val="1"/>
                <w:color w:val="auto"/>
              </w:rPr>
            </w:pPr>
          </w:p>
        </w:tc>
      </w:tr>
      <w:tr>
        <w:trPr>
          <w:trHeight w:val="365"/>
        </w:trPr>
        <w:tc>
          <w:tcPr>
            <w:tcW w:w="3880" w:type="dxa"/>
            <w:vAlign w:val="bottom"/>
          </w:tcPr>
          <w:p>
            <w:pPr>
              <w:spacing w:after="0"/>
              <w:rPr>
                <w:sz w:val="24"/>
                <w:szCs w:val="24"/>
                <w:color w:val="auto"/>
              </w:rPr>
            </w:pPr>
          </w:p>
        </w:tc>
        <w:tc>
          <w:tcPr>
            <w:tcW w:w="206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340" w:type="dxa"/>
            <w:vAlign w:val="bottom"/>
            <w:vMerge w:val="restart"/>
          </w:tcPr>
          <w:p>
            <w:pPr>
              <w:spacing w:after="0"/>
              <w:rPr>
                <w:sz w:val="13"/>
                <w:szCs w:val="13"/>
                <w:color w:val="auto"/>
              </w:rPr>
            </w:pPr>
          </w:p>
        </w:tc>
        <w:tc>
          <w:tcPr>
            <w:tcW w:w="11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High Sales</w:t>
            </w:r>
          </w:p>
        </w:tc>
        <w:tc>
          <w:tcPr>
            <w:tcW w:w="11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Low Sales</w:t>
            </w:r>
          </w:p>
        </w:tc>
        <w:tc>
          <w:tcPr>
            <w:tcW w:w="120" w:type="dxa"/>
            <w:vAlign w:val="bottom"/>
          </w:tcPr>
          <w:p>
            <w:pPr>
              <w:spacing w:after="0"/>
              <w:rPr>
                <w:sz w:val="13"/>
                <w:szCs w:val="13"/>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0" w:type="dxa"/>
            <w:vAlign w:val="bottom"/>
          </w:tcPr>
          <w:p>
            <w:pPr>
              <w:spacing w:after="0"/>
              <w:rPr>
                <w:sz w:val="1"/>
                <w:szCs w:val="1"/>
                <w:color w:val="auto"/>
              </w:rPr>
            </w:pPr>
          </w:p>
        </w:tc>
      </w:tr>
      <w:tr>
        <w:trPr>
          <w:trHeight w:val="165"/>
        </w:trPr>
        <w:tc>
          <w:tcPr>
            <w:tcW w:w="5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Borders>
              <w:bottom w:val="single" w:sz="8" w:color="auto"/>
            </w:tcBorders>
            <w:gridSpan w:val="3"/>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116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Price to</w:t>
            </w:r>
          </w:p>
        </w:tc>
        <w:tc>
          <w:tcPr>
            <w:tcW w:w="1180" w:type="dxa"/>
            <w:vAlign w:val="bottom"/>
            <w:gridSpan w:val="2"/>
          </w:tcPr>
          <w:p>
            <w:pPr>
              <w:jc w:val="center"/>
              <w:ind w:right="540"/>
              <w:spacing w:after="0" w:line="160" w:lineRule="exact"/>
              <w:rPr>
                <w:sz w:val="20"/>
                <w:szCs w:val="20"/>
                <w:color w:val="auto"/>
              </w:rPr>
            </w:pPr>
            <w:r>
              <w:rPr>
                <w:rFonts w:ascii="Times New Roman" w:cs="Times New Roman" w:eastAsia="Times New Roman" w:hAnsi="Times New Roman"/>
                <w:sz w:val="14"/>
                <w:szCs w:val="14"/>
                <w:b w:val="1"/>
                <w:bCs w:val="1"/>
                <w:color w:val="auto"/>
              </w:rPr>
              <w:t>Price to</w:t>
            </w:r>
          </w:p>
        </w:tc>
        <w:tc>
          <w:tcPr>
            <w:tcW w:w="68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0" w:type="dxa"/>
            <w:vAlign w:val="bottom"/>
          </w:tcPr>
          <w:p>
            <w:pPr>
              <w:spacing w:after="0"/>
              <w:rPr>
                <w:sz w:val="1"/>
                <w:szCs w:val="1"/>
                <w:color w:val="auto"/>
              </w:rPr>
            </w:pPr>
          </w:p>
        </w:tc>
      </w:tr>
      <w:tr>
        <w:trPr>
          <w:trHeight w:val="117"/>
        </w:trPr>
        <w:tc>
          <w:tcPr>
            <w:tcW w:w="5440" w:type="dxa"/>
            <w:vAlign w:val="bottom"/>
          </w:tcPr>
          <w:p>
            <w:pPr>
              <w:spacing w:after="0"/>
              <w:rPr>
                <w:sz w:val="10"/>
                <w:szCs w:val="10"/>
                <w:color w:val="auto"/>
              </w:rPr>
            </w:pP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4"/>
              </w:rPr>
              <w:t>NAV</w:t>
            </w:r>
            <w:r>
              <w:rPr>
                <w:rFonts w:ascii="Times New Roman" w:cs="Times New Roman" w:eastAsia="Times New Roman" w:hAnsi="Times New Roman"/>
                <w:sz w:val="21"/>
                <w:szCs w:val="21"/>
                <w:b w:val="1"/>
                <w:bCs w:val="1"/>
                <w:color w:val="auto"/>
                <w:w w:val="94"/>
                <w:vertAlign w:val="superscript"/>
              </w:rPr>
              <w:t>(1)</w:t>
            </w:r>
          </w:p>
        </w:tc>
        <w:tc>
          <w:tcPr>
            <w:tcW w:w="180" w:type="dxa"/>
            <w:vAlign w:val="bottom"/>
          </w:tcPr>
          <w:p>
            <w:pPr>
              <w:spacing w:after="0"/>
              <w:rPr>
                <w:sz w:val="10"/>
                <w:szCs w:val="10"/>
                <w:color w:val="auto"/>
              </w:rPr>
            </w:pPr>
          </w:p>
        </w:tc>
        <w:tc>
          <w:tcPr>
            <w:tcW w:w="8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High</w:t>
            </w:r>
          </w:p>
        </w:tc>
        <w:tc>
          <w:tcPr>
            <w:tcW w:w="8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Low</w:t>
            </w:r>
          </w:p>
        </w:tc>
        <w:tc>
          <w:tcPr>
            <w:tcW w:w="1160" w:type="dxa"/>
            <w:vAlign w:val="bottom"/>
            <w:gridSpan w:val="2"/>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Net Asset</w:t>
            </w:r>
          </w:p>
        </w:tc>
        <w:tc>
          <w:tcPr>
            <w:tcW w:w="1180" w:type="dxa"/>
            <w:vAlign w:val="bottom"/>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Net Asset</w:t>
            </w:r>
          </w:p>
        </w:tc>
        <w:tc>
          <w:tcPr>
            <w:tcW w:w="120" w:type="dxa"/>
            <w:vAlign w:val="bottom"/>
          </w:tcPr>
          <w:p>
            <w:pPr>
              <w:spacing w:after="0"/>
              <w:rPr>
                <w:sz w:val="10"/>
                <w:szCs w:val="10"/>
                <w:color w:val="auto"/>
              </w:rPr>
            </w:pPr>
          </w:p>
        </w:tc>
        <w:tc>
          <w:tcPr>
            <w:tcW w:w="56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Per</w:t>
            </w: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1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8"/>
              </w:rPr>
              <w:t>Value</w:t>
            </w:r>
            <w:r>
              <w:rPr>
                <w:rFonts w:ascii="Times New Roman" w:cs="Times New Roman" w:eastAsia="Times New Roman" w:hAnsi="Times New Roman"/>
                <w:sz w:val="10"/>
                <w:szCs w:val="10"/>
                <w:b w:val="1"/>
                <w:bCs w:val="1"/>
                <w:color w:val="auto"/>
                <w:w w:val="98"/>
              </w:rPr>
              <w:t>(2)</w:t>
            </w:r>
          </w:p>
        </w:tc>
        <w:tc>
          <w:tcPr>
            <w:tcW w:w="11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8"/>
              </w:rPr>
              <w:t>Value</w:t>
            </w:r>
            <w:r>
              <w:rPr>
                <w:rFonts w:ascii="Times New Roman" w:cs="Times New Roman" w:eastAsia="Times New Roman" w:hAnsi="Times New Roman"/>
                <w:sz w:val="10"/>
                <w:szCs w:val="10"/>
                <w:b w:val="1"/>
                <w:bCs w:val="1"/>
                <w:color w:val="auto"/>
                <w:w w:val="98"/>
              </w:rPr>
              <w:t>(2)</w:t>
            </w:r>
          </w:p>
        </w:tc>
        <w:tc>
          <w:tcPr>
            <w:tcW w:w="6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96"/>
        </w:trPr>
        <w:tc>
          <w:tcPr>
            <w:tcW w:w="54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$16.88</w:t>
            </w: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$24.27</w:t>
            </w: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$22.40</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43.8%</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$16.27</w:t>
            </w:r>
          </w:p>
        </w:tc>
        <w:tc>
          <w:tcPr>
            <w:tcW w:w="104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$23.64</w:t>
            </w:r>
          </w:p>
        </w:tc>
        <w:tc>
          <w:tcPr>
            <w:tcW w:w="84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rPr>
              <w:t>$18.09</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45.3%</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$16.36</w:t>
            </w: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$19.62</w:t>
            </w: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$16.13</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19.9%</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$16.48</w:t>
            </w:r>
          </w:p>
        </w:tc>
        <w:tc>
          <w:tcPr>
            <w:tcW w:w="104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$19.14</w:t>
            </w:r>
          </w:p>
        </w:tc>
        <w:tc>
          <w:tcPr>
            <w:tcW w:w="84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rPr>
              <w:t>$16.56</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16.1%</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$16.59</w:t>
            </w:r>
          </w:p>
        </w:tc>
        <w:tc>
          <w:tcPr>
            <w:tcW w:w="104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$19.54</w:t>
            </w:r>
          </w:p>
        </w:tc>
        <w:tc>
          <w:tcPr>
            <w:tcW w:w="84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rPr>
              <w:t>$17.10</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17.8%</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$16.74</w:t>
            </w: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$19.16</w:t>
            </w: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$17.55</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14.5%</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$16.97</w:t>
            </w:r>
          </w:p>
        </w:tc>
        <w:tc>
          <w:tcPr>
            <w:tcW w:w="104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$20.90</w:t>
            </w:r>
          </w:p>
        </w:tc>
        <w:tc>
          <w:tcPr>
            <w:tcW w:w="84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rPr>
              <w:t>$18.72</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23.2%</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$17.04</w:t>
            </w: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$21.94</w:t>
            </w: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$19.05</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28.8%</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 2024</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right="20" w:hanging="424"/>
        <w:spacing w:after="0" w:line="261"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 is determined as of the last day in the relevant quarter and therefore may not reflect NAV on the date of the high and low closing sales prices. The NAVs shown are based on outstanding shares at the end of the relevant quarter.</w:t>
      </w:r>
    </w:p>
    <w:p>
      <w:pPr>
        <w:ind w:left="540" w:right="60" w:hanging="424"/>
        <w:spacing w:after="0" w:line="250"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respective high or low closing sales price less NAV, divided by NAV (in each case, as of the applicable quarter). Does not reflect intraday trading prices.</w:t>
      </w:r>
    </w:p>
    <w:p>
      <w:pPr>
        <w:ind w:left="540" w:hanging="424"/>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dividend or distribution declared in the relevant quarter.</w:t>
      </w:r>
    </w:p>
    <w:p>
      <w:pPr>
        <w:spacing w:after="0" w:line="9" w:lineRule="exact"/>
        <w:rPr>
          <w:sz w:val="20"/>
          <w:szCs w:val="20"/>
          <w:color w:val="auto"/>
        </w:rPr>
      </w:pPr>
    </w:p>
    <w:p>
      <w:pPr>
        <w:ind w:left="540" w:right="360" w:hanging="424"/>
        <w:spacing w:after="0" w:line="26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 has not yet been calculated for this period. NAV for the first quarter of 2024 will be available with the filing of the Company’s Quarterly Report on Form 10-Q for such quarter, which the Company estimates will be filed on or about [●], 2024.</w:t>
      </w:r>
    </w:p>
    <w:p>
      <w:pPr>
        <w:spacing w:after="0" w:line="18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Shares of BDCs may trade at a market price that is less than the value of the net assets attributable to those shares. The possibility that the Company’s shares of common stock will trade at a discount from NAV, or at premiums that are unsustainable over the long term, is separate and distinct from the risk that the Company’s net asset value will decrease. The Company’s common stock has historically traded at prices both above and below its NAV. It is not possible to predict whether its common stock will trade at, above or below NAV in the future.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Stockholder Considerations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Dilution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Before voting on this proposal or giving proxies with regard to this matter, stockholders should consider the potentially dilutive effect of the issuance of shares of the Company’s common stock at a price that is less than NAV and the expenses associated with such issuance. Any sale of common stock at a price below NAV would result in an immediate dilution to existing common stockholders who do not participate in such sale on at least a pro rata basis. This dilution would include reduction in NAV as a result of the issuance of shares at a price below NAV and a proportionately greater decrease in a stockholder’s interest in the earnings and assets of the Company and voting interest in the Company than the increase in the assets of the Company resulting from such issuance. </w:t>
      </w:r>
      <w:r>
        <w:rPr>
          <w:rFonts w:ascii="Times New Roman" w:cs="Times New Roman" w:eastAsia="Times New Roman" w:hAnsi="Times New Roman"/>
          <w:sz w:val="18"/>
          <w:szCs w:val="18"/>
          <w:b w:val="1"/>
          <w:bCs w:val="1"/>
          <w:color w:val="auto"/>
        </w:rPr>
        <w:t>There will be no limit on the percentage below net asset value per share at which shares may be sold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by the Company or number of offerings, each for up to 25% of the Company’s then-outstanding common stock, that the Company may conduct under this proposal for the one-year period that authorization is granted</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addition, stockholders should consider the risk that the approval of this proposal could cause the market price of the Company’s common stock to decline in anticipation of sales of its common stock below NAV, thus causing the Company’s shares to trade at a discount to NAV. The 1940 Act establishes a connection between common stock sale price and NAV because, when stock is sold or otherwise issued at a sale price below NAV, the resulting increase in the number of outstanding shares is not accompanied by a proportionate increase in the</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net assets of the issuer. The Board will consider the potential dilutive effect of the issuance of shares at a price below NAV, including possible measures to avoid or reduce the potential dilutive effect on existing stockholders, such as conducting a rights offering, when considering whether to authorize any such issuance pursuant to the stockholder approval being sought here.</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While the Board will consider anti-dilutive measures, stockholders should also consider that they currently have no subscription, preferential or preemptive rights to additional shares of the common stock proposed to be authorized for issuance pursuant to this proposal, and thus any future issuance of common stock at a price below NAV will dilute such stockholders’ holdings of common stock as a percentage of shares outstanding to the extent such stockholders do not purchase sufficient shares in the offering or otherwise to maintain their percentage interest. Further, if current stockholders of the Company do not purchase any shares to maintain their percentage interest, regardless of whether such offering is above or below the then-current NAV, their voting power will be diluted.</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As discussed above, it should be noted that the maximum number of shares issuable below NAV that could result in such dilution is limited to a number of shares that does not exceed 25% of the Company’s then-outstanding common stock, immediately prior to each such offering. As a result, the maximum amount of dilution to existing stockholders will be limited to no more than 20% of the Company’s then-current NAV per each offering, assuming the Company were to issue the maximum number of shares at no more than par value, or $0.01 per share.</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Examples of Dilutive Effect of the Issuance of Shares Below NAV</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two headings and accompanying tables explain and provide hypothetical examples on the impact of a public offering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Company’s common stock at a price less than NAV on two different types of investors:</w:t>
      </w:r>
    </w:p>
    <w:p>
      <w:pPr>
        <w:spacing w:after="0" w:line="112"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stockholders who do not purchase any shares in the offering;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existing stockholders who purchase a relatively small amount of shares in the offering or a relatively large amount of shares in the offering.</w:t>
      </w:r>
    </w:p>
    <w:p>
      <w:pPr>
        <w:spacing w:after="0" w:line="237"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A placement of common stock at a price less than NAV to a third party in a private placement would have an impact substantially similar to the impact on existing stockholders who do not purchase any shares in the public offering described below.</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Impact on Existing Stockholders Who Do Not Participate in the Offering</w:t>
      </w:r>
    </w:p>
    <w:p>
      <w:pPr>
        <w:spacing w:after="0" w:line="11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Company’s existing stockholders who do not participate in an offering below NAV per share or who do not buy additional shares in the secondary market at the same or lower price as the Company obtains in the offering (after expenses and commissions) face the greatest potential risks. These stockholders will experience an immediate decrease in the NAV of the shares they hold and their NAV per share. These stockholders will also experience a disproportionately greater decrease in their participation in the Company’s earnings and assets and their voting power than the increase the Company will experience in its assets, potential earning power and voting interests due to the offering. These stockholders may also experience a decline in the market price of their shares, which often reflects to some degree announced or potential increases and decreases in NAV. This decrease could be more pronounced as the size of the offering and level of discounts increase. There is no maximum level of discount from NAV at which the Company may sell shares pursuant to this authority.</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chart illustrates the level of NAV dilution that would be experienced by a nonparticipating stockholder in four different hypothetical offerings of different sizes and levels of discount from NAV. It is not possible to predict the level of market price decline that may occur. These examples are provided for illustrative purposes only.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example assumes that the issuer has 87.8 million shares outstanding, $3.3 billion in total assets and $1.8 billion in total liabilities. The current net asset value and NAV per share are thus $1.5 billion and $17.04 per share. The chart illustrates the dilutive effect on Stockholder A of (a) an offering of 4.4 million shares of common stock (5% of the outstanding shares) at $16.19 per share after offering expenses and commissions (a 5% discount from NAV per share), (b) an offering of 8.8 million shares of common stock (10% of the outstanding shares) at $15.34 per share after offering expenses and commissions (a 10% discount from NAV per share), (c) an offering of 17.6 million shares of common stock (20% of the outstanding shares) at $13.63 per share after offering expenses and commissions (a 20% discount from NAV per share), and (d) an offering of 22.0 million shares of common stock (25% of the outstanding shares) at $12.78 per share after offering expenses and commissions (a 25% discount from NAV per share). The prospectus pursuant to which any discounted offering is made will include a chart based on the actual number of shares of common stock in such offering and the actual discount to the most recently determined NAV. It is not possible to predict the level of market price decline that may occur.</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3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center"/>
              <w:ind w:left="180"/>
              <w:spacing w:after="0"/>
              <w:rPr>
                <w:sz w:val="20"/>
                <w:szCs w:val="20"/>
                <w:color w:val="auto"/>
              </w:rPr>
            </w:pPr>
            <w:r>
              <w:rPr>
                <w:rFonts w:ascii="Times New Roman" w:cs="Times New Roman" w:eastAsia="Times New Roman" w:hAnsi="Times New Roman"/>
                <w:sz w:val="11"/>
                <w:szCs w:val="11"/>
                <w:b w:val="1"/>
                <w:bCs w:val="1"/>
                <w:color w:val="auto"/>
              </w:rPr>
              <w:t>Example 1</w:t>
            </w:r>
          </w:p>
        </w:tc>
        <w:tc>
          <w:tcPr>
            <w:tcW w:w="3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center"/>
              <w:ind w:left="200"/>
              <w:spacing w:after="0"/>
              <w:rPr>
                <w:sz w:val="20"/>
                <w:szCs w:val="20"/>
                <w:color w:val="auto"/>
              </w:rPr>
            </w:pPr>
            <w:r>
              <w:rPr>
                <w:rFonts w:ascii="Times New Roman" w:cs="Times New Roman" w:eastAsia="Times New Roman" w:hAnsi="Times New Roman"/>
                <w:sz w:val="11"/>
                <w:szCs w:val="11"/>
                <w:b w:val="1"/>
                <w:bCs w:val="1"/>
                <w:color w:val="auto"/>
              </w:rPr>
              <w:t>Example 2</w:t>
            </w:r>
          </w:p>
        </w:tc>
        <w:tc>
          <w:tcPr>
            <w:tcW w:w="3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center"/>
              <w:ind w:left="200"/>
              <w:spacing w:after="0"/>
              <w:rPr>
                <w:sz w:val="20"/>
                <w:szCs w:val="20"/>
                <w:color w:val="auto"/>
              </w:rPr>
            </w:pPr>
            <w:r>
              <w:rPr>
                <w:rFonts w:ascii="Times New Roman" w:cs="Times New Roman" w:eastAsia="Times New Roman" w:hAnsi="Times New Roman"/>
                <w:sz w:val="11"/>
                <w:szCs w:val="11"/>
                <w:b w:val="1"/>
                <w:bCs w:val="1"/>
                <w:color w:val="auto"/>
                <w:w w:val="96"/>
              </w:rPr>
              <w:t>Example 3</w:t>
            </w:r>
          </w:p>
        </w:tc>
        <w:tc>
          <w:tcPr>
            <w:tcW w:w="3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center"/>
              <w:ind w:left="220"/>
              <w:spacing w:after="0"/>
              <w:rPr>
                <w:sz w:val="20"/>
                <w:szCs w:val="20"/>
                <w:color w:val="auto"/>
              </w:rPr>
            </w:pPr>
            <w:r>
              <w:rPr>
                <w:rFonts w:ascii="Times New Roman" w:cs="Times New Roman" w:eastAsia="Times New Roman" w:hAnsi="Times New Roman"/>
                <w:sz w:val="11"/>
                <w:szCs w:val="11"/>
                <w:b w:val="1"/>
                <w:bCs w:val="1"/>
                <w:color w:val="auto"/>
                <w:w w:val="96"/>
              </w:rPr>
              <w:t>Example 4</w:t>
            </w:r>
          </w:p>
        </w:tc>
        <w:tc>
          <w:tcPr>
            <w:tcW w:w="3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3"/>
          </w:tcPr>
          <w:p>
            <w:pPr>
              <w:jc w:val="center"/>
              <w:ind w:right="59"/>
              <w:spacing w:after="0" w:line="100" w:lineRule="exact"/>
              <w:rPr>
                <w:sz w:val="20"/>
                <w:szCs w:val="20"/>
                <w:color w:val="auto"/>
              </w:rPr>
            </w:pPr>
            <w:r>
              <w:rPr>
                <w:rFonts w:ascii="Times New Roman" w:cs="Times New Roman" w:eastAsia="Times New Roman" w:hAnsi="Times New Roman"/>
                <w:sz w:val="11"/>
                <w:szCs w:val="11"/>
                <w:b w:val="1"/>
                <w:bCs w:val="1"/>
                <w:color w:val="auto"/>
                <w:w w:val="99"/>
              </w:rPr>
              <w:t>5% Offering at 5%</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3"/>
          </w:tcPr>
          <w:p>
            <w:pPr>
              <w:jc w:val="center"/>
              <w:ind w:right="59"/>
              <w:spacing w:after="0" w:line="100" w:lineRule="exact"/>
              <w:rPr>
                <w:sz w:val="20"/>
                <w:szCs w:val="20"/>
                <w:color w:val="auto"/>
              </w:rPr>
            </w:pPr>
            <w:r>
              <w:rPr>
                <w:rFonts w:ascii="Times New Roman" w:cs="Times New Roman" w:eastAsia="Times New Roman" w:hAnsi="Times New Roman"/>
                <w:sz w:val="11"/>
                <w:szCs w:val="11"/>
                <w:b w:val="1"/>
                <w:bCs w:val="1"/>
                <w:color w:val="auto"/>
                <w:w w:val="98"/>
              </w:rPr>
              <w:t>10% Offering at 10%</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3"/>
          </w:tcPr>
          <w:p>
            <w:pPr>
              <w:jc w:val="center"/>
              <w:ind w:right="39"/>
              <w:spacing w:after="0" w:line="100" w:lineRule="exact"/>
              <w:rPr>
                <w:sz w:val="20"/>
                <w:szCs w:val="20"/>
                <w:color w:val="auto"/>
              </w:rPr>
            </w:pPr>
            <w:r>
              <w:rPr>
                <w:rFonts w:ascii="Times New Roman" w:cs="Times New Roman" w:eastAsia="Times New Roman" w:hAnsi="Times New Roman"/>
                <w:sz w:val="11"/>
                <w:szCs w:val="11"/>
                <w:b w:val="1"/>
                <w:bCs w:val="1"/>
                <w:color w:val="auto"/>
                <w:w w:val="98"/>
              </w:rPr>
              <w:t>20% Offering at 20%</w:t>
            </w: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3"/>
          </w:tcPr>
          <w:p>
            <w:pPr>
              <w:jc w:val="center"/>
              <w:ind w:right="39"/>
              <w:spacing w:after="0" w:line="100" w:lineRule="exact"/>
              <w:rPr>
                <w:sz w:val="20"/>
                <w:szCs w:val="20"/>
                <w:color w:val="auto"/>
              </w:rPr>
            </w:pPr>
            <w:r>
              <w:rPr>
                <w:rFonts w:ascii="Times New Roman" w:cs="Times New Roman" w:eastAsia="Times New Roman" w:hAnsi="Times New Roman"/>
                <w:sz w:val="11"/>
                <w:szCs w:val="11"/>
                <w:b w:val="1"/>
                <w:bCs w:val="1"/>
                <w:color w:val="auto"/>
                <w:w w:val="98"/>
              </w:rPr>
              <w:t>25% Offering at 25%</w:t>
            </w: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3700" w:type="dxa"/>
            <w:vAlign w:val="bottom"/>
          </w:tcPr>
          <w:p>
            <w:pPr>
              <w:spacing w:after="0"/>
              <w:rPr>
                <w:sz w:val="11"/>
                <w:szCs w:val="11"/>
                <w:color w:val="auto"/>
              </w:rPr>
            </w:pPr>
          </w:p>
        </w:tc>
        <w:tc>
          <w:tcPr>
            <w:tcW w:w="88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w w:val="97"/>
              </w:rPr>
              <w:t>Prior to Sale</w:t>
            </w: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center"/>
              <w:ind w:left="200"/>
              <w:spacing w:after="0"/>
              <w:rPr>
                <w:sz w:val="20"/>
                <w:szCs w:val="20"/>
                <w:color w:val="auto"/>
              </w:rPr>
            </w:pPr>
            <w:r>
              <w:rPr>
                <w:rFonts w:ascii="Times New Roman" w:cs="Times New Roman" w:eastAsia="Times New Roman" w:hAnsi="Times New Roman"/>
                <w:sz w:val="11"/>
                <w:szCs w:val="11"/>
                <w:b w:val="1"/>
                <w:bCs w:val="1"/>
                <w:color w:val="auto"/>
                <w:w w:val="96"/>
              </w:rPr>
              <w:t>Discount</w:t>
            </w:r>
          </w:p>
        </w:tc>
        <w:tc>
          <w:tcPr>
            <w:tcW w:w="3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center"/>
              <w:ind w:left="200"/>
              <w:spacing w:after="0"/>
              <w:rPr>
                <w:sz w:val="20"/>
                <w:szCs w:val="20"/>
                <w:color w:val="auto"/>
              </w:rPr>
            </w:pPr>
            <w:r>
              <w:rPr>
                <w:rFonts w:ascii="Times New Roman" w:cs="Times New Roman" w:eastAsia="Times New Roman" w:hAnsi="Times New Roman"/>
                <w:sz w:val="11"/>
                <w:szCs w:val="11"/>
                <w:b w:val="1"/>
                <w:bCs w:val="1"/>
                <w:color w:val="auto"/>
              </w:rPr>
              <w:t>Discount</w:t>
            </w:r>
          </w:p>
        </w:tc>
        <w:tc>
          <w:tcPr>
            <w:tcW w:w="3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center"/>
              <w:ind w:left="200"/>
              <w:spacing w:after="0"/>
              <w:rPr>
                <w:sz w:val="20"/>
                <w:szCs w:val="20"/>
                <w:color w:val="auto"/>
              </w:rPr>
            </w:pPr>
            <w:r>
              <w:rPr>
                <w:rFonts w:ascii="Times New Roman" w:cs="Times New Roman" w:eastAsia="Times New Roman" w:hAnsi="Times New Roman"/>
                <w:sz w:val="11"/>
                <w:szCs w:val="11"/>
                <w:b w:val="1"/>
                <w:bCs w:val="1"/>
                <w:color w:val="auto"/>
                <w:w w:val="96"/>
              </w:rPr>
              <w:t>Discount</w:t>
            </w:r>
          </w:p>
        </w:tc>
        <w:tc>
          <w:tcPr>
            <w:tcW w:w="3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center"/>
              <w:ind w:left="220"/>
              <w:spacing w:after="0"/>
              <w:rPr>
                <w:sz w:val="20"/>
                <w:szCs w:val="20"/>
                <w:color w:val="auto"/>
              </w:rPr>
            </w:pPr>
            <w:r>
              <w:rPr>
                <w:rFonts w:ascii="Times New Roman" w:cs="Times New Roman" w:eastAsia="Times New Roman" w:hAnsi="Times New Roman"/>
                <w:sz w:val="11"/>
                <w:szCs w:val="11"/>
                <w:b w:val="1"/>
                <w:bCs w:val="1"/>
                <w:color w:val="auto"/>
                <w:w w:val="96"/>
              </w:rPr>
              <w:t>Discount</w:t>
            </w:r>
          </w:p>
        </w:tc>
        <w:tc>
          <w:tcPr>
            <w:tcW w:w="3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70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tcPr>
          <w:p>
            <w:pPr>
              <w:jc w:val="right"/>
              <w:ind w:right="360"/>
              <w:spacing w:after="0" w:line="100" w:lineRule="exact"/>
              <w:rPr>
                <w:sz w:val="20"/>
                <w:szCs w:val="20"/>
                <w:color w:val="auto"/>
              </w:rPr>
            </w:pPr>
            <w:r>
              <w:rPr>
                <w:rFonts w:ascii="Times New Roman" w:cs="Times New Roman" w:eastAsia="Times New Roman" w:hAnsi="Times New Roman"/>
                <w:sz w:val="11"/>
                <w:szCs w:val="11"/>
                <w:b w:val="1"/>
                <w:bCs w:val="1"/>
                <w:color w:val="auto"/>
                <w:w w:val="94"/>
              </w:rPr>
              <w:t>Following</w:t>
            </w:r>
          </w:p>
        </w:tc>
        <w:tc>
          <w:tcPr>
            <w:tcW w:w="360" w:type="dxa"/>
            <w:vAlign w:val="bottom"/>
          </w:tcPr>
          <w:p>
            <w:pPr>
              <w:jc w:val="right"/>
              <w:ind w:right="59"/>
              <w:spacing w:after="0" w:line="100" w:lineRule="exact"/>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tcPr>
          <w:p>
            <w:pPr>
              <w:jc w:val="right"/>
              <w:ind w:right="380"/>
              <w:spacing w:after="0" w:line="100" w:lineRule="exact"/>
              <w:rPr>
                <w:sz w:val="20"/>
                <w:szCs w:val="20"/>
                <w:color w:val="auto"/>
              </w:rPr>
            </w:pPr>
            <w:r>
              <w:rPr>
                <w:rFonts w:ascii="Times New Roman" w:cs="Times New Roman" w:eastAsia="Times New Roman" w:hAnsi="Times New Roman"/>
                <w:sz w:val="11"/>
                <w:szCs w:val="11"/>
                <w:b w:val="1"/>
                <w:bCs w:val="1"/>
                <w:color w:val="auto"/>
                <w:w w:val="94"/>
              </w:rPr>
              <w:t>Following</w:t>
            </w:r>
          </w:p>
        </w:tc>
        <w:tc>
          <w:tcPr>
            <w:tcW w:w="360" w:type="dxa"/>
            <w:vAlign w:val="bottom"/>
          </w:tcPr>
          <w:p>
            <w:pPr>
              <w:jc w:val="right"/>
              <w:ind w:right="79"/>
              <w:spacing w:after="0" w:line="100" w:lineRule="exact"/>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tcPr>
          <w:p>
            <w:pPr>
              <w:jc w:val="right"/>
              <w:ind w:right="400"/>
              <w:spacing w:after="0" w:line="100" w:lineRule="exact"/>
              <w:rPr>
                <w:sz w:val="20"/>
                <w:szCs w:val="20"/>
                <w:color w:val="auto"/>
              </w:rPr>
            </w:pPr>
            <w:r>
              <w:rPr>
                <w:rFonts w:ascii="Times New Roman" w:cs="Times New Roman" w:eastAsia="Times New Roman" w:hAnsi="Times New Roman"/>
                <w:sz w:val="11"/>
                <w:szCs w:val="11"/>
                <w:b w:val="1"/>
                <w:bCs w:val="1"/>
                <w:color w:val="auto"/>
              </w:rPr>
              <w:t>Following</w:t>
            </w:r>
          </w:p>
        </w:tc>
        <w:tc>
          <w:tcPr>
            <w:tcW w:w="360" w:type="dxa"/>
            <w:vAlign w:val="bottom"/>
          </w:tcPr>
          <w:p>
            <w:pPr>
              <w:jc w:val="right"/>
              <w:ind w:right="59"/>
              <w:spacing w:after="0" w:line="100" w:lineRule="exact"/>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tcPr>
          <w:p>
            <w:pPr>
              <w:jc w:val="right"/>
              <w:ind w:right="400"/>
              <w:spacing w:after="0" w:line="100" w:lineRule="exact"/>
              <w:rPr>
                <w:sz w:val="20"/>
                <w:szCs w:val="20"/>
                <w:color w:val="auto"/>
              </w:rPr>
            </w:pPr>
            <w:r>
              <w:rPr>
                <w:rFonts w:ascii="Times New Roman" w:cs="Times New Roman" w:eastAsia="Times New Roman" w:hAnsi="Times New Roman"/>
                <w:sz w:val="11"/>
                <w:szCs w:val="11"/>
                <w:b w:val="1"/>
                <w:bCs w:val="1"/>
                <w:color w:val="auto"/>
                <w:w w:val="98"/>
              </w:rPr>
              <w:t>Following</w:t>
            </w:r>
          </w:p>
        </w:tc>
        <w:tc>
          <w:tcPr>
            <w:tcW w:w="380" w:type="dxa"/>
            <w:vAlign w:val="bottom"/>
          </w:tcPr>
          <w:p>
            <w:pPr>
              <w:jc w:val="right"/>
              <w:ind w:right="79"/>
              <w:spacing w:after="0" w:line="100"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3700" w:type="dxa"/>
            <w:vAlign w:val="bottom"/>
          </w:tcPr>
          <w:p>
            <w:pPr>
              <w:spacing w:after="0"/>
              <w:rPr>
                <w:sz w:val="11"/>
                <w:szCs w:val="11"/>
                <w:color w:val="auto"/>
              </w:rPr>
            </w:pP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Below NAV</w:t>
            </w:r>
          </w:p>
        </w:tc>
        <w:tc>
          <w:tcPr>
            <w:tcW w:w="120" w:type="dxa"/>
            <w:vAlign w:val="bottom"/>
          </w:tcPr>
          <w:p>
            <w:pPr>
              <w:spacing w:after="0"/>
              <w:rPr>
                <w:sz w:val="11"/>
                <w:szCs w:val="11"/>
                <w:color w:val="auto"/>
              </w:rPr>
            </w:pP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Sale</w:t>
            </w:r>
          </w:p>
        </w:tc>
        <w:tc>
          <w:tcPr>
            <w:tcW w:w="66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9"/>
              </w:rPr>
              <w:t>Change</w:t>
            </w:r>
          </w:p>
        </w:tc>
        <w:tc>
          <w:tcPr>
            <w:tcW w:w="100" w:type="dxa"/>
            <w:vAlign w:val="bottom"/>
          </w:tcPr>
          <w:p>
            <w:pPr>
              <w:spacing w:after="0"/>
              <w:rPr>
                <w:sz w:val="11"/>
                <w:szCs w:val="11"/>
                <w:color w:val="auto"/>
              </w:rPr>
            </w:pP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Sale</w:t>
            </w:r>
          </w:p>
        </w:tc>
        <w:tc>
          <w:tcPr>
            <w:tcW w:w="66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4"/>
              </w:rPr>
              <w:t>Change</w:t>
            </w:r>
          </w:p>
        </w:tc>
        <w:tc>
          <w:tcPr>
            <w:tcW w:w="100" w:type="dxa"/>
            <w:vAlign w:val="bottom"/>
          </w:tcPr>
          <w:p>
            <w:pPr>
              <w:spacing w:after="0"/>
              <w:rPr>
                <w:sz w:val="11"/>
                <w:szCs w:val="11"/>
                <w:color w:val="auto"/>
              </w:rPr>
            </w:pPr>
          </w:p>
        </w:tc>
        <w:tc>
          <w:tcPr>
            <w:tcW w:w="900" w:type="dxa"/>
            <w:vAlign w:val="bottom"/>
            <w:gridSpan w:val="2"/>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Sale</w:t>
            </w:r>
          </w:p>
        </w:tc>
        <w:tc>
          <w:tcPr>
            <w:tcW w:w="66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9"/>
              </w:rPr>
              <w:t>Change</w:t>
            </w:r>
          </w:p>
        </w:tc>
        <w:tc>
          <w:tcPr>
            <w:tcW w:w="120" w:type="dxa"/>
            <w:vAlign w:val="bottom"/>
          </w:tcPr>
          <w:p>
            <w:pPr>
              <w:spacing w:after="0"/>
              <w:rPr>
                <w:sz w:val="11"/>
                <w:szCs w:val="11"/>
                <w:color w:val="auto"/>
              </w:rPr>
            </w:pPr>
          </w:p>
        </w:tc>
        <w:tc>
          <w:tcPr>
            <w:tcW w:w="880" w:type="dxa"/>
            <w:vAlign w:val="bottom"/>
            <w:gridSpan w:val="2"/>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Sale</w:t>
            </w: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Change</w:t>
            </w:r>
          </w:p>
        </w:tc>
        <w:tc>
          <w:tcPr>
            <w:tcW w:w="0" w:type="dxa"/>
            <w:vAlign w:val="bottom"/>
          </w:tcPr>
          <w:p>
            <w:pPr>
              <w:spacing w:after="0"/>
              <w:rPr>
                <w:sz w:val="1"/>
                <w:szCs w:val="1"/>
                <w:color w:val="auto"/>
              </w:rPr>
            </w:pPr>
          </w:p>
        </w:tc>
      </w:tr>
      <w:tr>
        <w:trPr>
          <w:trHeight w:val="115"/>
        </w:trPr>
        <w:tc>
          <w:tcPr>
            <w:tcW w:w="370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Offering Price</w:t>
            </w:r>
          </w:p>
        </w:tc>
        <w:tc>
          <w:tcPr>
            <w:tcW w:w="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Price per Share to Public</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17.04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16.14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14.35</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13.45</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Proceeds per Share to Issuer</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16.19</w:t>
            </w:r>
          </w:p>
        </w:tc>
        <w:tc>
          <w:tcPr>
            <w:tcW w:w="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15.34</w:t>
            </w:r>
          </w:p>
        </w:tc>
        <w:tc>
          <w:tcPr>
            <w:tcW w:w="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13.63</w:t>
            </w:r>
          </w:p>
        </w:tc>
        <w:tc>
          <w:tcPr>
            <w:tcW w:w="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12.78</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Decrease/Increase to Net Asset Value</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Shares Offered</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4,391,475</w:t>
            </w:r>
          </w:p>
        </w:tc>
        <w:tc>
          <w:tcPr>
            <w:tcW w:w="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8,782,950</w:t>
            </w:r>
          </w:p>
        </w:tc>
        <w:tc>
          <w:tcPr>
            <w:tcW w:w="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17,565,900</w:t>
            </w:r>
          </w:p>
        </w:tc>
        <w:tc>
          <w:tcPr>
            <w:tcW w:w="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21,957,375</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Total Shares Outstanding</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w w:val="92"/>
              </w:rPr>
              <w:t>87,829,499</w:t>
            </w:r>
          </w:p>
        </w:tc>
        <w:tc>
          <w:tcPr>
            <w:tcW w:w="12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w w:val="92"/>
              </w:rPr>
              <w:t>92,220,974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w w:val="95"/>
              </w:rPr>
              <w:t>96,612,449</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w w:val="95"/>
              </w:rPr>
              <w:t>105,395,399</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w w:val="92"/>
              </w:rPr>
              <w:t>109,786,874</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Asset Value per Share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17.04</w:t>
            </w:r>
          </w:p>
        </w:tc>
        <w:tc>
          <w:tcPr>
            <w:tcW w:w="1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17.00</w:t>
            </w:r>
          </w:p>
        </w:tc>
        <w:tc>
          <w:tcPr>
            <w:tcW w:w="6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(0.25%)</w:t>
            </w: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16.88</w:t>
            </w:r>
          </w:p>
        </w:tc>
        <w:tc>
          <w:tcPr>
            <w:tcW w:w="6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(0.92%)</w:t>
            </w: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16.47</w:t>
            </w:r>
          </w:p>
        </w:tc>
        <w:tc>
          <w:tcPr>
            <w:tcW w:w="6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(3.35%)</w:t>
            </w:r>
          </w:p>
        </w:tc>
        <w:tc>
          <w:tcPr>
            <w:tcW w:w="1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16.19</w:t>
            </w:r>
          </w:p>
        </w:tc>
        <w:tc>
          <w:tcPr>
            <w:tcW w:w="5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(5.01%)</w:t>
            </w:r>
          </w:p>
        </w:tc>
        <w:tc>
          <w:tcPr>
            <w:tcW w:w="0" w:type="dxa"/>
            <w:vAlign w:val="bottom"/>
          </w:tcPr>
          <w:p>
            <w:pPr>
              <w:spacing w:after="0"/>
              <w:rPr>
                <w:sz w:val="1"/>
                <w:szCs w:val="1"/>
                <w:color w:val="auto"/>
              </w:rPr>
            </w:pPr>
          </w:p>
        </w:tc>
      </w:tr>
      <w:tr>
        <w:trPr>
          <w:trHeight w:val="135"/>
        </w:trPr>
        <w:tc>
          <w:tcPr>
            <w:tcW w:w="37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Dilution to Nonparticipating Stockholder</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Shares Held by Stockholder A</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87,829</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87,829</w:t>
            </w:r>
          </w:p>
        </w:tc>
        <w:tc>
          <w:tcPr>
            <w:tcW w:w="6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0.00%</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87,829</w:t>
            </w:r>
          </w:p>
        </w:tc>
        <w:tc>
          <w:tcPr>
            <w:tcW w:w="6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0.00%</w:t>
            </w: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87,829</w:t>
            </w:r>
          </w:p>
        </w:tc>
        <w:tc>
          <w:tcPr>
            <w:tcW w:w="6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0.00%</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87,829</w:t>
            </w:r>
          </w:p>
        </w:tc>
        <w:tc>
          <w:tcPr>
            <w:tcW w:w="5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0.00%</w:t>
            </w:r>
          </w:p>
        </w:tc>
        <w:tc>
          <w:tcPr>
            <w:tcW w:w="0" w:type="dxa"/>
            <w:vAlign w:val="bottom"/>
          </w:tcPr>
          <w:p>
            <w:pPr>
              <w:spacing w:after="0"/>
              <w:rPr>
                <w:sz w:val="1"/>
                <w:szCs w:val="1"/>
                <w:color w:val="auto"/>
              </w:rPr>
            </w:pPr>
          </w:p>
        </w:tc>
      </w:tr>
      <w:tr>
        <w:trPr>
          <w:trHeight w:val="135"/>
        </w:trPr>
        <w:tc>
          <w:tcPr>
            <w:tcW w:w="3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Percentage Held by Stockholder A</w:t>
            </w:r>
          </w:p>
        </w:tc>
        <w:tc>
          <w:tcPr>
            <w:tcW w:w="6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0.10%</w:t>
            </w:r>
          </w:p>
        </w:tc>
        <w:tc>
          <w:tcPr>
            <w:tcW w:w="12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0.10%</w:t>
            </w:r>
          </w:p>
        </w:tc>
        <w:tc>
          <w:tcPr>
            <w:tcW w:w="6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(4.76%)</w:t>
            </w:r>
          </w:p>
        </w:tc>
        <w:tc>
          <w:tcPr>
            <w:tcW w:w="10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0.09%</w:t>
            </w:r>
          </w:p>
        </w:tc>
        <w:tc>
          <w:tcPr>
            <w:tcW w:w="6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(9.09%)</w:t>
            </w:r>
          </w:p>
        </w:tc>
        <w:tc>
          <w:tcPr>
            <w:tcW w:w="100" w:type="dxa"/>
            <w:vAlign w:val="bottom"/>
          </w:tcPr>
          <w:p>
            <w:pPr>
              <w:spacing w:after="0"/>
              <w:rPr>
                <w:sz w:val="11"/>
                <w:szCs w:val="11"/>
                <w:color w:val="auto"/>
              </w:rPr>
            </w:pPr>
          </w:p>
        </w:tc>
        <w:tc>
          <w:tcPr>
            <w:tcW w:w="9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0.08%</w:t>
            </w:r>
          </w:p>
        </w:tc>
        <w:tc>
          <w:tcPr>
            <w:tcW w:w="6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(16.67%)</w:t>
            </w:r>
          </w:p>
        </w:tc>
        <w:tc>
          <w:tcPr>
            <w:tcW w:w="120" w:type="dxa"/>
            <w:vAlign w:val="bottom"/>
          </w:tcPr>
          <w:p>
            <w:pPr>
              <w:spacing w:after="0"/>
              <w:rPr>
                <w:sz w:val="11"/>
                <w:szCs w:val="11"/>
                <w:color w:val="auto"/>
              </w:rPr>
            </w:pPr>
          </w:p>
        </w:tc>
        <w:tc>
          <w:tcPr>
            <w:tcW w:w="8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0.08%</w:t>
            </w:r>
          </w:p>
        </w:tc>
        <w:tc>
          <w:tcPr>
            <w:tcW w:w="5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(20.00%)</w:t>
            </w:r>
          </w:p>
        </w:tc>
        <w:tc>
          <w:tcPr>
            <w:tcW w:w="0" w:type="dxa"/>
            <w:vAlign w:val="bottom"/>
          </w:tcPr>
          <w:p>
            <w:pPr>
              <w:spacing w:after="0"/>
              <w:rPr>
                <w:sz w:val="1"/>
                <w:szCs w:val="1"/>
                <w:color w:val="auto"/>
              </w:rPr>
            </w:pPr>
          </w:p>
        </w:tc>
      </w:tr>
      <w:tr>
        <w:trPr>
          <w:trHeight w:val="135"/>
        </w:trPr>
        <w:tc>
          <w:tcPr>
            <w:tcW w:w="37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Total Net Asset Value Held by Stockholder A</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1,496,375</w:t>
            </w:r>
          </w:p>
        </w:tc>
        <w:tc>
          <w:tcPr>
            <w:tcW w:w="1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1,492,815</w:t>
            </w:r>
          </w:p>
        </w:tc>
        <w:tc>
          <w:tcPr>
            <w:tcW w:w="6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(0.24%)</w:t>
            </w: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1,482,783</w:t>
            </w:r>
          </w:p>
        </w:tc>
        <w:tc>
          <w:tcPr>
            <w:tcW w:w="6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(0.91%)</w:t>
            </w: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1,446,520</w:t>
            </w:r>
          </w:p>
        </w:tc>
        <w:tc>
          <w:tcPr>
            <w:tcW w:w="6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(3.33%)</w:t>
            </w:r>
          </w:p>
        </w:tc>
        <w:tc>
          <w:tcPr>
            <w:tcW w:w="1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1,421,584</w:t>
            </w:r>
          </w:p>
        </w:tc>
        <w:tc>
          <w:tcPr>
            <w:tcW w:w="5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35"/>
        </w:trPr>
        <w:tc>
          <w:tcPr>
            <w:tcW w:w="3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Total Investment by Stockholder A (Assumed to be $17.04 per Share)</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1,496.375</w:t>
            </w:r>
          </w:p>
        </w:tc>
        <w:tc>
          <w:tcPr>
            <w:tcW w:w="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1,496,375</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1,496,375</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1,496,375</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1,496,375</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7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Total Dilution to Stockholder A (Total Net Asset Value Less Total</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Investment)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3,560)</w:t>
            </w:r>
          </w:p>
        </w:tc>
        <w:tc>
          <w:tcPr>
            <w:tcW w:w="3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73"/>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13,592)</w:t>
            </w:r>
          </w:p>
        </w:tc>
        <w:tc>
          <w:tcPr>
            <w:tcW w:w="3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73"/>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49,855)</w:t>
            </w:r>
          </w:p>
        </w:tc>
        <w:tc>
          <w:tcPr>
            <w:tcW w:w="3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74,791)</w:t>
            </w: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7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Investment per Share Held by Stockholder A (Assumed to be $17.04</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per Share on Shares Held Prior to Sale)</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17.04</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17.04</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0.00%</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17.04</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0.00%</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17.04</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0.00%</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17.04</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0.00%</w:t>
            </w:r>
          </w:p>
        </w:tc>
        <w:tc>
          <w:tcPr>
            <w:tcW w:w="0" w:type="dxa"/>
            <w:vAlign w:val="bottom"/>
          </w:tcPr>
          <w:p>
            <w:pPr>
              <w:spacing w:after="0"/>
              <w:rPr>
                <w:sz w:val="1"/>
                <w:szCs w:val="1"/>
                <w:color w:val="auto"/>
              </w:rPr>
            </w:pPr>
          </w:p>
        </w:tc>
      </w:tr>
      <w:tr>
        <w:trPr>
          <w:trHeight w:val="135"/>
        </w:trPr>
        <w:tc>
          <w:tcPr>
            <w:tcW w:w="37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Asset Value per Share Held by Stockholder A</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17.00</w:t>
            </w:r>
          </w:p>
        </w:tc>
        <w:tc>
          <w:tcPr>
            <w:tcW w:w="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16.88</w:t>
            </w:r>
          </w:p>
        </w:tc>
        <w:tc>
          <w:tcPr>
            <w:tcW w:w="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16.47</w:t>
            </w:r>
          </w:p>
        </w:tc>
        <w:tc>
          <w:tcPr>
            <w:tcW w:w="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16.19</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7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Dilution per Share Held by Stockholder A (Net Asset Value per Share</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Less Investment per Share)</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0.04)</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w w:val="73"/>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0.16)</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w w:val="73"/>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0.57)</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0.85)</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7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Percentage Dilution to Stockholder A (Dilution per Share Divided by</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Investment per Share)</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(0.25%)</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(0.92%)</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(3.35%)</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(5.01%)</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Impact on Existing Stockholders Who Do Participate in the Offering</w:t>
      </w:r>
    </w:p>
    <w:p>
      <w:pPr>
        <w:spacing w:after="0" w:line="119"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Company’s existing stockholders who participate in an offering below NAV or who buy additional shares in the secondary market at the same or lower price as the Company obtains in the offering (after expenses and commissions) will experience the same types of NAV per share dilution as the nonparticipating stockholders, albeit at a lower level, to the extent they purchase less than the same percentage of the discounted offering as their interest in shares of the Company’s common stock immediately prior to the offering. The level of NAV per share dilution will decrease as the number of shares such stockholders purchase increases. Existing stockholders who buy more than such percentage will experience NAV per share dilution on their existing shares but will, in contrast to existing stockholders who purchase less than their proportionate share of the offering, experience an increase (often called accretion) in average NAV per share over their investment per share and will also experience a disproportionately greater increase in their participation in the Company’s earnings and assets and their voting power than the Company’s increase in assets, potential earning power and voting interests due to the offering. The level of accretion will increase as the excess number of shares such stockholder purchases increases. Even a stockholder who overparticipates will, however, be subject to the risk that the Company may make additional discounted offerings in which such stockholder does not participate, in which case such a stockholder will experience NAV per share dilution as described above in such subsequent offerings. These stockholders may also experience a decline in the market price of their shares, which often reflects to some degree announced or potential decreases in NAV per share. This decrease could be more pronounced as the size of the offering and level of discounts increases. There is no maximum level of discount from NAV at which the Company may sell shares pursuant to this authority.</w:t>
      </w:r>
    </w:p>
    <w:p>
      <w:pPr>
        <w:spacing w:after="0" w:line="19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following chart illustrates the level of dilution and accretion in the hypothetical 20% discount offering from the prior chart (Example 3) for a stockholder that acquires shares equal to (a) 50% of its proportionate share of the offering (i.e. 0.05% of an offering of 17.6 million shares) rather than its 0.10% proportionate share and (b) 150% of such percentage (i.e. 0.15% of an offering of 17.6 million shares rather than its proportionate 0.10% proportionate share). The prospectus pursuant to which any discounted offering is made will include a chart for these examples based on the actual number of shares in such offering and the actual discount from the most recently determined NAV. It is not possible to predict the level of market price decline that may occur. These examples are provided for illustrative purposes only.</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55"/>
        </w:trPr>
        <w:tc>
          <w:tcPr>
            <w:tcW w:w="4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w w:val="97"/>
              </w:rPr>
              <w:t>Prior to Sale</w:t>
            </w: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50% Participation</w:t>
            </w:r>
          </w:p>
        </w:tc>
        <w:tc>
          <w:tcPr>
            <w:tcW w:w="46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150% Participation</w:t>
            </w:r>
          </w:p>
        </w:tc>
        <w:tc>
          <w:tcPr>
            <w:tcW w:w="4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gridSpan w:val="2"/>
          </w:tcPr>
          <w:p>
            <w:pPr>
              <w:jc w:val="right"/>
              <w:ind w:right="720"/>
              <w:spacing w:after="0" w:line="109" w:lineRule="exact"/>
              <w:rPr>
                <w:sz w:val="20"/>
                <w:szCs w:val="20"/>
                <w:color w:val="auto"/>
              </w:rPr>
            </w:pPr>
            <w:r>
              <w:rPr>
                <w:rFonts w:ascii="Times New Roman" w:cs="Times New Roman" w:eastAsia="Times New Roman" w:hAnsi="Times New Roman"/>
                <w:sz w:val="12"/>
                <w:szCs w:val="12"/>
                <w:b w:val="1"/>
                <w:bCs w:val="1"/>
                <w:color w:val="auto"/>
              </w:rPr>
              <w:t>Following</w:t>
            </w:r>
          </w:p>
        </w:tc>
        <w:tc>
          <w:tcPr>
            <w:tcW w:w="460" w:type="dxa"/>
            <w:vAlign w:val="bottom"/>
          </w:tcPr>
          <w:p>
            <w:pPr>
              <w:jc w:val="right"/>
              <w:ind w:right="78"/>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tcPr>
          <w:p>
            <w:pPr>
              <w:jc w:val="right"/>
              <w:ind w:right="840"/>
              <w:spacing w:after="0" w:line="109" w:lineRule="exact"/>
              <w:rPr>
                <w:sz w:val="20"/>
                <w:szCs w:val="20"/>
                <w:color w:val="auto"/>
              </w:rPr>
            </w:pPr>
            <w:r>
              <w:rPr>
                <w:rFonts w:ascii="Times New Roman" w:cs="Times New Roman" w:eastAsia="Times New Roman" w:hAnsi="Times New Roman"/>
                <w:sz w:val="12"/>
                <w:szCs w:val="12"/>
                <w:b w:val="1"/>
                <w:bCs w:val="1"/>
                <w:color w:val="auto"/>
              </w:rPr>
              <w:t>Following</w:t>
            </w:r>
          </w:p>
        </w:tc>
        <w:tc>
          <w:tcPr>
            <w:tcW w:w="460" w:type="dxa"/>
            <w:vAlign w:val="bottom"/>
          </w:tcPr>
          <w:p>
            <w:pPr>
              <w:jc w:val="right"/>
              <w:ind w:right="98"/>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Below NAV</w:t>
            </w:r>
          </w:p>
        </w:tc>
        <w:tc>
          <w:tcPr>
            <w:tcW w:w="160" w:type="dxa"/>
            <w:vAlign w:val="bottom"/>
          </w:tcPr>
          <w:p>
            <w:pPr>
              <w:spacing w:after="0"/>
              <w:rPr>
                <w:sz w:val="13"/>
                <w:szCs w:val="13"/>
                <w:color w:val="auto"/>
              </w:rPr>
            </w:pPr>
          </w:p>
        </w:tc>
        <w:tc>
          <w:tcPr>
            <w:tcW w:w="1360" w:type="dxa"/>
            <w:vAlign w:val="bottom"/>
            <w:gridSpan w:val="2"/>
          </w:tcPr>
          <w:p>
            <w:pPr>
              <w:jc w:val="right"/>
              <w:ind w:right="880"/>
              <w:spacing w:after="0"/>
              <w:rPr>
                <w:sz w:val="20"/>
                <w:szCs w:val="20"/>
                <w:color w:val="auto"/>
              </w:rPr>
            </w:pPr>
            <w:r>
              <w:rPr>
                <w:rFonts w:ascii="Times New Roman" w:cs="Times New Roman" w:eastAsia="Times New Roman" w:hAnsi="Times New Roman"/>
                <w:sz w:val="13"/>
                <w:szCs w:val="13"/>
                <w:b w:val="1"/>
                <w:bCs w:val="1"/>
                <w:color w:val="auto"/>
              </w:rPr>
              <w:t>Sale</w:t>
            </w:r>
          </w:p>
        </w:tc>
        <w:tc>
          <w:tcPr>
            <w:tcW w:w="1120" w:type="dxa"/>
            <w:vAlign w:val="bottom"/>
            <w:gridSpan w:val="2"/>
          </w:tcPr>
          <w:p>
            <w:pPr>
              <w:jc w:val="center"/>
              <w:ind w:right="640"/>
              <w:spacing w:after="0"/>
              <w:rPr>
                <w:sz w:val="20"/>
                <w:szCs w:val="20"/>
                <w:color w:val="auto"/>
              </w:rPr>
            </w:pPr>
            <w:r>
              <w:rPr>
                <w:rFonts w:ascii="Times New Roman" w:cs="Times New Roman" w:eastAsia="Times New Roman" w:hAnsi="Times New Roman"/>
                <w:sz w:val="13"/>
                <w:szCs w:val="13"/>
                <w:b w:val="1"/>
                <w:bCs w:val="1"/>
                <w:color w:val="auto"/>
                <w:w w:val="93"/>
              </w:rPr>
              <w:t>Change</w:t>
            </w:r>
          </w:p>
        </w:tc>
        <w:tc>
          <w:tcPr>
            <w:tcW w:w="100" w:type="dxa"/>
            <w:vAlign w:val="bottom"/>
          </w:tcPr>
          <w:p>
            <w:pPr>
              <w:spacing w:after="0"/>
              <w:rPr>
                <w:sz w:val="13"/>
                <w:szCs w:val="13"/>
                <w:color w:val="auto"/>
              </w:rPr>
            </w:pPr>
          </w:p>
        </w:tc>
        <w:tc>
          <w:tcPr>
            <w:tcW w:w="1520" w:type="dxa"/>
            <w:vAlign w:val="bottom"/>
            <w:gridSpan w:val="2"/>
          </w:tcPr>
          <w:p>
            <w:pPr>
              <w:jc w:val="right"/>
              <w:ind w:right="1000"/>
              <w:spacing w:after="0"/>
              <w:rPr>
                <w:sz w:val="20"/>
                <w:szCs w:val="20"/>
                <w:color w:val="auto"/>
              </w:rPr>
            </w:pPr>
            <w:r>
              <w:rPr>
                <w:rFonts w:ascii="Times New Roman" w:cs="Times New Roman" w:eastAsia="Times New Roman" w:hAnsi="Times New Roman"/>
                <w:sz w:val="13"/>
                <w:szCs w:val="13"/>
                <w:b w:val="1"/>
                <w:bCs w:val="1"/>
                <w:color w:val="auto"/>
              </w:rPr>
              <w:t>Sale</w:t>
            </w: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Offering Price</w:t>
            </w: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Price per Share to Public</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14.35</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14.35</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Proceeds per Share to Issuer</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13.63</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13.63</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Decrease/Increase to Net Asset Value</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Offered</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17,565,900</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17,565,900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Shares Outstanding</w:t>
            </w:r>
          </w:p>
        </w:tc>
        <w:tc>
          <w:tcPr>
            <w:tcW w:w="8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w w:val="98"/>
              </w:rPr>
              <w:t>87,829,499</w:t>
            </w:r>
          </w:p>
        </w:tc>
        <w:tc>
          <w:tcPr>
            <w:tcW w:w="16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9"/>
              </w:rPr>
              <w:t>105,395,399</w:t>
            </w: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8"/>
                <w:szCs w:val="18"/>
                <w:color w:val="auto"/>
              </w:rPr>
            </w:pP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w w:val="97"/>
              </w:rPr>
              <w:t>105,395,399</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Asset Value per Share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17.04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16.47</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16.47</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194"/>
        </w:trPr>
        <w:tc>
          <w:tcPr>
            <w:tcW w:w="45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Dilution/Accretion to Participating Stockholder</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Shares Held by Stockholder A</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Held by Stockholder A</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87,829</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96,612</w:t>
            </w: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114,178</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6"/>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Percentage Held by Stockholder A</w:t>
            </w:r>
          </w:p>
        </w:tc>
        <w:tc>
          <w:tcPr>
            <w:tcW w:w="8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0.10%</w:t>
            </w:r>
          </w:p>
        </w:tc>
        <w:tc>
          <w:tcPr>
            <w:tcW w:w="16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0.09%</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18"/>
                <w:szCs w:val="18"/>
                <w:color w:val="auto"/>
              </w:rPr>
            </w:pPr>
          </w:p>
        </w:tc>
        <w:tc>
          <w:tcPr>
            <w:tcW w:w="15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0.11%</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Net Asset Value Held by Stockholder A</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1,496,375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1,591,172</w:t>
            </w: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1,880,478</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25.67%</w:t>
            </w:r>
          </w:p>
        </w:tc>
        <w:tc>
          <w:tcPr>
            <w:tcW w:w="0" w:type="dxa"/>
            <w:vAlign w:val="bottom"/>
          </w:tcPr>
          <w:p>
            <w:pPr>
              <w:spacing w:after="0"/>
              <w:rPr>
                <w:sz w:val="1"/>
                <w:szCs w:val="1"/>
                <w:color w:val="auto"/>
              </w:rPr>
            </w:pPr>
          </w:p>
        </w:tc>
      </w:tr>
      <w:tr>
        <w:trPr>
          <w:trHeight w:val="198"/>
        </w:trPr>
        <w:tc>
          <w:tcPr>
            <w:tcW w:w="45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Investment by Stockholder A (Assumed to be</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$17.04 per Share on Shares Held Prior to Sale)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1,496,375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1,622,406</w:t>
            </w: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1,874,467</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Dilution/Accretion to Stockholder A (Total</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Asset Value Less Total Investment)</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31,233)</w:t>
            </w:r>
          </w:p>
        </w:tc>
        <w:tc>
          <w:tcPr>
            <w:tcW w:w="4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6,011</w:t>
            </w: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tbl>
      <w:tblPr>
        <w:tblLayout w:type="fixed"/>
        <w:tblInd w:w="120" w:type="dxa"/>
        <w:tblCellMar>
          <w:top w:w="0" w:type="dxa"/>
          <w:left w:w="0" w:type="dxa"/>
          <w:bottom w:w="0" w:type="dxa"/>
          <w:right w:w="0" w:type="dxa"/>
        </w:tblCellMar>
      </w:tblPr>
      <w:tr>
        <w:trPr>
          <w:trHeight w:val="155"/>
        </w:trPr>
        <w:tc>
          <w:tcPr>
            <w:tcW w:w="5660" w:type="dxa"/>
            <w:vAlign w:val="bottom"/>
          </w:tcPr>
          <w:p>
            <w:pPr>
              <w:spacing w:after="0"/>
              <w:rPr>
                <w:sz w:val="13"/>
                <w:szCs w:val="13"/>
                <w:color w:val="auto"/>
              </w:rPr>
            </w:pPr>
          </w:p>
        </w:tc>
        <w:tc>
          <w:tcPr>
            <w:tcW w:w="8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Prior to</w:t>
            </w:r>
          </w:p>
        </w:tc>
        <w:tc>
          <w:tcPr>
            <w:tcW w:w="340" w:type="dxa"/>
            <w:vAlign w:val="bottom"/>
          </w:tcPr>
          <w:p>
            <w:pPr>
              <w:spacing w:after="0"/>
              <w:rPr>
                <w:sz w:val="13"/>
                <w:szCs w:val="13"/>
                <w:color w:val="auto"/>
              </w:rPr>
            </w:pPr>
          </w:p>
        </w:tc>
        <w:tc>
          <w:tcPr>
            <w:tcW w:w="1960" w:type="dxa"/>
            <w:vAlign w:val="bottom"/>
            <w:gridSpan w:val="4"/>
          </w:tcPr>
          <w:p>
            <w:pPr>
              <w:jc w:val="right"/>
              <w:ind w:right="760"/>
              <w:spacing w:after="0"/>
              <w:rPr>
                <w:sz w:val="20"/>
                <w:szCs w:val="20"/>
                <w:color w:val="auto"/>
              </w:rPr>
            </w:pPr>
            <w:r>
              <w:rPr>
                <w:rFonts w:ascii="Times New Roman" w:cs="Times New Roman" w:eastAsia="Times New Roman" w:hAnsi="Times New Roman"/>
                <w:sz w:val="13"/>
                <w:szCs w:val="13"/>
                <w:b w:val="1"/>
                <w:bCs w:val="1"/>
                <w:color w:val="auto"/>
              </w:rPr>
              <w:t>50% Participation</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4"/>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150% Participation</w:t>
            </w:r>
          </w:p>
        </w:tc>
        <w:tc>
          <w:tcPr>
            <w:tcW w:w="0" w:type="dxa"/>
            <w:vAlign w:val="bottom"/>
          </w:tcPr>
          <w:p>
            <w:pPr>
              <w:spacing w:after="0"/>
              <w:rPr>
                <w:sz w:val="1"/>
                <w:szCs w:val="1"/>
                <w:color w:val="auto"/>
              </w:rPr>
            </w:pPr>
          </w:p>
        </w:tc>
      </w:tr>
      <w:tr>
        <w:trPr>
          <w:trHeight w:val="95"/>
        </w:trPr>
        <w:tc>
          <w:tcPr>
            <w:tcW w:w="566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5660" w:type="dxa"/>
            <w:vAlign w:val="bottom"/>
          </w:tcPr>
          <w:p>
            <w:pPr>
              <w:spacing w:after="0"/>
              <w:rPr>
                <w:sz w:val="11"/>
                <w:szCs w:val="11"/>
                <w:color w:val="auto"/>
              </w:rPr>
            </w:pPr>
          </w:p>
        </w:tc>
        <w:tc>
          <w:tcPr>
            <w:tcW w:w="8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Sale</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60" w:type="dxa"/>
            <w:vAlign w:val="bottom"/>
          </w:tcPr>
          <w:p>
            <w:pPr>
              <w:spacing w:after="0"/>
              <w:rPr>
                <w:sz w:val="11"/>
                <w:szCs w:val="11"/>
                <w:color w:val="auto"/>
              </w:rPr>
            </w:pPr>
          </w:p>
        </w:tc>
        <w:tc>
          <w:tcPr>
            <w:tcW w:w="8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Below</w:t>
            </w:r>
          </w:p>
        </w:tc>
        <w:tc>
          <w:tcPr>
            <w:tcW w:w="340" w:type="dxa"/>
            <w:vAlign w:val="bottom"/>
          </w:tcPr>
          <w:p>
            <w:pPr>
              <w:spacing w:after="0"/>
              <w:rPr>
                <w:sz w:val="11"/>
                <w:szCs w:val="11"/>
                <w:color w:val="auto"/>
              </w:rPr>
            </w:pPr>
          </w:p>
        </w:tc>
        <w:tc>
          <w:tcPr>
            <w:tcW w:w="96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Following</w:t>
            </w:r>
          </w:p>
        </w:tc>
        <w:tc>
          <w:tcPr>
            <w:tcW w:w="440" w:type="dxa"/>
            <w:vAlign w:val="bottom"/>
          </w:tcPr>
          <w:p>
            <w:pPr>
              <w:jc w:val="right"/>
              <w:ind w:right="84"/>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40" w:type="dxa"/>
            <w:vAlign w:val="bottom"/>
          </w:tcPr>
          <w:p>
            <w:pPr>
              <w:jc w:val="right"/>
              <w:ind w:right="84"/>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660" w:type="dxa"/>
            <w:vAlign w:val="bottom"/>
          </w:tcPr>
          <w:p>
            <w:pPr>
              <w:spacing w:after="0"/>
              <w:rPr>
                <w:sz w:val="13"/>
                <w:szCs w:val="13"/>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2"/>
              </w:rPr>
              <w:t>NAV</w:t>
            </w:r>
          </w:p>
        </w:tc>
        <w:tc>
          <w:tcPr>
            <w:tcW w:w="340" w:type="dxa"/>
            <w:vAlign w:val="bottom"/>
          </w:tcPr>
          <w:p>
            <w:pPr>
              <w:spacing w:after="0"/>
              <w:rPr>
                <w:sz w:val="13"/>
                <w:szCs w:val="13"/>
                <w:color w:val="auto"/>
              </w:rPr>
            </w:pPr>
          </w:p>
        </w:tc>
        <w:tc>
          <w:tcPr>
            <w:tcW w:w="96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4"/>
              </w:rPr>
              <w:t>Sale</w:t>
            </w:r>
          </w:p>
        </w:tc>
        <w:tc>
          <w:tcPr>
            <w:tcW w:w="100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w w:val="93"/>
              </w:rPr>
              <w:t>Change</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Sale</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3"/>
              </w:rPr>
              <w:t>Change</w:t>
            </w:r>
          </w:p>
        </w:tc>
        <w:tc>
          <w:tcPr>
            <w:tcW w:w="0" w:type="dxa"/>
            <w:vAlign w:val="bottom"/>
          </w:tcPr>
          <w:p>
            <w:pPr>
              <w:spacing w:after="0"/>
              <w:rPr>
                <w:sz w:val="1"/>
                <w:szCs w:val="1"/>
                <w:color w:val="auto"/>
              </w:rPr>
            </w:pPr>
          </w:p>
        </w:tc>
      </w:tr>
      <w:tr>
        <w:trPr>
          <w:trHeight w:val="178"/>
        </w:trPr>
        <w:tc>
          <w:tcPr>
            <w:tcW w:w="5660" w:type="dxa"/>
            <w:vAlign w:val="bottom"/>
            <w:tcBorders>
              <w:top w:val="single" w:sz="8" w:color="CCEEFF"/>
            </w:tcBorders>
            <w:shd w:val="clear" w:color="auto" w:fill="CCEEFF"/>
          </w:tcPr>
          <w:p>
            <w:pPr>
              <w:ind w:left="360"/>
              <w:spacing w:after="0" w:line="177" w:lineRule="exact"/>
              <w:rPr>
                <w:sz w:val="20"/>
                <w:szCs w:val="20"/>
                <w:color w:val="auto"/>
              </w:rPr>
            </w:pPr>
            <w:r>
              <w:rPr>
                <w:rFonts w:ascii="Times New Roman" w:cs="Times New Roman" w:eastAsia="Times New Roman" w:hAnsi="Times New Roman"/>
                <w:sz w:val="18"/>
                <w:szCs w:val="18"/>
                <w:color w:val="auto"/>
              </w:rPr>
              <w:t>Investment per Share Held by Stockholder A (Assumed to be</w:t>
            </w:r>
          </w:p>
        </w:tc>
        <w:tc>
          <w:tcPr>
            <w:tcW w:w="5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$17.04 per Share on Shares Held Prior to Sale)</w:t>
            </w:r>
          </w:p>
        </w:tc>
        <w:tc>
          <w:tcPr>
            <w:tcW w:w="8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$17.04</w:t>
            </w:r>
          </w:p>
        </w:tc>
        <w:tc>
          <w:tcPr>
            <w:tcW w:w="13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$ 16.79</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(1.45)%</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16.42</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Asset Value per Share Held by Stockholder A</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$ 16.47</w:t>
            </w: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16.47</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Dilution/Accretion per Share Held by Stockholder A (Net Asset</w:t>
            </w: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Value per Share Less Investment per Share)</w:t>
            </w:r>
          </w:p>
        </w:tc>
        <w:tc>
          <w:tcPr>
            <w:tcW w:w="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($ 0.32)</w:t>
            </w:r>
          </w:p>
        </w:tc>
        <w:tc>
          <w:tcPr>
            <w:tcW w:w="4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0.05</w:t>
            </w:r>
          </w:p>
        </w:tc>
        <w:tc>
          <w:tcPr>
            <w:tcW w:w="4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6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Percentage Dilution/Accretion to Stockholder A (Dilution per</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Share Divided by Investment per Share)</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(1.93)%</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Considerations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Underwritten Offerings</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Prior to the time of issuance, the Board may determine to issue shares of the Company’s common stock below NAV in a registered public offering or in a private placement either with or without an obligation to seek to register their resale at the request of the holders. The Board may also determine to use an underwriter or placement agent to assist in selling such shares of common stock if it concludes that doing so would assist in marketing such securities on favorable terms.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Consideration of Potential Conflicts of Interest</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reaching its recommendation to the stockholders of the Company to approve this proposal, the Board considered a possible source of conflict of interest due to the fact that the proceeds from the issuance of additional shares of the Company’s common stock will increase the management fees that the Company pays to Sixth Street Specialty Lending Advisers, as such fees are based on the amount of the Company’s gross assets, and considered the effect of the following factors:</w:t>
      </w:r>
    </w:p>
    <w:p>
      <w:pPr>
        <w:spacing w:after="0" w:line="85" w:lineRule="exact"/>
        <w:rPr>
          <w:sz w:val="20"/>
          <w:szCs w:val="20"/>
          <w:color w:val="auto"/>
        </w:rPr>
      </w:pPr>
    </w:p>
    <w:p>
      <w:pPr>
        <w:ind w:left="1080" w:right="2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benefits of a common stock offering below NAV compared to other possible means for raising capital or concluding not to raise capital;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a common stock offering in relation to the number of shares outstanding;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condition of the securities markets;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impact on operating expenses associated with an increase in capital.</w:t>
      </w:r>
    </w:p>
    <w:p>
      <w:pPr>
        <w:spacing w:after="0" w:line="22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Board, including a majority of the non-interested directors who have no financial interest in this proposal, concluded that the benefits to the stockholders from increasing the Company’s capital base outweighed any detriment, including from increased management fees, especially considering that the management fees would increase regardless of whether the Company offers shares of common stock below NAV or above NAV, or dilution to existing stockholders.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affirmative vote of holders of at least a “majority,” as defined in the 1940 Act, of (1) the outstanding shares of the Company’s common stock entitled to vote at the Meeting and (2) the outstanding shares of the Company’s common stock entitled to vote at the Meeting held by persons that are not affiliated persons of the Company, is required to approve this proposal. Under the 1940 Act, the vote of holders of a “majority” means the vote of the holders of the lesser of (a) 67% or more of the outstanding shares of the Company’s common stock</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present or represented by proxy at the Special Meeting if the holders of more than 50% of the shares of the Company’s common stock are present or represented by proxy or (b) more than 50% of the outstanding shares of the Company’s common stock. Abstentions and broker non-votes, if any, will have the effect of a vote against this proposal.</w:t>
      </w:r>
    </w:p>
    <w:p>
      <w:pPr>
        <w:spacing w:after="0" w:line="280"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The Board recommends voting FOR this proposal to authorize the Company to sell or otherwise issue shares of its common stock at a price below its then-current NAV in one or more offerings, in each case subject to the approval of the Board and subject to the conditions as set forth herein, including that the number of shares issued does not exceed 25% of its then-outstanding common stock immediately prior to each such offering.</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60"/>
          </w:cols>
          <w:pgMar w:left="320" w:top="455" w:right="5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Under our Bylaws, the only matters that may be acted on at a special meeting of stockholders are those stated in the Notice of Special Meeting. Accordingly, other than procedural matters relating to the proposal, no other business may properly come before the Special Meeting. Should any procedural matter requiring a vote of stockholders arise, it is the intention of the persons named in the proxy to vote in accordance with their discretion on such procedural matters.</w:t>
      </w:r>
    </w:p>
    <w:p>
      <w:pPr>
        <w:spacing w:after="0" w:line="392" w:lineRule="exact"/>
        <w:rPr>
          <w:sz w:val="20"/>
          <w:szCs w:val="20"/>
          <w:color w:val="auto"/>
        </w:rPr>
      </w:pPr>
    </w:p>
    <w:p>
      <w:pPr>
        <w:ind w:left="120" w:right="2220" w:firstLine="2221"/>
        <w:spacing w:after="0" w:line="377" w:lineRule="auto"/>
        <w:rPr>
          <w:sz w:val="20"/>
          <w:szCs w:val="20"/>
          <w:color w:val="auto"/>
        </w:rPr>
      </w:pPr>
      <w:r>
        <w:rPr>
          <w:rFonts w:ascii="Times New Roman" w:cs="Times New Roman" w:eastAsia="Times New Roman" w:hAnsi="Times New Roman"/>
          <w:sz w:val="18"/>
          <w:szCs w:val="18"/>
          <w:b w:val="1"/>
          <w:bCs w:val="1"/>
          <w:color w:val="auto"/>
        </w:rPr>
        <w:t>Stockholder Proposals and Nominations for the 2024 Annual Meeting of Stockholders Inclusion of Proposals in Our Proxy Statement and Proxy Card Under the SEC’s Rules</w:t>
      </w:r>
    </w:p>
    <w:p>
      <w:pPr>
        <w:spacing w:after="0" w:line="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Any proposal of a stockholder intended to be included in our proxy statement and form of proxy/voting instruction card for the 2025 annual meeting of stockholders pursuant to Rule 14a-8 of the SEC’s rules must be received by us at our principal executive offices no later than [●], 2024. Such proposals must also comply with the requirements as to form and substance established by the SEC if such proposals are to be included in the proxy statement and form of proxy. All proposals should be sent to our principal executive offices addressed to the Secretary of the Company, Anton Brett, Sixth Street Specialty Lending, Inc., 2100 McKinney Avenue, Suite 1500, Dallas, TX 75201.</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Bylaw Requirements for Stockholder Submission of Nominations and Proposals</w:t>
      </w:r>
    </w:p>
    <w:p>
      <w:pPr>
        <w:spacing w:after="0" w:line="121" w:lineRule="exact"/>
        <w:rPr>
          <w:sz w:val="20"/>
          <w:szCs w:val="20"/>
          <w:color w:val="auto"/>
        </w:rPr>
      </w:pPr>
    </w:p>
    <w:p>
      <w:pPr>
        <w:jc w:val="both"/>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 stockholder recommendation for nomination of a person for election to our Board or a proposal for consideration at our 2025 annual meeting,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Bylaws require that the proposal or recommendation for nomination must be received by our Secretary at our principal executive offices at the above address no later than [●], 2025, unless the date of our 2025 annual meeting is more than 30 days before or more than 60 days after [●], 2025, the anniversary of our 2024 annual meeting, in which case notice by the stockholder to be timely must be so received not later than the later of the close of business 90 days prior to such annual meeting or the 10th day following the day on which such notice of the date of the annual meeting was mailed or such public disclosure of the date of the annual meeting was made.</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29" w:lineRule="exact"/>
        <w:rPr>
          <w:sz w:val="20"/>
          <w:szCs w:val="20"/>
          <w:color w:val="auto"/>
        </w:rPr>
      </w:pPr>
    </w:p>
    <w:p>
      <w:pPr>
        <w:jc w:val="both"/>
        <w:ind w:left="120" w:firstLine="440"/>
        <w:spacing w:after="0" w:line="224" w:lineRule="auto"/>
        <w:rPr>
          <w:sz w:val="20"/>
          <w:szCs w:val="20"/>
          <w:color w:val="auto"/>
        </w:rPr>
      </w:pPr>
      <w:r>
        <w:rPr>
          <w:rFonts w:ascii="Times New Roman" w:cs="Times New Roman" w:eastAsia="Times New Roman" w:hAnsi="Times New Roman"/>
          <w:sz w:val="18"/>
          <w:szCs w:val="18"/>
          <w:color w:val="auto"/>
        </w:rPr>
        <w:t>We will furnish, without charge, a copy of our Annual Report on Form 10-K for the fiscal year ended December 31, 2023 to any stockholder upon request. Requests should be directed to the Secretary of the Company, Anton Brett, Sixth Street Specialty Lending, Inc., 888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Avenue, 41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New York, NY 10106, Attention: TSLX Investor Relations, or by emailing us at IRTSLX@sixthstreet.com.</w:t>
      </w:r>
    </w:p>
    <w:p>
      <w:pPr>
        <w:spacing w:after="0" w:line="1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the Notice of Internet Availability of Proxy Materials with respect to two or more stockholders sharing the same address by delivering a single Notice of Internet Availability of Proxy Materials addressed to those stockholders. This process, which is commonly referred to as “householding,” potentially means extra convenience for stockholders and cost savings for companies.</w:t>
      </w:r>
    </w:p>
    <w:p>
      <w:pPr>
        <w:spacing w:after="0" w:line="180"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7"/>
          <w:szCs w:val="17"/>
          <w:color w:val="auto"/>
        </w:rPr>
        <w:t>This year a number of brokers with account holders who are the Company’s stockholders will be “householding” the Company’s proxy materials. A single Notice of Internet Availability of Proxy Materials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by mail at Sixth Street Specialty Lending, Inc., 2100 McKinney Avenue, Suite 1500, Dallas, Texas 75201, Attention: TSLX Investor Relations, by email at IRTSLX@sixthstreet.com or by phone at</w:t>
      </w:r>
    </w:p>
    <w:p>
      <w:pPr>
        <w:spacing w:after="0" w:line="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469-621-2033. If, at any time, you no longer wish to participate in “householding” and would prefer to receive a separate proxy statement, annual report and/or Notice of Internet Availability of Proxy Materials, please notify your broker. Stockholders who currently receive multiple copies of the proxy statement, annual report and/or Notice of Internet Availability of Proxy Materials at their addresses and would like to request “householding” of their communications should contact their brokers.</w:t>
      </w:r>
    </w:p>
    <w:p>
      <w:pPr>
        <w:spacing w:after="0" w:line="185"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WHETHER OR NOT YOU PLAN TO ATTEND THE MEETING, WE URGE YOU TO VOTE OVER THE INTERNET, BY PHONE, OR BY MARKING, SIGNING AND RETURNING YOUR PROXY OR VOTING INSTRUCTION CARD AS SOON AS POSSIBLE. NO POSTAGE IS NECESSARY IF MAILED IN THE UNITED STATES.</w:t>
      </w:r>
    </w:p>
    <w:p>
      <w:pPr>
        <w:spacing w:after="0" w:line="20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32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Anton Brett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-127635</wp:posOffset>
            </wp:positionV>
            <wp:extent cx="27946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Chief Compliance Officer and Secretary</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80"/>
          </w:cols>
          <w:pgMar w:left="320" w:top="455"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Privacy Principles</w:t>
      </w:r>
    </w:p>
    <w:p>
      <w:pPr>
        <w:spacing w:after="0" w:line="22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 is committed to maintaining the confidentiality, integrity and security of nonpublic personal information relating to investors. The following information is provided to help you understand what personal information the Company collects, how it protects that information and why, in certain cases, it may share information with select other parties.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may collect nonpublic personal information regarding investors from sources such as subscription agreements, investor questionnaires and other forms; individual investors’ account histories; and correspondence between the Company and individual investors. The Company may share information that it collects regarding an investor with its affiliates and the employees of such affiliates for legitimate business purposes, for example, in order to service the investor’s accounts or provide the investor with information about other products and services offered by the Company or its affiliates that may be of interest to the investor. In addition, the Company may disclose information that it collects regarding investors to third parties who are not affiliated with the Company (i) as authorized by investors in investor subscription agreements or the Company’s organizational documents, (ii) as required by law or in connection with regulatory or law enforcement inquiries, or (iii) as otherwise permitted by law to the extent necessary to effect, administer or enforce investor or Company transactions.</w:t>
      </w:r>
    </w:p>
    <w:p>
      <w:pPr>
        <w:spacing w:after="0" w:line="19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to provide services to the Company and investors. The Company maintains physical, electronic and procedural safeguards to seek to guard investor nonpublic personal information. Third parties that handle this information shall agree to follow the standards the Company has established. All safeguards apply to nonpublic personal information of current, former and prospective investors.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80"/>
          </w:cols>
          <w:pgMar w:left="320" w:top="455"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SIXTH STREET SPECIALTY LENDING</w:t>
      </w:r>
    </w:p>
    <w:p>
      <w:pPr>
        <w:spacing w:after="0" w:line="22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Special Meeting:</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The Notice and Proxy Statement is available at www.proxyvote.com.</w:t>
      </w:r>
    </w:p>
    <w:p>
      <w:pPr>
        <w:spacing w:after="0" w:line="20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22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22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EDT</w:t>
      </w:r>
    </w:p>
    <w:p>
      <w:pPr>
        <w:spacing w:after="0" w:line="22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This proxy is solicited by the Board of Directors</w:t>
      </w:r>
    </w:p>
    <w:p>
      <w:pPr>
        <w:spacing w:after="0" w:line="229"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The stockholders hereby appoint Ian Simmonds and Anton Brett, or either of them, as proxies, each with the power to appoint his/her substitute, and hereby authorize them to represent and to vote, as designated on the reverse side of this ballot, all of the shares of common stock of SIXTH STREET SPECIALTY LENDING, INC. that the stockholders are entitled to vote at a Special Meeting of Stockholders to be held at EDT on [●], 2024, at the offices of Simpson Thacher &amp; Bartlett LLP, 425 Lexington Avenue, New York, NY 10017 and any adjournment or postponement thereof.</w:t>
      </w:r>
    </w:p>
    <w:p>
      <w:pPr>
        <w:spacing w:after="0" w:line="160"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15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p>
      <w:pPr>
        <w:sectPr>
          <w:pgSz w:w="11900" w:h="16838" w:orient="portrait"/>
          <w:cols w:equalWidth="0" w:num="1">
            <w:col w:w="10840"/>
          </w:cols>
          <w:pgMar w:left="320" w:top="455" w:right="7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BY INTERNET</w:t>
      </w:r>
    </w:p>
    <w:p>
      <w:pPr>
        <w:spacing w:after="0" w:line="119" w:lineRule="exact"/>
        <w:rPr>
          <w:sz w:val="20"/>
          <w:szCs w:val="20"/>
          <w:color w:val="auto"/>
        </w:rPr>
      </w:pPr>
    </w:p>
    <w:p>
      <w:pPr>
        <w:jc w:val="both"/>
        <w:ind w:left="120"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Before The Meeting </w:t>
      </w:r>
      <w:r>
        <w:rPr>
          <w:rFonts w:ascii="Times New Roman" w:cs="Times New Roman" w:eastAsia="Times New Roman" w:hAnsi="Times New Roman"/>
          <w:sz w:val="18"/>
          <w:szCs w:val="18"/>
          <w:color w:val="auto"/>
        </w:rPr>
        <w:t>– Go to Use the Internet to transmit your voting instructions and for electronic delivery of information up until 11:59 P.M. Eastern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on [●]. Have your proxy card in hand when you access the web site and follow the instructions to obtain your records and to create an electronic voting instruction form.</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BY PHONE –</w:t>
      </w:r>
    </w:p>
    <w:p>
      <w:pPr>
        <w:spacing w:after="0" w:line="227"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color w:val="auto"/>
        </w:rPr>
        <w:t xml:space="preserve">Use any touch-tone telephone to transmit your voting instructions up until 11:59 P.M. Eastern Time on [●]. Have your proxy </w:t>
      </w:r>
      <w:r>
        <w:rPr>
          <w:rFonts w:ascii="Times New Roman" w:cs="Times New Roman" w:eastAsia="Times New Roman" w:hAnsi="Times New Roman"/>
          <w:sz w:val="18"/>
          <w:szCs w:val="18"/>
          <w:i w:val="1"/>
          <w:iCs w:val="1"/>
          <w:color w:val="auto"/>
        </w:rPr>
        <w:t>card</w:t>
      </w:r>
      <w:r>
        <w:rPr>
          <w:rFonts w:ascii="Times New Roman" w:cs="Times New Roman" w:eastAsia="Times New Roman" w:hAnsi="Times New Roman"/>
          <w:sz w:val="18"/>
          <w:szCs w:val="18"/>
          <w:color w:val="auto"/>
        </w:rPr>
        <w:t xml:space="preserve"> in hand when you call and then follow the instructions.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BY MAIL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Mark, sign and date your proxy card and return it in the postage-paid envelope we have provided or return it to [●].</w:t>
      </w:r>
    </w:p>
    <w:p>
      <w:pPr>
        <w:sectPr>
          <w:pgSz w:w="11900" w:h="16838" w:orient="portrait"/>
          <w:cols w:equalWidth="0" w:num="1">
            <w:col w:w="11080"/>
          </w:cols>
          <w:pgMar w:left="320" w:top="455"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VOTE, MARK BLOCKS BELOW IN BLUE OR BLACK INK AS FOLLOWS:</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KEEP THIS PORTION FOR YOUR RECORDS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DETACH AND RETURN THIS PORTION ONLY</w:t>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THIS PROXY CARD IS VALID ONLY WHEN SIGNED AND DATED.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Directors recommends you vote FOR the following:</w:t>
      </w:r>
    </w:p>
    <w:p>
      <w:pPr>
        <w:spacing w:after="0" w:line="252" w:lineRule="exact"/>
        <w:rPr>
          <w:sz w:val="20"/>
          <w:szCs w:val="20"/>
          <w:color w:val="auto"/>
        </w:rPr>
      </w:pPr>
    </w:p>
    <w:p>
      <w:pPr>
        <w:ind w:left="940" w:hanging="824"/>
        <w:spacing w:after="0" w:line="266"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proposal to authorize the Company to sell or otherwise issue shares of its common stock at a price below its then-current net asset value per share in one or more offerings, in each case subject to the approval of its board of directors and subject to the conditions set forth in the accompanying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b w:val="1"/>
          <w:bCs w:val="1"/>
          <w:color w:val="auto"/>
        </w:rPr>
        <w:t>For</w:t>
        <w:tab/>
        <w:t>Against  Abstain</w:t>
      </w:r>
    </w:p>
    <w:p>
      <w:pPr>
        <w:spacing w:after="0" w:line="14" w:lineRule="exact"/>
        <w:rPr>
          <w:sz w:val="20"/>
          <w:szCs w:val="20"/>
          <w:color w:val="auto"/>
        </w:rPr>
      </w:pPr>
    </w:p>
    <w:p>
      <w:pPr>
        <w:ind w:left="60"/>
        <w:spacing w:after="0" w:line="141" w:lineRule="exact"/>
        <w:tabs>
          <w:tab w:leader="none" w:pos="600" w:val="left"/>
          <w:tab w:leader="none" w:pos="118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578" w:lineRule="exact"/>
        <w:rPr>
          <w:sz w:val="20"/>
          <w:szCs w:val="20"/>
          <w:color w:val="auto"/>
        </w:rPr>
      </w:pPr>
    </w:p>
    <w:p>
      <w:pPr>
        <w:sectPr>
          <w:pgSz w:w="11900" w:h="16838" w:orient="portrait"/>
          <w:cols w:equalWidth="0" w:num="2">
            <w:col w:w="9160" w:space="460"/>
            <w:col w:w="1520"/>
          </w:cols>
          <w:pgMar w:left="320" w:top="455" w:right="439" w:bottom="1440" w:gutter="0" w:footer="0" w:header="0"/>
          <w:type w:val="continuous"/>
        </w:sect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The named proxies are also authorized to transact such other business as may properly come before the Special Meeting of Stockholders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postponement or adjournment thereof.</w:t>
      </w:r>
    </w:p>
    <w:p>
      <w:pPr>
        <w:spacing w:after="0" w:line="68" w:lineRule="exact"/>
        <w:rPr>
          <w:sz w:val="20"/>
          <w:szCs w:val="20"/>
          <w:color w:val="auto"/>
        </w:rPr>
      </w:pPr>
    </w:p>
    <w:p>
      <w:pPr>
        <w:ind w:left="120"/>
        <w:spacing w:after="0"/>
        <w:tabs>
          <w:tab w:leader="none" w:pos="9580" w:val="left"/>
          <w:tab w:leader="none" w:pos="10180" w:val="left"/>
        </w:tabs>
        <w:rPr>
          <w:sz w:val="20"/>
          <w:szCs w:val="20"/>
          <w:color w:val="auto"/>
        </w:rPr>
      </w:pPr>
      <w:r>
        <w:rPr>
          <w:rFonts w:ascii="Times New Roman" w:cs="Times New Roman" w:eastAsia="Times New Roman" w:hAnsi="Times New Roman"/>
          <w:sz w:val="18"/>
          <w:szCs w:val="18"/>
          <w:color w:val="auto"/>
        </w:rPr>
        <w:t>Please indicate if you plan to attend this meeting</w:t>
      </w:r>
      <w:r>
        <w:rPr>
          <w:sz w:val="20"/>
          <w:szCs w:val="20"/>
          <w:color w:val="auto"/>
        </w:rPr>
        <w:tab/>
      </w:r>
      <w:r>
        <w:rPr>
          <w:rFonts w:ascii="Times New Roman" w:cs="Times New Roman" w:eastAsia="Times New Roman" w:hAnsi="Times New Roman"/>
          <w:sz w:val="29"/>
          <w:szCs w:val="29"/>
          <w:b w:val="1"/>
          <w:bCs w:val="1"/>
          <w:color w:val="auto"/>
          <w:vertAlign w:val="superscript"/>
        </w:rPr>
        <w:t>YES</w:t>
      </w:r>
      <w:r>
        <w:rPr>
          <w:sz w:val="20"/>
          <w:szCs w:val="20"/>
          <w:color w:val="auto"/>
        </w:rPr>
        <w:tab/>
      </w:r>
      <w:r>
        <w:rPr>
          <w:rFonts w:ascii="Times New Roman" w:cs="Times New Roman" w:eastAsia="Times New Roman" w:hAnsi="Times New Roman"/>
          <w:sz w:val="20"/>
          <w:szCs w:val="20"/>
          <w:b w:val="1"/>
          <w:bCs w:val="1"/>
          <w:color w:val="auto"/>
          <w:vertAlign w:val="superscript"/>
        </w:rPr>
        <w:t>NO</w:t>
      </w:r>
    </w:p>
    <w:p>
      <w:pPr>
        <w:ind w:left="9660"/>
        <w:spacing w:after="0" w:line="181" w:lineRule="exact"/>
        <w:tabs>
          <w:tab w:leader="none" w:pos="10200" w:val="left"/>
        </w:tabs>
        <w:rPr>
          <w:sz w:val="20"/>
          <w:szCs w:val="20"/>
          <w:color w:val="auto"/>
        </w:rPr>
      </w:pPr>
      <w:r>
        <w:rPr>
          <w:rFonts w:ascii="MS PGothic" w:cs="MS PGothic" w:eastAsia="MS PGothic" w:hAnsi="MS PGothic"/>
          <w:sz w:val="18"/>
          <w:szCs w:val="18"/>
          <w:color w:val="auto"/>
        </w:rPr>
        <w:t>☐</w:t>
        <w:tab/>
        <w:t>☐</w:t>
      </w:r>
    </w:p>
    <w:p>
      <w:pPr>
        <w:spacing w:after="0" w:line="23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tbl>
      <w:tblPr>
        <w:tblLayout w:type="fixed"/>
        <w:tblInd w:w="120" w:type="dxa"/>
        <w:tblCellMar>
          <w:top w:w="0" w:type="dxa"/>
          <w:left w:w="0" w:type="dxa"/>
          <w:bottom w:w="0" w:type="dxa"/>
          <w:right w:w="0" w:type="dxa"/>
        </w:tblCellMar>
      </w:tblPr>
      <w:tr>
        <w:trPr>
          <w:trHeight w:val="178"/>
        </w:trPr>
        <w:tc>
          <w:tcPr>
            <w:tcW w:w="3500" w:type="dxa"/>
            <w:vAlign w:val="bottom"/>
            <w:tcBorders>
              <w:bottom w:val="single" w:sz="8" w:color="auto"/>
            </w:tcBorders>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20" w:type="dxa"/>
            <w:vAlign w:val="bottom"/>
          </w:tcPr>
          <w:p>
            <w:pPr>
              <w:spacing w:after="0"/>
              <w:rPr>
                <w:sz w:val="15"/>
                <w:szCs w:val="15"/>
                <w:color w:val="auto"/>
              </w:rPr>
            </w:pPr>
          </w:p>
        </w:tc>
        <w:tc>
          <w:tcPr>
            <w:tcW w:w="520" w:type="dxa"/>
            <w:vAlign w:val="bottom"/>
          </w:tcPr>
          <w:p>
            <w:pPr>
              <w:ind w:left="140"/>
              <w:spacing w:after="0" w:line="158"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5440" w:type="dxa"/>
            <w:vAlign w:val="bottom"/>
            <w:gridSpan w:val="3"/>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00" w:type="dxa"/>
            <w:vAlign w:val="bottom"/>
          </w:tcPr>
          <w:p>
            <w:pPr>
              <w:spacing w:after="0"/>
              <w:rPr>
                <w:sz w:val="15"/>
                <w:szCs w:val="15"/>
                <w:color w:val="auto"/>
              </w:rPr>
            </w:pPr>
          </w:p>
        </w:tc>
        <w:tc>
          <w:tcPr>
            <w:tcW w:w="1340" w:type="dxa"/>
            <w:vAlign w:val="bottom"/>
          </w:tcPr>
          <w:p>
            <w:pPr>
              <w:ind w:left="160"/>
              <w:spacing w:after="0" w:line="158" w:lineRule="exact"/>
              <w:rPr>
                <w:sz w:val="20"/>
                <w:szCs w:val="20"/>
                <w:color w:val="auto"/>
              </w:rPr>
            </w:pPr>
            <w:r>
              <w:rPr>
                <w:rFonts w:ascii="Times New Roman" w:cs="Times New Roman" w:eastAsia="Times New Roman" w:hAnsi="Times New Roman"/>
                <w:sz w:val="14"/>
                <w:szCs w:val="14"/>
                <w:b w:val="1"/>
                <w:bCs w:val="1"/>
                <w:color w:val="auto"/>
              </w:rPr>
              <w:t xml:space="preserve">                   </w:t>
            </w:r>
          </w:p>
        </w:tc>
      </w:tr>
      <w:tr>
        <w:trPr>
          <w:trHeight w:val="167"/>
        </w:trPr>
        <w:tc>
          <w:tcPr>
            <w:tcW w:w="3500" w:type="dxa"/>
            <w:vAlign w:val="bottom"/>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Signature [PLEASE SIGN WITHIN BOX]</w:t>
            </w:r>
          </w:p>
        </w:tc>
        <w:tc>
          <w:tcPr>
            <w:tcW w:w="120" w:type="dxa"/>
            <w:vAlign w:val="bottom"/>
          </w:tcPr>
          <w:p>
            <w:pPr>
              <w:spacing w:after="0"/>
              <w:rPr>
                <w:sz w:val="14"/>
                <w:szCs w:val="14"/>
                <w:color w:val="auto"/>
              </w:rPr>
            </w:pPr>
          </w:p>
        </w:tc>
        <w:tc>
          <w:tcPr>
            <w:tcW w:w="52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Date</w:t>
            </w: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54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Signature</w:t>
            </w:r>
          </w:p>
        </w:tc>
        <w:tc>
          <w:tcPr>
            <w:tcW w:w="100" w:type="dxa"/>
            <w:vAlign w:val="bottom"/>
          </w:tcPr>
          <w:p>
            <w:pPr>
              <w:spacing w:after="0"/>
              <w:rPr>
                <w:sz w:val="14"/>
                <w:szCs w:val="14"/>
                <w:color w:val="auto"/>
              </w:rPr>
            </w:pPr>
          </w:p>
        </w:tc>
        <w:tc>
          <w:tcPr>
            <w:tcW w:w="134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Date</w:t>
            </w:r>
          </w:p>
        </w:tc>
      </w:tr>
      <w:tr>
        <w:trPr>
          <w:trHeight w:val="238"/>
        </w:trPr>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(Joint Owners)</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140"/>
      </w:cols>
      <w:pgMar w:left="320" w:top="45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2"/>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2024-03-22T15:45:15Z</dcterms:created>
  <dcterms:modified xsi:type="dcterms:W3CDTF">2024-03-22T15:45:15Z</dcterms:modified>
</cp:coreProperties>
</file>