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slx-20230630.htm"/>
      <w:bookmarkStart w:id="1" w:name="kstslx20230630"/>
      <w:bookmarkEnd w:id="0"/>
      <w:bookmarkEnd w:id="1"/>
      <w:r>
        <w:rPr/>
        <w:t> </w:t>
      </w:r>
    </w:p>
    <w:p>
      <w:pPr>
        <w:pStyle w:val="TextBody"/>
        <w:pBdr>
          <w:bottom w:val="double" w:sz="6" w:space="1" w:color="000000"/>
        </w:pBdr>
        <w:bidi w:val="0"/>
        <w:spacing w:before="0" w:after="0"/>
        <w:jc w:val="left"/>
        <w:rPr/>
      </w:pPr>
      <w:r>
        <w:rPr/>
        <w:t> </w:t>
      </w:r>
    </w:p>
    <w:p>
      <w:pPr>
        <w:pStyle w:val="TextBody"/>
        <w:bidi w:val="0"/>
        <w:spacing w:before="80" w:after="0"/>
        <w:jc w:val="center"/>
        <w:rPr>
          <w:rFonts w:ascii="Times New Roman;serif" w:hAnsi="Times New Roman;serif"/>
          <w:b/>
          <w:sz w:val="32"/>
        </w:rPr>
      </w:pPr>
      <w:r>
        <w:rPr>
          <w:rFonts w:ascii="Times New Roman;serif" w:hAnsi="Times New Roman;serif"/>
          <w:b/>
          <w:sz w:val="32"/>
        </w:rPr>
        <w:t>UNITED STATES</w:t>
      </w:r>
    </w:p>
    <w:p>
      <w:pPr>
        <w:pStyle w:val="TextBody"/>
        <w:bidi w:val="0"/>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6" w:space="1" w:color="000000"/>
        </w:pBdr>
        <w:bidi w:val="0"/>
        <w:spacing w:before="0" w:after="0"/>
        <w:jc w:val="center"/>
        <w:rPr/>
      </w:pPr>
      <w:r>
        <w:rPr/>
        <w:t> </w:t>
      </w:r>
    </w:p>
    <w:p>
      <w:pPr>
        <w:pStyle w:val="TextBody"/>
        <w:bidi w:val="0"/>
        <w:spacing w:before="80" w:after="0"/>
        <w:jc w:val="center"/>
        <w:rPr>
          <w:rFonts w:ascii="Times New Roman;serif" w:hAnsi="Times New Roman;serif"/>
          <w:b/>
          <w:sz w:val="32"/>
        </w:rPr>
      </w:pPr>
      <w:r>
        <w:rPr>
          <w:rFonts w:ascii="Times New Roman;serif" w:hAnsi="Times New Roman;serif"/>
          <w:b/>
          <w:sz w:val="32"/>
        </w:rPr>
        <w:t>FORM 10-Q</w:t>
      </w:r>
    </w:p>
    <w:p>
      <w:pPr>
        <w:pStyle w:val="TextBody"/>
        <w:pBdr>
          <w:bottom w:val="single" w:sz="6" w:space="1" w:color="000000"/>
        </w:pBdr>
        <w:bidi w:val="0"/>
        <w:spacing w:before="0" w:after="0"/>
        <w:jc w:val="center"/>
        <w:rPr/>
      </w:pPr>
      <w:r>
        <w:rPr/>
        <w:t> </w:t>
      </w:r>
    </w:p>
    <w:p>
      <w:pPr>
        <w:pStyle w:val="TextBody"/>
        <w:bidi w:val="0"/>
        <w:spacing w:before="80" w:after="0"/>
        <w:jc w:val="left"/>
        <w:rPr>
          <w:rFonts w:ascii="Times New Roman;serif" w:hAnsi="Times New Roman;serif"/>
          <w:b/>
          <w:sz w:val="20"/>
        </w:rPr>
      </w:pPr>
      <w:r>
        <w:rPr>
          <w:rFonts w:ascii="Times New Roman;serif" w:hAnsi="Times New Roman;serif"/>
          <w:b/>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4"/>
              </w:rPr>
            </w:pPr>
            <w:r>
              <w:rPr>
                <w:rFonts w:ascii="Times New Roman;serif" w:hAnsi="Times New Roman;serif"/>
                <w:b/>
                <w:sz w:val="24"/>
              </w:rPr>
              <w:t>QUARTERLY REPORT PURSUANT TO SECTION 13 OR 15(d) OF THE SECURITIES EXCHANGE ACT OF 1934.</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8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80" w:after="0"/>
              <w:ind w:left="0" w:right="0" w:hanging="0"/>
              <w:jc w:val="left"/>
              <w:rPr>
                <w:rFonts w:ascii="Times New Roman" w:hAnsi="Times New Roman"/>
                <w:sz w:val="24"/>
              </w:rPr>
            </w:pPr>
            <w:r>
              <w:rPr>
                <w:rFonts w:ascii="Times New Roman;serif" w:hAnsi="Times New Roman;serif"/>
                <w:b/>
                <w:sz w:val="24"/>
              </w:rPr>
              <w:t>TRANSITION REPORT PURSUANT TO SECTION 13 OR 15(d) OF THE SECURITIES EXCHANGE ACT OF 1934.</w:t>
            </w:r>
            <w:r>
              <w:rPr>
                <w:rFonts w:ascii="Times New Roman" w:hAnsi="Times New Roman"/>
                <w:sz w:val="24"/>
              </w:rPr>
              <w:t xml:space="preserve"> </w:t>
            </w:r>
          </w:p>
        </w:tc>
      </w:tr>
    </w:tbl>
    <w:p>
      <w:pPr>
        <w:pStyle w:val="TextBody"/>
        <w:bidi w:val="0"/>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001-36364</w:t>
      </w:r>
    </w:p>
    <w:p>
      <w:pPr>
        <w:pStyle w:val="TextBody"/>
        <w:pBdr>
          <w:bottom w:val="single" w:sz="6" w:space="1" w:color="000000"/>
        </w:pBdr>
        <w:bidi w:val="0"/>
        <w:spacing w:before="0" w:after="0"/>
        <w:jc w:val="center"/>
        <w:rPr/>
      </w:pPr>
      <w:r>
        <w:rPr/>
        <w:t> </w:t>
      </w:r>
    </w:p>
    <w:p>
      <w:pPr>
        <w:pStyle w:val="TextBody"/>
        <w:bidi w:val="0"/>
        <w:spacing w:before="80" w:after="0"/>
        <w:jc w:val="center"/>
        <w:rPr>
          <w:rFonts w:ascii="Times New Roman;serif" w:hAnsi="Times New Roman;serif"/>
          <w:b/>
          <w:sz w:val="44"/>
        </w:rPr>
      </w:pPr>
      <w:r>
        <w:rPr>
          <w:rFonts w:ascii="Times New Roman;serif" w:hAnsi="Times New Roman;serif"/>
          <w:b/>
          <w:sz w:val="44"/>
        </w:rPr>
        <w:t>Sixth Street Specialty Lending,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6" w:space="1" w:color="000000"/>
        </w:pBdr>
        <w:bidi w:val="0"/>
        <w:spacing w:before="0" w:after="0"/>
        <w:jc w:val="center"/>
        <w:rPr/>
      </w:pPr>
      <w:r>
        <w:rPr/>
        <w:t> </w:t>
      </w:r>
    </w:p>
    <w:p>
      <w:pPr>
        <w:pStyle w:val="TextBody"/>
        <w:bidi w:val="0"/>
        <w:spacing w:before="0" w:after="0"/>
        <w:jc w:val="left"/>
        <w:rPr/>
      </w:pPr>
      <w:r>
        <w:rPr/>
        <w:t> </w:t>
      </w:r>
    </w:p>
    <w:tbl>
      <w:tblPr>
        <w:tblW w:w="4652" w:type="dxa"/>
        <w:jc w:val="left"/>
        <w:tblInd w:w="0" w:type="dxa"/>
        <w:tblLayout w:type="fixed"/>
        <w:tblCellMar>
          <w:top w:w="28" w:type="dxa"/>
          <w:left w:w="28" w:type="dxa"/>
          <w:bottom w:w="28" w:type="dxa"/>
          <w:right w:w="28" w:type="dxa"/>
        </w:tblCellMar>
      </w:tblPr>
      <w:tblGrid>
        <w:gridCol w:w="3166"/>
        <w:gridCol w:w="1486"/>
      </w:tblGrid>
      <w:tr>
        <w:trPr/>
        <w:tc>
          <w:tcPr>
            <w:tcW w:w="31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27-3380000</w:t>
            </w:r>
          </w:p>
        </w:tc>
      </w:tr>
      <w:tr>
        <w:trPr/>
        <w:tc>
          <w:tcPr>
            <w:tcW w:w="316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316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2100 McKinney Avenue, Suite 1500,</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Dallas, TX</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75201</w:t>
            </w:r>
          </w:p>
        </w:tc>
      </w:tr>
      <w:tr>
        <w:trPr/>
        <w:tc>
          <w:tcPr>
            <w:tcW w:w="316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(469) 621-3001</w:t>
      </w:r>
    </w:p>
    <w:p>
      <w:pPr>
        <w:pStyle w:val="TextBody"/>
        <w:bidi w:val="0"/>
        <w:spacing w:before="80" w:after="0"/>
        <w:jc w:val="center"/>
        <w:rPr>
          <w:rFonts w:ascii="Times New Roman;serif" w:hAnsi="Times New Roman;serif"/>
          <w:b/>
          <w:sz w:val="20"/>
        </w:rPr>
      </w:pPr>
      <w:r>
        <w:rPr>
          <w:rFonts w:ascii="Times New Roman;serif" w:hAnsi="Times New Roman;serif"/>
          <w:b/>
          <w:sz w:val="20"/>
        </w:rPr>
        <w:t>Not applicable</w:t>
      </w:r>
    </w:p>
    <w:p>
      <w:pPr>
        <w:pStyle w:val="TextBody"/>
        <w:bidi w:val="0"/>
        <w:spacing w:before="0" w:after="0"/>
        <w:jc w:val="center"/>
        <w:rPr>
          <w:rFonts w:ascii="Times New Roman;serif" w:hAnsi="Times New Roman;serif"/>
          <w:b/>
          <w:sz w:val="16"/>
        </w:rPr>
      </w:pPr>
      <w:r>
        <w:rPr>
          <w:rFonts w:ascii="Times New Roman;serif" w:hAnsi="Times New Roman;serif"/>
          <w:b/>
          <w:sz w:val="16"/>
        </w:rPr>
        <w:t>Former name, former address and former fiscal year, if changed since last report.</w:t>
      </w:r>
    </w:p>
    <w:p>
      <w:pPr>
        <w:pStyle w:val="TextBody"/>
        <w:pBdr>
          <w:bottom w:val="single" w:sz="6" w:space="1" w:color="000000"/>
        </w:pBdr>
        <w:bidi w:val="0"/>
        <w:spacing w:before="0" w:after="0"/>
        <w:jc w:val="center"/>
        <w:rPr/>
      </w:pPr>
      <w:r>
        <w:rPr/>
        <w:t> </w:t>
      </w:r>
    </w:p>
    <w:p>
      <w:pPr>
        <w:pStyle w:val="TextBody"/>
        <w:bidi w:val="0"/>
        <w:spacing w:before="60" w:after="0"/>
        <w:jc w:val="left"/>
        <w:rPr>
          <w:rFonts w:ascii="Times New Roman" w:hAnsi="Times New Roman"/>
          <w:sz w:val="20"/>
        </w:rPr>
      </w:pPr>
      <w:r>
        <w:rPr>
          <w:rFonts w:ascii="Times New Roman;serif" w:hAnsi="Times New Roman;serif"/>
          <w:b/>
          <w:sz w:val="16"/>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953" w:type="dxa"/>
        <w:jc w:val="left"/>
        <w:tblInd w:w="0" w:type="dxa"/>
        <w:tblLayout w:type="fixed"/>
        <w:tblCellMar>
          <w:top w:w="28" w:type="dxa"/>
          <w:left w:w="28" w:type="dxa"/>
          <w:bottom w:w="28" w:type="dxa"/>
          <w:right w:w="28" w:type="dxa"/>
        </w:tblCellMar>
      </w:tblPr>
      <w:tblGrid>
        <w:gridCol w:w="3181"/>
        <w:gridCol w:w="145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0"/>
              <w:ind w:left="0" w:right="0" w:hanging="0"/>
              <w:jc w:val="center"/>
              <w:rPr>
                <w:rFonts w:ascii="Times New Roman;serif" w:hAnsi="Times New Roman;serif"/>
                <w:b/>
                <w:sz w:val="16"/>
              </w:rPr>
            </w:pPr>
            <w:r>
              <w:rPr>
                <w:rFonts w:ascii="Times New Roman;serif" w:hAnsi="Times New Roman;serif"/>
                <w:b/>
                <w:sz w:val="16"/>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60" w:after="0"/>
              <w:ind w:left="0" w:right="0" w:hanging="0"/>
              <w:jc w:val="center"/>
              <w:rPr>
                <w:rFonts w:ascii="Times New Roman;serif" w:hAnsi="Times New Roman;serif"/>
                <w:b/>
                <w:sz w:val="16"/>
              </w:rPr>
            </w:pPr>
            <w:r>
              <w:rPr>
                <w:rFonts w:ascii="Times New Roman;serif" w:hAnsi="Times New Roman;serif"/>
                <w:b/>
                <w:sz w:val="16"/>
              </w:rPr>
              <w:t>TSLX</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60" w:after="0"/>
              <w:ind w:left="0" w:right="0" w:hanging="0"/>
              <w:jc w:val="center"/>
              <w:rPr>
                <w:rFonts w:ascii="Times New Roman;serif" w:hAnsi="Times New Roman;serif"/>
                <w:b/>
                <w:sz w:val="16"/>
              </w:rPr>
            </w:pPr>
            <w:r>
              <w:rPr>
                <w:rFonts w:ascii="Times New Roman;serif" w:hAnsi="Times New Roman;serif"/>
                <w:b/>
                <w:sz w:val="16"/>
              </w:rPr>
              <w:t>The New York Stock Exchange</w:t>
            </w:r>
          </w:p>
        </w:tc>
      </w:tr>
    </w:tbl>
    <w:p>
      <w:pPr>
        <w:pStyle w:val="TextBody"/>
        <w:bidi w:val="0"/>
        <w:spacing w:before="8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4474" w:type="dxa"/>
        <w:jc w:val="left"/>
        <w:tblInd w:w="0" w:type="dxa"/>
        <w:tblLayout w:type="fixed"/>
        <w:tblCellMar>
          <w:top w:w="28" w:type="dxa"/>
          <w:left w:w="28" w:type="dxa"/>
          <w:bottom w:w="28" w:type="dxa"/>
          <w:right w:w="28" w:type="dxa"/>
        </w:tblCellMar>
      </w:tblPr>
      <w:tblGrid>
        <w:gridCol w:w="1666"/>
        <w:gridCol w:w="376"/>
        <w:gridCol w:w="207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37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376" w:type="dxa"/>
            <w:tcBorders/>
            <w:vAlign w:val="center"/>
          </w:tcPr>
          <w:p>
            <w:pPr>
              <w:pStyle w:val="TableContents"/>
              <w:bidi w:val="0"/>
              <w:spacing w:before="0" w:after="0"/>
              <w:ind w:left="0" w:right="0" w:hanging="0"/>
              <w:jc w:val="left"/>
              <w:rPr/>
            </w:pPr>
            <w:r>
              <w:rPr/>
              <w:t xml:space="preserve">☐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Emerging growth company</w:t>
            </w:r>
            <w:r>
              <w:rPr>
                <w:rFonts w:ascii="Times New Roman" w:hAnsi="Times New Roman"/>
                <w:sz w:val="16"/>
              </w:rPr>
              <w:t xml:space="preserve">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8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w:t>
      </w:r>
    </w:p>
    <w:p>
      <w:pPr>
        <w:pStyle w:val="TextBody"/>
        <w:bidi w:val="0"/>
        <w:spacing w:before="8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The number of shares of the registrant’s common stock, $.01 par value per share, outstanding at August 3, 2023 was 87,241,231.</w:t>
      </w:r>
      <w:r>
        <w:rPr>
          <w:rFonts w:ascii="Times New Roman" w:hAnsi="Times New Roman"/>
          <w:sz w:val="20"/>
        </w:rPr>
        <w:t xml:space="preserve"> </w:t>
      </w:r>
    </w:p>
    <w:p>
      <w:pPr>
        <w:pStyle w:val="TextBody"/>
        <w:bidi w:val="0"/>
        <w:spacing w:before="0" w:after="0"/>
        <w:jc w:val="left"/>
        <w:rPr/>
      </w:pPr>
      <w:r>
        <w:rPr/>
        <w:t> </w:t>
      </w:r>
    </w:p>
    <w:p>
      <w:pPr>
        <w:pStyle w:val="TextBody"/>
        <w:pBdr>
          <w:bottom w:val="double" w:sz="6"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788"/>
        <w:gridCol w:w="146"/>
        <w:gridCol w:w="8508"/>
        <w:gridCol w:w="146"/>
        <w:gridCol w:w="617"/>
      </w:tblGrid>
      <w:tr>
        <w:trPr/>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PART I.</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consolidated_balance_sheets">
              <w:r>
                <w:rPr>
                  <w:rStyle w:val="InternetLink"/>
                  <w:rFonts w:ascii="Times New Roman;serif" w:hAnsi="Times New Roman;serif"/>
                  <w:b w:val="false"/>
                  <w:sz w:val="20"/>
                  <w:u w:val="single"/>
                </w:rPr>
                <w:t>Consolidated Balance Sheets as of June 30, 2023 (Unaudited) and December 31, 2022</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consolidated_statements_operations">
              <w:r>
                <w:rPr>
                  <w:rStyle w:val="InternetLink"/>
                  <w:rFonts w:ascii="Times New Roman;serif" w:hAnsi="Times New Roman;serif"/>
                  <w:b w:val="false"/>
                  <w:sz w:val="20"/>
                  <w:u w:val="single"/>
                </w:rPr>
                <w:t>Consolidated Statements of Operations for the three and six months ended June 30, 2023 and 2022 (Unaudited)</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consolidated_schedule_investments_as_mar">
              <w:r>
                <w:rPr>
                  <w:rStyle w:val="InternetLink"/>
                  <w:rFonts w:ascii="Times New Roman;serif" w:hAnsi="Times New Roman;serif"/>
                  <w:b w:val="false"/>
                  <w:sz w:val="20"/>
                  <w:u w:val="single"/>
                </w:rPr>
                <w:t>Consolidated Schedules of Investments as of June 30, 2023 (Unaudited) and December 31, 2022</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consolidated_statements_changes_in_net_a">
              <w:r>
                <w:rPr>
                  <w:rStyle w:val="InternetLink"/>
                  <w:rFonts w:ascii="Times New Roman;serif" w:hAnsi="Times New Roman;serif"/>
                  <w:b w:val="false"/>
                  <w:sz w:val="20"/>
                  <w:u w:val="single"/>
                </w:rPr>
                <w:t>Consolidated Statements of Changes in Net Assets for the three and six months ended June 30, 2023 and 2022 (Unaudited)</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consolidated_statements_cash_flows">
              <w:r>
                <w:rPr>
                  <w:rStyle w:val="InternetLink"/>
                  <w:rFonts w:ascii="Times New Roman;serif" w:hAnsi="Times New Roman;serif"/>
                  <w:b w:val="false"/>
                  <w:sz w:val="20"/>
                  <w:u w:val="single"/>
                </w:rPr>
                <w:t>Consolidated Statements of Cash Flows for the six months ended June 30, 2023 and 2022 (Unaudited)</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Consolidated Financial Statements (Unaudited)</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PART II.</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val="false"/>
                  <w:sz w:val="20"/>
                  <w:u w:val="single"/>
                </w:rPr>
                <w:t>OTHER INFORMATION</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and Use of Proceeds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9442" w:type="dxa"/>
            <w:gridSpan w:val="3"/>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CAUTIONARY STATEMENT REGARDING FORWARD-LOOKING STATEMENTS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economic downturn, including the current and future economic effects of the COVID-19 pandemic, could impair our portfolio companies’ abilities to continue to operate, which could lead to the loss of some or all of our investments in those portfolio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such an economic downturn could also impact availability and pricing of our financing;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inability to access the capital markets could impair our ability to raise capital and our investment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inflation could negatively impact our business, including our ability to access the debt markets on favorable terms, or could negatively impact our portfolio companies;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risks, uncertainties and other factors we identify in the section entitled “Risk Factors” in this report, in our Annual Report on Form 10-K for the year ended December 31, 2022, filed with the SEC on February 16, 2023, and elsewhere in our filings with the SEC. </w:t>
      </w:r>
    </w:p>
    <w:p>
      <w:pPr>
        <w:pStyle w:val="TextBody"/>
        <w:bidi w:val="0"/>
        <w:spacing w:before="240" w:after="0"/>
        <w:jc w:val="left"/>
        <w:rPr>
          <w:rFonts w:ascii="Times New Roman" w:hAnsi="Times New Roman"/>
          <w:sz w:val="20"/>
        </w:rPr>
      </w:pPr>
      <w:r>
        <w:rPr>
          <w:rFonts w:ascii="Times New Roman;serif" w:hAnsi="Times New Roman;serif"/>
          <w:b w:val="false"/>
          <w:sz w:val="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“TSLX” and “TAO” marks are marks of Sixth Street.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 w:name="part_i_financial_information"/>
      <w:bookmarkEnd w:id="2"/>
      <w:r>
        <w:rPr>
          <w:rFonts w:ascii="Times New Roman;serif" w:hAnsi="Times New Roman;serif"/>
          <w:b/>
          <w:sz w:val="20"/>
        </w:rPr>
        <w:t>PART I. FINANCIAL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 w:name="item_1_financial_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4" w:name="consolidated_balance_sheets"/>
      <w:bookmarkEnd w:id="4"/>
      <w:r>
        <w:rPr>
          <w:rFonts w:ascii="Times New Roman;serif" w:hAnsi="Times New Roman;serif"/>
          <w:b/>
          <w:sz w:val="20"/>
        </w:rPr>
        <w:t>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and per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1" w:type="dxa"/>
            <w:tcBorders/>
            <w:vAlign w:val="center"/>
          </w:tcPr>
          <w:p>
            <w:pPr>
              <w:pStyle w:val="TableContents"/>
              <w:bidi w:val="0"/>
              <w:spacing w:before="0" w:after="0"/>
              <w:ind w:left="0" w:right="0" w:hanging="0"/>
              <w:jc w:val="center"/>
              <w:rPr/>
            </w:pPr>
            <w:r>
              <w:rPr/>
              <w:t> </w:t>
            </w:r>
          </w:p>
        </w:tc>
      </w:tr>
      <w:tr>
        <w:trPr/>
        <w:tc>
          <w:tcPr>
            <w:tcW w:w="68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Investments at fair value</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Non-controlled, non-affiliated investments (amortized cost of $2,993,190</w:t>
            </w:r>
            <w:r>
              <w:rPr>
                <w:rFonts w:ascii="Times New Roman" w:hAnsi="Times New Roman"/>
                <w:sz w:val="20"/>
              </w:rPr>
              <w:t> </w:t>
            </w:r>
            <w:r>
              <w:rPr>
                <w:rFonts w:ascii="Times New Roman;serif" w:hAnsi="Times New Roman;serif"/>
                <w:b w:val="false"/>
                <w:sz w:val="20"/>
              </w:rPr>
              <w:t>and $2,707,442, respectively)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3,022,333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2,717,170</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Controlled, affiliated investments (amortized cost of $72,169</w:t>
            </w:r>
            <w:r>
              <w:rPr>
                <w:rFonts w:ascii="Times New Roman" w:hAnsi="Times New Roman"/>
                <w:sz w:val="20"/>
              </w:rPr>
              <w:t> </w:t>
            </w:r>
            <w:r>
              <w:rPr>
                <w:rFonts w:ascii="Times New Roman;serif" w:hAnsi="Times New Roman;serif"/>
                <w:b w:val="false"/>
                <w:sz w:val="20"/>
              </w:rPr>
              <w:t>and $67,284, respectively)</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70,755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Total investments at fair value (amortized cost of $3,065,359</w:t>
            </w:r>
            <w:r>
              <w:rPr>
                <w:rFonts w:ascii="Times New Roman" w:hAnsi="Times New Roman"/>
                <w:sz w:val="20"/>
              </w:rPr>
              <w:t> </w:t>
            </w:r>
            <w:r>
              <w:rPr>
                <w:rFonts w:ascii="Times New Roman;serif" w:hAnsi="Times New Roman;serif"/>
                <w:b w:val="false"/>
                <w:sz w:val="20"/>
              </w:rPr>
              <w:t>and $2,774,726, respectively)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3,088,987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2,787,925</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Cash and cash equivalents (restricted cash of $15,115</w:t>
            </w:r>
            <w:r>
              <w:rPr>
                <w:rFonts w:ascii="Times New Roman" w:hAnsi="Times New Roman"/>
                <w:sz w:val="20"/>
              </w:rPr>
              <w:t> </w:t>
            </w:r>
            <w:r>
              <w:rPr>
                <w:rFonts w:ascii="Times New Roman;serif" w:hAnsi="Times New Roman;serif"/>
                <w:b w:val="false"/>
                <w:sz w:val="20"/>
              </w:rPr>
              <w:t>and $15,437, respectively)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25,647</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18,846</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72"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3,141,169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2,836,947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87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Debt (net of deferred financing costs of $20,531</w:t>
            </w:r>
            <w:r>
              <w:rPr>
                <w:rFonts w:ascii="Times New Roman" w:hAnsi="Times New Roman"/>
                <w:sz w:val="20"/>
              </w:rPr>
              <w:t> </w:t>
            </w:r>
            <w:r>
              <w:rPr>
                <w:rFonts w:ascii="Times New Roman;serif" w:hAnsi="Times New Roman;serif"/>
                <w:b w:val="false"/>
                <w:sz w:val="20"/>
              </w:rPr>
              <w:t>and $17,760, respectively)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1,623,301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1,441,796</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 fees payable to affiliate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10,526</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Incentive fees on net investment income payable to affiliate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10,918</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Incentive fees on net capital gains accrued to affiliate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6,064</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payables to affiliate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3,265</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22,809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72"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1,680,640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1,495,378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8)</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Assets</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87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Preferred stock, $0.01</w:t>
            </w:r>
            <w:r>
              <w:rPr>
                <w:rFonts w:ascii="Times New Roman" w:hAnsi="Times New Roman"/>
                <w:sz w:val="20"/>
              </w:rPr>
              <w:t> </w:t>
            </w:r>
            <w:r>
              <w:rPr>
                <w:rFonts w:ascii="Times New Roman;serif" w:hAnsi="Times New Roman;serif"/>
                <w:b w:val="false"/>
                <w:sz w:val="20"/>
              </w:rPr>
              <w:t>par value; 100,000,000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w:t>
              <w:br/>
              <w:t>   issued and outstanding</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Common stock, $0.01</w:t>
            </w:r>
            <w:r>
              <w:rPr>
                <w:rFonts w:ascii="Times New Roman" w:hAnsi="Times New Roman"/>
                <w:sz w:val="20"/>
              </w:rPr>
              <w:t> </w:t>
            </w:r>
            <w:r>
              <w:rPr>
                <w:rFonts w:ascii="Times New Roman;serif" w:hAnsi="Times New Roman;serif"/>
                <w:b w:val="false"/>
                <w:sz w:val="20"/>
              </w:rPr>
              <w:t>par value; 400,000,000</w:t>
            </w:r>
            <w:r>
              <w:rPr>
                <w:rFonts w:ascii="Times New Roman" w:hAnsi="Times New Roman"/>
                <w:sz w:val="20"/>
              </w:rPr>
              <w:t> </w:t>
            </w:r>
            <w:r>
              <w:rPr>
                <w:rFonts w:ascii="Times New Roman;serif" w:hAnsi="Times New Roman;serif"/>
                <w:b w:val="false"/>
                <w:sz w:val="20"/>
              </w:rPr>
              <w:t>shares authorized, 87,905,481</w:t>
              <w:br/>
              <w:t>   and 82,053,537</w:t>
            </w:r>
            <w:r>
              <w:rPr>
                <w:rFonts w:ascii="Times New Roman" w:hAnsi="Times New Roman"/>
                <w:sz w:val="20"/>
              </w:rPr>
              <w:t> </w:t>
            </w:r>
            <w:r>
              <w:rPr>
                <w:rFonts w:ascii="Times New Roman;serif" w:hAnsi="Times New Roman;serif"/>
                <w:b w:val="false"/>
                <w:sz w:val="20"/>
              </w:rPr>
              <w:t>shares issued, respectively; and 87,241,231</w:t>
            </w:r>
            <w:r>
              <w:rPr>
                <w:rFonts w:ascii="Times New Roman" w:hAnsi="Times New Roman"/>
                <w:sz w:val="20"/>
              </w:rPr>
              <w:t> </w:t>
            </w:r>
            <w:r>
              <w:rPr>
                <w:rFonts w:ascii="Times New Roman;serif" w:hAnsi="Times New Roman;serif"/>
                <w:b w:val="false"/>
                <w:sz w:val="20"/>
              </w:rPr>
              <w:t>and 81,389,287</w:t>
              <w:br/>
              <w:t>   shares outstanding, respectively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1,395,409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1,294,751</w:t>
            </w:r>
          </w:p>
        </w:tc>
        <w:tc>
          <w:tcPr>
            <w:tcW w:w="591" w:type="dxa"/>
            <w:tcBorders/>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Treasury stock at cost; 664,250</w:t>
            </w:r>
            <w:r>
              <w:rPr>
                <w:rFonts w:ascii="Times New Roman" w:hAnsi="Times New Roman"/>
                <w:sz w:val="20"/>
              </w:rPr>
              <w:t> </w:t>
            </w:r>
            <w:r>
              <w:rPr>
                <w:rFonts w:ascii="Times New Roman;serif" w:hAnsi="Times New Roman;serif"/>
                <w:b w:val="false"/>
                <w:sz w:val="20"/>
              </w:rPr>
              <w:t>and 664,250</w:t>
            </w:r>
            <w:r>
              <w:rPr>
                <w:rFonts w:ascii="Times New Roman" w:hAnsi="Times New Roman"/>
                <w:sz w:val="20"/>
              </w:rPr>
              <w:t> </w:t>
            </w:r>
            <w:r>
              <w:rPr>
                <w:rFonts w:ascii="Times New Roman;serif" w:hAnsi="Times New Roman;serif"/>
                <w:b w:val="false"/>
                <w:sz w:val="20"/>
              </w:rPr>
              <w:t>shares held, respectively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(10,459</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Distributable earnings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56,456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72"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Net Assets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1,460,529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1,341,569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72"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Liabilities and Net Assets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3,141,169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2,836,947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72"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Net Asset Value Per Share</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5" w:name="consolidated_statements_operations"/>
      <w:bookmarkEnd w:id="5"/>
      <w:r>
        <w:rPr>
          <w:rFonts w:ascii="Times New Roman;serif" w:hAnsi="Times New Roman;serif"/>
          <w:b/>
          <w:sz w:val="20"/>
        </w:rPr>
        <w:t>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and per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632"/>
        <w:gridCol w:w="146"/>
        <w:gridCol w:w="197"/>
        <w:gridCol w:w="922"/>
        <w:gridCol w:w="166"/>
        <w:gridCol w:w="146"/>
        <w:gridCol w:w="197"/>
        <w:gridCol w:w="922"/>
        <w:gridCol w:w="166"/>
        <w:gridCol w:w="146"/>
        <w:gridCol w:w="197"/>
        <w:gridCol w:w="922"/>
        <w:gridCol w:w="166"/>
        <w:gridCol w:w="146"/>
        <w:gridCol w:w="197"/>
        <w:gridCol w:w="922"/>
        <w:gridCol w:w="1015"/>
      </w:tblGrid>
      <w:tr>
        <w:trPr/>
        <w:tc>
          <w:tcPr>
            <w:tcW w:w="3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6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0"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50"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015" w:type="dxa"/>
            <w:tcBorders/>
            <w:vAlign w:val="center"/>
          </w:tcPr>
          <w:p>
            <w:pPr>
              <w:pStyle w:val="TableContents"/>
              <w:bidi w:val="0"/>
              <w:spacing w:before="0" w:after="0"/>
              <w:ind w:left="0" w:right="0" w:hanging="0"/>
              <w:jc w:val="center"/>
              <w:rPr/>
            </w:pPr>
            <w:r>
              <w:rPr/>
              <w:t> </w:t>
            </w:r>
          </w:p>
        </w:tc>
      </w:tr>
      <w:tr>
        <w:trPr/>
        <w:tc>
          <w:tcPr>
            <w:tcW w:w="36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Income</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hanging="0"/>
              <w:jc w:val="righ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 income from non-controlled, non-affiliated investments:</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firstLine="200"/>
              <w:jc w:val="righ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from investments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96,221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56,747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184,655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117,907</w:t>
            </w:r>
          </w:p>
        </w:tc>
        <w:tc>
          <w:tcPr>
            <w:tcW w:w="1015" w:type="dxa"/>
            <w:tcBorders/>
            <w:vAlign w:val="center"/>
          </w:tcPr>
          <w:p>
            <w:pPr>
              <w:pStyle w:val="TableContents"/>
              <w:bidi w:val="0"/>
              <w:spacing w:before="0" w:after="0"/>
              <w:ind w:left="0" w:right="0" w:firstLine="200"/>
              <w:jc w:val="lef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Paid-in-kind interest income</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6,371</w:t>
            </w:r>
          </w:p>
        </w:tc>
        <w:tc>
          <w:tcPr>
            <w:tcW w:w="1015" w:type="dxa"/>
            <w:tcBorders/>
            <w:vAlign w:val="center"/>
          </w:tcPr>
          <w:p>
            <w:pPr>
              <w:pStyle w:val="TableContents"/>
              <w:bidi w:val="0"/>
              <w:spacing w:before="0" w:after="0"/>
              <w:ind w:left="0" w:right="0" w:firstLine="200"/>
              <w:jc w:val="lef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Dividend income</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1,358</w:t>
            </w:r>
          </w:p>
        </w:tc>
        <w:tc>
          <w:tcPr>
            <w:tcW w:w="1015" w:type="dxa"/>
            <w:tcBorders/>
            <w:vAlign w:val="center"/>
          </w:tcPr>
          <w:p>
            <w:pPr>
              <w:pStyle w:val="TableContents"/>
              <w:bidi w:val="0"/>
              <w:spacing w:before="0" w:after="0"/>
              <w:ind w:left="0" w:right="0" w:firstLine="200"/>
              <w:jc w:val="lef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3,350</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63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 income from non-controlled, non-affiliated investments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105,737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62,757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200,539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128,986</w:t>
            </w:r>
          </w:p>
        </w:tc>
        <w:tc>
          <w:tcPr>
            <w:tcW w:w="1015" w:type="dxa"/>
            <w:tcBorders/>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 income from non-controlled, affiliated investments:</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firstLine="200"/>
              <w:jc w:val="righ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from investments</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63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 income from non-controlled, affiliated investments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w:t>
            </w:r>
          </w:p>
        </w:tc>
        <w:tc>
          <w:tcPr>
            <w:tcW w:w="1015" w:type="dxa"/>
            <w:tcBorders/>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 income from controlled, affiliated investments:</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firstLine="200"/>
              <w:jc w:val="righ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from investments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2,195</w:t>
            </w:r>
          </w:p>
        </w:tc>
        <w:tc>
          <w:tcPr>
            <w:tcW w:w="1015" w:type="dxa"/>
            <w:tcBorders/>
            <w:vAlign w:val="center"/>
          </w:tcPr>
          <w:p>
            <w:pPr>
              <w:pStyle w:val="TableContents"/>
              <w:bidi w:val="0"/>
              <w:spacing w:before="0" w:after="0"/>
              <w:ind w:left="0" w:right="0" w:firstLine="200"/>
              <w:jc w:val="lef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63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 income from controlled, affiliated investments</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2,197</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632"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Investment Income</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107,605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63,888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204,111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131,316</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hanging="0"/>
              <w:jc w:val="righ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32,442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60,928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21,565</w:t>
            </w:r>
          </w:p>
        </w:tc>
        <w:tc>
          <w:tcPr>
            <w:tcW w:w="1015" w:type="dxa"/>
            <w:tcBorders/>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Management fees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22,143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18,818</w:t>
            </w:r>
          </w:p>
        </w:tc>
        <w:tc>
          <w:tcPr>
            <w:tcW w:w="1015" w:type="dxa"/>
            <w:tcBorders/>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Incentive fees on net investment income</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14,601</w:t>
            </w:r>
          </w:p>
        </w:tc>
        <w:tc>
          <w:tcPr>
            <w:tcW w:w="1015" w:type="dxa"/>
            <w:tcBorders/>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Incentive fees on net capital gains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(7,699</w:t>
            </w:r>
          </w:p>
        </w:tc>
        <w:tc>
          <w:tcPr>
            <w:tcW w:w="10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Professional fees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3,298</w:t>
            </w:r>
          </w:p>
        </w:tc>
        <w:tc>
          <w:tcPr>
            <w:tcW w:w="1015" w:type="dxa"/>
            <w:tcBorders/>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Directors’ fees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366</w:t>
            </w:r>
          </w:p>
        </w:tc>
        <w:tc>
          <w:tcPr>
            <w:tcW w:w="1015" w:type="dxa"/>
            <w:tcBorders/>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general and administrative</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2,745</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63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expenses</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58,219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111,630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53,694</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Management fees waived (Note 3)</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3632"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Net Expenses</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57,919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111,074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53,682</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Investment Income Before Income Taxes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49,686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41,572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93,037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77,634</w:t>
            </w:r>
          </w:p>
        </w:tc>
        <w:tc>
          <w:tcPr>
            <w:tcW w:w="1015" w:type="dxa"/>
            <w:tcBorders/>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taxes, including excise taxes</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1,100</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48,784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40,822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91,721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76,534</w:t>
            </w:r>
          </w:p>
        </w:tc>
        <w:tc>
          <w:tcPr>
            <w:tcW w:w="1015" w:type="dxa"/>
            <w:tcBorders/>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Unrealized and Realized Gains (Losses)</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hanging="0"/>
              <w:jc w:val="righ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gains (losses):</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firstLine="200"/>
              <w:jc w:val="righ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(56,727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(62,348</w:t>
            </w:r>
          </w:p>
        </w:tc>
        <w:tc>
          <w:tcPr>
            <w:tcW w:w="10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affiliated investments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(14,350</w:t>
            </w:r>
          </w:p>
        </w:tc>
        <w:tc>
          <w:tcPr>
            <w:tcW w:w="10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Controlled, affiliated investments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12,174</w:t>
            </w:r>
          </w:p>
        </w:tc>
        <w:tc>
          <w:tcPr>
            <w:tcW w:w="1015" w:type="dxa"/>
            <w:tcBorders/>
            <w:vAlign w:val="center"/>
          </w:tcPr>
          <w:p>
            <w:pPr>
              <w:pStyle w:val="TableContents"/>
              <w:bidi w:val="0"/>
              <w:spacing w:before="0" w:after="0"/>
              <w:ind w:left="0" w:right="0" w:firstLine="200"/>
              <w:jc w:val="lef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Translation of other assets and liabilities in foreign currencies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5,872</w:t>
            </w:r>
          </w:p>
        </w:tc>
        <w:tc>
          <w:tcPr>
            <w:tcW w:w="1015" w:type="dxa"/>
            <w:tcBorders/>
            <w:vAlign w:val="center"/>
          </w:tcPr>
          <w:p>
            <w:pPr>
              <w:pStyle w:val="TableContents"/>
              <w:bidi w:val="0"/>
              <w:spacing w:before="0" w:after="0"/>
              <w:ind w:left="0" w:right="0" w:firstLine="200"/>
              <w:jc w:val="lef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rate swaps</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(4,594</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363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Total net change in unrealized gains (losses)</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(54,751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(63,246</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Realized gains (losses):</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9"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firstLine="200"/>
              <w:jc w:val="righ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431</w:t>
            </w:r>
          </w:p>
        </w:tc>
        <w:tc>
          <w:tcPr>
            <w:tcW w:w="1015" w:type="dxa"/>
            <w:tcBorders/>
            <w:vAlign w:val="center"/>
          </w:tcPr>
          <w:p>
            <w:pPr>
              <w:pStyle w:val="TableContents"/>
              <w:bidi w:val="0"/>
              <w:spacing w:before="0" w:after="0"/>
              <w:ind w:left="0" w:right="0" w:firstLine="200"/>
              <w:jc w:val="lef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affiliated investments</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13,673</w:t>
            </w:r>
          </w:p>
        </w:tc>
        <w:tc>
          <w:tcPr>
            <w:tcW w:w="1015" w:type="dxa"/>
            <w:tcBorders/>
            <w:vAlign w:val="center"/>
          </w:tcPr>
          <w:p>
            <w:pPr>
              <w:pStyle w:val="TableContents"/>
              <w:bidi w:val="0"/>
              <w:spacing w:before="0" w:after="0"/>
              <w:ind w:left="0" w:right="0" w:firstLine="200"/>
              <w:jc w:val="left"/>
              <w:rPr/>
            </w:pPr>
            <w:r>
              <w:rPr/>
              <w:t> </w:t>
            </w:r>
          </w:p>
        </w:tc>
      </w:tr>
      <w:tr>
        <w:trPr/>
        <w:tc>
          <w:tcPr>
            <w:tcW w:w="36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transactions</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363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Total net realized gains (losses)</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14,072</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3632"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Total Net Unrealized and Realized Gains (Losses)</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(54,347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(49,174</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3632"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Increase (Decrease) in Net Assets Resulting from Operations</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53,090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106,042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27,360</w:t>
            </w:r>
          </w:p>
        </w:tc>
        <w:tc>
          <w:tcPr>
            <w:tcW w:w="10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Earnings (Loss) per common share—basic</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0.36</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shares of common stock outstanding—basic</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84,223,032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76,265,661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82,819,734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76,119,681</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Earnings per common share—diluted</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0.36</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shares of common stock outstanding—diluted</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84,223,032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81,846,634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82,819,734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81,700,654</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Sixth Street Specialty Lending, Inc.</w:t>
      </w:r>
    </w:p>
    <w:p>
      <w:pPr>
        <w:pStyle w:val="TextBody"/>
        <w:bidi w:val="0"/>
        <w:spacing w:before="240" w:after="0"/>
        <w:jc w:val="center"/>
        <w:rPr>
          <w:rFonts w:ascii="Times New Roman;serif" w:hAnsi="Times New Roman;serif"/>
          <w:b/>
          <w:sz w:val="20"/>
        </w:rPr>
      </w:pPr>
      <w:bookmarkStart w:id="6" w:name="consolidated_schedule_investments_as_mar"/>
      <w:bookmarkEnd w:id="6"/>
      <w:r>
        <w:rPr>
          <w:rFonts w:ascii="Times New Roman;serif" w:hAnsi="Times New Roman;serif"/>
          <w:b/>
          <w:sz w:val="20"/>
        </w:rPr>
        <w:t>Consolidated Schedule of Investments as of June 30, 2023</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199"/>
        <w:gridCol w:w="146"/>
        <w:gridCol w:w="1830"/>
        <w:gridCol w:w="146"/>
        <w:gridCol w:w="796"/>
        <w:gridCol w:w="146"/>
        <w:gridCol w:w="775"/>
        <w:gridCol w:w="146"/>
        <w:gridCol w:w="952"/>
        <w:gridCol w:w="146"/>
        <w:gridCol w:w="181"/>
        <w:gridCol w:w="721"/>
        <w:gridCol w:w="146"/>
        <w:gridCol w:w="181"/>
        <w:gridCol w:w="709"/>
        <w:gridCol w:w="146"/>
        <w:gridCol w:w="839"/>
      </w:tblGrid>
      <w:tr>
        <w:trPr/>
        <w:tc>
          <w:tcPr>
            <w:tcW w:w="219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39" w:type="dxa"/>
            <w:tcBorders/>
            <w:shd w:fill="FFFFFF" w:val="clear"/>
            <w:vAlign w:val="center"/>
          </w:tcPr>
          <w:p>
            <w:pPr>
              <w:pStyle w:val="TableContents"/>
              <w:bidi w:val="0"/>
              <w:spacing w:before="0" w:after="283"/>
              <w:jc w:val="left"/>
              <w:rPr>
                <w:sz w:val="4"/>
                <w:szCs w:val="4"/>
              </w:rPr>
            </w:pPr>
            <w:r>
              <w:rPr>
                <w:sz w:val="4"/>
                <w:szCs w:val="4"/>
              </w:rPr>
            </w:r>
          </w:p>
        </w:tc>
      </w:tr>
      <w:tr>
        <w:trPr/>
        <w:tc>
          <w:tcPr>
            <w:tcW w:w="2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r>
      <w:tr>
        <w:trPr/>
        <w:tc>
          <w:tcPr>
            <w:tcW w:w="2199"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Debt Investments</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99"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Automotive</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Bestpass,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($40,000</w:t>
            </w:r>
            <w:r>
              <w:rPr>
                <w:rFonts w:ascii="Times New Roman" w:hAnsi="Times New Roman"/>
                <w:sz w:val="20"/>
              </w:rPr>
              <w:t> </w:t>
            </w:r>
            <w:r>
              <w:rPr>
                <w:rFonts w:ascii="Times New Roman;serif" w:hAnsi="Times New Roman;serif"/>
                <w:b w:val="false"/>
                <w:sz w:val="14"/>
              </w:rPr>
              <w:t>par, due 5/2029)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5/26/2023</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+ 5.75%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38,859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39,000</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Carlstar Group, LLC</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($32,725</w:t>
            </w:r>
            <w:r>
              <w:rPr>
                <w:rFonts w:ascii="Times New Roman" w:hAnsi="Times New Roman"/>
                <w:sz w:val="20"/>
              </w:rPr>
              <w:t> </w:t>
            </w:r>
            <w:r>
              <w:rPr>
                <w:rFonts w:ascii="Times New Roman;serif" w:hAnsi="Times New Roman;serif"/>
                <w:b w:val="false"/>
                <w:sz w:val="14"/>
              </w:rPr>
              <w:t>par, due 7/2027)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31,966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32,622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70,825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71,622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w:t>
            </w:r>
          </w:p>
        </w:tc>
      </w:tr>
      <w:tr>
        <w:trPr/>
        <w:tc>
          <w:tcPr>
            <w:tcW w:w="2199"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Business Services</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Acceo Solutions, Inc.</w:t>
            </w:r>
            <w:r>
              <w:rPr>
                <w:rFonts w:ascii="Times New Roman" w:hAnsi="Times New Roman"/>
                <w:sz w:val="14"/>
              </w:rPr>
              <w:t> </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(CAD 57,353</w:t>
            </w:r>
            <w:r>
              <w:rPr>
                <w:rFonts w:ascii="Times New Roman" w:hAnsi="Times New Roman"/>
                <w:sz w:val="20"/>
              </w:rPr>
              <w:t> </w:t>
            </w:r>
            <w:r>
              <w:rPr>
                <w:rFonts w:ascii="Times New Roman;serif" w:hAnsi="Times New Roman;serif"/>
                <w:b w:val="false"/>
                <w:sz w:val="14"/>
              </w:rPr>
              <w:t>par, due 10/2025)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7/6/2018</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C + 4.75%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43,306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43,559</w:t>
              <w:br/>
              <w:t>(CAD 57,640)</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Alpha Midco,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($68,802</w:t>
            </w:r>
            <w:r>
              <w:rPr>
                <w:rFonts w:ascii="Times New Roman" w:hAnsi="Times New Roman"/>
                <w:sz w:val="20"/>
              </w:rPr>
              <w:t> </w:t>
            </w:r>
            <w:r>
              <w:rPr>
                <w:rFonts w:ascii="Times New Roman;serif" w:hAnsi="Times New Roman;serif"/>
                <w:b w:val="false"/>
                <w:sz w:val="14"/>
              </w:rPr>
              <w:t>par, due 8/2025)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8/15/2019</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+ 7.65%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68,053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69,671</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BCTO Ignition Purchaser,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holdco loan ($30,000</w:t>
            </w:r>
            <w:r>
              <w:rPr>
                <w:rFonts w:ascii="Times New Roman" w:hAnsi="Times New Roman"/>
                <w:sz w:val="20"/>
              </w:rPr>
              <w:t> </w:t>
            </w:r>
            <w:r>
              <w:rPr>
                <w:rFonts w:ascii="Times New Roman;serif" w:hAnsi="Times New Roman;serif"/>
                <w:b w:val="false"/>
                <w:sz w:val="14"/>
              </w:rPr>
              <w:t>par, due 10/2030)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4/18/2023</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+ 9.00%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13.98% PIK</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29,124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29,325</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Dye &amp; Durham Corp.</w:t>
            </w:r>
            <w:r>
              <w:rPr>
                <w:rFonts w:ascii="Times New Roman" w:hAnsi="Times New Roman"/>
                <w:sz w:val="14"/>
              </w:rPr>
              <w:t> </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(CAD 37,343</w:t>
            </w:r>
            <w:r>
              <w:rPr>
                <w:rFonts w:ascii="Times New Roman" w:hAnsi="Times New Roman"/>
                <w:sz w:val="20"/>
              </w:rPr>
              <w:t> </w:t>
            </w:r>
            <w:r>
              <w:rPr>
                <w:rFonts w:ascii="Times New Roman;serif" w:hAnsi="Times New Roman;serif"/>
                <w:b w:val="false"/>
                <w:sz w:val="14"/>
              </w:rPr>
              <w:t>par, due 12/2027)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C + 5.75%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28,447</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28,523</w:t>
              <w:br/>
              <w:t>(CAD 37,743)</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(CAD 1,992</w:t>
            </w:r>
            <w:r>
              <w:rPr>
                <w:rFonts w:ascii="Times New Roman" w:hAnsi="Times New Roman"/>
                <w:sz w:val="20"/>
              </w:rPr>
              <w:t> </w:t>
            </w:r>
            <w:r>
              <w:rPr>
                <w:rFonts w:ascii="Times New Roman;serif" w:hAnsi="Times New Roman;serif"/>
                <w:b w:val="false"/>
                <w:sz w:val="14"/>
              </w:rPr>
              <w:t>par, due 12/2026)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C + 5.75%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1,418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1,505</w:t>
              <w:br/>
              <w:t>(CAD 1,992)</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ExtraHop Networks, Inc.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($62,163</w:t>
            </w:r>
            <w:r>
              <w:rPr>
                <w:rFonts w:ascii="Times New Roman" w:hAnsi="Times New Roman"/>
                <w:sz w:val="20"/>
              </w:rPr>
              <w:t> </w:t>
            </w:r>
            <w:r>
              <w:rPr>
                <w:rFonts w:ascii="Times New Roman;serif" w:hAnsi="Times New Roman;serif"/>
                <w:b w:val="false"/>
                <w:sz w:val="14"/>
              </w:rPr>
              <w:t>par, due 7/2027)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7/22/2021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+ 7.60%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61,107</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61,231</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ForeScout Technologies,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($2,726</w:t>
            </w:r>
            <w:r>
              <w:rPr>
                <w:rFonts w:ascii="Times New Roman" w:hAnsi="Times New Roman"/>
                <w:sz w:val="20"/>
              </w:rPr>
              <w:t> </w:t>
            </w:r>
            <w:r>
              <w:rPr>
                <w:rFonts w:ascii="Times New Roman;serif" w:hAnsi="Times New Roman;serif"/>
                <w:b w:val="false"/>
                <w:sz w:val="14"/>
              </w:rPr>
              <w:t>par, due 8/2026)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+ 9.00%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14.54% (incl. 9.00% PIK)</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2,668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2,726</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($6,818</w:t>
            </w:r>
            <w:r>
              <w:rPr>
                <w:rFonts w:ascii="Times New Roman" w:hAnsi="Times New Roman"/>
                <w:sz w:val="20"/>
              </w:rPr>
              <w:t> </w:t>
            </w:r>
            <w:r>
              <w:rPr>
                <w:rFonts w:ascii="Times New Roman;serif" w:hAnsi="Times New Roman;serif"/>
                <w:b w:val="false"/>
                <w:sz w:val="14"/>
              </w:rPr>
              <w:t>par, due 8/2026)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8/17/2020</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+ 9.50%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15.04% (incl. 9.50% PIK)</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6,738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6,869</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Galileo Parent,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($64,904</w:t>
            </w:r>
            <w:r>
              <w:rPr>
                <w:rFonts w:ascii="Times New Roman" w:hAnsi="Times New Roman"/>
                <w:sz w:val="20"/>
              </w:rPr>
              <w:t> </w:t>
            </w:r>
            <w:r>
              <w:rPr>
                <w:rFonts w:ascii="Times New Roman;serif" w:hAnsi="Times New Roman;serif"/>
                <w:b w:val="false"/>
                <w:sz w:val="14"/>
              </w:rPr>
              <w:t>par, due 5/2030)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5/3/2023</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62,985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63,768</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($4,471</w:t>
            </w:r>
            <w:r>
              <w:rPr>
                <w:rFonts w:ascii="Times New Roman" w:hAnsi="Times New Roman"/>
                <w:sz w:val="20"/>
              </w:rPr>
              <w:t> </w:t>
            </w:r>
            <w:r>
              <w:rPr>
                <w:rFonts w:ascii="Times New Roman;serif" w:hAnsi="Times New Roman;serif"/>
                <w:b w:val="false"/>
                <w:sz w:val="14"/>
              </w:rPr>
              <w:t>par, due 5/2029)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5/3/2023</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4,176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4,294</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Hornetsecurity Holding GmbH</w:t>
            </w:r>
            <w:r>
              <w:rPr>
                <w:rFonts w:ascii="Times New Roman" w:hAnsi="Times New Roman"/>
                <w:sz w:val="14"/>
              </w:rPr>
              <w:t> </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3,437</w:t>
            </w:r>
            <w:r>
              <w:rPr>
                <w:rFonts w:ascii="Times New Roman" w:hAnsi="Times New Roman"/>
                <w:sz w:val="20"/>
              </w:rPr>
              <w:t> </w:t>
            </w:r>
            <w:r>
              <w:rPr>
                <w:rFonts w:ascii="Times New Roman;serif" w:hAnsi="Times New Roman;serif"/>
                <w:b w:val="false"/>
                <w:sz w:val="14"/>
              </w:rPr>
              <w:t>par, due 11/2029)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11/14/2022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+ 6.50%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3,147</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3,409</w:t>
              <w:br/>
              <w:t>(EUR 3,125)</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Information Clearinghouse, LLC and MS Market Service,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($17,730</w:t>
            </w:r>
            <w:r>
              <w:rPr>
                <w:rFonts w:ascii="Times New Roman" w:hAnsi="Times New Roman"/>
                <w:sz w:val="20"/>
              </w:rPr>
              <w:t> </w:t>
            </w:r>
            <w:r>
              <w:rPr>
                <w:rFonts w:ascii="Times New Roman;serif" w:hAnsi="Times New Roman;serif"/>
                <w:b w:val="false"/>
                <w:sz w:val="14"/>
              </w:rPr>
              <w:t>par, due 12/2026)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12/20/2021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17,385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17,597</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Mitnick Corporate Purchaser, Inc.</w:t>
            </w:r>
            <w:r>
              <w:rPr>
                <w:rFonts w:ascii="Times New Roman" w:hAnsi="Times New Roman"/>
                <w:sz w:val="14"/>
              </w:rPr>
              <w:t> </w:t>
            </w:r>
            <w:r>
              <w:rPr>
                <w:rFonts w:ascii="Times New Roman;serif" w:hAnsi="Times New Roman;serif"/>
                <w:b w:val="false"/>
                <w:sz w:val="9"/>
              </w:rPr>
              <w:t>(3)(9)</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($331</w:t>
            </w:r>
            <w:r>
              <w:rPr>
                <w:rFonts w:ascii="Times New Roman" w:hAnsi="Times New Roman"/>
                <w:sz w:val="20"/>
              </w:rPr>
              <w:t> </w:t>
            </w:r>
            <w:r>
              <w:rPr>
                <w:rFonts w:ascii="Times New Roman;serif" w:hAnsi="Times New Roman;serif"/>
                <w:b w:val="false"/>
                <w:sz w:val="14"/>
              </w:rPr>
              <w:t>par, due 5/2029)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+ 4.85%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9.90%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320</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Netwrix Corp.</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($36,425</w:t>
            </w:r>
            <w:r>
              <w:rPr>
                <w:rFonts w:ascii="Times New Roman" w:hAnsi="Times New Roman"/>
                <w:sz w:val="20"/>
              </w:rPr>
              <w:t> </w:t>
            </w:r>
            <w:r>
              <w:rPr>
                <w:rFonts w:ascii="Times New Roman;serif" w:hAnsi="Times New Roman;serif"/>
                <w:b w:val="false"/>
                <w:sz w:val="14"/>
              </w:rPr>
              <w:t>par, due 6/2029)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+ 5.00%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35,903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36,190</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($718</w:t>
            </w:r>
            <w:r>
              <w:rPr>
                <w:rFonts w:ascii="Times New Roman" w:hAnsi="Times New Roman"/>
                <w:sz w:val="20"/>
              </w:rPr>
              <w:t> </w:t>
            </w:r>
            <w:r>
              <w:rPr>
                <w:rFonts w:ascii="Times New Roman;serif" w:hAnsi="Times New Roman;serif"/>
                <w:b w:val="false"/>
                <w:sz w:val="14"/>
              </w:rPr>
              <w:t>par, due 6/2029)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+ 5.00%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703</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OutSystems Luxco SARL</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3,277</w:t>
            </w:r>
            <w:r>
              <w:rPr>
                <w:rFonts w:ascii="Times New Roman" w:hAnsi="Times New Roman"/>
                <w:sz w:val="20"/>
              </w:rPr>
              <w:t> </w:t>
            </w:r>
            <w:r>
              <w:rPr>
                <w:rFonts w:ascii="Times New Roman;serif" w:hAnsi="Times New Roman;serif"/>
                <w:b w:val="false"/>
                <w:sz w:val="14"/>
              </w:rPr>
              <w:t>par, due 12/2028)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+ 5.75%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3,075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3,263</w:t>
              <w:br/>
              <w:t>(EUR 2,991)</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ReliaQuest Holdings,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($72,258</w:t>
            </w:r>
            <w:r>
              <w:rPr>
                <w:rFonts w:ascii="Times New Roman" w:hAnsi="Times New Roman"/>
                <w:sz w:val="20"/>
              </w:rPr>
              <w:t> </w:t>
            </w:r>
            <w:r>
              <w:rPr>
                <w:rFonts w:ascii="Times New Roman;serif" w:hAnsi="Times New Roman;serif"/>
                <w:b w:val="false"/>
                <w:sz w:val="14"/>
              </w:rPr>
              <w:t>par, due 10/2026)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10/8/2020</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71,241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72,800</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TIBCO Software Inc. </w:t>
            </w:r>
            <w:r>
              <w:rPr>
                <w:rFonts w:ascii="Times New Roman;serif" w:hAnsi="Times New Roman;serif"/>
                <w:b w:val="false"/>
                <w:sz w:val="9"/>
              </w:rPr>
              <w:t>(9)</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note ($12,645</w:t>
            </w:r>
            <w:r>
              <w:rPr>
                <w:rFonts w:ascii="Times New Roman" w:hAnsi="Times New Roman"/>
                <w:sz w:val="20"/>
              </w:rPr>
              <w:t> </w:t>
            </w:r>
            <w:r>
              <w:rPr>
                <w:rFonts w:ascii="Times New Roman;serif" w:hAnsi="Times New Roman;serif"/>
                <w:b w:val="false"/>
                <w:sz w:val="14"/>
              </w:rPr>
              <w:t>par, due 3/2029)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9/20/2022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10,746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11,259</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First-lien loan ($12,000</w:t>
            </w:r>
            <w:r>
              <w:rPr>
                <w:rFonts w:ascii="Times New Roman" w:hAnsi="Times New Roman"/>
                <w:sz w:val="14"/>
              </w:rPr>
              <w:t> </w:t>
            </w:r>
            <w:r>
              <w:rPr>
                <w:rFonts w:ascii="Times New Roman;serif" w:hAnsi="Times New Roman;serif"/>
                <w:b w:val="false"/>
                <w:sz w:val="14"/>
              </w:rPr>
              <w:t>par, due 3/2029)</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9/20/2022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+ 4.60%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9.84%</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461,511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468,194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31.9%</w:t>
            </w:r>
          </w:p>
        </w:tc>
      </w:tr>
      <w:tr>
        <w:trPr/>
        <w:tc>
          <w:tcPr>
            <w:tcW w:w="2199"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Chemicals</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Erling Lux Bidco SARL</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7,239</w:t>
            </w:r>
            <w:r>
              <w:rPr>
                <w:rFonts w:ascii="Times New Roman" w:hAnsi="Times New Roman"/>
                <w:sz w:val="20"/>
              </w:rPr>
              <w:t> </w:t>
            </w:r>
            <w:r>
              <w:rPr>
                <w:rFonts w:ascii="Times New Roman;serif" w:hAnsi="Times New Roman;serif"/>
                <w:b w:val="false"/>
                <w:sz w:val="14"/>
              </w:rPr>
              <w:t>par, due 9/2028)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+ 6.75%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6,910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7,762</w:t>
              <w:br/>
              <w:t>(EUR 7,114)</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0.5%</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(GBP 10,217</w:t>
            </w:r>
            <w:r>
              <w:rPr>
                <w:rFonts w:ascii="Times New Roman" w:hAnsi="Times New Roman"/>
                <w:sz w:val="20"/>
              </w:rPr>
              <w:t> </w:t>
            </w:r>
            <w:r>
              <w:rPr>
                <w:rFonts w:ascii="Times New Roman;serif" w:hAnsi="Times New Roman;serif"/>
                <w:b w:val="false"/>
                <w:sz w:val="14"/>
              </w:rPr>
              <w:t>par, due 9/2028)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 + 6.75%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11.68%</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12,860</w:t>
              <w:br/>
              <w:t>(GBP 10,115)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0.9%</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18,175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20,622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r>
      <w:tr>
        <w:trPr/>
        <w:tc>
          <w:tcPr>
            <w:tcW w:w="2199"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Communications</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Banyan Software Holdings, LLC </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($19,900</w:t>
            </w:r>
            <w:r>
              <w:rPr>
                <w:rFonts w:ascii="Times New Roman" w:hAnsi="Times New Roman"/>
                <w:sz w:val="20"/>
              </w:rPr>
              <w:t> </w:t>
            </w:r>
            <w:r>
              <w:rPr>
                <w:rFonts w:ascii="Times New Roman;serif" w:hAnsi="Times New Roman;serif"/>
                <w:b w:val="false"/>
                <w:sz w:val="14"/>
              </w:rPr>
              <w:t>par, due 10/2026)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1/27/2023</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+ 7.35%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18,795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19,302</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Celtra Technologies,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($34,475</w:t>
            </w:r>
            <w:r>
              <w:rPr>
                <w:rFonts w:ascii="Times New Roman" w:hAnsi="Times New Roman"/>
                <w:sz w:val="20"/>
              </w:rPr>
              <w:t> </w:t>
            </w:r>
            <w:r>
              <w:rPr>
                <w:rFonts w:ascii="Times New Roman;serif" w:hAnsi="Times New Roman;serif"/>
                <w:b w:val="false"/>
                <w:sz w:val="14"/>
              </w:rPr>
              <w:t>par, due 11/2026)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11/19/2021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+ 7.10%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33,687</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33,786</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r>
      <w:tr>
        <w:trPr/>
        <w:tc>
          <w:tcPr>
            <w:tcW w:w="219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IntelePeer Holdings, Inc.</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First-lien loan ($34,204</w:t>
            </w:r>
            <w:r>
              <w:rPr>
                <w:rFonts w:ascii="Times New Roman" w:hAnsi="Times New Roman"/>
                <w:sz w:val="14"/>
              </w:rPr>
              <w:t> </w:t>
            </w:r>
            <w:r>
              <w:rPr>
                <w:rFonts w:ascii="Times New Roman;serif" w:hAnsi="Times New Roman;serif"/>
                <w:b w:val="false"/>
                <w:sz w:val="14"/>
              </w:rPr>
              <w:t xml:space="preserve">par, due 12/2024)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12/2/2019</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+ 8.40%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13.64%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34,172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33,691</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Convertible note ($4,536</w:t>
            </w:r>
            <w:r>
              <w:rPr>
                <w:rFonts w:ascii="Times New Roman" w:hAnsi="Times New Roman"/>
                <w:sz w:val="20"/>
              </w:rPr>
              <w:t> </w:t>
            </w:r>
            <w:r>
              <w:rPr>
                <w:rFonts w:ascii="Times New Roman;serif" w:hAnsi="Times New Roman;serif"/>
                <w:b w:val="false"/>
                <w:sz w:val="14"/>
              </w:rPr>
              <w:t>par, due 5/2028)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5/12/2021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 PIK</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91,160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91,383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w:t>
            </w:r>
          </w:p>
        </w:tc>
      </w:tr>
      <w:tr>
        <w:trPr/>
        <w:tc>
          <w:tcPr>
            <w:tcW w:w="2199"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Education</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Astra Acquisition Corp.</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Second-lien loan ($43,479</w:t>
            </w:r>
            <w:r>
              <w:rPr>
                <w:rFonts w:ascii="Times New Roman" w:hAnsi="Times New Roman"/>
                <w:sz w:val="20"/>
              </w:rPr>
              <w:t> </w:t>
            </w:r>
            <w:r>
              <w:rPr>
                <w:rFonts w:ascii="Times New Roman;serif" w:hAnsi="Times New Roman;serif"/>
                <w:b w:val="false"/>
                <w:sz w:val="14"/>
              </w:rPr>
              <w:t>par, due 10/2029)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10/25/2021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+ 8.99%</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42,778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34,566</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Destiny Solutions Parent Holding Company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($59,850</w:t>
            </w:r>
            <w:r>
              <w:rPr>
                <w:rFonts w:ascii="Times New Roman" w:hAnsi="Times New Roman"/>
                <w:sz w:val="20"/>
              </w:rPr>
              <w:t> </w:t>
            </w:r>
            <w:r>
              <w:rPr>
                <w:rFonts w:ascii="Times New Roman;serif" w:hAnsi="Times New Roman;serif"/>
                <w:b w:val="false"/>
                <w:sz w:val="14"/>
              </w:rPr>
              <w:t>par, due 6/2026)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+ 5.85%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59,024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58,803</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EMS Linq,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($56,216</w:t>
            </w:r>
            <w:r>
              <w:rPr>
                <w:rFonts w:ascii="Times New Roman" w:hAnsi="Times New Roman"/>
                <w:sz w:val="20"/>
              </w:rPr>
              <w:t> </w:t>
            </w:r>
            <w:r>
              <w:rPr>
                <w:rFonts w:ascii="Times New Roman;serif" w:hAnsi="Times New Roman;serif"/>
                <w:b w:val="false"/>
                <w:sz w:val="14"/>
              </w:rPr>
              <w:t>par, due 12/2027)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12/22/2021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+ 6.35%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55,324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54,529</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($5,270</w:t>
            </w:r>
            <w:r>
              <w:rPr>
                <w:rFonts w:ascii="Times New Roman" w:hAnsi="Times New Roman"/>
                <w:sz w:val="20"/>
              </w:rPr>
              <w:t> </w:t>
            </w:r>
            <w:r>
              <w:rPr>
                <w:rFonts w:ascii="Times New Roman;serif" w:hAnsi="Times New Roman;serif"/>
                <w:b w:val="false"/>
                <w:sz w:val="14"/>
              </w:rPr>
              <w:t>par, due 12/2027)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12/22/2021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+ 6.35%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11.45%</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162,265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152,905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w:t>
            </w:r>
          </w:p>
        </w:tc>
      </w:tr>
      <w:tr>
        <w:trPr/>
        <w:tc>
          <w:tcPr>
            <w:tcW w:w="2199"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Financial Services</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Alaska Bidco Oy </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727</w:t>
            </w:r>
            <w:r>
              <w:rPr>
                <w:rFonts w:ascii="Times New Roman" w:hAnsi="Times New Roman"/>
                <w:sz w:val="20"/>
              </w:rPr>
              <w:t> </w:t>
            </w:r>
            <w:r>
              <w:rPr>
                <w:rFonts w:ascii="Times New Roman;serif" w:hAnsi="Times New Roman;serif"/>
                <w:b w:val="false"/>
                <w:sz w:val="14"/>
              </w:rPr>
              <w:t>par, due 5/2030)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5/30/2023</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+ 6.25%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754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766</w:t>
              <w:br/>
              <w:t>(EUR 702)</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BTRS Holdings, Inc.</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($46,098</w:t>
            </w:r>
            <w:r>
              <w:rPr>
                <w:rFonts w:ascii="Times New Roman" w:hAnsi="Times New Roman"/>
                <w:sz w:val="20"/>
              </w:rPr>
              <w:t> </w:t>
            </w:r>
            <w:r>
              <w:rPr>
                <w:rFonts w:ascii="Times New Roman;serif" w:hAnsi="Times New Roman;serif"/>
                <w:b w:val="false"/>
                <w:sz w:val="14"/>
              </w:rPr>
              <w:t>par, due 12/2028)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12/16/2022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+ 8.00%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44,865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45,407</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w:t>
            </w:r>
          </w:p>
        </w:tc>
      </w:tr>
      <w:tr>
        <w:trPr/>
        <w:tc>
          <w:tcPr>
            <w:tcW w:w="21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($1,687</w:t>
            </w:r>
            <w:r>
              <w:rPr>
                <w:rFonts w:ascii="Times New Roman" w:hAnsi="Times New Roman"/>
                <w:sz w:val="20"/>
              </w:rPr>
              <w:t> </w:t>
            </w:r>
            <w:r>
              <w:rPr>
                <w:rFonts w:ascii="Times New Roman;serif" w:hAnsi="Times New Roman;serif"/>
                <w:b w:val="false"/>
                <w:sz w:val="14"/>
              </w:rPr>
              <w:t>par, due 12/2028)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12/16/2022</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1,555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1,614</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Bear OpCo,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($20,774</w:t>
            </w:r>
            <w:r>
              <w:rPr>
                <w:rFonts w:ascii="Times New Roman" w:hAnsi="Times New Roman"/>
                <w:sz w:val="20"/>
              </w:rPr>
              <w:t> </w:t>
            </w:r>
            <w:r>
              <w:rPr>
                <w:rFonts w:ascii="Times New Roman;serif" w:hAnsi="Times New Roman;serif"/>
                <w:b w:val="false"/>
                <w:sz w:val="14"/>
              </w:rPr>
              <w:t>par, due 10/2024)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10/10/2019</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+ 7.65%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20,616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21,034</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BlueSnap,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($42,000</w:t>
            </w:r>
            <w:r>
              <w:rPr>
                <w:rFonts w:ascii="Times New Roman" w:hAnsi="Times New Roman"/>
                <w:sz w:val="20"/>
              </w:rPr>
              <w:t> </w:t>
            </w:r>
            <w:r>
              <w:rPr>
                <w:rFonts w:ascii="Times New Roman;serif" w:hAnsi="Times New Roman;serif"/>
                <w:b w:val="false"/>
                <w:sz w:val="14"/>
              </w:rPr>
              <w:t>par, due 10/2024)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10/25/2019</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+ 7.15%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41,738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42,222</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Ibis Intermediate Co.</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($1,518</w:t>
            </w:r>
            <w:r>
              <w:rPr>
                <w:rFonts w:ascii="Times New Roman" w:hAnsi="Times New Roman"/>
                <w:sz w:val="20"/>
              </w:rPr>
              <w:t> </w:t>
            </w:r>
            <w:r>
              <w:rPr>
                <w:rFonts w:ascii="Times New Roman;serif" w:hAnsi="Times New Roman;serif"/>
                <w:b w:val="false"/>
                <w:sz w:val="14"/>
              </w:rPr>
              <w:t>par, due 5/2027)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5/28/2021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+ 4.50%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9.98%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1,357</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1,558</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19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Ibis US Blocker Co.</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3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($14,897</w:t>
            </w:r>
            <w:r>
              <w:rPr>
                <w:rFonts w:ascii="Times New Roman" w:hAnsi="Times New Roman"/>
                <w:sz w:val="20"/>
              </w:rPr>
              <w:t> </w:t>
            </w:r>
            <w:r>
              <w:rPr>
                <w:rFonts w:ascii="Times New Roman;serif" w:hAnsi="Times New Roman;serif"/>
                <w:b w:val="false"/>
                <w:sz w:val="14"/>
              </w:rPr>
              <w:t>par, due 5/2028)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5/28/2021</w:t>
            </w:r>
          </w:p>
        </w:tc>
        <w:tc>
          <w:tcPr>
            <w:tcW w:w="146" w:type="dxa"/>
            <w:tcBorders/>
            <w:vAlign w:val="center"/>
          </w:tcPr>
          <w:p>
            <w:pPr>
              <w:pStyle w:val="TableContents"/>
              <w:bidi w:val="0"/>
              <w:spacing w:before="0" w:after="0"/>
              <w:ind w:left="0" w:right="0" w:hanging="0"/>
              <w:jc w:val="righ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+ 8.25%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13.73% PIK</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14,666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14,748</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91"/>
        <w:gridCol w:w="146"/>
        <w:gridCol w:w="2085"/>
        <w:gridCol w:w="146"/>
        <w:gridCol w:w="796"/>
        <w:gridCol w:w="146"/>
        <w:gridCol w:w="842"/>
        <w:gridCol w:w="146"/>
        <w:gridCol w:w="1061"/>
        <w:gridCol w:w="146"/>
        <w:gridCol w:w="146"/>
        <w:gridCol w:w="721"/>
        <w:gridCol w:w="146"/>
        <w:gridCol w:w="146"/>
        <w:gridCol w:w="744"/>
        <w:gridCol w:w="146"/>
        <w:gridCol w:w="851"/>
      </w:tblGrid>
      <w:tr>
        <w:trPr/>
        <w:tc>
          <w:tcPr>
            <w:tcW w:w="17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1" w:type="dxa"/>
            <w:tcBorders/>
            <w:shd w:fill="FFFFFF" w:val="clear"/>
            <w:vAlign w:val="center"/>
          </w:tcPr>
          <w:p>
            <w:pPr>
              <w:pStyle w:val="TableContents"/>
              <w:bidi w:val="0"/>
              <w:spacing w:before="0" w:after="283"/>
              <w:jc w:val="left"/>
              <w:rPr>
                <w:sz w:val="4"/>
                <w:szCs w:val="4"/>
              </w:rPr>
            </w:pPr>
            <w:r>
              <w:rPr>
                <w:sz w:val="4"/>
                <w:szCs w:val="4"/>
              </w:rPr>
            </w:r>
          </w:p>
        </w:tc>
      </w:tr>
      <w:tr>
        <w:trPr/>
        <w:tc>
          <w:tcPr>
            <w:tcW w:w="1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0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0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Jonas Collections and Recovery,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($19,000</w:t>
            </w:r>
            <w:r>
              <w:rPr>
                <w:rFonts w:ascii="Times New Roman" w:hAnsi="Times New Roman"/>
                <w:sz w:val="20"/>
              </w:rPr>
              <w:t> </w:t>
            </w:r>
            <w:r>
              <w:rPr>
                <w:rFonts w:ascii="Times New Roman;serif" w:hAnsi="Times New Roman;serif"/>
                <w:b w:val="false"/>
                <w:sz w:val="14"/>
              </w:rPr>
              <w:t>par, due 6/2026)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6/21/2021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+ 5.40%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18,745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19,000</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Kyriba Corp.</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($19,928</w:t>
            </w:r>
            <w:r>
              <w:rPr>
                <w:rFonts w:ascii="Times New Roman" w:hAnsi="Times New Roman"/>
                <w:sz w:val="20"/>
              </w:rPr>
              <w:t> </w:t>
            </w:r>
            <w:r>
              <w:rPr>
                <w:rFonts w:ascii="Times New Roman;serif" w:hAnsi="Times New Roman;serif"/>
                <w:b w:val="false"/>
                <w:sz w:val="14"/>
              </w:rPr>
              <w:t>par, due 4/2025)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4/9/2019</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+ 9.00%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14.21% (incl. 9.00%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19,783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20,078</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10,381</w:t>
            </w:r>
            <w:r>
              <w:rPr>
                <w:rFonts w:ascii="Times New Roman" w:hAnsi="Times New Roman"/>
                <w:sz w:val="20"/>
              </w:rPr>
              <w:t> </w:t>
            </w:r>
            <w:r>
              <w:rPr>
                <w:rFonts w:ascii="Times New Roman;serif" w:hAnsi="Times New Roman;serif"/>
                <w:b w:val="false"/>
                <w:sz w:val="14"/>
              </w:rPr>
              <w:t>par, due 4/2025)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4/9/2019</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+ 9.00%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12.29% (incl. 9.00%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11,411</w:t>
              <w:br/>
              <w:t>(EUR 10,459)</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($1,411</w:t>
            </w:r>
            <w:r>
              <w:rPr>
                <w:rFonts w:ascii="Times New Roman" w:hAnsi="Times New Roman"/>
                <w:sz w:val="20"/>
              </w:rPr>
              <w:t> </w:t>
            </w:r>
            <w:r>
              <w:rPr>
                <w:rFonts w:ascii="Times New Roman;serif" w:hAnsi="Times New Roman;serif"/>
                <w:b w:val="false"/>
                <w:sz w:val="14"/>
              </w:rPr>
              <w:t>par, due 4/2025)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4/9/2019</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+ 7.25%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1,421</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(EUR 336</w:t>
            </w:r>
            <w:r>
              <w:rPr>
                <w:rFonts w:ascii="Times New Roman" w:hAnsi="Times New Roman"/>
                <w:sz w:val="20"/>
              </w:rPr>
              <w:t> </w:t>
            </w:r>
            <w:r>
              <w:rPr>
                <w:rFonts w:ascii="Times New Roman;serif" w:hAnsi="Times New Roman;serif"/>
                <w:b w:val="false"/>
                <w:sz w:val="14"/>
              </w:rPr>
              <w:t>par, due 4/2025)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4/9/2019</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+ 7.25%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10.54%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366</w:t>
              <w:br/>
              <w:t>(EUR 336)</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17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Passport Labs, Inc.</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First-lien loan ($24,098</w:t>
            </w:r>
            <w:r>
              <w:rPr>
                <w:rFonts w:ascii="Times New Roman" w:hAnsi="Times New Roman"/>
                <w:sz w:val="14"/>
              </w:rPr>
              <w:t> </w:t>
            </w:r>
            <w:r>
              <w:rPr>
                <w:rFonts w:ascii="Times New Roman;serif" w:hAnsi="Times New Roman;serif"/>
                <w:b w:val="false"/>
                <w:sz w:val="14"/>
              </w:rPr>
              <w:t xml:space="preserve">par, due 4/2026)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4/28/2021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+ 8.40%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13.64%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23,907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23,739</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Convertible Promissory Note A ($694</w:t>
            </w:r>
            <w:r>
              <w:rPr>
                <w:rFonts w:ascii="Times New Roman" w:hAnsi="Times New Roman"/>
                <w:sz w:val="20"/>
              </w:rPr>
              <w:t> </w:t>
            </w:r>
            <w:r>
              <w:rPr>
                <w:rFonts w:ascii="Times New Roman;serif" w:hAnsi="Times New Roman;serif"/>
                <w:b w:val="false"/>
                <w:sz w:val="14"/>
              </w:rPr>
              <w:t>par, due 9/2024)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3/2/2023</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851</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Ping Identity Holding Corp.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($22,727</w:t>
            </w:r>
            <w:r>
              <w:rPr>
                <w:rFonts w:ascii="Times New Roman" w:hAnsi="Times New Roman"/>
                <w:sz w:val="20"/>
              </w:rPr>
              <w:t> </w:t>
            </w:r>
            <w:r>
              <w:rPr>
                <w:rFonts w:ascii="Times New Roman;serif" w:hAnsi="Times New Roman;serif"/>
                <w:b w:val="false"/>
                <w:sz w:val="14"/>
              </w:rPr>
              <w:t>par, due 10/2029)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10/17/2022</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+ 7.00%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22,149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22,415</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PrimeRevenue,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($16,507</w:t>
            </w:r>
            <w:r>
              <w:rPr>
                <w:rFonts w:ascii="Times New Roman" w:hAnsi="Times New Roman"/>
                <w:sz w:val="20"/>
              </w:rPr>
              <w:t> </w:t>
            </w:r>
            <w:r>
              <w:rPr>
                <w:rFonts w:ascii="Times New Roman;serif" w:hAnsi="Times New Roman;serif"/>
                <w:b w:val="false"/>
                <w:sz w:val="14"/>
              </w:rPr>
              <w:t>par, due 12/2023)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12/31/2018</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+ 7.10%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16,480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16,621</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TradingScreen,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($44,438</w:t>
            </w:r>
            <w:r>
              <w:rPr>
                <w:rFonts w:ascii="Times New Roman" w:hAnsi="Times New Roman"/>
                <w:sz w:val="20"/>
              </w:rPr>
              <w:t> </w:t>
            </w:r>
            <w:r>
              <w:rPr>
                <w:rFonts w:ascii="Times New Roman;serif" w:hAnsi="Times New Roman;serif"/>
                <w:b w:val="false"/>
                <w:sz w:val="14"/>
              </w:rPr>
              <w:t>par, due 4/2027)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4/30/2021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43,531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43,882</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Delayed draw term loan ($3,000</w:t>
            </w:r>
            <w:r>
              <w:rPr>
                <w:rFonts w:ascii="Times New Roman" w:hAnsi="Times New Roman"/>
                <w:sz w:val="20"/>
              </w:rPr>
              <w:t> </w:t>
            </w:r>
            <w:r>
              <w:rPr>
                <w:rFonts w:ascii="Times New Roman;serif" w:hAnsi="Times New Roman;serif"/>
                <w:b w:val="false"/>
                <w:sz w:val="14"/>
              </w:rPr>
              <w:t>par, due 4/2027)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4/30/2021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+ 6.35%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11.44%</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287,087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290,095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w:t>
            </w:r>
          </w:p>
        </w:tc>
      </w:tr>
      <w:tr>
        <w:trPr/>
        <w:tc>
          <w:tcPr>
            <w:tcW w:w="17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Healthcare</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pPr>
            <w:r>
              <w:rPr/>
              <w:t> </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BCTO Ace Purchaser,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First-lien loan ($67,408</w:t>
            </w:r>
            <w:r>
              <w:rPr>
                <w:rFonts w:ascii="Times New Roman" w:hAnsi="Times New Roman"/>
                <w:sz w:val="14"/>
              </w:rPr>
              <w:t> </w:t>
            </w:r>
            <w:r>
              <w:rPr>
                <w:rFonts w:ascii="Times New Roman;serif" w:hAnsi="Times New Roman;serif"/>
                <w:b w:val="false"/>
                <w:sz w:val="14"/>
              </w:rPr>
              <w:t xml:space="preserve">par, due 11/2027) </w:t>
            </w:r>
            <w:r>
              <w:rPr>
                <w:rFonts w:ascii="Times New Roman;serif" w:hAnsi="Times New Roman;serif"/>
                <w:b w:val="false"/>
                <w:sz w:val="9"/>
              </w:rPr>
              <w:t>(5)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11/23/2020</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+ 8.45%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13.71%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66,389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67,408</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Second-lien loan ($5,194</w:t>
            </w:r>
            <w:r>
              <w:rPr>
                <w:rFonts w:ascii="Times New Roman" w:hAnsi="Times New Roman"/>
                <w:sz w:val="20"/>
              </w:rPr>
              <w:t> </w:t>
            </w:r>
            <w:r>
              <w:rPr>
                <w:rFonts w:ascii="Times New Roman;serif" w:hAnsi="Times New Roman;serif"/>
                <w:b w:val="false"/>
                <w:sz w:val="14"/>
              </w:rPr>
              <w:t>par, due 1/2030)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1/23/2023</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+ 10.70%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15.77%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5,053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5,142</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17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Caris Life Sciences, Inc.</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Convertible note ($2,602</w:t>
            </w:r>
            <w:r>
              <w:rPr>
                <w:rFonts w:ascii="Times New Roman" w:hAnsi="Times New Roman"/>
                <w:sz w:val="20"/>
              </w:rPr>
              <w:t> </w:t>
            </w:r>
            <w:r>
              <w:rPr>
                <w:rFonts w:ascii="Times New Roman;serif" w:hAnsi="Times New Roman;serif"/>
                <w:b w:val="false"/>
                <w:sz w:val="14"/>
              </w:rPr>
              <w:t>par, due 9/2023)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9/21/2018</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5,386</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Edge Bidco B.V </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3,471</w:t>
            </w:r>
            <w:r>
              <w:rPr>
                <w:rFonts w:ascii="Times New Roman" w:hAnsi="Times New Roman"/>
                <w:sz w:val="20"/>
              </w:rPr>
              <w:t> </w:t>
            </w:r>
            <w:r>
              <w:rPr>
                <w:rFonts w:ascii="Times New Roman;serif" w:hAnsi="Times New Roman;serif"/>
                <w:b w:val="false"/>
                <w:sz w:val="14"/>
              </w:rPr>
              <w:t>par, due 2/2029)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2/24/2023</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+ 7.00%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10.60% (incl. 3.25%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3,532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3,697</w:t>
              <w:br/>
              <w:t>(EUR 3,389)</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Homecare Software Solutions,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($65,000</w:t>
            </w:r>
            <w:r>
              <w:rPr>
                <w:rFonts w:ascii="Times New Roman" w:hAnsi="Times New Roman"/>
                <w:sz w:val="20"/>
              </w:rPr>
              <w:t> </w:t>
            </w:r>
            <w:r>
              <w:rPr>
                <w:rFonts w:ascii="Times New Roman;serif" w:hAnsi="Times New Roman;serif"/>
                <w:b w:val="false"/>
                <w:sz w:val="14"/>
              </w:rPr>
              <w:t>par, due 10/2026)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+ 5.70%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63,870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64,187</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Integrated Practice Solutions,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($44,868</w:t>
            </w:r>
            <w:r>
              <w:rPr>
                <w:rFonts w:ascii="Times New Roman" w:hAnsi="Times New Roman"/>
                <w:sz w:val="20"/>
              </w:rPr>
              <w:t> </w:t>
            </w:r>
            <w:r>
              <w:rPr>
                <w:rFonts w:ascii="Times New Roman;serif" w:hAnsi="Times New Roman;serif"/>
                <w:b w:val="false"/>
                <w:sz w:val="14"/>
              </w:rPr>
              <w:t>par, due 10/2024)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6/30/2017</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+ 7.00%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44,345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44,868</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Merative L.P.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($70,103</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6/2028)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6/30/2022</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68,052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68,701</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Raptor US Buyer II Corp.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($15,648</w:t>
            </w:r>
            <w:r>
              <w:rPr>
                <w:rFonts w:ascii="Times New Roman" w:hAnsi="Times New Roman"/>
                <w:sz w:val="20"/>
              </w:rPr>
              <w:t> </w:t>
            </w:r>
            <w:r>
              <w:rPr>
                <w:rFonts w:ascii="Times New Roman;serif" w:hAnsi="Times New Roman;serif"/>
                <w:b w:val="false"/>
                <w:sz w:val="14"/>
              </w:rPr>
              <w:t>par, due 3/2029)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3/24/2023</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+ 6.75%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11.97%</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15,296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268,940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274,685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18.8%</w:t>
            </w:r>
          </w:p>
        </w:tc>
      </w:tr>
      <w:tr>
        <w:trPr/>
        <w:tc>
          <w:tcPr>
            <w:tcW w:w="17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Hotel, Gaming and Leisure</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pPr>
            <w:r>
              <w:rPr/>
              <w:t> </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ASG II,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($59,811</w:t>
            </w:r>
            <w:r>
              <w:rPr>
                <w:rFonts w:ascii="Times New Roman" w:hAnsi="Times New Roman"/>
                <w:sz w:val="20"/>
              </w:rPr>
              <w:t> </w:t>
            </w:r>
            <w:r>
              <w:rPr>
                <w:rFonts w:ascii="Times New Roman;serif" w:hAnsi="Times New Roman;serif"/>
                <w:b w:val="false"/>
                <w:sz w:val="14"/>
              </w:rPr>
              <w:t>par, due 5/2028)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5/25/2022</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+ 6.40%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58,479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58,999</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IRGSE Holding Corp. </w:t>
            </w:r>
            <w:r>
              <w:rPr>
                <w:rFonts w:ascii="Times New Roman;serif" w:hAnsi="Times New Roman;serif"/>
                <w:b w:val="false"/>
                <w:sz w:val="9"/>
              </w:rPr>
              <w:t>(3)(6)</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($30,261</w:t>
            </w:r>
            <w:r>
              <w:rPr>
                <w:rFonts w:ascii="Times New Roman" w:hAnsi="Times New Roman"/>
                <w:sz w:val="20"/>
              </w:rPr>
              <w:t> </w:t>
            </w:r>
            <w:r>
              <w:rPr>
                <w:rFonts w:ascii="Times New Roman;serif" w:hAnsi="Times New Roman;serif"/>
                <w:b w:val="false"/>
                <w:sz w:val="14"/>
              </w:rPr>
              <w:t>par, due 6/2024)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9/29/2015</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+ 9.65%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14.89%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28,594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30,034</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($21,632</w:t>
            </w:r>
            <w:r>
              <w:rPr>
                <w:rFonts w:ascii="Times New Roman" w:hAnsi="Times New Roman"/>
                <w:sz w:val="20"/>
              </w:rPr>
              <w:t> </w:t>
            </w:r>
            <w:r>
              <w:rPr>
                <w:rFonts w:ascii="Times New Roman;serif" w:hAnsi="Times New Roman;serif"/>
                <w:b w:val="false"/>
                <w:sz w:val="14"/>
              </w:rPr>
              <w:t>par, due 6/2024)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9/29/2015</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+ 9.65%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14.92%</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21,632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21,456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108,705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110,489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7.5%</w:t>
            </w:r>
          </w:p>
        </w:tc>
      </w:tr>
      <w:tr>
        <w:trPr/>
        <w:tc>
          <w:tcPr>
            <w:tcW w:w="17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Human Resource Support Services</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pPr>
            <w:r>
              <w:rPr/>
              <w:t> </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Axonify, Inc. </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($49,129</w:t>
            </w:r>
            <w:r>
              <w:rPr>
                <w:rFonts w:ascii="Times New Roman" w:hAnsi="Times New Roman"/>
                <w:sz w:val="20"/>
              </w:rPr>
              <w:t> </w:t>
            </w:r>
            <w:r>
              <w:rPr>
                <w:rFonts w:ascii="Times New Roman;serif" w:hAnsi="Times New Roman;serif"/>
                <w:b w:val="false"/>
                <w:sz w:val="14"/>
              </w:rPr>
              <w:t>par, due 5/2026)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+ 7.65%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48,325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48,729</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bswift,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($44,582</w:t>
            </w:r>
            <w:r>
              <w:rPr>
                <w:rFonts w:ascii="Times New Roman" w:hAnsi="Times New Roman"/>
                <w:sz w:val="20"/>
              </w:rPr>
              <w:t> </w:t>
            </w:r>
            <w:r>
              <w:rPr>
                <w:rFonts w:ascii="Times New Roman;serif" w:hAnsi="Times New Roman;serif"/>
                <w:b w:val="false"/>
                <w:sz w:val="14"/>
              </w:rPr>
              <w:t>par, due 11/2028)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11/7/2022</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+ 6.63%</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43,337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44,137</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Elysian Finco Ltd. </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($18,399</w:t>
            </w:r>
            <w:r>
              <w:rPr>
                <w:rFonts w:ascii="Times New Roman" w:hAnsi="Times New Roman"/>
                <w:sz w:val="20"/>
              </w:rPr>
              <w:t> </w:t>
            </w:r>
            <w:r>
              <w:rPr>
                <w:rFonts w:ascii="Times New Roman;serif" w:hAnsi="Times New Roman;serif"/>
                <w:b w:val="false"/>
                <w:sz w:val="14"/>
              </w:rPr>
              <w:t>par, due 1/2028)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1/31/2022</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17,953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18,634</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Employment Hero Holdings Pty Ltd. </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(AUD 33,282</w:t>
            </w:r>
            <w:r>
              <w:rPr>
                <w:rFonts w:ascii="Times New Roman" w:hAnsi="Times New Roman"/>
                <w:sz w:val="20"/>
              </w:rPr>
              <w:t> </w:t>
            </w:r>
            <w:r>
              <w:rPr>
                <w:rFonts w:ascii="Times New Roman;serif" w:hAnsi="Times New Roman;serif"/>
                <w:b w:val="false"/>
                <w:sz w:val="14"/>
              </w:rPr>
              <w:t>par, due 12/2026)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B + 6.50%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34,749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32,968</w:t>
              <w:br/>
              <w:t>(AUD 49,528)</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HireVue, Inc.</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($54,113</w:t>
            </w:r>
            <w:r>
              <w:rPr>
                <w:rFonts w:ascii="Times New Roman" w:hAnsi="Times New Roman"/>
                <w:sz w:val="20"/>
              </w:rPr>
              <w:t> </w:t>
            </w:r>
            <w:r>
              <w:rPr>
                <w:rFonts w:ascii="Times New Roman;serif" w:hAnsi="Times New Roman;serif"/>
                <w:b w:val="false"/>
                <w:sz w:val="14"/>
              </w:rPr>
              <w:t>par, due 5/2029)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5/3/2023</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52,368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52,893</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PageUp People, Ltd. </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(AUD 14,433</w:t>
            </w:r>
            <w:r>
              <w:rPr>
                <w:rFonts w:ascii="Times New Roman" w:hAnsi="Times New Roman"/>
                <w:sz w:val="20"/>
              </w:rPr>
              <w:t> </w:t>
            </w:r>
            <w:r>
              <w:rPr>
                <w:rFonts w:ascii="Times New Roman;serif" w:hAnsi="Times New Roman;serif"/>
                <w:b w:val="false"/>
                <w:sz w:val="14"/>
              </w:rPr>
              <w:t>par, due 12/2025)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1/11/2018</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B + 5.50%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10,884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9,559</w:t>
              <w:br/>
              <w:t>(AUD 14,360)</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0.7%</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(GBP 3,742</w:t>
            </w:r>
            <w:r>
              <w:rPr>
                <w:rFonts w:ascii="Times New Roman" w:hAnsi="Times New Roman"/>
                <w:sz w:val="20"/>
              </w:rPr>
              <w:t> </w:t>
            </w:r>
            <w:r>
              <w:rPr>
                <w:rFonts w:ascii="Times New Roman;serif" w:hAnsi="Times New Roman;serif"/>
                <w:b w:val="false"/>
                <w:sz w:val="14"/>
              </w:rPr>
              <w:t>par, due 12/2025)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10/28/2021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 + 5.53%</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9.96%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5,153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4,734</w:t>
              <w:br/>
              <w:t>(GBP 3,723)</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($11,946</w:t>
            </w:r>
            <w:r>
              <w:rPr>
                <w:rFonts w:ascii="Times New Roman" w:hAnsi="Times New Roman"/>
                <w:sz w:val="20"/>
              </w:rPr>
              <w:t> </w:t>
            </w:r>
            <w:r>
              <w:rPr>
                <w:rFonts w:ascii="Times New Roman;serif" w:hAnsi="Times New Roman;serif"/>
                <w:b w:val="false"/>
                <w:sz w:val="14"/>
              </w:rPr>
              <w:t>par, due 12/2025)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10/28/2021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+ 5.60%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11,935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11,886</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PayScale Holdings,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($68,425</w:t>
            </w:r>
            <w:r>
              <w:rPr>
                <w:rFonts w:ascii="Times New Roman" w:hAnsi="Times New Roman"/>
                <w:sz w:val="20"/>
              </w:rPr>
              <w:t> </w:t>
            </w:r>
            <w:r>
              <w:rPr>
                <w:rFonts w:ascii="Times New Roman;serif" w:hAnsi="Times New Roman;serif"/>
                <w:b w:val="false"/>
                <w:sz w:val="14"/>
              </w:rPr>
              <w:t>par, due 5/2024)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5/3/2019</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68,058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67,570</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PrimePay Intermediate,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($34,550</w:t>
            </w:r>
            <w:r>
              <w:rPr>
                <w:rFonts w:ascii="Times New Roman" w:hAnsi="Times New Roman"/>
                <w:sz w:val="20"/>
              </w:rPr>
              <w:t> </w:t>
            </w:r>
            <w:r>
              <w:rPr>
                <w:rFonts w:ascii="Times New Roman;serif" w:hAnsi="Times New Roman;serif"/>
                <w:b w:val="false"/>
                <w:sz w:val="14"/>
              </w:rPr>
              <w:t>par, due 12/2026)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12/17/2021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+ 7.15%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33,723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34,290</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Workwell Acquisition Co.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($23,494</w:t>
            </w:r>
            <w:r>
              <w:rPr>
                <w:rFonts w:ascii="Times New Roman" w:hAnsi="Times New Roman"/>
                <w:sz w:val="20"/>
              </w:rPr>
              <w:t> </w:t>
            </w:r>
            <w:r>
              <w:rPr>
                <w:rFonts w:ascii="Times New Roman;serif" w:hAnsi="Times New Roman;serif"/>
                <w:b w:val="false"/>
                <w:sz w:val="14"/>
              </w:rPr>
              <w:t>par, due 10/2025)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10/19/2020</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+ 7.40%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12.66%</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23,191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23,317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349,676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348,717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w:t>
            </w:r>
          </w:p>
        </w:tc>
      </w:tr>
      <w:tr>
        <w:trPr/>
        <w:tc>
          <w:tcPr>
            <w:tcW w:w="17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Insurance</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pPr>
            <w:r>
              <w:rPr/>
              <w:t> </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Disco Parent,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($4,545</w:t>
            </w:r>
            <w:r>
              <w:rPr>
                <w:rFonts w:ascii="Times New Roman" w:hAnsi="Times New Roman"/>
                <w:sz w:val="20"/>
              </w:rPr>
              <w:t> </w:t>
            </w:r>
            <w:r>
              <w:rPr>
                <w:rFonts w:ascii="Times New Roman;serif" w:hAnsi="Times New Roman;serif"/>
                <w:b w:val="false"/>
                <w:sz w:val="14"/>
              </w:rPr>
              <w:t>par, due 3/2029)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3/30/2023</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+ 7.50%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4,426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4,458</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17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Internet Services</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pPr>
            <w:r>
              <w:rPr/>
              <w:t> </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Arrow Buyer,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($33,125</w:t>
            </w:r>
            <w:r>
              <w:rPr>
                <w:rFonts w:ascii="Times New Roman" w:hAnsi="Times New Roman"/>
                <w:sz w:val="20"/>
              </w:rPr>
              <w:t> </w:t>
            </w:r>
            <w:r>
              <w:rPr>
                <w:rFonts w:ascii="Times New Roman;serif" w:hAnsi="Times New Roman;serif"/>
                <w:b w:val="false"/>
                <w:sz w:val="14"/>
              </w:rPr>
              <w:t>par, due 7/2030)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6/30/2023</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+ 6.50%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32,202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32,310</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Bayshore Intermediate #2, L.P.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($34,339</w:t>
            </w:r>
            <w:r>
              <w:rPr>
                <w:rFonts w:ascii="Times New Roman" w:hAnsi="Times New Roman"/>
                <w:sz w:val="20"/>
              </w:rPr>
              <w:t> </w:t>
            </w:r>
            <w:r>
              <w:rPr>
                <w:rFonts w:ascii="Times New Roman;serif" w:hAnsi="Times New Roman;serif"/>
                <w:b w:val="false"/>
                <w:sz w:val="14"/>
              </w:rPr>
              <w:t>par, due 10/2028)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+ 7.60%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12.82%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33,807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33,910</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($468</w:t>
            </w:r>
            <w:r>
              <w:rPr>
                <w:rFonts w:ascii="Times New Roman" w:hAnsi="Times New Roman"/>
                <w:sz w:val="20"/>
              </w:rPr>
              <w:t> </w:t>
            </w:r>
            <w:r>
              <w:rPr>
                <w:rFonts w:ascii="Times New Roman;serif" w:hAnsi="Times New Roman;serif"/>
                <w:b w:val="false"/>
                <w:sz w:val="14"/>
              </w:rPr>
              <w:t>par, due 10/2027)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10/1/2021</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438</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Coupa Holdings,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($43,191</w:t>
            </w:r>
            <w:r>
              <w:rPr>
                <w:rFonts w:ascii="Times New Roman" w:hAnsi="Times New Roman"/>
                <w:sz w:val="20"/>
              </w:rPr>
              <w:t> </w:t>
            </w:r>
            <w:r>
              <w:rPr>
                <w:rFonts w:ascii="Times New Roman;serif" w:hAnsi="Times New Roman;serif"/>
                <w:b w:val="false"/>
                <w:sz w:val="14"/>
              </w:rPr>
              <w:t>par, due 2/2030)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2/27/2023</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+ 7.50%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42,048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42,691</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CrunchTime Information, Systems,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($59,801</w:t>
            </w:r>
            <w:r>
              <w:rPr>
                <w:rFonts w:ascii="Times New Roman" w:hAnsi="Times New Roman"/>
                <w:sz w:val="20"/>
              </w:rPr>
              <w:t> </w:t>
            </w:r>
            <w:r>
              <w:rPr>
                <w:rFonts w:ascii="Times New Roman;serif" w:hAnsi="Times New Roman;serif"/>
                <w:b w:val="false"/>
                <w:sz w:val="14"/>
              </w:rPr>
              <w:t>par, due 6/2028)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6/17/2022</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+ 6.00%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58,682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59,202</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EDB Parent,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($60,234</w:t>
            </w:r>
            <w:r>
              <w:rPr>
                <w:rFonts w:ascii="Times New Roman" w:hAnsi="Times New Roman"/>
                <w:sz w:val="20"/>
              </w:rPr>
              <w:t> </w:t>
            </w:r>
            <w:r>
              <w:rPr>
                <w:rFonts w:ascii="Times New Roman;serif" w:hAnsi="Times New Roman;serif"/>
                <w:b w:val="false"/>
                <w:sz w:val="14"/>
              </w:rPr>
              <w:t>par, due 7/2028)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7/7/2022</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+ 6.75%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58,950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59,481</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Higher Logic,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($54,379</w:t>
            </w:r>
            <w:r>
              <w:rPr>
                <w:rFonts w:ascii="Times New Roman" w:hAnsi="Times New Roman"/>
                <w:sz w:val="20"/>
              </w:rPr>
              <w:t> </w:t>
            </w:r>
            <w:r>
              <w:rPr>
                <w:rFonts w:ascii="Times New Roman;serif" w:hAnsi="Times New Roman;serif"/>
                <w:b w:val="false"/>
                <w:sz w:val="14"/>
              </w:rPr>
              <w:t>par, due 1/2025)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6/18/2018</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+ 6.75%</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54,145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54,515</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LeanTaaS Holdings,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($33,924</w:t>
            </w:r>
            <w:r>
              <w:rPr>
                <w:rFonts w:ascii="Times New Roman" w:hAnsi="Times New Roman"/>
                <w:sz w:val="20"/>
              </w:rPr>
              <w:t> </w:t>
            </w:r>
            <w:r>
              <w:rPr>
                <w:rFonts w:ascii="Times New Roman;serif" w:hAnsi="Times New Roman;serif"/>
                <w:b w:val="false"/>
                <w:sz w:val="14"/>
              </w:rPr>
              <w:t>par, due 7/2028)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7/12/2022</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+ 7.50%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33,079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33,361</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r>
      <w:tr>
        <w:trPr/>
        <w:tc>
          <w:tcPr>
            <w:tcW w:w="179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Lithium Technologies,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($54,700</w:t>
            </w:r>
            <w:r>
              <w:rPr>
                <w:rFonts w:ascii="Times New Roman" w:hAnsi="Times New Roman"/>
                <w:sz w:val="20"/>
              </w:rPr>
              <w:t> </w:t>
            </w:r>
            <w:r>
              <w:rPr>
                <w:rFonts w:ascii="Times New Roman;serif" w:hAnsi="Times New Roman;serif"/>
                <w:b w:val="false"/>
                <w:sz w:val="14"/>
              </w:rPr>
              <w:t>par, due 1/2024)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10/3/2017</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+ 8.00%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54,675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53,469</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w:t>
            </w:r>
          </w:p>
        </w:tc>
      </w:tr>
      <w:tr>
        <w:trPr/>
        <w:tc>
          <w:tcPr>
            <w:tcW w:w="1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($2,309</w:t>
            </w:r>
            <w:r>
              <w:rPr>
                <w:rFonts w:ascii="Times New Roman" w:hAnsi="Times New Roman"/>
                <w:sz w:val="20"/>
              </w:rPr>
              <w:t> </w:t>
            </w:r>
            <w:r>
              <w:rPr>
                <w:rFonts w:ascii="Times New Roman;serif" w:hAnsi="Times New Roman;serif"/>
                <w:b w:val="false"/>
                <w:sz w:val="14"/>
              </w:rPr>
              <w:t>par, due 1/2024)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10/3/2017</w:t>
            </w:r>
          </w:p>
        </w:tc>
        <w:tc>
          <w:tcPr>
            <w:tcW w:w="146"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+ 8.00%</w:t>
            </w:r>
          </w:p>
        </w:tc>
        <w:tc>
          <w:tcPr>
            <w:tcW w:w="146" w:type="dxa"/>
            <w:tcBorders/>
            <w:vAlign w:val="center"/>
          </w:tcPr>
          <w:p>
            <w:pPr>
              <w:pStyle w:val="TableContents"/>
              <w:bidi w:val="0"/>
              <w:spacing w:before="0" w:after="0"/>
              <w:ind w:left="0" w:right="0" w:hanging="0"/>
              <w:jc w:val="righ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2,312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2,235</w:t>
            </w:r>
          </w:p>
        </w:tc>
        <w:tc>
          <w:tcPr>
            <w:tcW w:w="146" w:type="dxa"/>
            <w:tcBorders/>
            <w:vAlign w:val="center"/>
          </w:tcPr>
          <w:p>
            <w:pPr>
              <w:pStyle w:val="TableContents"/>
              <w:bidi w:val="0"/>
              <w:spacing w:before="0" w:after="0"/>
              <w:ind w:left="0" w:right="0" w:hanging="0"/>
              <w:jc w:val="righ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65"/>
        <w:gridCol w:w="146"/>
        <w:gridCol w:w="2121"/>
        <w:gridCol w:w="146"/>
        <w:gridCol w:w="796"/>
        <w:gridCol w:w="146"/>
        <w:gridCol w:w="796"/>
        <w:gridCol w:w="146"/>
        <w:gridCol w:w="1068"/>
        <w:gridCol w:w="146"/>
        <w:gridCol w:w="146"/>
        <w:gridCol w:w="721"/>
        <w:gridCol w:w="146"/>
        <w:gridCol w:w="146"/>
        <w:gridCol w:w="776"/>
        <w:gridCol w:w="146"/>
        <w:gridCol w:w="848"/>
      </w:tblGrid>
      <w:tr>
        <w:trPr/>
        <w:tc>
          <w:tcPr>
            <w:tcW w:w="17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8" w:type="dxa"/>
            <w:tcBorders/>
            <w:shd w:fill="FFFFFF" w:val="clear"/>
            <w:vAlign w:val="center"/>
          </w:tcPr>
          <w:p>
            <w:pPr>
              <w:pStyle w:val="TableContents"/>
              <w:bidi w:val="0"/>
              <w:spacing w:before="0" w:after="283"/>
              <w:jc w:val="left"/>
              <w:rPr>
                <w:sz w:val="4"/>
                <w:szCs w:val="4"/>
              </w:rPr>
            </w:pPr>
            <w:r>
              <w:rPr>
                <w:sz w:val="4"/>
                <w:szCs w:val="4"/>
              </w:rPr>
            </w:r>
          </w:p>
        </w:tc>
      </w:tr>
      <w:tr>
        <w:trPr/>
        <w:tc>
          <w:tcPr>
            <w:tcW w:w="17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0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Lucidworks,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($8,619</w:t>
            </w:r>
            <w:r>
              <w:rPr>
                <w:rFonts w:ascii="Times New Roman" w:hAnsi="Times New Roman"/>
                <w:sz w:val="20"/>
              </w:rPr>
              <w:t> </w:t>
            </w:r>
            <w:r>
              <w:rPr>
                <w:rFonts w:ascii="Times New Roman;serif" w:hAnsi="Times New Roman;serif"/>
                <w:b w:val="false"/>
                <w:sz w:val="14"/>
              </w:rPr>
              <w:t>par, due 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2/11/2022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+ 7.50%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12.60% (incl. 3.50%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8,619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8,548</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0.6%</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Piano Software, Inc.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($51,218</w:t>
            </w:r>
            <w:r>
              <w:rPr>
                <w:rFonts w:ascii="Times New Roman" w:hAnsi="Times New Roman"/>
                <w:sz w:val="20"/>
              </w:rPr>
              <w:t> </w:t>
            </w:r>
            <w:r>
              <w:rPr>
                <w:rFonts w:ascii="Times New Roman;serif" w:hAnsi="Times New Roman;serif"/>
                <w:b w:val="false"/>
                <w:sz w:val="14"/>
              </w:rPr>
              <w:t>par, due 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2/25/2021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+ 7.10%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50,483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50,450</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SMA Technologies Holdings, LLC</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($36,833</w:t>
            </w:r>
            <w:r>
              <w:rPr>
                <w:rFonts w:ascii="Times New Roman" w:hAnsi="Times New Roman"/>
                <w:sz w:val="20"/>
              </w:rPr>
              <w:t> </w:t>
            </w:r>
            <w:r>
              <w:rPr>
                <w:rFonts w:ascii="Times New Roman;serif" w:hAnsi="Times New Roman;serif"/>
                <w:b w:val="false"/>
                <w:sz w:val="14"/>
              </w:rPr>
              <w:t>par, due 10/2028)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10/31/2022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+ 6.75%</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11.85%</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35,356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36,189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464,787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466,799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32.0%</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Manufacturing</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Avalara,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($38,636</w:t>
            </w:r>
            <w:r>
              <w:rPr>
                <w:rFonts w:ascii="Times New Roman" w:hAnsi="Times New Roman"/>
                <w:sz w:val="20"/>
              </w:rPr>
              <w:t> </w:t>
            </w:r>
            <w:r>
              <w:rPr>
                <w:rFonts w:ascii="Times New Roman;serif" w:hAnsi="Times New Roman;serif"/>
                <w:b w:val="false"/>
                <w:sz w:val="14"/>
              </w:rPr>
              <w:t>par, due 10/2028)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10/19/2022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37,667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37,999</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Office Products</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USR Parent, Inc.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ABL FILO term loan ($18,000</w:t>
            </w:r>
            <w:r>
              <w:rPr>
                <w:rFonts w:ascii="Times New Roman" w:hAnsi="Times New Roman"/>
                <w:sz w:val="20"/>
              </w:rPr>
              <w:t> </w:t>
            </w:r>
            <w:r>
              <w:rPr>
                <w:rFonts w:ascii="Times New Roman;serif" w:hAnsi="Times New Roman;serif"/>
                <w:b w:val="false"/>
                <w:sz w:val="14"/>
              </w:rPr>
              <w:t>par, due 4/2027)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4/25/2022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+ 6.50%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17,667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17,775</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Oil, Gas and Consumable Fuels</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Laramie Energy,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($27,317</w:t>
            </w:r>
            <w:r>
              <w:rPr>
                <w:rFonts w:ascii="Times New Roman" w:hAnsi="Times New Roman"/>
                <w:sz w:val="20"/>
              </w:rPr>
              <w:t> </w:t>
            </w:r>
            <w:r>
              <w:rPr>
                <w:rFonts w:ascii="Times New Roman;serif" w:hAnsi="Times New Roman;serif"/>
                <w:b w:val="false"/>
                <w:sz w:val="14"/>
              </w:rPr>
              <w:t>par, due 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2/21/2023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+ 7.10%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26,679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26,967</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Murchison Oil and Gas,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($33,388</w:t>
            </w:r>
            <w:r>
              <w:rPr>
                <w:rFonts w:ascii="Times New Roman" w:hAnsi="Times New Roman"/>
                <w:sz w:val="20"/>
              </w:rPr>
              <w:t> </w:t>
            </w:r>
            <w:r>
              <w:rPr>
                <w:rFonts w:ascii="Times New Roman;serif" w:hAnsi="Times New Roman;serif"/>
                <w:b w:val="false"/>
                <w:sz w:val="14"/>
              </w:rPr>
              <w:t>par, due 6/2026)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6/30/2022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+ 8.65%</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32,802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33,754</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TRP Assets,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($61,333</w:t>
            </w:r>
            <w:r>
              <w:rPr>
                <w:rFonts w:ascii="Times New Roman" w:hAnsi="Times New Roman"/>
                <w:sz w:val="20"/>
              </w:rPr>
              <w:t> </w:t>
            </w:r>
            <w:r>
              <w:rPr>
                <w:rFonts w:ascii="Times New Roman;serif" w:hAnsi="Times New Roman;serif"/>
                <w:b w:val="false"/>
                <w:sz w:val="14"/>
              </w:rPr>
              <w:t>par, due 12/2025)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+ 7.76%</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13.00%</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60,583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62,633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120,064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123,354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Other</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Omnigo Software,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($40,148</w:t>
            </w:r>
            <w:r>
              <w:rPr>
                <w:rFonts w:ascii="Times New Roman" w:hAnsi="Times New Roman"/>
                <w:sz w:val="20"/>
              </w:rPr>
              <w:t> </w:t>
            </w:r>
            <w:r>
              <w:rPr>
                <w:rFonts w:ascii="Times New Roman;serif" w:hAnsi="Times New Roman;serif"/>
                <w:b w:val="false"/>
                <w:sz w:val="14"/>
              </w:rPr>
              <w:t>par, due 3/2026)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3/31/2021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39,545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39,746</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Retail and Consumer Products</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99 Cents Only Stores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ABL FILO term loan ($25,000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5/2025)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9/6/2017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+ 8.65%</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24,824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25,000</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American Achievement, Corp. </w:t>
            </w:r>
            <w:r>
              <w:rPr>
                <w:rFonts w:ascii="Times New Roman;serif" w:hAnsi="Times New Roman;serif"/>
                <w:b w:val="false"/>
                <w:sz w:val="9"/>
              </w:rPr>
              <w:t>(3)(14)</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($27,130</w:t>
            </w:r>
            <w:r>
              <w:rPr>
                <w:rFonts w:ascii="Times New Roman" w:hAnsi="Times New Roman"/>
                <w:sz w:val="20"/>
              </w:rPr>
              <w:t> </w:t>
            </w:r>
            <w:r>
              <w:rPr>
                <w:rFonts w:ascii="Times New Roman;serif" w:hAnsi="Times New Roman;serif"/>
                <w:b w:val="false"/>
                <w:sz w:val="14"/>
              </w:rPr>
              <w:t>par, due 9/2026)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9/30/2015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11.42% (incl. 10.93%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26,300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19,195</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($1,357</w:t>
            </w:r>
            <w:r>
              <w:rPr>
                <w:rFonts w:ascii="Times New Roman" w:hAnsi="Times New Roman"/>
                <w:sz w:val="20"/>
              </w:rPr>
              <w:t> </w:t>
            </w:r>
            <w:r>
              <w:rPr>
                <w:rFonts w:ascii="Times New Roman;serif" w:hAnsi="Times New Roman;serif"/>
                <w:b w:val="false"/>
                <w:sz w:val="14"/>
              </w:rPr>
              <w:t>par, due 9/2026)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6/10/2021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+ 14.00%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19.18% (incl. 18.68%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1,357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Subordinated note ($4,740</w:t>
            </w:r>
            <w:r>
              <w:rPr>
                <w:rFonts w:ascii="Times New Roman" w:hAnsi="Times New Roman"/>
                <w:sz w:val="20"/>
              </w:rPr>
              <w:t> </w:t>
            </w:r>
            <w:r>
              <w:rPr>
                <w:rFonts w:ascii="Times New Roman;serif" w:hAnsi="Times New Roman;serif"/>
                <w:b w:val="false"/>
                <w:sz w:val="14"/>
              </w:rPr>
              <w:t>par, due 9/2026)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3/16/2021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+ 1.00%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6.54%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Bed Bath and Beyond Inc. </w:t>
            </w:r>
            <w:r>
              <w:rPr>
                <w:rFonts w:ascii="Times New Roman;serif" w:hAnsi="Times New Roman;serif"/>
                <w:b w:val="false"/>
                <w:sz w:val="9"/>
              </w:rPr>
              <w:t>(3)(15)</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ABL FILO term loan ($25,818</w:t>
            </w:r>
            <w:r>
              <w:rPr>
                <w:rFonts w:ascii="Times New Roman" w:hAnsi="Times New Roman"/>
                <w:sz w:val="20"/>
              </w:rPr>
              <w:t> </w:t>
            </w:r>
            <w:r>
              <w:rPr>
                <w:rFonts w:ascii="Times New Roman;serif" w:hAnsi="Times New Roman;serif"/>
                <w:b w:val="false"/>
                <w:sz w:val="14"/>
              </w:rPr>
              <w:t>par, due 8/2027)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9/2/2022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+ 9.90%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25,254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25,237</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Roll Up DIP term loan ($28,343</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8/2023)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4/24/2023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+ 7.90%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12.99% (incl. 12.99%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28,010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27,706</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Super-Priority DIP term loan ($5,592</w:t>
            </w:r>
            <w:r>
              <w:rPr>
                <w:rFonts w:ascii="Times New Roman" w:hAnsi="Times New Roman"/>
                <w:sz w:val="20"/>
              </w:rPr>
              <w:t> </w:t>
            </w:r>
            <w:r>
              <w:rPr>
                <w:rFonts w:ascii="Times New Roman;serif" w:hAnsi="Times New Roman;serif"/>
                <w:b w:val="false"/>
                <w:sz w:val="14"/>
              </w:rPr>
              <w:t>par, due 8/2023)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4/24/2023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+ 7.90%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5,567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5,467</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Cordance Operations,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($42,717</w:t>
            </w:r>
            <w:r>
              <w:rPr>
                <w:rFonts w:ascii="Times New Roman" w:hAnsi="Times New Roman"/>
                <w:sz w:val="20"/>
              </w:rPr>
              <w:t> </w:t>
            </w:r>
            <w:r>
              <w:rPr>
                <w:rFonts w:ascii="Times New Roman;serif" w:hAnsi="Times New Roman;serif"/>
                <w:b w:val="false"/>
                <w:sz w:val="14"/>
              </w:rPr>
              <w:t>par, due 7/2028)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7/25/2022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+ 9.25%</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14.16%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41,829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42,382</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Neuintel,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($57,701</w:t>
            </w:r>
            <w:r>
              <w:rPr>
                <w:rFonts w:ascii="Times New Roman" w:hAnsi="Times New Roman"/>
                <w:sz w:val="20"/>
              </w:rPr>
              <w:t> </w:t>
            </w:r>
            <w:r>
              <w:rPr>
                <w:rFonts w:ascii="Times New Roman;serif" w:hAnsi="Times New Roman;serif"/>
                <w:b w:val="false"/>
                <w:sz w:val="14"/>
              </w:rPr>
              <w:t>par, due 12/2026)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12/20/2021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+ 7.65%</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56,817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57,846</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Project P Intermediate 2, LLC</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ABL FILO term loan ($72,188</w:t>
            </w:r>
            <w:r>
              <w:rPr>
                <w:rFonts w:ascii="Times New Roman" w:hAnsi="Times New Roman"/>
                <w:sz w:val="20"/>
              </w:rPr>
              <w:t> </w:t>
            </w:r>
            <w:r>
              <w:rPr>
                <w:rFonts w:ascii="Times New Roman;serif" w:hAnsi="Times New Roman;serif"/>
                <w:b w:val="false"/>
                <w:sz w:val="14"/>
              </w:rPr>
              <w:t>par, due 5/2026)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+ 8.10%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71,195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73,270</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Tango Management Consulting,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($51,233</w:t>
            </w:r>
            <w:r>
              <w:rPr>
                <w:rFonts w:ascii="Times New Roman" w:hAnsi="Times New Roman"/>
                <w:sz w:val="20"/>
              </w:rPr>
              <w:t> </w:t>
            </w:r>
            <w:r>
              <w:rPr>
                <w:rFonts w:ascii="Times New Roman;serif" w:hAnsi="Times New Roman;serif"/>
                <w:b w:val="false"/>
                <w:sz w:val="14"/>
              </w:rPr>
              <w:t>par, due 12/2027)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+ 6.85%</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50,464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50,336</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($12</w:t>
            </w:r>
            <w:r>
              <w:rPr>
                <w:rFonts w:ascii="Times New Roman" w:hAnsi="Times New Roman"/>
                <w:sz w:val="20"/>
              </w:rPr>
              <w:t> </w:t>
            </w:r>
            <w:r>
              <w:rPr>
                <w:rFonts w:ascii="Times New Roman;serif" w:hAnsi="Times New Roman;serif"/>
                <w:b w:val="false"/>
                <w:sz w:val="14"/>
              </w:rPr>
              <w:t>par, due 12/2027)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P + 6.85%</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15.00%</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332,105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326,528</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22.3%</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Transportation</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Project44, Inc.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($35,139</w:t>
            </w:r>
            <w:r>
              <w:rPr>
                <w:rFonts w:ascii="Times New Roman" w:hAnsi="Times New Roman"/>
                <w:sz w:val="20"/>
              </w:rPr>
              <w:t> </w:t>
            </w:r>
            <w:r>
              <w:rPr>
                <w:rFonts w:ascii="Times New Roman;serif" w:hAnsi="Times New Roman;serif"/>
                <w:b w:val="false"/>
                <w:sz w:val="14"/>
              </w:rPr>
              <w:t>par, due 11/2027)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11/12/2021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+ 6.40%</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11.49%</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34,153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34,726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Debt Investments</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2,868,758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2,880,097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196.5%</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Business Services</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Dye &amp; Durham, Ltd. </w:t>
            </w:r>
            <w:r>
              <w:rPr>
                <w:rFonts w:ascii="Times New Roman;serif" w:hAnsi="Times New Roman;serif"/>
                <w:b w:val="false"/>
                <w:sz w:val="9"/>
              </w:rPr>
              <w:t>(4)(10)</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Common Shares (126,968</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3,909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1,738</w:t>
              <w:br/>
              <w:t>(CAD 2,299)</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Mitnick TA Aggregator, LP</w:t>
            </w:r>
            <w:r>
              <w:rPr>
                <w:rFonts w:ascii="Times New Roman" w:hAnsi="Times New Roman"/>
                <w:sz w:val="14"/>
              </w:rPr>
              <w:t> </w:t>
            </w:r>
            <w:r>
              <w:rPr>
                <w:rFonts w:ascii="Times New Roman;serif" w:hAnsi="Times New Roman;serif"/>
                <w:b w:val="false"/>
                <w:sz w:val="9"/>
              </w:rPr>
              <w:t>(11)(13)</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Membership Interest (0.43% ownership)</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5/2/2022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5,243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5,243</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ReliaQuest, LLC </w:t>
            </w:r>
            <w:r>
              <w:rPr>
                <w:rFonts w:ascii="Times New Roman;serif" w:hAnsi="Times New Roman;serif"/>
                <w:b w:val="false"/>
                <w:sz w:val="9"/>
              </w:rPr>
              <w:t>(11)(13)</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A-1 Units (567,683</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11/23/2021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1,512</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A-2 Units (2,580</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6/21/2022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Sprinklr, Inc. </w:t>
            </w:r>
            <w:r>
              <w:rPr>
                <w:rFonts w:ascii="Times New Roman;serif" w:hAnsi="Times New Roman;serif"/>
                <w:b w:val="false"/>
                <w:sz w:val="9"/>
              </w:rPr>
              <w:t>(10)(11)</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Common Shares (343,382</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6/24/2021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0.9%</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Communications</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Celtra Technologies, Inc.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(1,250,000</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11/19/2021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1,250</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IntelePeer Holdings, Inc.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C Preferred Shares (1,816,295</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1,816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2,021</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D Preferred Shares (1,598,874</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2,165</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280,000</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2/28/2020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106,592</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Education</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Astra 2L Holdings II LLC</w:t>
            </w:r>
            <w:r>
              <w:rPr>
                <w:rFonts w:ascii="Times New Roman" w:hAnsi="Times New Roman"/>
                <w:sz w:val="14"/>
              </w:rPr>
              <w:t>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Membership Interest (10.17% ownership)</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1/13/2022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3,255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610</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EMS Linq, Inc.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B Units (5,522,526</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12/22/2021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4,763</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RMCF IV CIV XXXV,</w:t>
              <w:br/>
              <w:t xml:space="preserve">   LP.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Partnership Interest (11.94% ownership)</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17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176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Financial Services</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AvidXchange, Inc. </w:t>
            </w:r>
            <w:r>
              <w:rPr>
                <w:rFonts w:ascii="Times New Roman;serif" w:hAnsi="Times New Roman;serif"/>
                <w:b w:val="false"/>
                <w:sz w:val="9"/>
              </w:rPr>
              <w:t>(10)(11)</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Common Shares (150,541</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10/15/2021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1,563</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176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Newport Parent Holdings, LP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21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A-2 Units (131,569</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12/10/2020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4,177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6,600</w:t>
            </w:r>
          </w:p>
        </w:tc>
        <w:tc>
          <w:tcPr>
            <w:tcW w:w="146"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78"/>
        <w:gridCol w:w="146"/>
        <w:gridCol w:w="1985"/>
        <w:gridCol w:w="146"/>
        <w:gridCol w:w="796"/>
        <w:gridCol w:w="146"/>
        <w:gridCol w:w="676"/>
        <w:gridCol w:w="146"/>
        <w:gridCol w:w="710"/>
        <w:gridCol w:w="146"/>
        <w:gridCol w:w="146"/>
        <w:gridCol w:w="721"/>
        <w:gridCol w:w="146"/>
        <w:gridCol w:w="146"/>
        <w:gridCol w:w="678"/>
        <w:gridCol w:w="146"/>
        <w:gridCol w:w="847"/>
      </w:tblGrid>
      <w:tr>
        <w:trPr/>
        <w:tc>
          <w:tcPr>
            <w:tcW w:w="24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before="0" w:after="283"/>
              <w:jc w:val="left"/>
              <w:rPr>
                <w:sz w:val="4"/>
                <w:szCs w:val="4"/>
              </w:rPr>
            </w:pPr>
            <w:r>
              <w:rPr>
                <w:sz w:val="4"/>
                <w:szCs w:val="4"/>
              </w:rPr>
            </w:r>
          </w:p>
        </w:tc>
      </w:tr>
      <w:tr>
        <w:trPr/>
        <w:tc>
          <w:tcPr>
            <w:tcW w:w="2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Oxford Square Capital Corp. </w:t>
            </w:r>
            <w:r>
              <w:rPr>
                <w:rFonts w:ascii="Times New Roman;serif" w:hAnsi="Times New Roman;serif"/>
                <w:b w:val="false"/>
                <w:sz w:val="9"/>
              </w:rPr>
              <w:t>(4)(10)</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Common Shares (1,620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8/5/2015</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Passport Labs, Inc.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17,534</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4/28/2021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TradingScreen, Inc. </w:t>
            </w:r>
            <w:r>
              <w:rPr>
                <w:rFonts w:ascii="Times New Roman;serif" w:hAnsi="Times New Roman;serif"/>
                <w:b w:val="false"/>
                <w:sz w:val="9"/>
              </w:rPr>
              <w:t>(11)(13)</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(600,000</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5/14/2021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0.5%</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Healthcare</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Caris Life Sciences, Inc.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C Preferred Shares (362,319</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10/13/2020</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1,242</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D Preferred Shares (1,240,740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5/11/2021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9,221</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0.6%</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633,376</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9/21/2018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1,150</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569,991</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4/2/2020</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852</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Merative L.P. </w:t>
            </w:r>
            <w:r>
              <w:rPr>
                <w:rFonts w:ascii="Times New Roman;serif" w:hAnsi="Times New Roman;serif"/>
                <w:b w:val="false"/>
                <w:sz w:val="9"/>
              </w:rPr>
              <w:t>(11)(13)</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989,691</w:t>
            </w:r>
            <w:r>
              <w:rPr>
                <w:rFonts w:ascii="Times New Roman" w:hAnsi="Times New Roman"/>
                <w:sz w:val="20"/>
              </w:rPr>
              <w:t> </w:t>
            </w:r>
            <w:r>
              <w:rPr>
                <w:rFonts w:ascii="Times New Roman;serif" w:hAnsi="Times New Roman;serif"/>
                <w:b w:val="false"/>
                <w:sz w:val="14"/>
              </w:rPr>
              <w:t>Class A-1 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9,897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9,897</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0.7%</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Raptor US Buyer II Corp. </w:t>
            </w:r>
            <w:r>
              <w:rPr>
                <w:rFonts w:ascii="Times New Roman;serif" w:hAnsi="Times New Roman;serif"/>
                <w:b w:val="false"/>
                <w:sz w:val="9"/>
              </w:rPr>
              <w:t>(11)(12)</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2,027</w:t>
            </w:r>
            <w:r>
              <w:rPr>
                <w:rFonts w:ascii="Times New Roman" w:hAnsi="Times New Roman"/>
                <w:sz w:val="20"/>
              </w:rPr>
              <w:t> </w:t>
            </w:r>
            <w:r>
              <w:rPr>
                <w:rFonts w:ascii="Times New Roman;serif" w:hAnsi="Times New Roman;serif"/>
                <w:b w:val="false"/>
                <w:sz w:val="14"/>
              </w:rPr>
              <w:t>Ordinary 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3/24/2023</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2,027</w:t>
            </w:r>
            <w:r>
              <w:rPr>
                <w:rFonts w:ascii="Times New Roman" w:hAnsi="Times New Roman"/>
                <w:sz w:val="20"/>
              </w:rPr>
              <w:t> </w:t>
            </w:r>
            <w:r>
              <w:rPr>
                <w:rFonts w:ascii="Times New Roman;serif" w:hAnsi="Times New Roman;serif"/>
                <w:b w:val="false"/>
                <w:sz w:val="14"/>
              </w:rPr>
              <w:t>Class A</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3/24/2023</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2,027</w:t>
            </w:r>
            <w:r>
              <w:rPr>
                <w:rFonts w:ascii="Times New Roman" w:hAnsi="Times New Roman"/>
                <w:sz w:val="20"/>
              </w:rPr>
              <w:t> </w:t>
            </w:r>
            <w:r>
              <w:rPr>
                <w:rFonts w:ascii="Times New Roman;serif" w:hAnsi="Times New Roman;serif"/>
                <w:b w:val="false"/>
                <w:sz w:val="14"/>
              </w:rPr>
              <w:t>Class B</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3/24/2023</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2,027</w:t>
            </w:r>
            <w:r>
              <w:rPr>
                <w:rFonts w:ascii="Times New Roman" w:hAnsi="Times New Roman"/>
                <w:sz w:val="20"/>
              </w:rPr>
              <w:t> </w:t>
            </w:r>
            <w:r>
              <w:rPr>
                <w:rFonts w:ascii="Times New Roman;serif" w:hAnsi="Times New Roman;serif"/>
                <w:b w:val="false"/>
                <w:sz w:val="14"/>
              </w:rPr>
              <w:t>Class C</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3/24/2023</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2,027</w:t>
            </w:r>
            <w:r>
              <w:rPr>
                <w:rFonts w:ascii="Times New Roman" w:hAnsi="Times New Roman"/>
                <w:sz w:val="20"/>
              </w:rPr>
              <w:t> </w:t>
            </w:r>
            <w:r>
              <w:rPr>
                <w:rFonts w:ascii="Times New Roman;serif" w:hAnsi="Times New Roman;serif"/>
                <w:b w:val="false"/>
                <w:sz w:val="14"/>
              </w:rPr>
              <w:t>Class D</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3/24/2023</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2,027</w:t>
            </w:r>
            <w:r>
              <w:rPr>
                <w:rFonts w:ascii="Times New Roman" w:hAnsi="Times New Roman"/>
                <w:sz w:val="20"/>
              </w:rPr>
              <w:t> </w:t>
            </w:r>
            <w:r>
              <w:rPr>
                <w:rFonts w:ascii="Times New Roman;serif" w:hAnsi="Times New Roman;serif"/>
                <w:b w:val="false"/>
                <w:sz w:val="14"/>
              </w:rPr>
              <w:t>Class E</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3/24/2023</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2,027</w:t>
            </w:r>
            <w:r>
              <w:rPr>
                <w:rFonts w:ascii="Times New Roman" w:hAnsi="Times New Roman"/>
                <w:sz w:val="20"/>
              </w:rPr>
              <w:t> </w:t>
            </w:r>
            <w:r>
              <w:rPr>
                <w:rFonts w:ascii="Times New Roman;serif" w:hAnsi="Times New Roman;serif"/>
                <w:b w:val="false"/>
                <w:sz w:val="14"/>
              </w:rPr>
              <w:t>Class F</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3/24/2023</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2,027</w:t>
            </w:r>
            <w:r>
              <w:rPr>
                <w:rFonts w:ascii="Times New Roman" w:hAnsi="Times New Roman"/>
                <w:sz w:val="20"/>
              </w:rPr>
              <w:t> </w:t>
            </w:r>
            <w:r>
              <w:rPr>
                <w:rFonts w:ascii="Times New Roman;serif" w:hAnsi="Times New Roman;serif"/>
                <w:b w:val="false"/>
                <w:sz w:val="14"/>
              </w:rPr>
              <w:t>Class G</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3/24/2023</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2,027</w:t>
            </w:r>
            <w:r>
              <w:rPr>
                <w:rFonts w:ascii="Times New Roman" w:hAnsi="Times New Roman"/>
                <w:sz w:val="20"/>
              </w:rPr>
              <w:t> </w:t>
            </w:r>
            <w:r>
              <w:rPr>
                <w:rFonts w:ascii="Times New Roman;serif" w:hAnsi="Times New Roman;serif"/>
                <w:b w:val="false"/>
                <w:sz w:val="14"/>
              </w:rPr>
              <w:t>Class H</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3/24/2023</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2,027</w:t>
            </w:r>
            <w:r>
              <w:rPr>
                <w:rFonts w:ascii="Times New Roman" w:hAnsi="Times New Roman"/>
                <w:sz w:val="20"/>
              </w:rPr>
              <w:t> </w:t>
            </w:r>
            <w:r>
              <w:rPr>
                <w:rFonts w:ascii="Times New Roman;serif" w:hAnsi="Times New Roman;serif"/>
                <w:b w:val="false"/>
                <w:sz w:val="14"/>
              </w:rPr>
              <w:t>Class I</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3/24/2023</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23,419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24,392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Hotel, Gaming and Leisure</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IRGSE Holding Corp. </w:t>
            </w:r>
            <w:r>
              <w:rPr>
                <w:rFonts w:ascii="Times New Roman;serif" w:hAnsi="Times New Roman;serif"/>
                <w:b w:val="false"/>
                <w:sz w:val="9"/>
              </w:rPr>
              <w:t>(7)(11)</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(33,790,171</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12/21/2018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21,842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15,121</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C-1 Units (8,800,000</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12/21/2018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21,942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Human Resource Support Services</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Axonify, Inc. </w:t>
            </w:r>
            <w:r>
              <w:rPr>
                <w:rFonts w:ascii="Times New Roman;serif" w:hAnsi="Times New Roman;serif"/>
                <w:b w:val="false"/>
                <w:sz w:val="9"/>
              </w:rPr>
              <w:t>(4)(11)(13)</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A-1 Units (3,780,000</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3,780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3,837</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bswift, LLC</w:t>
            </w:r>
            <w:r>
              <w:rPr>
                <w:rFonts w:ascii="Times New Roman" w:hAnsi="Times New Roman"/>
                <w:sz w:val="14"/>
              </w:rPr>
              <w:t> </w:t>
            </w:r>
            <w:r>
              <w:rPr>
                <w:rFonts w:ascii="Times New Roman;serif" w:hAnsi="Times New Roman;serif"/>
                <w:b w:val="false"/>
                <w:sz w:val="9"/>
              </w:rPr>
              <w:t>(11)(12)</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A-1 Units (2,393,509</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2,394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2,394</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ClearCompany, LLC </w:t>
            </w:r>
            <w:r>
              <w:rPr>
                <w:rFonts w:ascii="Times New Roman;serif" w:hAnsi="Times New Roman;serif"/>
                <w:b w:val="false"/>
                <w:sz w:val="9"/>
              </w:rPr>
              <w:t>(11)(13)</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A Preferred Units (1,429,228</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8/24/2018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4,985</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DaySmart Holdings, LLC </w:t>
            </w:r>
            <w:r>
              <w:rPr>
                <w:rFonts w:ascii="Times New Roman;serif" w:hAnsi="Times New Roman;serif"/>
                <w:b w:val="false"/>
                <w:sz w:val="9"/>
              </w:rPr>
              <w:t>(11)(13)</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(166,811</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10/1/2019</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1,347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1,953</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Employment Hero Holdings Pty Ltd. </w:t>
            </w:r>
            <w:r>
              <w:rPr>
                <w:rFonts w:ascii="Times New Roman;serif" w:hAnsi="Times New Roman;serif"/>
                <w:b w:val="false"/>
                <w:sz w:val="9"/>
              </w:rPr>
              <w:t>(4)(11)</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E Preferred Shares (113,250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2,316</w:t>
              <w:br/>
              <w:t>(AUD 3,480)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15,485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Internet Services</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Bayshore Intermediate #2, L.P. </w:t>
            </w:r>
            <w:r>
              <w:rPr>
                <w:rFonts w:ascii="Times New Roman;serif" w:hAnsi="Times New Roman;serif"/>
                <w:b w:val="false"/>
                <w:sz w:val="9"/>
              </w:rPr>
              <w:t>(11)(13)</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Common Units (12,330,709</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12,331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11,375</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Lucidworks, Inc.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F Preferred Shares (199,054</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8/2/2019</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Piano Software, Inc.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C-1 Preferred Shares (418,527</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12/22/2021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Series C-2 Preferred Shares (27,588</w:t>
            </w:r>
            <w:r>
              <w:rPr>
                <w:rFonts w:ascii="Times New Roman" w:hAnsi="Times New Roman"/>
                <w:sz w:val="14"/>
              </w:rPr>
              <w:t> </w:t>
            </w:r>
            <w:r>
              <w:rPr>
                <w:rFonts w:ascii="Times New Roman;serif" w:hAnsi="Times New Roman;serif"/>
                <w:b w:val="false"/>
                <w:sz w:val="14"/>
              </w:rPr>
              <w:t>shares)</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11/18/2022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SMA Technologies Holdings, LLC</w:t>
            </w:r>
            <w:r>
              <w:rPr>
                <w:rFonts w:ascii="Times New Roman" w:hAnsi="Times New Roman"/>
                <w:sz w:val="14"/>
              </w:rPr>
              <w:t> </w:t>
            </w:r>
            <w:r>
              <w:rPr>
                <w:rFonts w:ascii="Times New Roman;serif" w:hAnsi="Times New Roman;serif"/>
                <w:b w:val="false"/>
                <w:sz w:val="9"/>
              </w:rPr>
              <w:t>(11)(12)</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(1,300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1,300</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B Units (923,250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17,629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16,673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Marketing Services</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Validity, Inc.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A Preferred Shares (3,840,000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5/31/2018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3,840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10,944</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0.7%</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Oil, Gas and Consumable Fuels</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Murchison Oil and Gas, LLC </w:t>
            </w:r>
            <w:r>
              <w:rPr>
                <w:rFonts w:ascii="Times New Roman;serif" w:hAnsi="Times New Roman;serif"/>
                <w:b w:val="false"/>
                <w:sz w:val="9"/>
              </w:rPr>
              <w:t>(13)</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13,355</w:t>
            </w:r>
            <w:r>
              <w:rPr>
                <w:rFonts w:ascii="Times New Roman" w:hAnsi="Times New Roman"/>
                <w:sz w:val="20"/>
              </w:rPr>
              <w:t> </w:t>
            </w:r>
            <w:r>
              <w:rPr>
                <w:rFonts w:ascii="Times New Roman;serif" w:hAnsi="Times New Roman;serif"/>
                <w:b w:val="false"/>
                <w:sz w:val="14"/>
              </w:rPr>
              <w:t>Preferred 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13,355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13,856</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0.9%</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TRP Assets, LLC </w:t>
            </w:r>
            <w:r>
              <w:rPr>
                <w:rFonts w:ascii="Times New Roman;serif" w:hAnsi="Times New Roman;serif"/>
                <w:b w:val="false"/>
                <w:sz w:val="9"/>
              </w:rPr>
              <w:t>(11)(12)(13)</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Partnership Interest (1.89% ownership)</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8/25/2022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10,501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0.7%</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21,449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24,357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Pharmaceuticals</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TherapeuticsMD, Inc. </w:t>
            </w:r>
            <w:r>
              <w:rPr>
                <w:rFonts w:ascii="Times New Roman;serif" w:hAnsi="Times New Roman;serif"/>
                <w:b w:val="false"/>
                <w:sz w:val="9"/>
              </w:rPr>
              <w:t>(4)(11)</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14,256</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8/5/2020</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Retail and Consumer Products</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American Achievement, Corp. </w:t>
            </w:r>
            <w:r>
              <w:rPr>
                <w:rFonts w:ascii="Times New Roman;serif" w:hAnsi="Times New Roman;serif"/>
                <w:b w:val="false"/>
                <w:sz w:val="9"/>
              </w:rPr>
              <w:t>(11)</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(687</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3/16/2021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Copper Bidco, LLC </w:t>
            </w:r>
            <w:r>
              <w:rPr>
                <w:rFonts w:ascii="Times New Roman;serif" w:hAnsi="Times New Roman;serif"/>
                <w:b w:val="false"/>
                <w:sz w:val="9"/>
              </w:rPr>
              <w:t>(9)</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Trust Certificates (132,928</w:t>
            </w:r>
            <w:r>
              <w:rPr>
                <w:rFonts w:ascii="Times New Roman" w:hAnsi="Times New Roman"/>
                <w:sz w:val="20"/>
              </w:rPr>
              <w:t> </w:t>
            </w:r>
            <w:r>
              <w:rPr>
                <w:rFonts w:ascii="Times New Roman;serif" w:hAnsi="Times New Roman;serif"/>
                <w:b w:val="false"/>
                <w:sz w:val="14"/>
              </w:rPr>
              <w:t>Certificates)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12/7/2020</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271</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Trust Certificates (996,958</w:t>
            </w:r>
            <w:r>
              <w:rPr>
                <w:rFonts w:ascii="Times New Roman" w:hAnsi="Times New Roman"/>
                <w:sz w:val="20"/>
              </w:rPr>
              <w:t> </w:t>
            </w:r>
            <w:r>
              <w:rPr>
                <w:rFonts w:ascii="Times New Roman;serif" w:hAnsi="Times New Roman;serif"/>
                <w:b w:val="false"/>
                <w:sz w:val="14"/>
              </w:rPr>
              <w:t>Certificates)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2,735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10,468</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0.7%</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Neuintel, LLC </w:t>
            </w:r>
            <w:r>
              <w:rPr>
                <w:rFonts w:ascii="Times New Roman;serif" w:hAnsi="Times New Roman;serif"/>
                <w:b w:val="false"/>
                <w:sz w:val="9"/>
              </w:rPr>
              <w:t>(11)(13)</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(1,176,494</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12/21/2021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13,527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0.9%</w:t>
            </w:r>
          </w:p>
        </w:tc>
      </w:tr>
      <w:tr>
        <w:trPr/>
        <w:tc>
          <w:tcPr>
            <w:tcW w:w="2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Structured Credit</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Allegro CLO Ltd, Series 2018-1A,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6/2031)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5/26/2022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+ 2.85%</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900</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American Money Management Corp CLO Ltd, Series 2016-18A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($1,500</w:t>
            </w:r>
            <w:r>
              <w:rPr>
                <w:rFonts w:ascii="Times New Roman" w:hAnsi="Times New Roman"/>
                <w:sz w:val="20"/>
              </w:rPr>
              <w:t> </w:t>
            </w:r>
            <w:r>
              <w:rPr>
                <w:rFonts w:ascii="Times New Roman;serif" w:hAnsi="Times New Roman;serif"/>
                <w:b w:val="false"/>
                <w:sz w:val="14"/>
              </w:rPr>
              <w:t>par, due 5/2031)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+ 3.05%</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1,353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1,351</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Ares CLO Ltd, Series 2021-59A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4/2034)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890</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Ares Loan Funding I Ltd, Series 2021-ALFA, Class E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6/24/2022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+ 6.70%</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915</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7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Bain Capital Credit CLO Ltd, Series 2018-1A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($500</w:t>
            </w:r>
            <w:r>
              <w:rPr>
                <w:rFonts w:ascii="Times New Roman" w:hAnsi="Times New Roman"/>
                <w:sz w:val="20"/>
              </w:rPr>
              <w:t> </w:t>
            </w:r>
            <w:r>
              <w:rPr>
                <w:rFonts w:ascii="Times New Roman;serif" w:hAnsi="Times New Roman;serif"/>
                <w:b w:val="false"/>
                <w:sz w:val="14"/>
              </w:rPr>
              <w:t>par, due 4/2031)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10/15/2020</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+ 5.35%</w:t>
            </w:r>
          </w:p>
        </w:tc>
        <w:tc>
          <w:tcPr>
            <w:tcW w:w="146"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398</w:t>
            </w:r>
          </w:p>
        </w:tc>
        <w:tc>
          <w:tcPr>
            <w:tcW w:w="146" w:type="dxa"/>
            <w:tcBorders/>
            <w:vAlign w:val="center"/>
          </w:tcPr>
          <w:p>
            <w:pPr>
              <w:pStyle w:val="TableContents"/>
              <w:bidi w:val="0"/>
              <w:spacing w:before="0" w:after="0"/>
              <w:ind w:left="0" w:right="0" w:hanging="0"/>
              <w:jc w:val="righ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557"/>
        <w:gridCol w:w="146"/>
        <w:gridCol w:w="1871"/>
        <w:gridCol w:w="146"/>
        <w:gridCol w:w="796"/>
        <w:gridCol w:w="146"/>
        <w:gridCol w:w="676"/>
        <w:gridCol w:w="146"/>
        <w:gridCol w:w="735"/>
        <w:gridCol w:w="146"/>
        <w:gridCol w:w="146"/>
        <w:gridCol w:w="721"/>
        <w:gridCol w:w="146"/>
        <w:gridCol w:w="146"/>
        <w:gridCol w:w="681"/>
        <w:gridCol w:w="146"/>
        <w:gridCol w:w="854"/>
      </w:tblGrid>
      <w:tr>
        <w:trPr/>
        <w:tc>
          <w:tcPr>
            <w:tcW w:w="25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4" w:type="dxa"/>
            <w:tcBorders/>
            <w:shd w:fill="FFFFFF" w:val="clear"/>
            <w:vAlign w:val="center"/>
          </w:tcPr>
          <w:p>
            <w:pPr>
              <w:pStyle w:val="TableContents"/>
              <w:bidi w:val="0"/>
              <w:spacing w:before="0" w:after="283"/>
              <w:jc w:val="left"/>
              <w:rPr>
                <w:sz w:val="4"/>
                <w:szCs w:val="4"/>
              </w:rPr>
            </w:pPr>
            <w:r>
              <w:rPr>
                <w:sz w:val="4"/>
                <w:szCs w:val="4"/>
              </w:rPr>
            </w:r>
          </w:p>
        </w:tc>
      </w:tr>
      <w:tr>
        <w:trPr/>
        <w:tc>
          <w:tcPr>
            <w:tcW w:w="25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Battalion CLO Ltd, Series 2021-21A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($1,300</w:t>
            </w:r>
            <w:r>
              <w:rPr>
                <w:rFonts w:ascii="Times New Roman" w:hAnsi="Times New Roman"/>
                <w:sz w:val="20"/>
              </w:rPr>
              <w:t> </w:t>
            </w:r>
            <w:r>
              <w:rPr>
                <w:rFonts w:ascii="Times New Roman;serif" w:hAnsi="Times New Roman;serif"/>
                <w:b w:val="false"/>
                <w:sz w:val="14"/>
              </w:rPr>
              <w:t>par, due 7/2034)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+ 3.30%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1,145</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Benefit Street Partners CLO Ltd, Series 2015-BR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($2,500</w:t>
            </w:r>
            <w:r>
              <w:rPr>
                <w:rFonts w:ascii="Times New Roman" w:hAnsi="Times New Roman"/>
                <w:sz w:val="20"/>
              </w:rPr>
              <w:t> </w:t>
            </w:r>
            <w:r>
              <w:rPr>
                <w:rFonts w:ascii="Times New Roman;serif" w:hAnsi="Times New Roman;serif"/>
                <w:b w:val="false"/>
                <w:sz w:val="14"/>
              </w:rPr>
              <w:t>par, due 7/2024)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+ 3.85%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2,187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2,328</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Benefit Street Partners CLO Ltd, Series 2015-8A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($1,425</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1/2031)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+ 2.75%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1,275</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Carlyle Global Market Strategies CLO Ltd, Series 2014-4RA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5/26/2022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+ 2.90%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865</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Carlyle Global Market Strategies CLO Ltd, Series 2016-1, Ltd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($1,600</w:t>
            </w:r>
            <w:r>
              <w:rPr>
                <w:rFonts w:ascii="Times New Roman" w:hAnsi="Times New Roman"/>
                <w:sz w:val="20"/>
              </w:rPr>
              <w:t> </w:t>
            </w:r>
            <w:r>
              <w:rPr>
                <w:rFonts w:ascii="Times New Roman;serif" w:hAnsi="Times New Roman;serif"/>
                <w:b w:val="false"/>
                <w:sz w:val="14"/>
              </w:rPr>
              <w:t>par, due 4/2034)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2/15/2023</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+ 6.60%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1,424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1,407</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Carlyle Global Market Strategies CLO Ltd, Series 2018-1A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($1,550</w:t>
            </w:r>
            <w:r>
              <w:rPr>
                <w:rFonts w:ascii="Times New Roman" w:hAnsi="Times New Roman"/>
                <w:sz w:val="20"/>
              </w:rPr>
              <w:t> </w:t>
            </w:r>
            <w:r>
              <w:rPr>
                <w:rFonts w:ascii="Times New Roman;serif" w:hAnsi="Times New Roman;serif"/>
                <w:b w:val="false"/>
                <w:sz w:val="14"/>
              </w:rPr>
              <w:t>par, due 4/2031)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8/11/2020</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+ 5.75%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1,265</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CarVal CLO III Ltd, Series 2019-2A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7/2032)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+ 6.44%</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910</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Cedar Funding CLO Ltd, Series 2018-7A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+ 4.55%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868</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CIFC CLO Ltd, Series 2018-3A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6/16/2022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+ 5.50%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881</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CIFC CLO Ltd, Series 2021-4A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7/14/2022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+ 6.00%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924</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Crown Point CLO Ltd, Series 2021-10A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7/2034)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6/14/2022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+ 6.85%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903</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Dryden Senior Loan Fund, Series 2018-55A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4/2031)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7/25/2022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+ 2.85%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886</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Dryden Senior Loan Fund, Series 2020-86A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($1,500</w:t>
            </w:r>
            <w:r>
              <w:rPr>
                <w:rFonts w:ascii="Times New Roman" w:hAnsi="Times New Roman"/>
                <w:sz w:val="20"/>
              </w:rPr>
              <w:t> </w:t>
            </w:r>
            <w:r>
              <w:rPr>
                <w:rFonts w:ascii="Times New Roman;serif" w:hAnsi="Times New Roman;serif"/>
                <w:b w:val="false"/>
                <w:sz w:val="14"/>
              </w:rPr>
              <w:t>par, due 7/2034)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8/17/2022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+ 6.50%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1,439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1,316</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Eaton CLO Ltd, Series 2015-1A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($2,500</w:t>
            </w:r>
            <w:r>
              <w:rPr>
                <w:rFonts w:ascii="Times New Roman" w:hAnsi="Times New Roman"/>
                <w:sz w:val="20"/>
              </w:rPr>
              <w:t> </w:t>
            </w:r>
            <w:r>
              <w:rPr>
                <w:rFonts w:ascii="Times New Roman;serif" w:hAnsi="Times New Roman;serif"/>
                <w:b w:val="false"/>
                <w:sz w:val="14"/>
              </w:rPr>
              <w:t>par, due 1/2030)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+ 2.50%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2,245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2,188</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Eaton CLO Ltd, Series 2020-1A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921</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GoldenTree CLO Ltd, Series 2020-7A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4/2034)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6/17/2022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+ 6.50%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947</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Gulf Stream Meridian, Series 2021-4A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($1,015</w:t>
            </w:r>
            <w:r>
              <w:rPr>
                <w:rFonts w:ascii="Times New Roman" w:hAnsi="Times New Roman"/>
                <w:sz w:val="20"/>
              </w:rPr>
              <w:t> </w:t>
            </w:r>
            <w:r>
              <w:rPr>
                <w:rFonts w:ascii="Times New Roman;serif" w:hAnsi="Times New Roman;serif"/>
                <w:b w:val="false"/>
                <w:sz w:val="14"/>
              </w:rPr>
              <w:t>par, due 7/2034)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+ 6.35%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908</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Gulf Stream Meridian, Series 2021-6A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($2,000</w:t>
            </w:r>
            <w:r>
              <w:rPr>
                <w:rFonts w:ascii="Times New Roman" w:hAnsi="Times New Roman"/>
                <w:sz w:val="20"/>
              </w:rPr>
              <w:t> </w:t>
            </w:r>
            <w:r>
              <w:rPr>
                <w:rFonts w:ascii="Times New Roman;serif" w:hAnsi="Times New Roman;serif"/>
                <w:b w:val="false"/>
                <w:sz w:val="14"/>
              </w:rPr>
              <w:t>par, due 1/2037)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+ 6.36%</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1,832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1,750</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Jefferson Mill CLO Ltd, Series 2015-1A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+ 3.55%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877</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KKR CLO Ltd, 49A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+ 8.00%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954</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Madison Park CLO, Series 2018-28A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6/28/2022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+ 5.25%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10.51%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922</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Magnetite CLO Ltd, Series 2021-30A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944</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MidOcean Credit CLO Ltd, Series 2016-6A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($3,500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4/2033)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+ 3.52%</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3,159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3,037</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MidOcean Credit CLO Ltd, Series 2018-9A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($1,100</w:t>
            </w:r>
            <w:r>
              <w:rPr>
                <w:rFonts w:ascii="Times New Roman" w:hAnsi="Times New Roman"/>
                <w:sz w:val="20"/>
              </w:rPr>
              <w:t> </w:t>
            </w:r>
            <w:r>
              <w:rPr>
                <w:rFonts w:ascii="Times New Roman;serif" w:hAnsi="Times New Roman;serif"/>
                <w:b w:val="false"/>
                <w:sz w:val="14"/>
              </w:rPr>
              <w:t>par, due 7/2031)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+ 6.05%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892</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Octagon 57 LLC, Series 2021-1A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5/24/2022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+ 6.60%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896</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Octagon Investment Partners 18 Ltd, Series 2018-18A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4/2031)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7/26/2022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+ 2.70%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7.96%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878</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Octagon Investment Partners 38 Ltd, Series 2018-1A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($2,800</w:t>
            </w:r>
            <w:r>
              <w:rPr>
                <w:rFonts w:ascii="Times New Roman" w:hAnsi="Times New Roman"/>
                <w:sz w:val="20"/>
              </w:rPr>
              <w:t> </w:t>
            </w:r>
            <w:r>
              <w:rPr>
                <w:rFonts w:ascii="Times New Roman;serif" w:hAnsi="Times New Roman;serif"/>
                <w:b w:val="false"/>
                <w:sz w:val="14"/>
              </w:rPr>
              <w:t>par, due 7/2030)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9/20/2022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+ 2.95%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2,484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2,545</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Park Avenue Institutional Advisers CLO Ltd, Series 2018-1A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+ 3.33%</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867</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Pikes Peak CLO, Series 2021-9A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($2,000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8/31/2022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+ 6.58%</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1,782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1,780</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RR Ltd, Series 2020-8A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4/2033)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+ 6.40%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934</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Shackelton CLO Ltd, Series 2015-7RA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+ 3.33%</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893</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Signal Peak CLO LLC, Series 2018-5A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4/2031)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+ 5.65%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853</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Southwick Park CLO Ltd, Series 2019-4A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5/25/2022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877</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Stewart Park CLO Ltd, Series 2015-1A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7/25/2022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+ 2.60%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889</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Voya CLO Ltd, Series 2018-3A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($2,750</w:t>
            </w:r>
            <w:r>
              <w:rPr>
                <w:rFonts w:ascii="Times New Roman" w:hAnsi="Times New Roman"/>
                <w:sz w:val="20"/>
              </w:rPr>
              <w:t> </w:t>
            </w:r>
            <w:r>
              <w:rPr>
                <w:rFonts w:ascii="Times New Roman;serif" w:hAnsi="Times New Roman;serif"/>
                <w:b w:val="false"/>
                <w:sz w:val="14"/>
              </w:rPr>
              <w:t>par, due 10/2031)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+ 5.75%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2,406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2,221</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Whitebox CLO I Ltd, Series 2020-2A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($1,125</w:t>
            </w:r>
            <w:r>
              <w:rPr>
                <w:rFonts w:ascii="Times New Roman" w:hAnsi="Times New Roman"/>
                <w:sz w:val="20"/>
              </w:rPr>
              <w:t> </w:t>
            </w:r>
            <w:r>
              <w:rPr>
                <w:rFonts w:ascii="Times New Roman;serif" w:hAnsi="Times New Roman;serif"/>
                <w:b w:val="false"/>
                <w:sz w:val="14"/>
              </w:rPr>
              <w:t>par, due 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+ 3.35%</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1,077</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Wind River CLO Ltd, Series 2014-2A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($1,500</w:t>
            </w:r>
            <w:r>
              <w:rPr>
                <w:rFonts w:ascii="Times New Roman" w:hAnsi="Times New Roman"/>
                <w:sz w:val="20"/>
              </w:rPr>
              <w:t> </w:t>
            </w:r>
            <w:r>
              <w:rPr>
                <w:rFonts w:ascii="Times New Roman;serif" w:hAnsi="Times New Roman;serif"/>
                <w:b w:val="false"/>
                <w:sz w:val="14"/>
              </w:rPr>
              <w:t>par, due 1/2031)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+ 2.90%</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1,295</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55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Wind River CLO Ltd, Series 2017-1A</w:t>
            </w:r>
            <w:r>
              <w:rPr>
                <w:rFonts w:ascii="Times New Roman" w:hAnsi="Times New Roman"/>
                <w:sz w:val="14"/>
              </w:rPr>
              <w:t>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1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($3,000</w:t>
            </w:r>
            <w:r>
              <w:rPr>
                <w:rFonts w:ascii="Times New Roman" w:hAnsi="Times New Roman"/>
                <w:sz w:val="20"/>
              </w:rPr>
              <w:t> </w:t>
            </w:r>
            <w:r>
              <w:rPr>
                <w:rFonts w:ascii="Times New Roman;serif" w:hAnsi="Times New Roman;serif"/>
                <w:b w:val="false"/>
                <w:sz w:val="14"/>
              </w:rPr>
              <w:t>par, due 4/2036)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7/14/2022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+ 3.72%</w:t>
            </w:r>
          </w:p>
        </w:tc>
        <w:tc>
          <w:tcPr>
            <w:tcW w:w="146" w:type="dxa"/>
            <w:tcBorders/>
            <w:vAlign w:val="center"/>
          </w:tcPr>
          <w:p>
            <w:pPr>
              <w:pStyle w:val="TableContents"/>
              <w:bidi w:val="0"/>
              <w:spacing w:before="0" w:after="0"/>
              <w:ind w:left="0" w:right="0" w:hanging="0"/>
              <w:jc w:val="righ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2,732</w:t>
            </w:r>
          </w:p>
        </w:tc>
        <w:tc>
          <w:tcPr>
            <w:tcW w:w="146" w:type="dxa"/>
            <w:tcBorders/>
            <w:vAlign w:val="center"/>
          </w:tcPr>
          <w:p>
            <w:pPr>
              <w:pStyle w:val="TableContents"/>
              <w:bidi w:val="0"/>
              <w:spacing w:before="0" w:after="0"/>
              <w:ind w:left="0" w:right="0" w:hanging="0"/>
              <w:jc w:val="righ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58"/>
        <w:gridCol w:w="146"/>
        <w:gridCol w:w="2102"/>
        <w:gridCol w:w="146"/>
        <w:gridCol w:w="796"/>
        <w:gridCol w:w="146"/>
        <w:gridCol w:w="676"/>
        <w:gridCol w:w="146"/>
        <w:gridCol w:w="780"/>
        <w:gridCol w:w="146"/>
        <w:gridCol w:w="181"/>
        <w:gridCol w:w="721"/>
        <w:gridCol w:w="146"/>
        <w:gridCol w:w="181"/>
        <w:gridCol w:w="816"/>
        <w:gridCol w:w="146"/>
        <w:gridCol w:w="872"/>
      </w:tblGrid>
      <w:tr>
        <w:trPr/>
        <w:tc>
          <w:tcPr>
            <w:tcW w:w="205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8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2" w:type="dxa"/>
            <w:tcBorders/>
            <w:shd w:fill="FFFFFF" w:val="clear"/>
            <w:vAlign w:val="center"/>
          </w:tcPr>
          <w:p>
            <w:pPr>
              <w:pStyle w:val="TableContents"/>
              <w:bidi w:val="0"/>
              <w:spacing w:before="0" w:after="283"/>
              <w:jc w:val="left"/>
              <w:rPr>
                <w:sz w:val="4"/>
                <w:szCs w:val="4"/>
              </w:rPr>
            </w:pPr>
            <w:r>
              <w:rPr>
                <w:sz w:val="4"/>
                <w:szCs w:val="4"/>
              </w:rPr>
            </w:r>
          </w:p>
        </w:tc>
      </w:tr>
      <w:tr>
        <w:trPr/>
        <w:tc>
          <w:tcPr>
            <w:tcW w:w="20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r>
      <w:tr>
        <w:trPr/>
        <w:tc>
          <w:tcPr>
            <w:tcW w:w="205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Wind River CLO Ltd, Series 2018-3A </w:t>
            </w:r>
            <w:r>
              <w:rPr>
                <w:rFonts w:ascii="Times New Roman;serif" w:hAnsi="Times New Roman;serif"/>
                <w:b w:val="false"/>
                <w:sz w:val="9"/>
              </w:rPr>
              <w:t>(3)(4)(9)</w:t>
            </w:r>
          </w:p>
        </w:tc>
        <w:tc>
          <w:tcPr>
            <w:tcW w:w="146" w:type="dxa"/>
            <w:tcBorders/>
            <w:vAlign w:val="center"/>
          </w:tcPr>
          <w:p>
            <w:pPr>
              <w:pStyle w:val="TableContents"/>
              <w:bidi w:val="0"/>
              <w:spacing w:before="0" w:after="0"/>
              <w:ind w:left="0" w:right="0" w:hanging="0"/>
              <w:jc w:val="right"/>
              <w:rPr/>
            </w:pPr>
            <w:r>
              <w:rPr/>
              <w:t> </w:t>
            </w:r>
          </w:p>
        </w:tc>
        <w:tc>
          <w:tcPr>
            <w:tcW w:w="210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($2,000</w:t>
            </w:r>
            <w:r>
              <w:rPr>
                <w:rFonts w:ascii="Times New Roman" w:hAnsi="Times New Roman"/>
                <w:sz w:val="20"/>
              </w:rPr>
              <w:t> </w:t>
            </w:r>
            <w:r>
              <w:rPr>
                <w:rFonts w:ascii="Times New Roman;serif" w:hAnsi="Times New Roman;serif"/>
                <w:b w:val="false"/>
                <w:sz w:val="14"/>
              </w:rPr>
              <w:t>par, due 1/2031)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+ 5.65%</w:t>
            </w:r>
          </w:p>
        </w:tc>
        <w:tc>
          <w:tcPr>
            <w:tcW w:w="146" w:type="dxa"/>
            <w:tcBorders/>
            <w:vAlign w:val="center"/>
          </w:tcPr>
          <w:p>
            <w:pPr>
              <w:pStyle w:val="TableContents"/>
              <w:bidi w:val="0"/>
              <w:spacing w:before="0" w:after="0"/>
              <w:ind w:left="0" w:right="0" w:hanging="0"/>
              <w:jc w:val="righ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10.90%</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54,956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54,183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w:t>
            </w:r>
          </w:p>
        </w:tc>
      </w:tr>
      <w:tr>
        <w:trPr/>
        <w:tc>
          <w:tcPr>
            <w:tcW w:w="2058"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Equity and Other Investments</w:t>
            </w:r>
          </w:p>
        </w:tc>
        <w:tc>
          <w:tcPr>
            <w:tcW w:w="146" w:type="dxa"/>
            <w:tcBorders/>
            <w:vAlign w:val="center"/>
          </w:tcPr>
          <w:p>
            <w:pPr>
              <w:pStyle w:val="TableContents"/>
              <w:bidi w:val="0"/>
              <w:spacing w:before="0" w:after="0"/>
              <w:ind w:left="0" w:right="0" w:hanging="0"/>
              <w:jc w:val="right"/>
              <w:rPr/>
            </w:pPr>
            <w:r>
              <w:rPr/>
              <w:t> </w:t>
            </w:r>
          </w:p>
        </w:tc>
        <w:tc>
          <w:tcPr>
            <w:tcW w:w="210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196,601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208,890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w:t>
            </w:r>
          </w:p>
        </w:tc>
      </w:tr>
      <w:tr>
        <w:trPr/>
        <w:tc>
          <w:tcPr>
            <w:tcW w:w="2058"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Investments</w:t>
            </w:r>
          </w:p>
        </w:tc>
        <w:tc>
          <w:tcPr>
            <w:tcW w:w="146" w:type="dxa"/>
            <w:tcBorders/>
            <w:vAlign w:val="center"/>
          </w:tcPr>
          <w:p>
            <w:pPr>
              <w:pStyle w:val="TableContents"/>
              <w:bidi w:val="0"/>
              <w:spacing w:before="0" w:after="0"/>
              <w:ind w:left="0" w:right="0" w:hanging="0"/>
              <w:jc w:val="right"/>
              <w:rPr/>
            </w:pPr>
            <w:r>
              <w:rPr/>
              <w:t> </w:t>
            </w:r>
          </w:p>
        </w:tc>
        <w:tc>
          <w:tcPr>
            <w:tcW w:w="210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3,065,359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3,088,987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211.5%</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51"/>
        <w:gridCol w:w="146"/>
        <w:gridCol w:w="952"/>
        <w:gridCol w:w="146"/>
        <w:gridCol w:w="952"/>
        <w:gridCol w:w="146"/>
        <w:gridCol w:w="877"/>
        <w:gridCol w:w="146"/>
        <w:gridCol w:w="211"/>
        <w:gridCol w:w="781"/>
        <w:gridCol w:w="146"/>
        <w:gridCol w:w="146"/>
        <w:gridCol w:w="211"/>
        <w:gridCol w:w="736"/>
        <w:gridCol w:w="166"/>
        <w:gridCol w:w="146"/>
        <w:gridCol w:w="318"/>
        <w:gridCol w:w="638"/>
        <w:gridCol w:w="166"/>
        <w:gridCol w:w="146"/>
        <w:gridCol w:w="234"/>
        <w:gridCol w:w="750"/>
        <w:gridCol w:w="394"/>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014" w:type="dxa"/>
            <w:gridSpan w:val="2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 Rate Swaps as of June 30, 2023</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Company</w:t>
              <w:br/>
              <w:t>Receives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Company</w:t>
              <w:br/>
              <w:t>Pays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Maturity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Notional</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w:t>
              <w:br/>
              <w:t>Market</w:t>
              <w:br/>
              <w:t>Value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Upfront</w:t>
              <w:br/>
              <w:t>(Payments) /</w:t>
              <w:br/>
              <w:t>Receipts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br/>
              <w:t>Unrealized</w:t>
              <w:br/>
              <w:t>Gains / (Losses)</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(a)(d)(e)</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+ 2.28%</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9/25/2023</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SOFR + 2.54%</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Non Hedge Accounting Swaps</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84"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16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(a)(b)(c)(e)</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+ 2.25%</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9/25/2023</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13,547</w:t>
            </w:r>
          </w:p>
        </w:tc>
        <w:tc>
          <w:tcPr>
            <w:tcW w:w="394"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SOFR + 2.51%</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(a)(b)(c)(e)</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+ 2.46%</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9/25/2023</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2,408</w:t>
            </w:r>
          </w:p>
        </w:tc>
        <w:tc>
          <w:tcPr>
            <w:tcW w:w="394"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SOFR + 2.72%</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(a)(b)(e)</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+ 1.91%</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9/25/2023</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31,917</w:t>
            </w:r>
          </w:p>
        </w:tc>
        <w:tc>
          <w:tcPr>
            <w:tcW w:w="394"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2.50%</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SOFR + 2.17%</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8/1/2026</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Hedge Accounting Swaps</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47,872</w:t>
            </w:r>
          </w:p>
        </w:tc>
        <w:tc>
          <w:tcPr>
            <w:tcW w:w="394"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collateral</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5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derivatives</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7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47,815</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Contains a variable rate structure. Bears interest at a rate determined by three-month LIBOR.</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Instrument is used in a hedge accounting relationship. The associated change in fair value is recorded along with the change in fair value of the hedged item within interest expense.</w:t>
      </w:r>
    </w:p>
    <w:p>
      <w:pPr>
        <w:pStyle w:val="TextBody"/>
        <w:bidi w:val="0"/>
        <w:spacing w:before="0" w:after="0"/>
        <w:jc w:val="left"/>
        <w:rPr>
          <w:rFonts w:ascii="Times New Roman" w:hAnsi="Times New Roman"/>
          <w:b w:val="false"/>
          <w:sz w:val="20"/>
        </w:rPr>
      </w:pPr>
      <w:r>
        <w:rPr>
          <w:rFonts w:ascii="Times New Roman" w:hAnsi="Times New Roman"/>
          <w:b w:val="false"/>
          <w:sz w:val="20"/>
        </w:rPr>
        <w:t>(c)</w:t>
      </w:r>
    </w:p>
    <w:p>
      <w:pPr>
        <w:pStyle w:val="TextBody"/>
        <w:bidi w:val="0"/>
        <w:spacing w:before="0" w:after="0"/>
        <w:jc w:val="left"/>
        <w:rPr/>
      </w:pPr>
      <w:r>
        <w:rPr>
          <w:rFonts w:ascii="Times New Roman;serif" w:hAnsi="Times New Roman;serif"/>
          <w:b w:val="false"/>
          <w:sz w:val="20"/>
        </w:rPr>
        <w:t>$2.5</w:t>
      </w:r>
      <w:r>
        <w:rPr/>
        <w:t xml:space="preserve"> </w:t>
      </w:r>
      <w:r>
        <w:rPr>
          <w:rFonts w:ascii="Times New Roman;serif" w:hAnsi="Times New Roman;serif"/>
          <w:b w:val="false"/>
          <w:sz w:val="20"/>
        </w:rPr>
        <w:t>million in aggregate notional value of these instruments is no longer designated as instruments in a hedge accounting relationship. The associated change in fair value of the de-designated portion is recorded within unrealized gain/(loss).</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(d)</w:t>
      </w:r>
    </w:p>
    <w:p>
      <w:pPr>
        <w:pStyle w:val="TextBody"/>
        <w:bidi w:val="0"/>
        <w:spacing w:before="0" w:after="0"/>
        <w:jc w:val="left"/>
        <w:rPr/>
      </w:pPr>
      <w:r>
        <w:rPr>
          <w:rFonts w:ascii="Times New Roman;serif" w:hAnsi="Times New Roman;serif"/>
          <w:b w:val="false"/>
          <w:sz w:val="20"/>
        </w:rPr>
        <w:t>The fair market value of this instrument is presented net with the $2.5</w:t>
      </w:r>
      <w:r>
        <w:rPr/>
        <w:t xml:space="preserve"> </w:t>
      </w:r>
      <w:r>
        <w:rPr>
          <w:rFonts w:ascii="Times New Roman;serif" w:hAnsi="Times New Roman;serif"/>
          <w:b w:val="false"/>
          <w:sz w:val="20"/>
        </w:rPr>
        <w:t xml:space="preserve">million in aggregate notional value of instruments no longer designated as instruments in a hedge accounting relationship. </w:t>
      </w:r>
    </w:p>
    <w:p>
      <w:pPr>
        <w:pStyle w:val="TextBody"/>
        <w:bidi w:val="0"/>
        <w:spacing w:before="0" w:after="0"/>
        <w:jc w:val="left"/>
        <w:rPr>
          <w:rFonts w:ascii="Times New Roman" w:hAnsi="Times New Roman"/>
          <w:b w:val="false"/>
          <w:sz w:val="20"/>
        </w:rPr>
      </w:pPr>
      <w:r>
        <w:rPr>
          <w:rFonts w:ascii="Times New Roman" w:hAnsi="Times New Roman"/>
          <w:b w:val="false"/>
          <w:sz w:val="20"/>
        </w:rPr>
        <w:t>(e)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On March 5, 2021, the U.K. Financial Conduct Authority, announced that all USD LIBOR settings will either cease publication or no longer be representative after June 30, 2023 (the “Index Cessation Event”). As part of the Index Cessation Event, each instrument bearing interest at a rate determined by reference to LIBOR (each, a “Legacy LIBOR Instrument”) referenced herein will transition to 3-month SOFR plus the relevant tenor spread adjustment effective September 25, 2023.</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portfolio company investments are subject to contractual restrictions on sales.</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b w:val="false"/>
          <w:sz w:val="20"/>
        </w:rPr>
      </w:pPr>
      <w:r>
        <w:rPr>
          <w:rFonts w:ascii="Times New Roman;serif" w:hAnsi="Times New Roman;serif"/>
          <w:b w:val="false"/>
          <w:sz w:val="20"/>
        </w:rPr>
        <w:t>The amortized cost represents the original cost adjusted for the amortization of discounts and premiums, as applicable, on debt investments using the effective interest method.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June 30, 2023.</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jc w:val="left"/>
        <w:rPr>
          <w:rFonts w:ascii="Times New Roman;serif" w:hAnsi="Times New Roman;serif"/>
          <w:b w:val="false"/>
          <w:sz w:val="20"/>
        </w:rPr>
      </w:pPr>
      <w:r>
        <w:rPr>
          <w:rFonts w:ascii="Times New Roman;serif" w:hAnsi="Times New Roman;serif"/>
          <w:b w:val="false"/>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10.0% of total assets as of June 30,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(5)</w:t>
      </w:r>
    </w:p>
    <w:p>
      <w:pPr>
        <w:pStyle w:val="TextBody"/>
        <w:bidi w:val="0"/>
        <w:spacing w:before="0" w:after="0"/>
        <w:jc w:val="left"/>
        <w:rPr/>
      </w:pPr>
      <w:r>
        <w:rPr>
          <w:rFonts w:ascii="Times New Roman;serif" w:hAnsi="Times New Roman;serif"/>
          <w:b w:val="false"/>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(6)</w:t>
      </w:r>
    </w:p>
    <w:p>
      <w:pPr>
        <w:pStyle w:val="TextBody"/>
        <w:bidi w:val="0"/>
        <w:jc w:val="left"/>
        <w:rPr>
          <w:rFonts w:ascii="Times New Roman;serif" w:hAnsi="Times New Roman;serif"/>
          <w:b w:val="false"/>
          <w:sz w:val="20"/>
        </w:rPr>
      </w:pPr>
      <w:r>
        <w:rPr>
          <w:rFonts w:ascii="Times New Roman;serif" w:hAnsi="Times New Roman;serif"/>
          <w:b w:val="false"/>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six months ended June 30, 2023 in which the Company was an Affiliated Person of and was deemed to Control a portfolio company are as follows:</w:t>
      </w:r>
    </w:p>
    <w:p>
      <w:pPr>
        <w:pStyle w:val="TextBody"/>
        <w:bidi w:val="0"/>
        <w:spacing w:before="240" w:after="0"/>
        <w:jc w:val="center"/>
        <w:rPr>
          <w:rFonts w:ascii="Times New Roman;serif" w:hAnsi="Times New Roman;serif"/>
          <w:b/>
          <w:sz w:val="20"/>
          <w:u w:val="single"/>
        </w:rPr>
      </w:pPr>
      <w:r>
        <w:rPr>
          <w:rFonts w:ascii="Times New Roman;serif" w:hAnsi="Times New Roman;serif"/>
          <w:b/>
          <w:sz w:val="20"/>
          <w:u w:val="single"/>
        </w:rPr>
        <w:t>Controlled, Affiliated Investments during the six months ended June 30, 2023</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009"/>
        <w:gridCol w:w="146"/>
        <w:gridCol w:w="205"/>
        <w:gridCol w:w="580"/>
        <w:gridCol w:w="146"/>
        <w:gridCol w:w="146"/>
        <w:gridCol w:w="229"/>
        <w:gridCol w:w="555"/>
        <w:gridCol w:w="146"/>
        <w:gridCol w:w="146"/>
        <w:gridCol w:w="294"/>
        <w:gridCol w:w="564"/>
        <w:gridCol w:w="146"/>
        <w:gridCol w:w="146"/>
        <w:gridCol w:w="226"/>
        <w:gridCol w:w="603"/>
        <w:gridCol w:w="151"/>
        <w:gridCol w:w="146"/>
        <w:gridCol w:w="245"/>
        <w:gridCol w:w="471"/>
        <w:gridCol w:w="146"/>
        <w:gridCol w:w="146"/>
        <w:gridCol w:w="237"/>
        <w:gridCol w:w="454"/>
        <w:gridCol w:w="146"/>
        <w:gridCol w:w="146"/>
        <w:gridCol w:w="181"/>
        <w:gridCol w:w="511"/>
        <w:gridCol w:w="146"/>
        <w:gridCol w:w="146"/>
        <w:gridCol w:w="270"/>
        <w:gridCol w:w="271"/>
        <w:gridCol w:w="146"/>
        <w:gridCol w:w="146"/>
        <w:gridCol w:w="181"/>
        <w:gridCol w:w="436"/>
        <w:gridCol w:w="196"/>
      </w:tblGrid>
      <w:tr>
        <w:trPr/>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Company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Fair</w:t>
              <w:br/>
              <w:t>Value at</w:t>
              <w:br/>
              <w:t>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Gross</w:t>
              <w:br/>
              <w:t>Additions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Gross</w:t>
              <w:br/>
              <w:t>Reductions</w:t>
            </w:r>
            <w:r>
              <w:rPr>
                <w:rFonts w:ascii="Times New Roman" w:hAnsi="Times New Roman"/>
                <w:sz w:val="14"/>
              </w:rPr>
              <w:t xml:space="preserve"> </w:t>
            </w:r>
            <w:r>
              <w:rPr>
                <w:rFonts w:ascii="Times New Roman;serif" w:hAnsi="Times New Roman;serif"/>
                <w:b/>
                <w:sz w:val="14"/>
              </w:rPr>
              <w:t>(b)</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Net Change</w:t>
              <w:br/>
              <w:t>In Unrealized</w:t>
              <w:br/>
              <w:t>Gain/(Loss)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Realized</w:t>
              <w:br/>
              <w:t>Gain/(Loss)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Transfers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Fair</w:t>
              <w:br/>
              <w:t>Value at</w:t>
              <w:b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Other</w:t>
              <w:b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w:t>
              <w:br/>
              <w:t>Income</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0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IRGSE Holding Corp.</w:t>
            </w:r>
          </w:p>
        </w:tc>
        <w:tc>
          <w:tcPr>
            <w:tcW w:w="146" w:type="dxa"/>
            <w:tcBorders/>
            <w:vAlign w:val="center"/>
          </w:tcPr>
          <w:p>
            <w:pPr>
              <w:pStyle w:val="TableContents"/>
              <w:bidi w:val="0"/>
              <w:spacing w:before="0" w:after="0"/>
              <w:ind w:left="0" w:right="0" w:hanging="0"/>
              <w:jc w:val="righ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70,755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(8,987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66,654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3,570</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9"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70,755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4,886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(8,987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4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66,654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3,570</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Gross additions include increases in the cost basis of investments resulting from new investments, payment-in-kind interest or dividends, the amortization of any unearned income or discounts on debt investments, as applicable. </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 </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(7)</w:t>
      </w:r>
    </w:p>
    <w:p>
      <w:pPr>
        <w:pStyle w:val="TextBody"/>
        <w:bidi w:val="0"/>
        <w:spacing w:before="0" w:after="0"/>
        <w:jc w:val="left"/>
        <w:rPr/>
      </w:pPr>
      <w:r>
        <w:rPr>
          <w:rFonts w:ascii="Times New Roman;serif" w:hAnsi="Times New Roman;serif"/>
          <w:b w:val="false"/>
          <w:sz w:val="20"/>
        </w:rPr>
        <w:t>As of June 30, 2023, the estimated cost basis of investments for U.S. federal tax purposes was $3,079,332, resulting in estimated gross unrealized gains and losses of $124,352</w:t>
      </w:r>
      <w:r>
        <w:rPr/>
        <w:t xml:space="preserve"> </w:t>
      </w:r>
      <w:r>
        <w:rPr>
          <w:rFonts w:ascii="Times New Roman;serif" w:hAnsi="Times New Roman;serif"/>
          <w:b w:val="false"/>
          <w:sz w:val="20"/>
        </w:rPr>
        <w:t>and $114,625, respectively.</w:t>
      </w:r>
    </w:p>
    <w:p>
      <w:pPr>
        <w:pStyle w:val="TextBody"/>
        <w:bidi w:val="0"/>
        <w:spacing w:before="0" w:after="0"/>
        <w:jc w:val="left"/>
        <w:rPr>
          <w:rFonts w:ascii="Times New Roman" w:hAnsi="Times New Roman"/>
          <w:b w:val="false"/>
          <w:sz w:val="20"/>
        </w:rPr>
      </w:pPr>
      <w:r>
        <w:rPr>
          <w:rFonts w:ascii="Times New Roman" w:hAnsi="Times New Roman"/>
          <w:b w:val="false"/>
          <w:sz w:val="20"/>
        </w:rPr>
        <w:t>(8)</w:t>
      </w:r>
    </w:p>
    <w:p>
      <w:pPr>
        <w:pStyle w:val="TextBody"/>
        <w:bidi w:val="0"/>
        <w:spacing w:before="0" w:after="0"/>
        <w:jc w:val="left"/>
        <w:rPr/>
      </w:pPr>
      <w:r>
        <w:rPr>
          <w:rFonts w:ascii="Times New Roman;serif" w:hAnsi="Times New Roman;serif"/>
          <w:b w:val="false"/>
          <w:sz w:val="20"/>
        </w:rPr>
        <w:t xml:space="preserve">In accordance with Financial Accounting Standards Board Accounting Standards Codification Topic 820, </w:t>
      </w:r>
      <w:r>
        <w:rPr>
          <w:rFonts w:ascii="Times New Roman;serif" w:hAnsi="Times New Roman;serif"/>
          <w:b w:val="false"/>
          <w:i/>
          <w:sz w:val="20"/>
        </w:rPr>
        <w:t>Fair Value Measurements</w:t>
      </w:r>
      <w:r>
        <w:rPr/>
        <w:t xml:space="preserve"> </w:t>
      </w:r>
      <w:r>
        <w:rPr>
          <w:rFonts w:ascii="Times New Roman;serif" w:hAnsi="Times New Roman;serif"/>
          <w:b w:val="false"/>
          <w:sz w:val="20"/>
        </w:rPr>
        <w:t>(“ASC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b w:val="false"/>
          <w:sz w:val="20"/>
        </w:rPr>
      </w:pPr>
      <w:r>
        <w:rPr>
          <w:rFonts w:ascii="Times New Roman" w:hAnsi="Times New Roman"/>
          <w:b w:val="false"/>
          <w:sz w:val="20"/>
        </w:rPr>
        <w:t>(9)</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investment is valued using observable inputs and is considered a Level 2 investment. See Note 6 for further information related to investments at fair value.</w:t>
      </w:r>
    </w:p>
    <w:p>
      <w:pPr>
        <w:pStyle w:val="TextBody"/>
        <w:bidi w:val="0"/>
        <w:spacing w:before="0" w:after="0"/>
        <w:jc w:val="left"/>
        <w:rPr>
          <w:rFonts w:ascii="Times New Roman" w:hAnsi="Times New Roman"/>
          <w:b w:val="false"/>
          <w:sz w:val="20"/>
        </w:rPr>
      </w:pPr>
      <w:r>
        <w:rPr>
          <w:rFonts w:ascii="Times New Roman" w:hAnsi="Times New Roman"/>
          <w:b w:val="false"/>
          <w:sz w:val="20"/>
        </w:rPr>
        <w:t>(10)</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investment is valued using observable inputs and is considered a Level 1 investment. See Note 6 for further information related to investments at fair value.</w:t>
      </w:r>
    </w:p>
    <w:p>
      <w:pPr>
        <w:pStyle w:val="TextBody"/>
        <w:bidi w:val="0"/>
        <w:spacing w:before="0" w:after="0"/>
        <w:jc w:val="left"/>
        <w:rPr>
          <w:rFonts w:ascii="Times New Roman" w:hAnsi="Times New Roman"/>
          <w:b w:val="false"/>
          <w:sz w:val="20"/>
        </w:rPr>
      </w:pPr>
      <w:r>
        <w:rPr>
          <w:rFonts w:ascii="Times New Roman" w:hAnsi="Times New Roman"/>
          <w:b w:val="false"/>
          <w:sz w:val="20"/>
        </w:rPr>
        <w:t>(11)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investment is non-income producing.</w:t>
      </w:r>
    </w:p>
    <w:p>
      <w:pPr>
        <w:pStyle w:val="TextBody"/>
        <w:bidi w:val="0"/>
        <w:spacing w:before="0" w:after="0"/>
        <w:jc w:val="left"/>
        <w:rPr>
          <w:rFonts w:ascii="Times New Roman" w:hAnsi="Times New Roman"/>
          <w:b w:val="false"/>
          <w:sz w:val="20"/>
        </w:rPr>
      </w:pPr>
      <w:r>
        <w:rPr>
          <w:rFonts w:ascii="Times New Roman" w:hAnsi="Times New Roman"/>
          <w:b w:val="false"/>
          <w:sz w:val="20"/>
        </w:rPr>
        <w:t>(12)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All or a portion of this security was acquired in a transaction exempt from registration under the Securities Act of 1933, and may be deemed to be “restricted securities” under the Securities Act. As of June 30, 2023, the aggregate fair value of these securities is $16,423, or 1.1% of the Company’s net assets.</w:t>
      </w:r>
    </w:p>
    <w:p>
      <w:pPr>
        <w:pStyle w:val="TextBody"/>
        <w:bidi w:val="0"/>
        <w:spacing w:before="0" w:after="0"/>
        <w:jc w:val="left"/>
        <w:rPr>
          <w:rFonts w:ascii="Times New Roman" w:hAnsi="Times New Roman"/>
          <w:b w:val="false"/>
          <w:sz w:val="20"/>
        </w:rPr>
      </w:pPr>
      <w:r>
        <w:rPr>
          <w:rFonts w:ascii="Times New Roman" w:hAnsi="Times New Roman"/>
          <w:b w:val="false"/>
          <w:sz w:val="20"/>
        </w:rPr>
        <w:t>(13)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Ownership of equity investments may occur through a holding company or partnership.</w:t>
      </w:r>
    </w:p>
    <w:p>
      <w:pPr>
        <w:pStyle w:val="TextBody"/>
        <w:bidi w:val="0"/>
        <w:spacing w:before="0" w:after="0"/>
        <w:jc w:val="left"/>
        <w:rPr>
          <w:rFonts w:ascii="Times New Roman" w:hAnsi="Times New Roman"/>
          <w:b w:val="false"/>
          <w:sz w:val="20"/>
        </w:rPr>
      </w:pPr>
      <w:r>
        <w:rPr>
          <w:rFonts w:ascii="Times New Roman" w:hAnsi="Times New Roman"/>
          <w:b w:val="false"/>
          <w:sz w:val="20"/>
        </w:rPr>
        <w:t>(14)</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Investment is on non-accrual status as of June 30, 2023. </w:t>
      </w:r>
    </w:p>
    <w:p>
      <w:pPr>
        <w:pStyle w:val="TextBody"/>
        <w:bidi w:val="0"/>
        <w:spacing w:before="0" w:after="0"/>
        <w:jc w:val="left"/>
        <w:rPr>
          <w:rFonts w:ascii="Times New Roman" w:hAnsi="Times New Roman"/>
          <w:b w:val="false"/>
          <w:sz w:val="20"/>
        </w:rPr>
      </w:pPr>
      <w:r>
        <w:rPr>
          <w:rFonts w:ascii="Times New Roman" w:hAnsi="Times New Roman"/>
          <w:b w:val="false"/>
          <w:sz w:val="20"/>
        </w:rPr>
        <w:t>(15)</w:t>
      </w:r>
    </w:p>
    <w:p>
      <w:pPr>
        <w:pStyle w:val="TextBody"/>
        <w:bidi w:val="0"/>
        <w:jc w:val="left"/>
        <w:rPr/>
      </w:pPr>
      <w:r>
        <w:rPr>
          <w:rFonts w:ascii="Times New Roman;serif" w:hAnsi="Times New Roman;serif"/>
          <w:b w:val="false"/>
          <w:sz w:val="20"/>
        </w:rPr>
        <w:t>In addition to the principal amount outstanding and accrued interest owed on this investment, the Company is entitled to a separate Make-Whole Amount (the “Make-Whole”) of $10.9</w:t>
      </w:r>
      <w:r>
        <w:rPr/>
        <w:t xml:space="preserve"> </w:t>
      </w:r>
      <w:r>
        <w:rPr>
          <w:rFonts w:ascii="Times New Roman;serif" w:hAnsi="Times New Roman;serif"/>
          <w:b w:val="false"/>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bidi w:val="0"/>
        <w:spacing w:before="12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Sixth Street Specialty Lending, Inc.</w:t>
      </w:r>
    </w:p>
    <w:p>
      <w:pPr>
        <w:pStyle w:val="TextBody"/>
        <w:bidi w:val="0"/>
        <w:spacing w:before="240" w:after="0"/>
        <w:jc w:val="center"/>
        <w:rPr>
          <w:rFonts w:ascii="Times New Roman;serif" w:hAnsi="Times New Roman;serif"/>
          <w:b/>
          <w:sz w:val="20"/>
        </w:rPr>
      </w:pPr>
      <w:r>
        <w:rPr>
          <w:rFonts w:ascii="Times New Roman;serif" w:hAnsi="Times New Roman;serif"/>
          <w:b/>
          <w:sz w:val="20"/>
        </w:rPr>
        <w:t>Consolidated Schedule of Investments as of December 31, 2022</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amounts)</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187"/>
        <w:gridCol w:w="146"/>
        <w:gridCol w:w="1820"/>
        <w:gridCol w:w="146"/>
        <w:gridCol w:w="796"/>
        <w:gridCol w:w="146"/>
        <w:gridCol w:w="774"/>
        <w:gridCol w:w="146"/>
        <w:gridCol w:w="977"/>
        <w:gridCol w:w="146"/>
        <w:gridCol w:w="181"/>
        <w:gridCol w:w="721"/>
        <w:gridCol w:w="146"/>
        <w:gridCol w:w="181"/>
        <w:gridCol w:w="707"/>
        <w:gridCol w:w="146"/>
        <w:gridCol w:w="839"/>
      </w:tblGrid>
      <w:tr>
        <w:trPr/>
        <w:tc>
          <w:tcPr>
            <w:tcW w:w="21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39" w:type="dxa"/>
            <w:tcBorders/>
            <w:shd w:fill="FFFFFF" w:val="clear"/>
            <w:vAlign w:val="center"/>
          </w:tcPr>
          <w:p>
            <w:pPr>
              <w:pStyle w:val="TableContents"/>
              <w:bidi w:val="0"/>
              <w:spacing w:before="0" w:after="283"/>
              <w:jc w:val="left"/>
              <w:rPr>
                <w:sz w:val="4"/>
                <w:szCs w:val="4"/>
              </w:rPr>
            </w:pPr>
            <w:r>
              <w:rPr>
                <w:sz w:val="4"/>
                <w:szCs w:val="4"/>
              </w:rPr>
            </w:r>
          </w:p>
        </w:tc>
      </w:tr>
      <w:tr>
        <w:trPr/>
        <w:tc>
          <w:tcPr>
            <w:tcW w:w="2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9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r>
      <w:tr>
        <w:trPr/>
        <w:tc>
          <w:tcPr>
            <w:tcW w:w="21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Debt Investments</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Automotive</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Carlstar Group, LLC</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($33,575</w:t>
            </w:r>
            <w:r>
              <w:rPr>
                <w:rFonts w:ascii="Times New Roman" w:hAnsi="Times New Roman"/>
                <w:sz w:val="20"/>
              </w:rPr>
              <w:t> </w:t>
            </w:r>
            <w:r>
              <w:rPr>
                <w:rFonts w:ascii="Times New Roman;serif" w:hAnsi="Times New Roman;serif"/>
                <w:b w:val="false"/>
                <w:sz w:val="14"/>
              </w:rPr>
              <w:t>par, due 7/2027)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32,739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33,049</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w:t>
            </w:r>
          </w:p>
        </w:tc>
      </w:tr>
      <w:tr>
        <w:trPr/>
        <w:tc>
          <w:tcPr>
            <w:tcW w:w="21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Business services</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Acceo Solutions, Inc.</w:t>
            </w:r>
            <w:r>
              <w:rPr>
                <w:rFonts w:ascii="Times New Roman" w:hAnsi="Times New Roman"/>
                <w:sz w:val="14"/>
              </w:rPr>
              <w:t> </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(CAD 57,353</w:t>
            </w:r>
            <w:r>
              <w:rPr>
                <w:rFonts w:ascii="Times New Roman" w:hAnsi="Times New Roman"/>
                <w:sz w:val="20"/>
              </w:rPr>
              <w:t> </w:t>
            </w:r>
            <w:r>
              <w:rPr>
                <w:rFonts w:ascii="Times New Roman;serif" w:hAnsi="Times New Roman;serif"/>
                <w:b w:val="false"/>
                <w:sz w:val="14"/>
              </w:rPr>
              <w:t>par, due 10/2025)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7/6/2018</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C + 4.75%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43,241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14"/>
              </w:rPr>
              <w:t>42,540</w:t>
            </w:r>
            <w:r>
              <w:rPr>
                <w:rFonts w:ascii="Times New Roman" w:hAnsi="Times New Roman"/>
                <w:sz w:val="20"/>
              </w:rPr>
              <w:t> </w:t>
            </w:r>
            <w:r>
              <w:rPr>
                <w:rFonts w:ascii="Times New Roman;serif" w:hAnsi="Times New Roman;serif"/>
                <w:b w:val="false"/>
                <w:sz w:val="14"/>
              </w:rPr>
              <w:br/>
              <w:t>(CAD 57,640)</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Alpha Midco,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($68,720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8/2025)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8/15/2019</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+ 7.63%</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67,831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69,242</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Dye &amp; Durham Corp.</w:t>
            </w:r>
            <w:r>
              <w:rPr>
                <w:rFonts w:ascii="Times New Roman" w:hAnsi="Times New Roman"/>
                <w:sz w:val="14"/>
              </w:rPr>
              <w:t> </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(CAD 34,220</w:t>
            </w:r>
            <w:r>
              <w:rPr>
                <w:rFonts w:ascii="Times New Roman" w:hAnsi="Times New Roman"/>
                <w:sz w:val="20"/>
              </w:rPr>
              <w:t> </w:t>
            </w:r>
            <w:r>
              <w:rPr>
                <w:rFonts w:ascii="Times New Roman;serif" w:hAnsi="Times New Roman;serif"/>
                <w:b w:val="false"/>
                <w:sz w:val="14"/>
              </w:rPr>
              <w:t>par, due 12/2027)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C + 5.75%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25,076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24,113</w:t>
              <w:br/>
              <w:t>(CAD 32,672)</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(CAD 1,448</w:t>
            </w:r>
            <w:r>
              <w:rPr>
                <w:rFonts w:ascii="Times New Roman" w:hAnsi="Times New Roman"/>
                <w:sz w:val="20"/>
              </w:rPr>
              <w:t> </w:t>
            </w:r>
            <w:r>
              <w:rPr>
                <w:rFonts w:ascii="Times New Roman;serif" w:hAnsi="Times New Roman;serif"/>
                <w:b w:val="false"/>
                <w:sz w:val="14"/>
              </w:rPr>
              <w:t>par, due 12/2026)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P + 6.75%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1,069</w:t>
              <w:br/>
              <w:t>(CAD 1,448)</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ExtraHop Networks, Inc.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($57,950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7/2027)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7/22/2021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+ 7.50%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56,812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56,791</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ForeScout Technologies,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($2,606</w:t>
            </w:r>
            <w:r>
              <w:rPr>
                <w:rFonts w:ascii="Times New Roman" w:hAnsi="Times New Roman"/>
                <w:sz w:val="20"/>
              </w:rPr>
              <w:t> </w:t>
            </w:r>
            <w:r>
              <w:rPr>
                <w:rFonts w:ascii="Times New Roman;serif" w:hAnsi="Times New Roman;serif"/>
                <w:b w:val="false"/>
                <w:sz w:val="14"/>
              </w:rPr>
              <w:t>par, due 8/2026)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+ 9.00%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13.72% (incl. 9.00% PIK)</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2,533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2,489</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($6,502</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8/2026)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8/17/2020</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+ 9.50%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14.23% (incl. 9.50% PIK)</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6,412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6,421</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0.5%</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Hornetsecurity Holding GmbH</w:t>
            </w:r>
            <w:r>
              <w:rPr>
                <w:rFonts w:ascii="Times New Roman" w:hAnsi="Times New Roman"/>
                <w:sz w:val="14"/>
              </w:rPr>
              <w:t> </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3,150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11/2029)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11/14/2022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+ 6.50%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3,140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3,213</w:t>
              <w:br/>
              <w:t>(EUR 3,011)</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Information Clearinghouse, LLC and MS Market Service,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($17,820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12/2026)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12/20/2021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17,433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17,375</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Mitnick Corporate Purchaser, Inc.</w:t>
            </w:r>
            <w:r>
              <w:rPr>
                <w:rFonts w:ascii="Times New Roman" w:hAnsi="Times New Roman"/>
                <w:sz w:val="14"/>
              </w:rPr>
              <w:t> </w:t>
            </w:r>
            <w:r>
              <w:rPr>
                <w:rFonts w:ascii="Times New Roman;serif" w:hAnsi="Times New Roman;serif"/>
                <w:b w:val="false"/>
                <w:sz w:val="9"/>
              </w:rPr>
              <w:t>(3)(10)</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($333</w:t>
            </w:r>
            <w:r>
              <w:rPr>
                <w:rFonts w:ascii="Times New Roman" w:hAnsi="Times New Roman"/>
                <w:sz w:val="20"/>
              </w:rPr>
              <w:t> </w:t>
            </w:r>
            <w:r>
              <w:rPr>
                <w:rFonts w:ascii="Times New Roman;serif" w:hAnsi="Times New Roman;serif"/>
                <w:b w:val="false"/>
                <w:sz w:val="14"/>
              </w:rPr>
              <w:t>par, due 5/2029)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+ 4.85%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311</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Netwrix Corp.</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($36,119</w:t>
            </w:r>
            <w:r>
              <w:rPr>
                <w:rFonts w:ascii="Times New Roman" w:hAnsi="Times New Roman"/>
                <w:sz w:val="20"/>
              </w:rPr>
              <w:t> </w:t>
            </w:r>
            <w:r>
              <w:rPr>
                <w:rFonts w:ascii="Times New Roman;serif" w:hAnsi="Times New Roman;serif"/>
                <w:b w:val="false"/>
                <w:sz w:val="14"/>
              </w:rPr>
              <w:t>par, due 6/2029)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+ 5.00%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35,515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35,119</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OutSystems Luxco SARL</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3,004</w:t>
            </w:r>
            <w:r>
              <w:rPr>
                <w:rFonts w:ascii="Times New Roman" w:hAnsi="Times New Roman"/>
                <w:sz w:val="20"/>
              </w:rPr>
              <w:t> </w:t>
            </w:r>
            <w:r>
              <w:rPr>
                <w:rFonts w:ascii="Times New Roman;serif" w:hAnsi="Times New Roman;serif"/>
                <w:b w:val="false"/>
                <w:sz w:val="14"/>
              </w:rPr>
              <w:t>par, due 12/2028)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+ 5.75%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7.74%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3,060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3,112</w:t>
              <w:br/>
              <w:t>(EUR 2,916)</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ReliaQuest Holdings,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($63,477</w:t>
            </w:r>
            <w:r>
              <w:rPr>
                <w:rFonts w:ascii="Times New Roman" w:hAnsi="Times New Roman"/>
                <w:sz w:val="20"/>
              </w:rPr>
              <w:t> </w:t>
            </w:r>
            <w:r>
              <w:rPr>
                <w:rFonts w:ascii="Times New Roman;serif" w:hAnsi="Times New Roman;serif"/>
                <w:b w:val="false"/>
                <w:sz w:val="14"/>
              </w:rPr>
              <w:t>par, due 10/2026)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10/8/2020</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62,411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63,477</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TIBCO Software Inc. </w:t>
            </w:r>
            <w:r>
              <w:rPr>
                <w:rFonts w:ascii="Times New Roman;serif" w:hAnsi="Times New Roman;serif"/>
                <w:b w:val="false"/>
                <w:sz w:val="9"/>
              </w:rPr>
              <w:t>(10)</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note ($13,000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3/2029)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9/20/2022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10,924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10,944</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First-lien loan ($12,000</w:t>
            </w:r>
            <w:r>
              <w:rPr>
                <w:rFonts w:ascii="Times New Roman" w:hAnsi="Times New Roman"/>
                <w:sz w:val="14"/>
              </w:rPr>
              <w:t> </w:t>
            </w:r>
            <w:r>
              <w:rPr>
                <w:rFonts w:ascii="Times New Roman;serif" w:hAnsi="Times New Roman;serif"/>
                <w:b w:val="false"/>
                <w:sz w:val="14"/>
              </w:rPr>
              <w:t>par, due 3/2029)</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9/20/2022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+ 4.60%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10,947</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10,680</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WideOrbit, Inc.</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($35,548</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7/2025)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7/8/2020</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+ 8.50%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12.88%</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35,213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36,347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381,976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383,243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28.5%</w:t>
            </w:r>
          </w:p>
        </w:tc>
      </w:tr>
      <w:tr>
        <w:trPr/>
        <w:tc>
          <w:tcPr>
            <w:tcW w:w="21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Chemicals</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Erling Lux Bidco SARL</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7,239</w:t>
            </w:r>
            <w:r>
              <w:rPr>
                <w:rFonts w:ascii="Times New Roman" w:hAnsi="Times New Roman"/>
                <w:sz w:val="20"/>
              </w:rPr>
              <w:t> </w:t>
            </w:r>
            <w:r>
              <w:rPr>
                <w:rFonts w:ascii="Times New Roman;serif" w:hAnsi="Times New Roman;serif"/>
                <w:b w:val="false"/>
                <w:sz w:val="14"/>
              </w:rPr>
              <w:t>par, due 9/2028)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+ 6.75%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6,908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7,326</w:t>
              <w:br/>
              <w:t>(EUR 6,864)</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0.5%</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(GBP 10,217</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9/2028)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 + 6.75%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10.20%</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11,922</w:t>
              <w:br/>
              <w:t>(GBP 9,911)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0.9%</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18,153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r>
      <w:tr>
        <w:trPr/>
        <w:tc>
          <w:tcPr>
            <w:tcW w:w="21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Communications</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Celtra Technologies,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($34,650</w:t>
            </w:r>
            <w:r>
              <w:rPr>
                <w:rFonts w:ascii="Times New Roman" w:hAnsi="Times New Roman"/>
                <w:sz w:val="20"/>
              </w:rPr>
              <w:t> </w:t>
            </w:r>
            <w:r>
              <w:rPr>
                <w:rFonts w:ascii="Times New Roman;serif" w:hAnsi="Times New Roman;serif"/>
                <w:b w:val="false"/>
                <w:sz w:val="14"/>
              </w:rPr>
              <w:t>par, due 11/2026)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11/19/2021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+ 7.00%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33,764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33,264</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w:t>
            </w:r>
          </w:p>
        </w:tc>
      </w:tr>
      <w:tr>
        <w:trPr/>
        <w:tc>
          <w:tcPr>
            <w:tcW w:w="218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IntelePeer Holdings, Inc.</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First-lien loan ($34,677</w:t>
            </w:r>
            <w:r>
              <w:rPr>
                <w:rFonts w:ascii="Times New Roman" w:hAnsi="Times New Roman"/>
                <w:sz w:val="14"/>
              </w:rPr>
              <w:t> </w:t>
            </w:r>
            <w:r>
              <w:rPr>
                <w:rFonts w:ascii="Times New Roman;serif" w:hAnsi="Times New Roman;serif"/>
                <w:b w:val="false"/>
                <w:sz w:val="14"/>
              </w:rPr>
              <w:t xml:space="preserve">par, due 12/2024)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12/2/2019</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+ 8.25%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34,633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33,983</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Convertible note ($4,382</w:t>
            </w:r>
            <w:r>
              <w:rPr>
                <w:rFonts w:ascii="Times New Roman" w:hAnsi="Times New Roman"/>
                <w:sz w:val="20"/>
              </w:rPr>
              <w:t> </w:t>
            </w:r>
            <w:r>
              <w:rPr>
                <w:rFonts w:ascii="Times New Roman;serif" w:hAnsi="Times New Roman;serif"/>
                <w:b w:val="false"/>
                <w:sz w:val="14"/>
              </w:rPr>
              <w:t>par, due 5/2028)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5/12/2021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 PIK</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72,747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71,487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w:t>
            </w:r>
          </w:p>
        </w:tc>
      </w:tr>
      <w:tr>
        <w:trPr/>
        <w:tc>
          <w:tcPr>
            <w:tcW w:w="21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Education</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Astra Acquisition Corp.</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Second-lien loan ($43,479</w:t>
            </w:r>
            <w:r>
              <w:rPr>
                <w:rFonts w:ascii="Times New Roman" w:hAnsi="Times New Roman"/>
                <w:sz w:val="20"/>
              </w:rPr>
              <w:t> </w:t>
            </w:r>
            <w:r>
              <w:rPr>
                <w:rFonts w:ascii="Times New Roman;serif" w:hAnsi="Times New Roman;serif"/>
                <w:b w:val="false"/>
                <w:sz w:val="14"/>
              </w:rPr>
              <w:t>par, due 10/2029)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10/25/2021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+ 8.88%</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42,743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40,762</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Destiny Solutions Parent Holding Company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($60,000</w:t>
            </w:r>
            <w:r>
              <w:rPr>
                <w:rFonts w:ascii="Times New Roman" w:hAnsi="Times New Roman"/>
                <w:sz w:val="20"/>
              </w:rPr>
              <w:t> </w:t>
            </w:r>
            <w:r>
              <w:rPr>
                <w:rFonts w:ascii="Times New Roman;serif" w:hAnsi="Times New Roman;serif"/>
                <w:b w:val="false"/>
                <w:sz w:val="14"/>
              </w:rPr>
              <w:t>par, due 6/2026)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+ 5.75%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59,046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58,350</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EMS Linq,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($56,216</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12/2027)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12/22/2021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10.63%</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55,103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53,291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156,892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152,403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w:t>
            </w:r>
          </w:p>
        </w:tc>
      </w:tr>
      <w:tr>
        <w:trPr/>
        <w:tc>
          <w:tcPr>
            <w:tcW w:w="21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Financial Services</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BTRS Holdings, Inc.</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($45,180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12/2028)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12/16/2022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+ 8.00%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43,688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43,465</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Bear OpCo,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($20,169</w:t>
            </w:r>
            <w:r>
              <w:rPr>
                <w:rFonts w:ascii="Times New Roman" w:hAnsi="Times New Roman"/>
                <w:sz w:val="20"/>
              </w:rPr>
              <w:t> </w:t>
            </w:r>
            <w:r>
              <w:rPr>
                <w:rFonts w:ascii="Times New Roman;serif" w:hAnsi="Times New Roman;serif"/>
                <w:b w:val="false"/>
                <w:sz w:val="14"/>
              </w:rPr>
              <w:t>par, due 10/2024)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10/10/2019</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+ 7.65%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11.97%</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19,953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20,169</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BlueSnap,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($42,000</w:t>
            </w:r>
            <w:r>
              <w:rPr>
                <w:rFonts w:ascii="Times New Roman" w:hAnsi="Times New Roman"/>
                <w:sz w:val="20"/>
              </w:rPr>
              <w:t> </w:t>
            </w:r>
            <w:r>
              <w:rPr>
                <w:rFonts w:ascii="Times New Roman;serif" w:hAnsi="Times New Roman;serif"/>
                <w:b w:val="false"/>
                <w:sz w:val="14"/>
              </w:rPr>
              <w:t>par, due 10/2024)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10/25/2019</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+ 6.75%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41,646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41,889</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G Treasury SS,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($65,859</w:t>
            </w:r>
            <w:r>
              <w:rPr>
                <w:rFonts w:ascii="Times New Roman" w:hAnsi="Times New Roman"/>
                <w:sz w:val="20"/>
              </w:rPr>
              <w:t> </w:t>
            </w:r>
            <w:r>
              <w:rPr>
                <w:rFonts w:ascii="Times New Roman;serif" w:hAnsi="Times New Roman;serif"/>
                <w:b w:val="false"/>
                <w:sz w:val="14"/>
              </w:rPr>
              <w:t>par, due 4/2024)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4/9/2018</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+ 8.40%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65,709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65,859</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Ibis Intermediate Co.</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($1,526</w:t>
            </w:r>
            <w:r>
              <w:rPr>
                <w:rFonts w:ascii="Times New Roman" w:hAnsi="Times New Roman"/>
                <w:sz w:val="20"/>
              </w:rPr>
              <w:t> </w:t>
            </w:r>
            <w:r>
              <w:rPr>
                <w:rFonts w:ascii="Times New Roman;serif" w:hAnsi="Times New Roman;serif"/>
                <w:b w:val="false"/>
                <w:sz w:val="14"/>
              </w:rPr>
              <w:t>par, due 5/2027)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5/28/2021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+ 5.00%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1,416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1,565</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Ibis US Blocker Co.</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($13,957</w:t>
            </w:r>
            <w:r>
              <w:rPr>
                <w:rFonts w:ascii="Times New Roman" w:hAnsi="Times New Roman"/>
                <w:sz w:val="20"/>
              </w:rPr>
              <w:t> </w:t>
            </w:r>
            <w:r>
              <w:rPr>
                <w:rFonts w:ascii="Times New Roman;serif" w:hAnsi="Times New Roman;serif"/>
                <w:b w:val="false"/>
                <w:sz w:val="14"/>
              </w:rPr>
              <w:t>par, due 5/2028)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5/28/2021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+ 8.25%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12.98% PIK</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13,713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13,643</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Jonas Collections and Recovery,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($19,125</w:t>
            </w:r>
            <w:r>
              <w:rPr>
                <w:rFonts w:ascii="Times New Roman" w:hAnsi="Times New Roman"/>
                <w:sz w:val="20"/>
              </w:rPr>
              <w:t> </w:t>
            </w:r>
            <w:r>
              <w:rPr>
                <w:rFonts w:ascii="Times New Roman;serif" w:hAnsi="Times New Roman;serif"/>
                <w:b w:val="false"/>
                <w:sz w:val="14"/>
              </w:rPr>
              <w:t>par, due 6/2026)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6/21/2021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+ 5.25%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18,832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18,790</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Kyriba Corp.</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($19,051</w:t>
            </w:r>
            <w:r>
              <w:rPr>
                <w:rFonts w:ascii="Times New Roman" w:hAnsi="Times New Roman"/>
                <w:sz w:val="20"/>
              </w:rPr>
              <w:t> </w:t>
            </w:r>
            <w:r>
              <w:rPr>
                <w:rFonts w:ascii="Times New Roman;serif" w:hAnsi="Times New Roman;serif"/>
                <w:b w:val="false"/>
                <w:sz w:val="14"/>
              </w:rPr>
              <w:t>par, due 4/2025)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4/9/2019</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+ 9.00%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13.73% (incl. 9.00% PIK)</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18,870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19,147</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9,924</w:t>
            </w:r>
            <w:r>
              <w:rPr>
                <w:rFonts w:ascii="Times New Roman" w:hAnsi="Times New Roman"/>
                <w:sz w:val="20"/>
              </w:rPr>
              <w:t> </w:t>
            </w:r>
            <w:r>
              <w:rPr>
                <w:rFonts w:ascii="Times New Roman;serif" w:hAnsi="Times New Roman;serif"/>
                <w:b w:val="false"/>
                <w:sz w:val="14"/>
              </w:rPr>
              <w:t>par, due 4/2025)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4/9/2019</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+ 9.00%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11.20% (incl. 9.00% PIK)</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11,004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10,645</w:t>
              <w:br/>
              <w:t>(EUR 9,974)</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($1,411</w:t>
            </w:r>
            <w:r>
              <w:rPr>
                <w:rFonts w:ascii="Times New Roman" w:hAnsi="Times New Roman"/>
                <w:sz w:val="20"/>
              </w:rPr>
              <w:t> </w:t>
            </w:r>
            <w:r>
              <w:rPr>
                <w:rFonts w:ascii="Times New Roman;serif" w:hAnsi="Times New Roman;serif"/>
                <w:b w:val="false"/>
                <w:sz w:val="14"/>
              </w:rPr>
              <w:t>par, due 4/2025)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4/9/2019</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+ 7.25%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1,418</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(EUR 336</w:t>
            </w:r>
            <w:r>
              <w:rPr>
                <w:rFonts w:ascii="Times New Roman" w:hAnsi="Times New Roman"/>
                <w:sz w:val="20"/>
              </w:rPr>
              <w:t> </w:t>
            </w:r>
            <w:r>
              <w:rPr>
                <w:rFonts w:ascii="Times New Roman;serif" w:hAnsi="Times New Roman;serif"/>
                <w:b w:val="false"/>
                <w:sz w:val="14"/>
              </w:rPr>
              <w:t>par, due 4/2025)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4/9/2019</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+ 7.25%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358</w:t>
              <w:br/>
              <w:t>(EUR 336)</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Passport Labs,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($23,390</w:t>
            </w:r>
            <w:r>
              <w:rPr>
                <w:rFonts w:ascii="Times New Roman" w:hAnsi="Times New Roman"/>
                <w:sz w:val="20"/>
              </w:rPr>
              <w:t> </w:t>
            </w:r>
            <w:r>
              <w:rPr>
                <w:rFonts w:ascii="Times New Roman;serif" w:hAnsi="Times New Roman;serif"/>
                <w:b w:val="false"/>
                <w:sz w:val="14"/>
              </w:rPr>
              <w:t>par, due 4/2026)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4/28/2021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+ 8.25%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12.58% (incl. 4.125% PIK)</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23,169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22,783</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Ping Identity Holding Corp.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($22,727</w:t>
            </w:r>
            <w:r>
              <w:rPr>
                <w:rFonts w:ascii="Times New Roman" w:hAnsi="Times New Roman"/>
                <w:sz w:val="20"/>
              </w:rPr>
              <w:t> </w:t>
            </w:r>
            <w:r>
              <w:rPr>
                <w:rFonts w:ascii="Times New Roman;serif" w:hAnsi="Times New Roman;serif"/>
                <w:b w:val="false"/>
                <w:sz w:val="14"/>
              </w:rPr>
              <w:t>par, due 10/2029)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10/17/2022</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+ 7.00%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22,116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21,977</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PrimeRevenue,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($22,507</w:t>
            </w:r>
            <w:r>
              <w:rPr>
                <w:rFonts w:ascii="Times New Roman" w:hAnsi="Times New Roman"/>
                <w:sz w:val="20"/>
              </w:rPr>
              <w:t> </w:t>
            </w:r>
            <w:r>
              <w:rPr>
                <w:rFonts w:ascii="Times New Roman;serif" w:hAnsi="Times New Roman;serif"/>
                <w:b w:val="false"/>
                <w:sz w:val="14"/>
              </w:rPr>
              <w:t>par, due 12/2023)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12/31/2018</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+ 7.00%</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22,434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22,507</w:t>
            </w:r>
          </w:p>
        </w:tc>
        <w:tc>
          <w:tcPr>
            <w:tcW w:w="14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r>
      <w:tr>
        <w:trPr/>
        <w:tc>
          <w:tcPr>
            <w:tcW w:w="21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TradingScreen,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($44,663</w:t>
            </w:r>
            <w:r>
              <w:rPr>
                <w:rFonts w:ascii="Times New Roman" w:hAnsi="Times New Roman"/>
                <w:sz w:val="20"/>
              </w:rPr>
              <w:t> </w:t>
            </w:r>
            <w:r>
              <w:rPr>
                <w:rFonts w:ascii="Times New Roman;serif" w:hAnsi="Times New Roman;serif"/>
                <w:b w:val="false"/>
                <w:sz w:val="14"/>
              </w:rPr>
              <w:t>par, due 4/2027)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4/30/2021</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10.66%</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43,648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43,769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w:t>
            </w:r>
          </w:p>
        </w:tc>
      </w:tr>
      <w:tr>
        <w:trPr/>
        <w:tc>
          <w:tcPr>
            <w:tcW w:w="21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347,964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347,984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25.8%</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835"/>
        <w:gridCol w:w="146"/>
        <w:gridCol w:w="2018"/>
        <w:gridCol w:w="146"/>
        <w:gridCol w:w="796"/>
        <w:gridCol w:w="146"/>
        <w:gridCol w:w="807"/>
        <w:gridCol w:w="146"/>
        <w:gridCol w:w="1113"/>
        <w:gridCol w:w="146"/>
        <w:gridCol w:w="146"/>
        <w:gridCol w:w="721"/>
        <w:gridCol w:w="146"/>
        <w:gridCol w:w="146"/>
        <w:gridCol w:w="748"/>
        <w:gridCol w:w="146"/>
        <w:gridCol w:w="853"/>
      </w:tblGrid>
      <w:tr>
        <w:trPr/>
        <w:tc>
          <w:tcPr>
            <w:tcW w:w="18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r>
      <w:tr>
        <w:trPr/>
        <w:tc>
          <w:tcPr>
            <w:tcW w:w="1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0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1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r>
      <w:tr>
        <w:trPr/>
        <w:tc>
          <w:tcPr>
            <w:tcW w:w="183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Healthcare</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pPr>
            <w:r>
              <w:rPr/>
              <w:t> </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BCTO Ace Purchaser,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($63,565</w:t>
            </w:r>
            <w:r>
              <w:rPr>
                <w:rFonts w:ascii="Times New Roman" w:hAnsi="Times New Roman"/>
                <w:sz w:val="20"/>
              </w:rPr>
              <w:t> </w:t>
            </w:r>
            <w:r>
              <w:rPr>
                <w:rFonts w:ascii="Times New Roman;serif" w:hAnsi="Times New Roman;serif"/>
                <w:b w:val="false"/>
                <w:sz w:val="14"/>
              </w:rPr>
              <w:t>par, due 11/2026)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11/23/2020</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+ 7.70%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62,440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62,930</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w:t>
            </w:r>
          </w:p>
        </w:tc>
      </w:tr>
      <w:tr>
        <w:trPr/>
        <w:tc>
          <w:tcPr>
            <w:tcW w:w="1835"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Caris Life Sciences, Inc.</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($5,000</w:t>
            </w:r>
            <w:r>
              <w:rPr>
                <w:rFonts w:ascii="Times New Roman" w:hAnsi="Times New Roman"/>
                <w:sz w:val="20"/>
              </w:rPr>
              <w:t> </w:t>
            </w:r>
            <w:r>
              <w:rPr>
                <w:rFonts w:ascii="Times New Roman;serif" w:hAnsi="Times New Roman;serif"/>
                <w:b w:val="false"/>
                <w:sz w:val="14"/>
              </w:rPr>
              <w:t>par, due 9/2023)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9/21/2018</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4,967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5,100</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($3,750</w:t>
            </w:r>
            <w:r>
              <w:rPr>
                <w:rFonts w:ascii="Times New Roman" w:hAnsi="Times New Roman"/>
                <w:sz w:val="20"/>
              </w:rPr>
              <w:t> </w:t>
            </w:r>
            <w:r>
              <w:rPr>
                <w:rFonts w:ascii="Times New Roman;serif" w:hAnsi="Times New Roman;serif"/>
                <w:b w:val="false"/>
                <w:sz w:val="14"/>
              </w:rPr>
              <w:t>par, due 4/2025)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4/2/2020</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3,601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3,900</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Convertible note ($2,602</w:t>
            </w:r>
            <w:r>
              <w:rPr>
                <w:rFonts w:ascii="Times New Roman" w:hAnsi="Times New Roman"/>
                <w:sz w:val="20"/>
              </w:rPr>
              <w:t> </w:t>
            </w:r>
            <w:r>
              <w:rPr>
                <w:rFonts w:ascii="Times New Roman;serif" w:hAnsi="Times New Roman;serif"/>
                <w:b w:val="false"/>
                <w:sz w:val="14"/>
              </w:rPr>
              <w:t>par, due 9/2023)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9/21/2018</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5,848</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Homecare Software Solutions,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($65,000</w:t>
            </w:r>
            <w:r>
              <w:rPr>
                <w:rFonts w:ascii="Times New Roman" w:hAnsi="Times New Roman"/>
                <w:sz w:val="20"/>
              </w:rPr>
              <w:t> </w:t>
            </w:r>
            <w:r>
              <w:rPr>
                <w:rFonts w:ascii="Times New Roman;serif" w:hAnsi="Times New Roman;serif"/>
                <w:b w:val="false"/>
                <w:sz w:val="14"/>
              </w:rPr>
              <w:t>par, due 10/2026)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+ 5.70%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63,733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63,213</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Integrated Practice Solutions,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($46,312</w:t>
            </w:r>
            <w:r>
              <w:rPr>
                <w:rFonts w:ascii="Times New Roman" w:hAnsi="Times New Roman"/>
                <w:sz w:val="20"/>
              </w:rPr>
              <w:t> </w:t>
            </w:r>
            <w:r>
              <w:rPr>
                <w:rFonts w:ascii="Times New Roman;serif" w:hAnsi="Times New Roman;serif"/>
                <w:b w:val="false"/>
                <w:sz w:val="14"/>
              </w:rPr>
              <w:t>par, due 10/2024)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6/30/2017</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+ 7.50%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45,590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46,312</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Merative L.P.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($70,103</w:t>
            </w:r>
            <w:r>
              <w:rPr>
                <w:rFonts w:ascii="Times New Roman" w:hAnsi="Times New Roman"/>
                <w:sz w:val="20"/>
              </w:rPr>
              <w:t> </w:t>
            </w:r>
            <w:r>
              <w:rPr>
                <w:rFonts w:ascii="Times New Roman;serif" w:hAnsi="Times New Roman;serif"/>
                <w:b w:val="false"/>
                <w:sz w:val="14"/>
              </w:rPr>
              <w:t>par, due 6/2028)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11.84%</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67,906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67,299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250,839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254,602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19.0%</w:t>
            </w:r>
          </w:p>
        </w:tc>
      </w:tr>
      <w:tr>
        <w:trPr/>
        <w:tc>
          <w:tcPr>
            <w:tcW w:w="183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Hotel, Gaming and Leisure</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pPr>
            <w:r>
              <w:rPr/>
              <w:t> </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ASG II,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($58,048</w:t>
            </w:r>
            <w:r>
              <w:rPr>
                <w:rFonts w:ascii="Times New Roman" w:hAnsi="Times New Roman"/>
                <w:sz w:val="20"/>
              </w:rPr>
              <w:t> </w:t>
            </w:r>
            <w:r>
              <w:rPr>
                <w:rFonts w:ascii="Times New Roman;serif" w:hAnsi="Times New Roman;serif"/>
                <w:b w:val="false"/>
                <w:sz w:val="14"/>
              </w:rPr>
              <w:t>par, due 5/2028)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5/25/2022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+ 6.35%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56,609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56,260</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IRGSE Holding Corp. </w:t>
            </w:r>
            <w:r>
              <w:rPr>
                <w:rFonts w:ascii="Times New Roman;serif" w:hAnsi="Times New Roman;serif"/>
                <w:b w:val="false"/>
                <w:sz w:val="9"/>
              </w:rPr>
              <w:t>(3)(7)</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($30,261</w:t>
            </w:r>
            <w:r>
              <w:rPr>
                <w:rFonts w:ascii="Times New Roman" w:hAnsi="Times New Roman"/>
                <w:sz w:val="20"/>
              </w:rPr>
              <w:t> </w:t>
            </w:r>
            <w:r>
              <w:rPr>
                <w:rFonts w:ascii="Times New Roman;serif" w:hAnsi="Times New Roman;serif"/>
                <w:b w:val="false"/>
                <w:sz w:val="14"/>
              </w:rPr>
              <w:t>par, due 6/2023)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9/29/2015</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+ 9.50%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14.19%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28,595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29,807</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($16,747</w:t>
            </w:r>
            <w:r>
              <w:rPr>
                <w:rFonts w:ascii="Times New Roman" w:hAnsi="Times New Roman"/>
                <w:sz w:val="20"/>
              </w:rPr>
              <w:t> </w:t>
            </w:r>
            <w:r>
              <w:rPr>
                <w:rFonts w:ascii="Times New Roman;serif" w:hAnsi="Times New Roman;serif"/>
                <w:b w:val="false"/>
                <w:sz w:val="14"/>
              </w:rPr>
              <w:t>par, due 6/2023)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9/29/2015</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+ 9.50%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14.23%</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16,747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16,492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101,951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102,559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w:t>
            </w:r>
          </w:p>
        </w:tc>
      </w:tr>
      <w:tr>
        <w:trPr/>
        <w:tc>
          <w:tcPr>
            <w:tcW w:w="183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Human Resource Support Services</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pPr>
            <w:r>
              <w:rPr/>
              <w:t> </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Axonify, Inc. </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($47,122</w:t>
            </w:r>
            <w:r>
              <w:rPr>
                <w:rFonts w:ascii="Times New Roman" w:hAnsi="Times New Roman"/>
                <w:sz w:val="20"/>
              </w:rPr>
              <w:t> </w:t>
            </w:r>
            <w:r>
              <w:rPr>
                <w:rFonts w:ascii="Times New Roman;serif" w:hAnsi="Times New Roman;serif"/>
                <w:b w:val="false"/>
                <w:sz w:val="14"/>
              </w:rPr>
              <w:t>par, due 5/2026)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+ 7.65%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46,204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46,190</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bswift,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($44,806</w:t>
            </w:r>
            <w:r>
              <w:rPr>
                <w:rFonts w:ascii="Times New Roman" w:hAnsi="Times New Roman"/>
                <w:sz w:val="20"/>
              </w:rPr>
              <w:t> </w:t>
            </w:r>
            <w:r>
              <w:rPr>
                <w:rFonts w:ascii="Times New Roman;serif" w:hAnsi="Times New Roman;serif"/>
                <w:b w:val="false"/>
                <w:sz w:val="14"/>
              </w:rPr>
              <w:t>par, due 11/2028)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+ 6.63%</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43,430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43,574</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Elysian Finco Ltd. </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($17,314</w:t>
            </w:r>
            <w:r>
              <w:rPr>
                <w:rFonts w:ascii="Times New Roman" w:hAnsi="Times New Roman"/>
                <w:sz w:val="20"/>
              </w:rPr>
              <w:t> </w:t>
            </w:r>
            <w:r>
              <w:rPr>
                <w:rFonts w:ascii="Times New Roman;serif" w:hAnsi="Times New Roman;serif"/>
                <w:b w:val="false"/>
                <w:sz w:val="14"/>
              </w:rPr>
              <w:t>par, due 1/2028)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1/31/2022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16,831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17,107</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Employment Hero Holdings Pty Ltd. </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(AUD 50,000</w:t>
            </w:r>
            <w:r>
              <w:rPr>
                <w:rFonts w:ascii="Times New Roman" w:hAnsi="Times New Roman"/>
                <w:sz w:val="20"/>
              </w:rPr>
              <w:t> </w:t>
            </w:r>
            <w:r>
              <w:rPr>
                <w:rFonts w:ascii="Times New Roman;serif" w:hAnsi="Times New Roman;serif"/>
                <w:b w:val="false"/>
                <w:sz w:val="14"/>
              </w:rPr>
              <w:t>par, due 12/2026)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B + 6.50%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34,664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32,839</w:t>
              <w:br/>
              <w:t>(AUD 51,076)</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PageUp People, Ltd. </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(AUD 14,520</w:t>
            </w:r>
            <w:r>
              <w:rPr>
                <w:rFonts w:ascii="Times New Roman" w:hAnsi="Times New Roman"/>
                <w:sz w:val="20"/>
              </w:rPr>
              <w:t> </w:t>
            </w:r>
            <w:r>
              <w:rPr>
                <w:rFonts w:ascii="Times New Roman;serif" w:hAnsi="Times New Roman;serif"/>
                <w:b w:val="false"/>
                <w:sz w:val="14"/>
              </w:rPr>
              <w:t>par, due 12/2025)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1/11/2018</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B + 5.50%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10,899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9.534</w:t>
              <w:br/>
              <w:t>(AUD 14,059)</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0.7%</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(GBP 3,766</w:t>
            </w:r>
            <w:r>
              <w:rPr>
                <w:rFonts w:ascii="Times New Roman" w:hAnsi="Times New Roman"/>
                <w:sz w:val="20"/>
              </w:rPr>
              <w:t> </w:t>
            </w:r>
            <w:r>
              <w:rPr>
                <w:rFonts w:ascii="Times New Roman;serif" w:hAnsi="Times New Roman;serif"/>
                <w:b w:val="false"/>
                <w:sz w:val="14"/>
              </w:rPr>
              <w:t>par, due 12/2025)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10/28/2021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 + 5.62%</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5,184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4,439</w:t>
              <w:br/>
              <w:t>(GBP 3,690)</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($12,011</w:t>
            </w:r>
            <w:r>
              <w:rPr>
                <w:rFonts w:ascii="Times New Roman" w:hAnsi="Times New Roman"/>
                <w:sz w:val="20"/>
              </w:rPr>
              <w:t> </w:t>
            </w:r>
            <w:r>
              <w:rPr>
                <w:rFonts w:ascii="Times New Roman;serif" w:hAnsi="Times New Roman;serif"/>
                <w:b w:val="false"/>
                <w:sz w:val="14"/>
              </w:rPr>
              <w:t>par, due 12/2025)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10/28/2021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+ 5.50%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11,997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11,771</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0.9%</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PayScale Holdings,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($68,775</w:t>
            </w:r>
            <w:r>
              <w:rPr>
                <w:rFonts w:ascii="Times New Roman" w:hAnsi="Times New Roman"/>
                <w:sz w:val="20"/>
              </w:rPr>
              <w:t> </w:t>
            </w:r>
            <w:r>
              <w:rPr>
                <w:rFonts w:ascii="Times New Roman;serif" w:hAnsi="Times New Roman;serif"/>
                <w:b w:val="false"/>
                <w:sz w:val="14"/>
              </w:rPr>
              <w:t>par, due 5/2024)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5/3/2019</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+ 5.75%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68,199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67,572</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PrimePay Intermediate,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($32,242</w:t>
            </w:r>
            <w:r>
              <w:rPr>
                <w:rFonts w:ascii="Times New Roman" w:hAnsi="Times New Roman"/>
                <w:sz w:val="20"/>
              </w:rPr>
              <w:t> </w:t>
            </w:r>
            <w:r>
              <w:rPr>
                <w:rFonts w:ascii="Times New Roman;serif" w:hAnsi="Times New Roman;serif"/>
                <w:b w:val="false"/>
                <w:sz w:val="14"/>
              </w:rPr>
              <w:t>par, due 12/2026)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12/17/2021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+ 7.15%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31,297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31,355</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Modern Hire,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($28,878</w:t>
            </w:r>
            <w:r>
              <w:rPr>
                <w:rFonts w:ascii="Times New Roman" w:hAnsi="Times New Roman"/>
                <w:sz w:val="20"/>
              </w:rPr>
              <w:t> </w:t>
            </w:r>
            <w:r>
              <w:rPr>
                <w:rFonts w:ascii="Times New Roman;serif" w:hAnsi="Times New Roman;serif"/>
                <w:b w:val="false"/>
                <w:sz w:val="14"/>
              </w:rPr>
              <w:t>par, due 5/2024)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5/15/2019</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+ 7.00%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28,624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28,950</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Workwell Acquisition Co.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($23,798</w:t>
            </w:r>
            <w:r>
              <w:rPr>
                <w:rFonts w:ascii="Times New Roman" w:hAnsi="Times New Roman"/>
                <w:sz w:val="20"/>
              </w:rPr>
              <w:t> </w:t>
            </w:r>
            <w:r>
              <w:rPr>
                <w:rFonts w:ascii="Times New Roman;serif" w:hAnsi="Times New Roman;serif"/>
                <w:b w:val="false"/>
                <w:sz w:val="14"/>
              </w:rPr>
              <w:t>par, due 10/2025)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10/19/2020</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+ 7.40%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11.80%</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23,433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23,441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320,762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316,772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23.4%</w:t>
            </w:r>
          </w:p>
        </w:tc>
      </w:tr>
      <w:tr>
        <w:trPr/>
        <w:tc>
          <w:tcPr>
            <w:tcW w:w="183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Internet Services</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pPr>
            <w:r>
              <w:rPr/>
              <w:t> </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Bayshore Intermediate #2, L.P.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($32,194</w:t>
            </w:r>
            <w:r>
              <w:rPr>
                <w:rFonts w:ascii="Times New Roman" w:hAnsi="Times New Roman"/>
                <w:sz w:val="20"/>
              </w:rPr>
              <w:t> </w:t>
            </w:r>
            <w:r>
              <w:rPr>
                <w:rFonts w:ascii="Times New Roman;serif" w:hAnsi="Times New Roman;serif"/>
                <w:b w:val="false"/>
                <w:sz w:val="14"/>
              </w:rPr>
              <w:t>par, due 10/2028)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+ 7.75%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12.04%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31,631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31,308</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($780</w:t>
            </w:r>
            <w:r>
              <w:rPr>
                <w:rFonts w:ascii="Times New Roman" w:hAnsi="Times New Roman"/>
                <w:sz w:val="20"/>
              </w:rPr>
              <w:t> </w:t>
            </w:r>
            <w:r>
              <w:rPr>
                <w:rFonts w:ascii="Times New Roman;serif" w:hAnsi="Times New Roman;serif"/>
                <w:b w:val="false"/>
                <w:sz w:val="14"/>
              </w:rPr>
              <w:t>par, due 10/2027)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+ 6.75%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714</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CrunchTime Information, Systems,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($53,121</w:t>
            </w:r>
            <w:r>
              <w:rPr>
                <w:rFonts w:ascii="Times New Roman" w:hAnsi="Times New Roman"/>
                <w:sz w:val="20"/>
              </w:rPr>
              <w:t> </w:t>
            </w:r>
            <w:r>
              <w:rPr>
                <w:rFonts w:ascii="Times New Roman;serif" w:hAnsi="Times New Roman;serif"/>
                <w:b w:val="false"/>
                <w:sz w:val="14"/>
              </w:rPr>
              <w:t>par, due 6/2028)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6/17/2022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+ 6.00%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51,969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51,766</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EDB Parent,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($56,963</w:t>
            </w:r>
            <w:r>
              <w:rPr>
                <w:rFonts w:ascii="Times New Roman" w:hAnsi="Times New Roman"/>
                <w:sz w:val="20"/>
              </w:rPr>
              <w:t> </w:t>
            </w:r>
            <w:r>
              <w:rPr>
                <w:rFonts w:ascii="Times New Roman;serif" w:hAnsi="Times New Roman;serif"/>
                <w:b w:val="false"/>
                <w:sz w:val="14"/>
              </w:rPr>
              <w:t>par, due 7/2028)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7/7/2022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+ 7.00%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55,607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55,539</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Higher Logic,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($55,820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1/2025)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6/18/2018</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55,506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55,541</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LeanTaaS Holdings,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($27,782</w:t>
            </w:r>
            <w:r>
              <w:rPr>
                <w:rFonts w:ascii="Times New Roman" w:hAnsi="Times New Roman"/>
                <w:sz w:val="20"/>
              </w:rPr>
              <w:t> </w:t>
            </w:r>
            <w:r>
              <w:rPr>
                <w:rFonts w:ascii="Times New Roman;serif" w:hAnsi="Times New Roman;serif"/>
                <w:b w:val="false"/>
                <w:sz w:val="14"/>
              </w:rPr>
              <w:t>par, due 7/2028)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7/12/2022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+ 7.50%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26,906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26,709</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Lithium Technologies,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($54,700</w:t>
            </w:r>
            <w:r>
              <w:rPr>
                <w:rFonts w:ascii="Times New Roman" w:hAnsi="Times New Roman"/>
                <w:sz w:val="20"/>
              </w:rPr>
              <w:t> </w:t>
            </w:r>
            <w:r>
              <w:rPr>
                <w:rFonts w:ascii="Times New Roman;serif" w:hAnsi="Times New Roman;serif"/>
                <w:b w:val="false"/>
                <w:sz w:val="14"/>
              </w:rPr>
              <w:t>par, due 1/2024)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10/3/2017</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+ 8.00%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54,651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53,469</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revolving loan ($1,320</w:t>
            </w:r>
            <w:r>
              <w:rPr>
                <w:rFonts w:ascii="Times New Roman" w:hAnsi="Times New Roman"/>
                <w:sz w:val="20"/>
              </w:rPr>
              <w:t> </w:t>
            </w:r>
            <w:r>
              <w:rPr>
                <w:rFonts w:ascii="Times New Roman;serif" w:hAnsi="Times New Roman;serif"/>
                <w:b w:val="false"/>
                <w:sz w:val="14"/>
              </w:rPr>
              <w:t>par, due 1/2024)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10/3/2017</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+ 8.00%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1,245</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Lucidworks, Inc.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($8,330</w:t>
            </w:r>
            <w:r>
              <w:rPr>
                <w:rFonts w:ascii="Times New Roman" w:hAnsi="Times New Roman"/>
                <w:sz w:val="20"/>
              </w:rPr>
              <w:t> </w:t>
            </w:r>
            <w:r>
              <w:rPr>
                <w:rFonts w:ascii="Times New Roman;serif" w:hAnsi="Times New Roman;serif"/>
                <w:b w:val="false"/>
                <w:sz w:val="14"/>
              </w:rPr>
              <w:t>par, due 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2/11/2022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+ 7.50%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11.82% (incl. 3.50%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8,330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8,170</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0.6%</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Piano Software, Inc.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($51,312</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2/25/2021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+ 7.10%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50,454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50,029</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SMA Technologies Holdings, LLC</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($36,833</w:t>
            </w:r>
            <w:r>
              <w:rPr>
                <w:rFonts w:ascii="Times New Roman" w:hAnsi="Times New Roman"/>
                <w:sz w:val="20"/>
              </w:rPr>
              <w:t> </w:t>
            </w:r>
            <w:r>
              <w:rPr>
                <w:rFonts w:ascii="Times New Roman;serif" w:hAnsi="Times New Roman;serif"/>
                <w:b w:val="false"/>
                <w:sz w:val="14"/>
              </w:rPr>
              <w:t>par, due 10/2028)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10/31/2022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+ 6.75%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11.07%</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35,258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35,268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372,372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369,758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27.5%</w:t>
            </w:r>
          </w:p>
        </w:tc>
      </w:tr>
      <w:tr>
        <w:trPr/>
        <w:tc>
          <w:tcPr>
            <w:tcW w:w="183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Manufacturing</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pPr>
            <w:r>
              <w:rPr/>
              <w:t> </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Avalara,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($38,636</w:t>
            </w:r>
            <w:r>
              <w:rPr>
                <w:rFonts w:ascii="Times New Roman" w:hAnsi="Times New Roman"/>
                <w:sz w:val="20"/>
              </w:rPr>
              <w:t> </w:t>
            </w:r>
            <w:r>
              <w:rPr>
                <w:rFonts w:ascii="Times New Roman;serif" w:hAnsi="Times New Roman;serif"/>
                <w:b w:val="false"/>
                <w:sz w:val="14"/>
              </w:rPr>
              <w:t>par, due 10/2028)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10/19/2022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37,601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37,255</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w:t>
            </w:r>
          </w:p>
        </w:tc>
      </w:tr>
      <w:tr>
        <w:trPr/>
        <w:tc>
          <w:tcPr>
            <w:tcW w:w="183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Office Products</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pPr>
            <w:r>
              <w:rPr/>
              <w:t> </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USR Parent, Inc.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ABL FILO term loan ($19,000</w:t>
            </w:r>
            <w:r>
              <w:rPr>
                <w:rFonts w:ascii="Times New Roman" w:hAnsi="Times New Roman"/>
                <w:sz w:val="20"/>
              </w:rPr>
              <w:t> </w:t>
            </w:r>
            <w:r>
              <w:rPr>
                <w:rFonts w:ascii="Times New Roman;serif" w:hAnsi="Times New Roman;serif"/>
                <w:b w:val="false"/>
                <w:sz w:val="14"/>
              </w:rPr>
              <w:t>par, due 4/2027)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4/25/2022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+ 6.50%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18,634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18,478</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r>
      <w:tr>
        <w:trPr/>
        <w:tc>
          <w:tcPr>
            <w:tcW w:w="183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Oil, Gas and Consumable Fuels</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pPr>
            <w:r>
              <w:rPr/>
              <w:t> </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Murchison Oil and Gas,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($26,873</w:t>
            </w:r>
            <w:r>
              <w:rPr>
                <w:rFonts w:ascii="Times New Roman" w:hAnsi="Times New Roman"/>
                <w:sz w:val="20"/>
              </w:rPr>
              <w:t> </w:t>
            </w:r>
            <w:r>
              <w:rPr>
                <w:rFonts w:ascii="Times New Roman;serif" w:hAnsi="Times New Roman;serif"/>
                <w:b w:val="false"/>
                <w:sz w:val="14"/>
              </w:rPr>
              <w:t>par, due 6/2026)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6/30/2022</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+ 8.65%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26,345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26,781</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TRP Assets,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($57,818</w:t>
            </w:r>
            <w:r>
              <w:rPr>
                <w:rFonts w:ascii="Times New Roman" w:hAnsi="Times New Roman"/>
                <w:sz w:val="20"/>
              </w:rPr>
              <w:t> </w:t>
            </w:r>
            <w:r>
              <w:rPr>
                <w:rFonts w:ascii="Times New Roman;serif" w:hAnsi="Times New Roman;serif"/>
                <w:b w:val="false"/>
                <w:sz w:val="14"/>
              </w:rPr>
              <w:t>par, due 12/2025)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+ 7.76%</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12.34%</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56,927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58,468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83,272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85,249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w:t>
            </w:r>
          </w:p>
        </w:tc>
      </w:tr>
      <w:tr>
        <w:trPr/>
        <w:tc>
          <w:tcPr>
            <w:tcW w:w="183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Other</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pPr>
            <w:r>
              <w:rPr/>
              <w:t> </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Omnigo Software,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($40,353</w:t>
            </w:r>
            <w:r>
              <w:rPr>
                <w:rFonts w:ascii="Times New Roman" w:hAnsi="Times New Roman"/>
                <w:sz w:val="20"/>
              </w:rPr>
              <w:t> </w:t>
            </w:r>
            <w:r>
              <w:rPr>
                <w:rFonts w:ascii="Times New Roman;serif" w:hAnsi="Times New Roman;serif"/>
                <w:b w:val="false"/>
                <w:sz w:val="14"/>
              </w:rPr>
              <w:t>par, due 3/2026)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3/31/2021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39,655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39,445</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w:t>
            </w:r>
          </w:p>
        </w:tc>
      </w:tr>
      <w:tr>
        <w:trPr/>
        <w:tc>
          <w:tcPr>
            <w:tcW w:w="1835"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Retail and Consumer Products</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pPr>
            <w:r>
              <w:rPr/>
              <w:t> </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99 Cents Only Stores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ABL FILO term loan ($25,000</w:t>
            </w:r>
            <w:r>
              <w:rPr>
                <w:rFonts w:ascii="Times New Roman" w:hAnsi="Times New Roman"/>
                <w:sz w:val="20"/>
              </w:rPr>
              <w:t> </w:t>
            </w:r>
            <w:r>
              <w:rPr>
                <w:rFonts w:ascii="Times New Roman;serif" w:hAnsi="Times New Roman;serif"/>
                <w:b w:val="false"/>
                <w:sz w:val="14"/>
              </w:rPr>
              <w:t>par, due</w:t>
            </w:r>
            <w:r>
              <w:rPr>
                <w:rFonts w:ascii="Times New Roman" w:hAnsi="Times New Roman"/>
                <w:sz w:val="20"/>
              </w:rPr>
              <w:t xml:space="preserve"> </w:t>
            </w:r>
            <w:r>
              <w:rPr>
                <w:rFonts w:ascii="Times New Roman;serif" w:hAnsi="Times New Roman;serif"/>
                <w:b w:val="false"/>
                <w:sz w:val="14"/>
              </w:rPr>
              <w:t>5/2025)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9/6/2017</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+ 8.50%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24,782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25,063</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w:t>
            </w:r>
          </w:p>
        </w:tc>
      </w:tr>
      <w:tr>
        <w:trPr/>
        <w:tc>
          <w:tcPr>
            <w:tcW w:w="183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American Achievement, Corp.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($27,171</w:t>
            </w:r>
            <w:r>
              <w:rPr>
                <w:rFonts w:ascii="Times New Roman" w:hAnsi="Times New Roman"/>
                <w:sz w:val="20"/>
              </w:rPr>
              <w:t> </w:t>
            </w:r>
            <w:r>
              <w:rPr>
                <w:rFonts w:ascii="Times New Roman;serif" w:hAnsi="Times New Roman;serif"/>
                <w:b w:val="false"/>
                <w:sz w:val="14"/>
              </w:rPr>
              <w:t>par, due 9/2026)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9/30/2015</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10.38% (incl. 9.88%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26,339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20,922</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r>
      <w:tr>
        <w:trPr/>
        <w:tc>
          <w:tcPr>
            <w:tcW w:w="18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8"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First-lien loan ($1,363</w:t>
            </w:r>
            <w:r>
              <w:rPr>
                <w:rFonts w:ascii="Times New Roman" w:hAnsi="Times New Roman"/>
                <w:sz w:val="14"/>
              </w:rPr>
              <w:t> </w:t>
            </w:r>
            <w:r>
              <w:rPr>
                <w:rFonts w:ascii="Times New Roman;serif" w:hAnsi="Times New Roman;serif"/>
                <w:b w:val="false"/>
                <w:sz w:val="14"/>
              </w:rPr>
              <w:t xml:space="preserve">par, due 9/2026) </w:t>
            </w:r>
            <w:r>
              <w:rPr>
                <w:rFonts w:ascii="Times New Roman;serif" w:hAnsi="Times New Roman;serif"/>
                <w:b w:val="false"/>
                <w:sz w:val="9"/>
              </w:rPr>
              <w:t>(15)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6/10/2021</w:t>
            </w:r>
          </w:p>
        </w:tc>
        <w:tc>
          <w:tcPr>
            <w:tcW w:w="146" w:type="dxa"/>
            <w:tcBorders/>
            <w:vAlign w:val="center"/>
          </w:tcPr>
          <w:p>
            <w:pPr>
              <w:pStyle w:val="TableContents"/>
              <w:bidi w:val="0"/>
              <w:spacing w:before="0" w:after="0"/>
              <w:ind w:left="0" w:right="0" w:hanging="0"/>
              <w:jc w:val="righ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+ 14.00%</w:t>
            </w:r>
          </w:p>
        </w:tc>
        <w:tc>
          <w:tcPr>
            <w:tcW w:w="146" w:type="dxa"/>
            <w:tcBorders/>
            <w:vAlign w:val="center"/>
          </w:tcPr>
          <w:p>
            <w:pPr>
              <w:pStyle w:val="TableContents"/>
              <w:bidi w:val="0"/>
              <w:spacing w:before="0" w:after="0"/>
              <w:ind w:left="0" w:right="0" w:hanging="0"/>
              <w:jc w:val="right"/>
              <w:rPr/>
            </w:pPr>
            <w:r>
              <w:rPr/>
              <w:t> </w:t>
            </w:r>
          </w:p>
        </w:tc>
        <w:tc>
          <w:tcPr>
            <w:tcW w:w="111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18.13% (incl. 17.63%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1,362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w:t>
            </w:r>
          </w:p>
        </w:tc>
        <w:tc>
          <w:tcPr>
            <w:tcW w:w="146" w:type="dxa"/>
            <w:tcBorders/>
            <w:vAlign w:val="center"/>
          </w:tcPr>
          <w:p>
            <w:pPr>
              <w:pStyle w:val="TableContents"/>
              <w:bidi w:val="0"/>
              <w:spacing w:before="0" w:after="0"/>
              <w:ind w:left="0" w:right="0" w:hanging="0"/>
              <w:jc w:val="righ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03"/>
        <w:gridCol w:w="146"/>
        <w:gridCol w:w="2149"/>
        <w:gridCol w:w="146"/>
        <w:gridCol w:w="796"/>
        <w:gridCol w:w="146"/>
        <w:gridCol w:w="823"/>
        <w:gridCol w:w="146"/>
        <w:gridCol w:w="744"/>
        <w:gridCol w:w="146"/>
        <w:gridCol w:w="146"/>
        <w:gridCol w:w="721"/>
        <w:gridCol w:w="146"/>
        <w:gridCol w:w="146"/>
        <w:gridCol w:w="795"/>
        <w:gridCol w:w="146"/>
        <w:gridCol w:w="860"/>
      </w:tblGrid>
      <w:tr>
        <w:trPr/>
        <w:tc>
          <w:tcPr>
            <w:tcW w:w="20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4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r>
      <w:tr>
        <w:trPr/>
        <w:tc>
          <w:tcPr>
            <w:tcW w:w="20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Subordinated note ($4,740</w:t>
            </w:r>
            <w:r>
              <w:rPr>
                <w:rFonts w:ascii="Times New Roman" w:hAnsi="Times New Roman"/>
                <w:sz w:val="14"/>
              </w:rPr>
              <w:t> </w:t>
            </w:r>
            <w:r>
              <w:rPr>
                <w:rFonts w:ascii="Times New Roman;serif" w:hAnsi="Times New Roman;serif"/>
                <w:b w:val="false"/>
                <w:sz w:val="14"/>
              </w:rPr>
              <w:t>par, due</w:t>
            </w:r>
            <w:r>
              <w:rPr>
                <w:rFonts w:ascii="Times New Roman" w:hAnsi="Times New Roman"/>
                <w:sz w:val="14"/>
              </w:rPr>
              <w:t xml:space="preserve"> </w:t>
            </w:r>
            <w:r>
              <w:rPr>
                <w:rFonts w:ascii="Times New Roman;serif" w:hAnsi="Times New Roman;serif"/>
                <w:b w:val="false"/>
                <w:sz w:val="14"/>
              </w:rPr>
              <w:t xml:space="preserve">9/2026) </w:t>
            </w:r>
            <w:r>
              <w:rPr>
                <w:rFonts w:ascii="Times New Roman;serif" w:hAnsi="Times New Roman;serif"/>
                <w:b w:val="false"/>
                <w:sz w:val="9"/>
              </w:rPr>
              <w:t>(15)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3/16/2021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+ 1.00%</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4.75% PIK</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Bed Bath and Beyond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ABL FILO term loan ($55,000</w:t>
            </w:r>
            <w:r>
              <w:rPr>
                <w:rFonts w:ascii="Times New Roman" w:hAnsi="Times New Roman"/>
                <w:sz w:val="20"/>
              </w:rPr>
              <w:t> </w:t>
            </w:r>
            <w:r>
              <w:rPr>
                <w:rFonts w:ascii="Times New Roman;serif" w:hAnsi="Times New Roman;serif"/>
                <w:b w:val="false"/>
                <w:sz w:val="14"/>
              </w:rPr>
              <w:t>par, due 8/2027)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9/2/2022</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+ 7.90%</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53,696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53,900</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Cordance Operations,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($32,907</w:t>
            </w:r>
            <w:r>
              <w:rPr>
                <w:rFonts w:ascii="Times New Roman" w:hAnsi="Times New Roman"/>
                <w:sz w:val="20"/>
              </w:rPr>
              <w:t> </w:t>
            </w:r>
            <w:r>
              <w:rPr>
                <w:rFonts w:ascii="Times New Roman;serif" w:hAnsi="Times New Roman;serif"/>
                <w:b w:val="false"/>
                <w:sz w:val="14"/>
              </w:rPr>
              <w:t>par, due 7/2028)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7/25/2022</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+ 8.75%</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32,091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32,135</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Neuintel,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($56,400</w:t>
            </w:r>
            <w:r>
              <w:rPr>
                <w:rFonts w:ascii="Times New Roman" w:hAnsi="Times New Roman"/>
                <w:sz w:val="20"/>
              </w:rPr>
              <w:t> </w:t>
            </w:r>
            <w:r>
              <w:rPr>
                <w:rFonts w:ascii="Times New Roman;serif" w:hAnsi="Times New Roman;serif"/>
                <w:b w:val="false"/>
                <w:sz w:val="14"/>
              </w:rPr>
              <w:t>par, due 12/2026)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12/20/2021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55,414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55,272</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Project P Intermediate 2, LLC</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ABL FILO term loan ($73,125</w:t>
            </w:r>
            <w:r>
              <w:rPr>
                <w:rFonts w:ascii="Times New Roman" w:hAnsi="Times New Roman"/>
                <w:sz w:val="20"/>
              </w:rPr>
              <w:t> </w:t>
            </w:r>
            <w:r>
              <w:rPr>
                <w:rFonts w:ascii="Times New Roman;serif" w:hAnsi="Times New Roman;serif"/>
                <w:b w:val="false"/>
                <w:sz w:val="14"/>
              </w:rPr>
              <w:t>par, due 5/2026)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+ 8.00%</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71,976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72,943</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Tango Management Consulting, LLC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($44,674</w:t>
            </w:r>
            <w:r>
              <w:rPr>
                <w:rFonts w:ascii="Times New Roman" w:hAnsi="Times New Roman"/>
                <w:sz w:val="20"/>
              </w:rPr>
              <w:t> </w:t>
            </w:r>
            <w:r>
              <w:rPr>
                <w:rFonts w:ascii="Times New Roman;serif" w:hAnsi="Times New Roman;serif"/>
                <w:b w:val="false"/>
                <w:sz w:val="14"/>
              </w:rPr>
              <w:t>par, due 12/2027)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+ 6.75%</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10.49%</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43,752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42,997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309,957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303,381</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22.6%</w:t>
            </w:r>
          </w:p>
        </w:tc>
      </w:tr>
      <w:tr>
        <w:trPr/>
        <w:tc>
          <w:tcPr>
            <w:tcW w:w="200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Transportation</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pPr>
            <w:r>
              <w:rPr/>
              <w:t> </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Project44, Inc.</w:t>
            </w:r>
            <w:r>
              <w:rPr>
                <w:rFonts w:ascii="Times New Roman" w:hAnsi="Times New Roman"/>
                <w:sz w:val="14"/>
              </w:rPr>
              <w:t>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($35,139</w:t>
            </w:r>
            <w:r>
              <w:rPr>
                <w:rFonts w:ascii="Times New Roman" w:hAnsi="Times New Roman"/>
                <w:sz w:val="20"/>
              </w:rPr>
              <w:t> </w:t>
            </w:r>
            <w:r>
              <w:rPr>
                <w:rFonts w:ascii="Times New Roman;serif" w:hAnsi="Times New Roman;serif"/>
                <w:b w:val="false"/>
                <w:sz w:val="14"/>
              </w:rPr>
              <w:t>par, due 11/2027)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11/12/2021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11.41%</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34,043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33,901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w:t>
            </w:r>
          </w:p>
        </w:tc>
      </w:tr>
      <w:tr>
        <w:trPr/>
        <w:tc>
          <w:tcPr>
            <w:tcW w:w="200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Debt Investments</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2,579,557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2,568,814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188.1%</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pPr>
            <w:r>
              <w:rPr/>
              <w:t> </w:t>
            </w:r>
          </w:p>
        </w:tc>
      </w:tr>
      <w:tr>
        <w:trPr/>
        <w:tc>
          <w:tcPr>
            <w:tcW w:w="200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pPr>
            <w:r>
              <w:rPr/>
              <w:t> </w:t>
            </w:r>
          </w:p>
        </w:tc>
      </w:tr>
      <w:tr>
        <w:trPr/>
        <w:tc>
          <w:tcPr>
            <w:tcW w:w="200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Business Services</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pPr>
            <w:r>
              <w:rPr/>
              <w:t> </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Dye &amp; Durham, Ltd. </w:t>
            </w:r>
            <w:r>
              <w:rPr>
                <w:rFonts w:ascii="Times New Roman;serif" w:hAnsi="Times New Roman;serif"/>
                <w:b w:val="false"/>
                <w:sz w:val="9"/>
              </w:rPr>
              <w:t>(4)(11)</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Common Shares (126,968</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3,909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1,538</w:t>
              <w:br/>
              <w:t>(CAD 2,284)</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Mitnick TA Aggregator, LP</w:t>
            </w:r>
            <w:r>
              <w:rPr>
                <w:rFonts w:ascii="Times New Roman" w:hAnsi="Times New Roman"/>
                <w:sz w:val="14"/>
              </w:rPr>
              <w:t> </w:t>
            </w:r>
            <w:r>
              <w:rPr>
                <w:rFonts w:ascii="Times New Roman;serif" w:hAnsi="Times New Roman;serif"/>
                <w:b w:val="false"/>
                <w:sz w:val="9"/>
              </w:rPr>
              <w:t>(12)(13)(14)</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Membership Interest (0.43% ownership)</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5/2/2022</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5,243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5,243</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ReliaQuest, LLC </w:t>
            </w:r>
            <w:r>
              <w:rPr>
                <w:rFonts w:ascii="Times New Roman;serif" w:hAnsi="Times New Roman;serif"/>
                <w:b w:val="false"/>
                <w:sz w:val="9"/>
              </w:rPr>
              <w:t>(12)(14)</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A-1 Units (567,683</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11/23/2021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1,512</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Class A-2 Units (2,580</w:t>
            </w:r>
            <w:r>
              <w:rPr>
                <w:rFonts w:ascii="Times New Roman" w:hAnsi="Times New Roman"/>
                <w:sz w:val="14"/>
              </w:rPr>
              <w:t> </w:t>
            </w:r>
            <w:r>
              <w:rPr>
                <w:rFonts w:ascii="Times New Roman;serif" w:hAnsi="Times New Roman;serif"/>
                <w:b w:val="false"/>
                <w:sz w:val="14"/>
              </w:rPr>
              <w:t>units)</w:t>
            </w:r>
            <w:r>
              <w:rPr>
                <w:rFonts w:ascii="Times New Roman;serif" w:hAnsi="Times New Roman;serif"/>
                <w:b w:val="false"/>
                <w:sz w:val="9"/>
              </w:rPr>
              <w:t>(13)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6/21/2022</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Sprinklr, Inc. </w:t>
            </w:r>
            <w:r>
              <w:rPr>
                <w:rFonts w:ascii="Times New Roman;serif" w:hAnsi="Times New Roman;serif"/>
                <w:b w:val="false"/>
                <w:sz w:val="9"/>
              </w:rPr>
              <w:t>(11)(12)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Common Shares (484,700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6/24/2021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4,180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3,960</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WideOrbit, Inc.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1,567,807</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7/8/2020</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14,785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17,131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r>
      <w:tr>
        <w:trPr/>
        <w:tc>
          <w:tcPr>
            <w:tcW w:w="200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Communications</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pPr>
            <w:r>
              <w:rPr/>
              <w:t> </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Celtra Technologies, Inc.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(1,250,000</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11/19/2021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1,250</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IntelePeer Holdings, Inc.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C Preferred Shares (1,816,295</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1,816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1,794</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D Preferred Shares (1,598,874</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1,923</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280,000</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2/28/2020</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106,592</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200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Education</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pPr>
            <w:r>
              <w:rPr/>
              <w:t> </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Astra 2L Holdings II LLC</w:t>
            </w:r>
            <w:r>
              <w:rPr>
                <w:rFonts w:ascii="Times New Roman" w:hAnsi="Times New Roman"/>
                <w:sz w:val="14"/>
              </w:rPr>
              <w:t> </w:t>
            </w:r>
            <w:r>
              <w:rPr>
                <w:rFonts w:ascii="Times New Roman;serif" w:hAnsi="Times New Roman;serif"/>
                <w:b w:val="false"/>
                <w:sz w:val="9"/>
              </w:rPr>
              <w:t>(12)(13)</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Membership Interest (10.17% ownership)</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1/13/2022</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3,255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2,555</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EMS Linq, Inc.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B Units (5,522,526</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12/22/2021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4,763</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RMCF IV CIV XXXV,</w:t>
              <w:br/>
              <w:t xml:space="preserve">   LP.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Partnership Interest (11.94% ownership)</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0.7%</w:t>
            </w:r>
          </w:p>
        </w:tc>
      </w:tr>
      <w:tr>
        <w:trPr/>
        <w:tc>
          <w:tcPr>
            <w:tcW w:w="200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Financial Services</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pPr>
            <w:r>
              <w:rPr/>
              <w:t> </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AvidXchange, Inc. </w:t>
            </w:r>
            <w:r>
              <w:rPr>
                <w:rFonts w:ascii="Times New Roman;serif" w:hAnsi="Times New Roman;serif"/>
                <w:b w:val="false"/>
                <w:sz w:val="9"/>
              </w:rPr>
              <w:t>(11)(12)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Common Shares (200,721</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10/15/2021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1,995</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Newport Parent Holdings, LP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A-2 Units (131,569</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12/10/2020</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4,177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4,845</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Oxford Square Capital Corp. </w:t>
            </w:r>
            <w:r>
              <w:rPr>
                <w:rFonts w:ascii="Times New Roman;serif" w:hAnsi="Times New Roman;serif"/>
                <w:b w:val="false"/>
                <w:sz w:val="9"/>
              </w:rPr>
              <w:t>(4)(11)</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Common Shares (1,620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8/5/2015</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Passport Labs, Inc.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17,534</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4/28/2021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TradingScreen, Inc. </w:t>
            </w:r>
            <w:r>
              <w:rPr>
                <w:rFonts w:ascii="Times New Roman;serif" w:hAnsi="Times New Roman;serif"/>
                <w:b w:val="false"/>
                <w:sz w:val="9"/>
              </w:rPr>
              <w:t>(12)(14)</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(600,000</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5/14/2021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7,516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0.5%</w:t>
            </w:r>
          </w:p>
        </w:tc>
      </w:tr>
      <w:tr>
        <w:trPr/>
        <w:tc>
          <w:tcPr>
            <w:tcW w:w="200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Healthcare</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pPr>
            <w:r>
              <w:rPr/>
              <w:t> </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Caris Life Sciences, Inc.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C Preferred Shares (362,319</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10/13/2020</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1,310</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D Preferred Shares (1,240,740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5/11/2021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8,668</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0.6%</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633,376</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9/21/2018</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1,270</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569,991</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4/2/2020</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959</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Merative L.P. </w:t>
            </w:r>
            <w:r>
              <w:rPr>
                <w:rFonts w:ascii="Times New Roman;serif" w:hAnsi="Times New Roman;serif"/>
                <w:b w:val="false"/>
                <w:sz w:val="9"/>
              </w:rPr>
              <w:t>(12)(13)(14)</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989,691</w:t>
            </w:r>
            <w:r>
              <w:rPr>
                <w:rFonts w:ascii="Times New Roman" w:hAnsi="Times New Roman"/>
                <w:sz w:val="20"/>
              </w:rPr>
              <w:t> </w:t>
            </w:r>
            <w:r>
              <w:rPr>
                <w:rFonts w:ascii="Times New Roman;serif" w:hAnsi="Times New Roman;serif"/>
                <w:b w:val="false"/>
                <w:sz w:val="14"/>
              </w:rPr>
              <w:t>Class A-1 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6/30/2022</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0.7%</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21,389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22,104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r>
      <w:tr>
        <w:trPr/>
        <w:tc>
          <w:tcPr>
            <w:tcW w:w="200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Hotel, Gaming and Leisure</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pPr>
            <w:r>
              <w:rPr/>
              <w:t> </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IRGSE Holding Corp. </w:t>
            </w:r>
            <w:r>
              <w:rPr>
                <w:rFonts w:ascii="Times New Roman;serif" w:hAnsi="Times New Roman;serif"/>
                <w:b w:val="false"/>
                <w:sz w:val="9"/>
              </w:rPr>
              <w:t>(7)(12)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(33,790,171</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12/21/2018</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21,842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24,413</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C-1 Units (8,800,000</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12/21/2018</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21,942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24,456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w:t>
            </w:r>
          </w:p>
        </w:tc>
      </w:tr>
      <w:tr>
        <w:trPr/>
        <w:tc>
          <w:tcPr>
            <w:tcW w:w="200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Human Resource Support Services</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pPr>
            <w:r>
              <w:rPr/>
              <w:t> </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Axonify, Inc. </w:t>
            </w:r>
            <w:r>
              <w:rPr>
                <w:rFonts w:ascii="Times New Roman;serif" w:hAnsi="Times New Roman;serif"/>
                <w:b w:val="false"/>
                <w:sz w:val="9"/>
              </w:rPr>
              <w:t>(4)(12)(14)</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A-1 Units (3,780,000</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3,780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4,262</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0.3%</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bswift, LLC</w:t>
            </w:r>
            <w:r>
              <w:rPr>
                <w:rFonts w:ascii="Times New Roman" w:hAnsi="Times New Roman"/>
                <w:sz w:val="14"/>
              </w:rPr>
              <w:t> </w:t>
            </w:r>
            <w:r>
              <w:rPr>
                <w:rFonts w:ascii="Times New Roman;serif" w:hAnsi="Times New Roman;serif"/>
                <w:b w:val="false"/>
                <w:sz w:val="9"/>
              </w:rPr>
              <w:t>(12)(13)</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A-1 Units (2,393,509</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11/7/2022</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2,394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2,394</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ClearCompany, LLC </w:t>
            </w:r>
            <w:r>
              <w:rPr>
                <w:rFonts w:ascii="Times New Roman;serif" w:hAnsi="Times New Roman;serif"/>
                <w:b w:val="false"/>
                <w:sz w:val="9"/>
              </w:rPr>
              <w:t>(12)(14)</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A Preferred Units (1,429,228</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8/24/2018</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4,869</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DaySmart Holdings, LLC </w:t>
            </w:r>
            <w:r>
              <w:rPr>
                <w:rFonts w:ascii="Times New Roman;serif" w:hAnsi="Times New Roman;serif"/>
                <w:b w:val="false"/>
                <w:sz w:val="9"/>
              </w:rPr>
              <w:t>(12)(14)</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(166,811</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10/1/2019</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1,347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1,798</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Employment Hero Holdings Pty Ltd. </w:t>
            </w:r>
            <w:r>
              <w:rPr>
                <w:rFonts w:ascii="Times New Roman;serif" w:hAnsi="Times New Roman;serif"/>
                <w:b w:val="false"/>
                <w:sz w:val="9"/>
              </w:rPr>
              <w:t>(4)(12)(13)</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E Preferred Shares (113,250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3/1/2022</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2,034</w:t>
              <w:br/>
              <w:t>(AUD 3,164)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15,357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w:t>
            </w:r>
          </w:p>
        </w:tc>
      </w:tr>
      <w:tr>
        <w:trPr/>
        <w:tc>
          <w:tcPr>
            <w:tcW w:w="200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Internet Services</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pPr>
            <w:r>
              <w:rPr/>
              <w:t> </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Bayshore Intermediate #2, L.P. </w:t>
            </w:r>
            <w:r>
              <w:rPr>
                <w:rFonts w:ascii="Times New Roman;serif" w:hAnsi="Times New Roman;serif"/>
                <w:b w:val="false"/>
                <w:sz w:val="9"/>
              </w:rPr>
              <w:t>(12)(14)</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Common Units (12,330,709</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12,331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11,375</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Lucidworks, Inc.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F Preferred Shares (199,054</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8/2/2019</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003"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Piano Software, Inc.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C-1 Preferred Shares (418,527</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12/22/2021</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Series C-2 Preferred Shares (27,588</w:t>
            </w:r>
            <w:r>
              <w:rPr>
                <w:rFonts w:ascii="Times New Roman" w:hAnsi="Times New Roman"/>
                <w:sz w:val="14"/>
              </w:rPr>
              <w:t> </w:t>
            </w:r>
            <w:r>
              <w:rPr>
                <w:rFonts w:ascii="Times New Roman;serif" w:hAnsi="Times New Roman;serif"/>
                <w:b w:val="false"/>
                <w:sz w:val="14"/>
              </w:rPr>
              <w:t>shares)</w:t>
            </w:r>
            <w:r>
              <w:rPr>
                <w:rFonts w:ascii="Times New Roman;serif" w:hAnsi="Times New Roman;serif"/>
                <w:b w:val="false"/>
                <w:sz w:val="9"/>
              </w:rPr>
              <w:t>(13)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11/18/2022</w:t>
            </w:r>
          </w:p>
        </w:tc>
        <w:tc>
          <w:tcPr>
            <w:tcW w:w="146" w:type="dxa"/>
            <w:tcBorders/>
            <w:vAlign w:val="center"/>
          </w:tcPr>
          <w:p>
            <w:pPr>
              <w:pStyle w:val="TableContents"/>
              <w:bidi w:val="0"/>
              <w:spacing w:before="0" w:after="0"/>
              <w:ind w:left="0" w:right="0" w:hanging="0"/>
              <w:jc w:val="right"/>
              <w:rPr/>
            </w:pPr>
            <w:r>
              <w:rPr/>
              <w:t> </w:t>
            </w:r>
          </w:p>
        </w:tc>
        <w:tc>
          <w:tcPr>
            <w:tcW w:w="82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w:t>
            </w:r>
          </w:p>
        </w:tc>
        <w:tc>
          <w:tcPr>
            <w:tcW w:w="146" w:type="dxa"/>
            <w:tcBorders/>
            <w:vAlign w:val="center"/>
          </w:tcPr>
          <w:p>
            <w:pPr>
              <w:pStyle w:val="TableContents"/>
              <w:bidi w:val="0"/>
              <w:spacing w:before="0" w:after="0"/>
              <w:ind w:left="0" w:right="0" w:hanging="0"/>
              <w:jc w:val="righ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87"/>
        <w:gridCol w:w="146"/>
        <w:gridCol w:w="1979"/>
        <w:gridCol w:w="146"/>
        <w:gridCol w:w="796"/>
        <w:gridCol w:w="146"/>
        <w:gridCol w:w="676"/>
        <w:gridCol w:w="146"/>
        <w:gridCol w:w="709"/>
        <w:gridCol w:w="146"/>
        <w:gridCol w:w="146"/>
        <w:gridCol w:w="721"/>
        <w:gridCol w:w="146"/>
        <w:gridCol w:w="146"/>
        <w:gridCol w:w="677"/>
        <w:gridCol w:w="146"/>
        <w:gridCol w:w="846"/>
      </w:tblGrid>
      <w:tr>
        <w:trPr/>
        <w:tc>
          <w:tcPr>
            <w:tcW w:w="24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6" w:type="dxa"/>
            <w:tcBorders/>
            <w:shd w:fill="FFFFFF" w:val="clear"/>
            <w:vAlign w:val="center"/>
          </w:tcPr>
          <w:p>
            <w:pPr>
              <w:pStyle w:val="TableContents"/>
              <w:bidi w:val="0"/>
              <w:spacing w:before="0" w:after="283"/>
              <w:jc w:val="left"/>
              <w:rPr>
                <w:sz w:val="4"/>
                <w:szCs w:val="4"/>
              </w:rPr>
            </w:pPr>
            <w:r>
              <w:rPr>
                <w:sz w:val="4"/>
                <w:szCs w:val="4"/>
              </w:rPr>
            </w:r>
          </w:p>
        </w:tc>
      </w:tr>
      <w:tr>
        <w:trPr/>
        <w:tc>
          <w:tcPr>
            <w:tcW w:w="24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SMA Technologies Holdings, LLC</w:t>
            </w:r>
            <w:r>
              <w:rPr>
                <w:rFonts w:ascii="Times New Roman" w:hAnsi="Times New Roman"/>
                <w:sz w:val="14"/>
              </w:rPr>
              <w:t> </w:t>
            </w:r>
            <w:r>
              <w:rPr>
                <w:rFonts w:ascii="Times New Roman;serif" w:hAnsi="Times New Roman;serif"/>
                <w:b w:val="false"/>
                <w:sz w:val="9"/>
              </w:rPr>
              <w:t>(12)(13)</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(1,300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1,300</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B Units (923,250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17,629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16,673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w:t>
            </w:r>
          </w:p>
        </w:tc>
      </w:tr>
      <w:tr>
        <w:trPr/>
        <w:tc>
          <w:tcPr>
            <w:tcW w:w="24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Marketing Services</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pPr>
            <w:r>
              <w:rPr/>
              <w:t> </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Validity, Inc.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Series A Preferred Shares (3,840,000</w:t>
            </w:r>
            <w:r>
              <w:rPr>
                <w:rFonts w:ascii="Times New Roman" w:hAnsi="Times New Roman"/>
                <w:sz w:val="20"/>
              </w:rPr>
              <w:t> </w:t>
            </w:r>
            <w:r>
              <w:rPr>
                <w:rFonts w:ascii="Times New Roman;serif" w:hAnsi="Times New Roman;serif"/>
                <w:b w:val="false"/>
                <w:sz w:val="14"/>
              </w:rPr>
              <w:t>shares)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5/31/2018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3,840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11,520</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0.9%</w:t>
            </w:r>
          </w:p>
        </w:tc>
      </w:tr>
      <w:tr>
        <w:trPr/>
        <w:tc>
          <w:tcPr>
            <w:tcW w:w="24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Oil, Gas and Consumable Fuels</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pPr>
            <w:r>
              <w:rPr/>
              <w:t> </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Murchison Oil and Gas, LLC </w:t>
            </w:r>
            <w:r>
              <w:rPr>
                <w:rFonts w:ascii="Times New Roman;serif" w:hAnsi="Times New Roman;serif"/>
                <w:b w:val="false"/>
                <w:sz w:val="9"/>
              </w:rPr>
              <w:t>(13)(14)</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13,355</w:t>
            </w:r>
            <w:r>
              <w:rPr>
                <w:rFonts w:ascii="Times New Roman" w:hAnsi="Times New Roman"/>
                <w:sz w:val="20"/>
              </w:rPr>
              <w:t> </w:t>
            </w:r>
            <w:r>
              <w:rPr>
                <w:rFonts w:ascii="Times New Roman;serif" w:hAnsi="Times New Roman;serif"/>
                <w:b w:val="false"/>
                <w:sz w:val="14"/>
              </w:rPr>
              <w:t>Preferred 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13,355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13,088</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TRP Assets, LLC </w:t>
            </w:r>
            <w:r>
              <w:rPr>
                <w:rFonts w:ascii="Times New Roman;serif" w:hAnsi="Times New Roman;serif"/>
                <w:b w:val="false"/>
                <w:sz w:val="9"/>
              </w:rPr>
              <w:t>(12)(13)(14)</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Partnership Interest (1.89% ownership)</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8/25/2022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r>
      <w:tr>
        <w:trPr/>
        <w:tc>
          <w:tcPr>
            <w:tcW w:w="24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21,422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23,293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w:t>
            </w:r>
          </w:p>
        </w:tc>
      </w:tr>
      <w:tr>
        <w:trPr/>
        <w:tc>
          <w:tcPr>
            <w:tcW w:w="24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Pharmaceuticals</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pPr>
            <w:r>
              <w:rPr/>
              <w:t> </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TherapeuticsMD, Inc. </w:t>
            </w:r>
            <w:r>
              <w:rPr>
                <w:rFonts w:ascii="Times New Roman;serif" w:hAnsi="Times New Roman;serif"/>
                <w:b w:val="false"/>
                <w:sz w:val="9"/>
              </w:rPr>
              <w:t>(4)(12)</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14,256</w:t>
            </w:r>
            <w:r>
              <w:rPr>
                <w:rFonts w:ascii="Times New Roman" w:hAnsi="Times New Roman"/>
                <w:sz w:val="20"/>
              </w:rPr>
              <w:t> </w:t>
            </w:r>
            <w:r>
              <w:rPr>
                <w:rFonts w:ascii="Times New Roman;serif" w:hAnsi="Times New Roman;serif"/>
                <w:b w:val="false"/>
                <w:sz w:val="14"/>
              </w:rPr>
              <w:t>Warrants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8/5/2020</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65,250</w:t>
            </w:r>
            <w:r>
              <w:rPr>
                <w:rFonts w:ascii="Times New Roman" w:hAnsi="Times New Roman"/>
                <w:sz w:val="14"/>
              </w:rPr>
              <w:t> </w:t>
            </w:r>
            <w:r>
              <w:rPr>
                <w:rFonts w:ascii="Times New Roman;serif" w:hAnsi="Times New Roman;serif"/>
                <w:b w:val="false"/>
                <w:sz w:val="14"/>
              </w:rPr>
              <w:t xml:space="preserve">Warrants </w:t>
            </w:r>
            <w:r>
              <w:rPr>
                <w:rFonts w:ascii="Times New Roman;serif" w:hAnsi="Times New Roman;serif"/>
                <w:b w:val="false"/>
                <w:sz w:val="9"/>
              </w:rPr>
              <w:t>(13)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7/29/2022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r>
      <w:tr>
        <w:trPr/>
        <w:tc>
          <w:tcPr>
            <w:tcW w:w="24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Retail and Consumer Products</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pPr>
            <w:r>
              <w:rPr/>
              <w:t> </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American Achievement, Corp. </w:t>
            </w:r>
            <w:r>
              <w:rPr>
                <w:rFonts w:ascii="Times New Roman;serif" w:hAnsi="Times New Roman;serif"/>
                <w:b w:val="false"/>
                <w:sz w:val="9"/>
              </w:rPr>
              <w:t>(12)</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(687</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3/16/2021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Copper Bidco, LLC </w:t>
            </w:r>
            <w:r>
              <w:rPr>
                <w:rFonts w:ascii="Times New Roman;serif" w:hAnsi="Times New Roman;serif"/>
                <w:b w:val="false"/>
                <w:sz w:val="9"/>
              </w:rPr>
              <w:t>(10)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Trust Certificates (132,928</w:t>
            </w:r>
            <w:r>
              <w:rPr>
                <w:rFonts w:ascii="Times New Roman" w:hAnsi="Times New Roman"/>
                <w:sz w:val="20"/>
              </w:rPr>
              <w:t> </w:t>
            </w:r>
            <w:r>
              <w:rPr>
                <w:rFonts w:ascii="Times New Roman;serif" w:hAnsi="Times New Roman;serif"/>
                <w:b w:val="false"/>
                <w:sz w:val="14"/>
              </w:rPr>
              <w:t>Certificates)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12/7/2020</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665</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Trust Certificates (996,958</w:t>
            </w:r>
            <w:r>
              <w:rPr>
                <w:rFonts w:ascii="Times New Roman" w:hAnsi="Times New Roman"/>
                <w:sz w:val="20"/>
              </w:rPr>
              <w:t> </w:t>
            </w:r>
            <w:r>
              <w:rPr>
                <w:rFonts w:ascii="Times New Roman;serif" w:hAnsi="Times New Roman;serif"/>
                <w:b w:val="false"/>
                <w:sz w:val="14"/>
              </w:rPr>
              <w:t>Certificates)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3,041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12,462</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0.9%</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Neuintel, LLC </w:t>
            </w:r>
            <w:r>
              <w:rPr>
                <w:rFonts w:ascii="Times New Roman;serif" w:hAnsi="Times New Roman;serif"/>
                <w:b w:val="false"/>
                <w:sz w:val="9"/>
              </w:rPr>
              <w:t>(12)(14)</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(1,176,494</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12/21/2021</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4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15,795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w:t>
            </w:r>
          </w:p>
        </w:tc>
      </w:tr>
      <w:tr>
        <w:trPr/>
        <w:tc>
          <w:tcPr>
            <w:tcW w:w="24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pPr>
            <w:r>
              <w:rPr/>
              <w:t> </w:t>
            </w:r>
          </w:p>
        </w:tc>
      </w:tr>
      <w:tr>
        <w:trPr/>
        <w:tc>
          <w:tcPr>
            <w:tcW w:w="2487"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Structured Credit</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pPr>
            <w:r>
              <w:rPr/>
              <w:t> </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Allegro CLO Ltd, Series 2018-1A,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6/2031)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5/26/2022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+ 2.85%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848</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American Money Management Corp CLO Ltd, Series 2016-18A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($1,500</w:t>
            </w:r>
            <w:r>
              <w:rPr>
                <w:rFonts w:ascii="Times New Roman" w:hAnsi="Times New Roman"/>
                <w:sz w:val="20"/>
              </w:rPr>
              <w:t> </w:t>
            </w:r>
            <w:r>
              <w:rPr>
                <w:rFonts w:ascii="Times New Roman;serif" w:hAnsi="Times New Roman;serif"/>
                <w:b w:val="false"/>
                <w:sz w:val="14"/>
              </w:rPr>
              <w:t>par, due 5/2031)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+ 3.05%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1,347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1,309</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Ares CLO Ltd, Series 2021-59A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4/2034)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875</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Ares Loan Funding I Ltd, Series 2021-ALFA, Class E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6/24/2022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+ 6.70%</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881</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Bain Capital Credit CLO Ltd, Series 2018-1A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($500</w:t>
            </w:r>
            <w:r>
              <w:rPr>
                <w:rFonts w:ascii="Times New Roman" w:hAnsi="Times New Roman"/>
                <w:sz w:val="20"/>
              </w:rPr>
              <w:t> </w:t>
            </w:r>
            <w:r>
              <w:rPr>
                <w:rFonts w:ascii="Times New Roman;serif" w:hAnsi="Times New Roman;serif"/>
                <w:b w:val="false"/>
                <w:sz w:val="14"/>
              </w:rPr>
              <w:t>par, due 4/2031)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10/15/2020</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+ 5.35%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383</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Battalion CLO Ltd, Series 2021-21A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($1,300</w:t>
            </w:r>
            <w:r>
              <w:rPr>
                <w:rFonts w:ascii="Times New Roman" w:hAnsi="Times New Roman"/>
                <w:sz w:val="20"/>
              </w:rPr>
              <w:t> </w:t>
            </w:r>
            <w:r>
              <w:rPr>
                <w:rFonts w:ascii="Times New Roman;serif" w:hAnsi="Times New Roman;serif"/>
                <w:b w:val="false"/>
                <w:sz w:val="14"/>
              </w:rPr>
              <w:t>par, due 7/2034)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+ 3.30%</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1,158</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Benefit Street Partners CLO Ltd, Series 2015-BR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($2,500</w:t>
            </w:r>
            <w:r>
              <w:rPr>
                <w:rFonts w:ascii="Times New Roman" w:hAnsi="Times New Roman"/>
                <w:sz w:val="20"/>
              </w:rPr>
              <w:t> </w:t>
            </w:r>
            <w:r>
              <w:rPr>
                <w:rFonts w:ascii="Times New Roman;serif" w:hAnsi="Times New Roman;serif"/>
                <w:b w:val="false"/>
                <w:sz w:val="14"/>
              </w:rPr>
              <w:t>par, due 7/2034)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+ 3.85%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2,179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2,285</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Benefit Street Partners CLO Ltd, Series 2015-8A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($1,425</w:t>
            </w:r>
            <w:r>
              <w:rPr>
                <w:rFonts w:ascii="Times New Roman" w:hAnsi="Times New Roman"/>
                <w:sz w:val="20"/>
              </w:rPr>
              <w:t> </w:t>
            </w:r>
            <w:r>
              <w:rPr>
                <w:rFonts w:ascii="Times New Roman;serif" w:hAnsi="Times New Roman;serif"/>
                <w:b w:val="false"/>
                <w:sz w:val="14"/>
              </w:rPr>
              <w:t>par, due 1/2031)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+ 2.75%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1,214</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Carlyle Global Market Strategies CLO Ltd, Series 2014-4RA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5/26/2022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+ 2.90%</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844</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Carlyle Global Market Strategies CLO Ltd, Series 2018-1A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($1,550</w:t>
            </w:r>
            <w:r>
              <w:rPr>
                <w:rFonts w:ascii="Times New Roman" w:hAnsi="Times New Roman"/>
                <w:sz w:val="20"/>
              </w:rPr>
              <w:t> </w:t>
            </w:r>
            <w:r>
              <w:rPr>
                <w:rFonts w:ascii="Times New Roman;serif" w:hAnsi="Times New Roman;serif"/>
                <w:b w:val="false"/>
                <w:sz w:val="14"/>
              </w:rPr>
              <w:t>par, due 4/2031)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8/11/2020</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+ 5.75%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1,241</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CarVal CLO III Ltd, Series 2019-2A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6/30/2022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+ 6.44%</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887</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Cedar Funding CLO Ltd, Series 2018-7A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+ 4.55%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847</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CIFC CLO Ltd, Series 2018-3A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6/16/2022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+ 5.50%</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850</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CIFC CLO Ltd, Series 2021-4A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7/14/2022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+ 6.00%</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909</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Crown Point CLO Ltd, Series 2021-10A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6/14/2022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+ 6.85%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871</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Dryden Senior Loan Fund, Series 2018-55A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4/2031)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7/25/2022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+ 2.85%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883</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Dryden Senior Loan Fund, Series 2020-86A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($1,500</w:t>
            </w:r>
            <w:r>
              <w:rPr>
                <w:rFonts w:ascii="Times New Roman" w:hAnsi="Times New Roman"/>
                <w:sz w:val="20"/>
              </w:rPr>
              <w:t> </w:t>
            </w:r>
            <w:r>
              <w:rPr>
                <w:rFonts w:ascii="Times New Roman;serif" w:hAnsi="Times New Roman;serif"/>
                <w:b w:val="false"/>
                <w:sz w:val="14"/>
              </w:rPr>
              <w:t>par, due 7/2034)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8/17/2022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+ 6.50%</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1,417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1,307</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Eaton CLO Ltd, Series 2015-1A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($2,500</w:t>
            </w:r>
            <w:r>
              <w:rPr>
                <w:rFonts w:ascii="Times New Roman" w:hAnsi="Times New Roman"/>
                <w:sz w:val="20"/>
              </w:rPr>
              <w:t> </w:t>
            </w:r>
            <w:r>
              <w:rPr>
                <w:rFonts w:ascii="Times New Roman;serif" w:hAnsi="Times New Roman;serif"/>
                <w:b w:val="false"/>
                <w:sz w:val="14"/>
              </w:rPr>
              <w:t>par, due 1/2030)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+ 2.50%</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2,227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2,183</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Eaton CLO Ltd, Series 2020-1A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888</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GoldenTree CLO Ltd, Series 2020-7A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4/2034)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6/17/2022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+ 6.50%</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914</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Gulf Stream Meridian, Series 2021-4A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($1,015</w:t>
            </w:r>
            <w:r>
              <w:rPr>
                <w:rFonts w:ascii="Times New Roman" w:hAnsi="Times New Roman"/>
                <w:sz w:val="20"/>
              </w:rPr>
              <w:t> </w:t>
            </w:r>
            <w:r>
              <w:rPr>
                <w:rFonts w:ascii="Times New Roman;serif" w:hAnsi="Times New Roman;serif"/>
                <w:b w:val="false"/>
                <w:sz w:val="14"/>
              </w:rPr>
              <w:t>par, due 7/2034)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+ 6.35%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872</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Gulf Stream Meridian, Series 2021-6A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($2,000</w:t>
            </w:r>
            <w:r>
              <w:rPr>
                <w:rFonts w:ascii="Times New Roman" w:hAnsi="Times New Roman"/>
                <w:sz w:val="20"/>
              </w:rPr>
              <w:t> </w:t>
            </w:r>
            <w:r>
              <w:rPr>
                <w:rFonts w:ascii="Times New Roman;serif" w:hAnsi="Times New Roman;serif"/>
                <w:b w:val="false"/>
                <w:sz w:val="14"/>
              </w:rPr>
              <w:t>par, due 1/2037)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+ 6.36%</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1,718</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Jefferson Mill CLO Ltd, Series 2015-1A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+ 3.55%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870</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KKR CLO Ltd, 49A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7/2035)</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+ 8.00%</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10.17%</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909</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87"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Madison Park CLO, Series 2018-28A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97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6/28/2022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+ 5.25%</w:t>
            </w:r>
          </w:p>
        </w:tc>
        <w:tc>
          <w:tcPr>
            <w:tcW w:w="146" w:type="dxa"/>
            <w:tcBorders/>
            <w:vAlign w:val="center"/>
          </w:tcPr>
          <w:p>
            <w:pPr>
              <w:pStyle w:val="TableContents"/>
              <w:bidi w:val="0"/>
              <w:spacing w:before="0" w:after="0"/>
              <w:ind w:left="0" w:right="0" w:hanging="0"/>
              <w:jc w:val="righ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7.76%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877</w:t>
            </w:r>
          </w:p>
        </w:tc>
        <w:tc>
          <w:tcPr>
            <w:tcW w:w="146" w:type="dxa"/>
            <w:tcBorders/>
            <w:vAlign w:val="center"/>
          </w:tcPr>
          <w:p>
            <w:pPr>
              <w:pStyle w:val="TableContents"/>
              <w:bidi w:val="0"/>
              <w:spacing w:before="0" w:after="0"/>
              <w:ind w:left="0" w:right="0" w:hanging="0"/>
              <w:jc w:val="righ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69"/>
        <w:gridCol w:w="146"/>
        <w:gridCol w:w="1799"/>
        <w:gridCol w:w="146"/>
        <w:gridCol w:w="796"/>
        <w:gridCol w:w="146"/>
        <w:gridCol w:w="676"/>
        <w:gridCol w:w="146"/>
        <w:gridCol w:w="725"/>
        <w:gridCol w:w="146"/>
        <w:gridCol w:w="181"/>
        <w:gridCol w:w="721"/>
        <w:gridCol w:w="146"/>
        <w:gridCol w:w="181"/>
        <w:gridCol w:w="783"/>
        <w:gridCol w:w="146"/>
        <w:gridCol w:w="852"/>
      </w:tblGrid>
      <w:tr>
        <w:trPr/>
        <w:tc>
          <w:tcPr>
            <w:tcW w:w="24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9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2" w:type="dxa"/>
            <w:tcBorders/>
            <w:shd w:fill="FFFFFF" w:val="clear"/>
            <w:vAlign w:val="center"/>
          </w:tcPr>
          <w:p>
            <w:pPr>
              <w:pStyle w:val="TableContents"/>
              <w:bidi w:val="0"/>
              <w:spacing w:before="0" w:after="283"/>
              <w:jc w:val="left"/>
              <w:rPr>
                <w:sz w:val="4"/>
                <w:szCs w:val="4"/>
              </w:rPr>
            </w:pPr>
            <w:r>
              <w:rPr>
                <w:sz w:val="4"/>
                <w:szCs w:val="4"/>
              </w:rPr>
            </w:r>
          </w:p>
        </w:tc>
      </w:tr>
      <w:tr>
        <w:trPr/>
        <w:tc>
          <w:tcPr>
            <w:tcW w:w="2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Magnetite CLO Ltd, Series 2021-30A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+ 6.20%</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917</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909</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MidOcean Credit CLO Ltd, Series 2016-6A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($3,500</w:t>
            </w:r>
            <w:r>
              <w:rPr>
                <w:rFonts w:ascii="Times New Roman" w:hAnsi="Times New Roman"/>
                <w:sz w:val="20"/>
              </w:rPr>
              <w:t> </w:t>
            </w:r>
            <w:r>
              <w:rPr>
                <w:rFonts w:ascii="Times New Roman;serif" w:hAnsi="Times New Roman;serif"/>
                <w:b w:val="false"/>
                <w:sz w:val="14"/>
              </w:rPr>
              <w:t>par, due 4/2033)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+ 3.52%</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3,151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2,971</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MidOcean Credit CLO Ltd, Series 2018-9A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($1,100</w:t>
            </w:r>
            <w:r>
              <w:rPr>
                <w:rFonts w:ascii="Times New Roman" w:hAnsi="Times New Roman"/>
                <w:sz w:val="20"/>
              </w:rPr>
              <w:t> </w:t>
            </w:r>
            <w:r>
              <w:rPr>
                <w:rFonts w:ascii="Times New Roman;serif" w:hAnsi="Times New Roman;serif"/>
                <w:b w:val="false"/>
                <w:sz w:val="14"/>
              </w:rPr>
              <w:t>par, due 7/2031)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+ 6.05%</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828</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Octagon 57 LLC, Series 2021-1A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5/24/2022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+ 6.60%</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872</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Octagon Investment Partners 18 Ltd, Series 2018-18A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4/2031)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7/26/2022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+ 2.70%</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855</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Octagon Investment Partners 38 Ltd, Series 2018-1A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($2,800</w:t>
            </w:r>
            <w:r>
              <w:rPr>
                <w:rFonts w:ascii="Times New Roman" w:hAnsi="Times New Roman"/>
                <w:sz w:val="20"/>
              </w:rPr>
              <w:t> </w:t>
            </w:r>
            <w:r>
              <w:rPr>
                <w:rFonts w:ascii="Times New Roman;serif" w:hAnsi="Times New Roman;serif"/>
                <w:b w:val="false"/>
                <w:sz w:val="14"/>
              </w:rPr>
              <w:t>par, due 7/2030)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9/20/2022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+ 2.95%</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2,456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2,436</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Park Avenue Institutional Advisers CLO Ltd, Series 2018-1A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10/2031)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+ 3.33%</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870</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Pikes Peak CLO, Series 2021-9A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($2,000</w:t>
            </w:r>
            <w:r>
              <w:rPr>
                <w:rFonts w:ascii="Times New Roman" w:hAnsi="Times New Roman"/>
                <w:sz w:val="20"/>
              </w:rPr>
              <w:t> </w:t>
            </w:r>
            <w:r>
              <w:rPr>
                <w:rFonts w:ascii="Times New Roman;serif" w:hAnsi="Times New Roman;serif"/>
                <w:b w:val="false"/>
                <w:sz w:val="14"/>
              </w:rPr>
              <w:t>par, due 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8/31/2022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+ 6.58%</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1,782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1,721</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RR Ltd, Series 2020-8A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4/2033)</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+ 6.40%</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929</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909</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Shackelton CLO Ltd, Series 2015-7RA (3)(4)(10)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+ 3.33%</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5.84%</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890</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855</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Signal Peak CLO LLC, Series 2018-5A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4/2031)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+ 5.65%</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824</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Southwick Park CLO Ltd, Series 2019-4A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7/2032)</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5/25/2022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+ 6.25%</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928</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867</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Stewart Park CLO Ltd, Series 2015-1A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($1,000</w:t>
            </w:r>
            <w:r>
              <w:rPr>
                <w:rFonts w:ascii="Times New Roman" w:hAnsi="Times New Roman"/>
                <w:sz w:val="20"/>
              </w:rPr>
              <w:t> </w:t>
            </w:r>
            <w:r>
              <w:rPr>
                <w:rFonts w:ascii="Times New Roman;serif" w:hAnsi="Times New Roman;serif"/>
                <w:b w:val="false"/>
                <w:sz w:val="14"/>
              </w:rPr>
              <w:t>par, due 1/2030)</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7/25/2022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+ 2.60%</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897</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888</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Voya CLO Ltd, Series 2018-3A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($2,750</w:t>
            </w:r>
            <w:r>
              <w:rPr>
                <w:rFonts w:ascii="Times New Roman" w:hAnsi="Times New Roman"/>
                <w:sz w:val="20"/>
              </w:rPr>
              <w:t> </w:t>
            </w:r>
            <w:r>
              <w:rPr>
                <w:rFonts w:ascii="Times New Roman;serif" w:hAnsi="Times New Roman;serif"/>
                <w:b w:val="false"/>
                <w:sz w:val="14"/>
              </w:rPr>
              <w:t>par, due 10/2031)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+ 5.75%</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2,382</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2,166</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Whitebox CLO I Ltd, Series 2020-2A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($1,125</w:t>
            </w:r>
            <w:r>
              <w:rPr>
                <w:rFonts w:ascii="Times New Roman" w:hAnsi="Times New Roman"/>
                <w:sz w:val="20"/>
              </w:rPr>
              <w:t> </w:t>
            </w:r>
            <w:r>
              <w:rPr>
                <w:rFonts w:ascii="Times New Roman;serif" w:hAnsi="Times New Roman;serif"/>
                <w:b w:val="false"/>
                <w:sz w:val="14"/>
              </w:rPr>
              <w:t>par, due 10/2034)</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+ 3.35%</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6.13%</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1,005</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1,056</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Wind River CLO Ltd, Series 2014-2A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($1,500</w:t>
            </w:r>
            <w:r>
              <w:rPr>
                <w:rFonts w:ascii="Times New Roman" w:hAnsi="Times New Roman"/>
                <w:sz w:val="20"/>
              </w:rPr>
              <w:t> </w:t>
            </w:r>
            <w:r>
              <w:rPr>
                <w:rFonts w:ascii="Times New Roman;serif" w:hAnsi="Times New Roman;serif"/>
                <w:b w:val="false"/>
                <w:sz w:val="14"/>
              </w:rPr>
              <w:t>par, due 1/2031)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6/23/2022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+ 2.90%</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5.41%</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1,347</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1,293</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Wind River CLO Ltd, Series 2017-1A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($3,000</w:t>
            </w:r>
            <w:r>
              <w:rPr>
                <w:rFonts w:ascii="Times New Roman" w:hAnsi="Times New Roman"/>
                <w:sz w:val="20"/>
              </w:rPr>
              <w:t> </w:t>
            </w:r>
            <w:r>
              <w:rPr>
                <w:rFonts w:ascii="Times New Roman;serif" w:hAnsi="Times New Roman;serif"/>
                <w:b w:val="false"/>
                <w:sz w:val="14"/>
              </w:rPr>
              <w:t>par, due 4/2036)</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7/14/2022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+ 3.72%</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6.46%</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2,617</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2,624</w:t>
            </w:r>
          </w:p>
        </w:tc>
        <w:tc>
          <w:tcPr>
            <w:tcW w:w="146"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Wind River CLO Ltd, Series 2018-3A</w:t>
            </w:r>
            <w:r>
              <w:rPr>
                <w:rFonts w:ascii="Times New Roman" w:hAnsi="Times New Roman"/>
                <w:sz w:val="14"/>
              </w:rPr>
              <w:t> </w:t>
            </w:r>
            <w:r>
              <w:rPr>
                <w:rFonts w:ascii="Times New Roman;serif" w:hAnsi="Times New Roman;serif"/>
                <w:b w:val="false"/>
                <w:sz w:val="9"/>
              </w:rPr>
              <w:t>(3)(4)(10)</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Structured Product ($2,000</w:t>
            </w:r>
            <w:r>
              <w:rPr>
                <w:rFonts w:ascii="Times New Roman" w:hAnsi="Times New Roman"/>
                <w:sz w:val="20"/>
              </w:rPr>
              <w:t> </w:t>
            </w:r>
            <w:r>
              <w:rPr>
                <w:rFonts w:ascii="Times New Roman;serif" w:hAnsi="Times New Roman;serif"/>
                <w:b w:val="false"/>
                <w:sz w:val="14"/>
              </w:rPr>
              <w:t>par, due 1/2031)</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12/12/2022</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L + 5.65%</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6.46%</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r>
      <w:tr>
        <w:trPr/>
        <w:tc>
          <w:tcPr>
            <w:tcW w:w="246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53,066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51,426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w:t>
            </w:r>
          </w:p>
        </w:tc>
      </w:tr>
      <w:tr>
        <w:trPr/>
        <w:tc>
          <w:tcPr>
            <w:tcW w:w="2469"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Equity and Other Investments</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195,169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219,111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16.8%</w:t>
            </w:r>
          </w:p>
        </w:tc>
      </w:tr>
      <w:tr>
        <w:trPr/>
        <w:tc>
          <w:tcPr>
            <w:tcW w:w="2469"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Investments</w:t>
            </w:r>
          </w:p>
        </w:tc>
        <w:tc>
          <w:tcPr>
            <w:tcW w:w="146" w:type="dxa"/>
            <w:tcBorders/>
            <w:vAlign w:val="center"/>
          </w:tcPr>
          <w:p>
            <w:pPr>
              <w:pStyle w:val="TableContents"/>
              <w:bidi w:val="0"/>
              <w:spacing w:before="0" w:after="0"/>
              <w:ind w:left="0" w:right="0" w:hanging="0"/>
              <w:jc w:val="right"/>
              <w:rPr/>
            </w:pPr>
            <w:r>
              <w:rPr/>
              <w:t> </w:t>
            </w:r>
          </w:p>
        </w:tc>
        <w:tc>
          <w:tcPr>
            <w:tcW w:w="17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2,774,726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7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2,787,925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204.9%</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71"/>
        <w:gridCol w:w="146"/>
        <w:gridCol w:w="857"/>
        <w:gridCol w:w="146"/>
        <w:gridCol w:w="857"/>
        <w:gridCol w:w="146"/>
        <w:gridCol w:w="901"/>
        <w:gridCol w:w="146"/>
        <w:gridCol w:w="211"/>
        <w:gridCol w:w="781"/>
        <w:gridCol w:w="146"/>
        <w:gridCol w:w="146"/>
        <w:gridCol w:w="211"/>
        <w:gridCol w:w="736"/>
        <w:gridCol w:w="166"/>
        <w:gridCol w:w="146"/>
        <w:gridCol w:w="259"/>
        <w:gridCol w:w="702"/>
        <w:gridCol w:w="146"/>
        <w:gridCol w:w="146"/>
        <w:gridCol w:w="232"/>
        <w:gridCol w:w="812"/>
        <w:gridCol w:w="395"/>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893" w:type="dxa"/>
            <w:gridSpan w:val="2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 Rate Swaps as of December 31, 2022</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Company</w:t>
              <w:br/>
              <w:t>Receives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Company</w:t>
              <w:br/>
              <w:t>Pays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Maturity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Notional</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w:t>
              <w:br/>
              <w:t>Market</w:t>
              <w:br/>
              <w:t>Value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Upfront</w:t>
              <w:br/>
              <w:t>(Payments) /</w:t>
              <w:br/>
              <w:t>Receipts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br/>
              <w:t>Unrealized</w:t>
              <w:br/>
              <w:t>Gains / (Losses)</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+ 1.99%</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1/22/2023</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(3,292</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(a)(e)</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+ 2.28%</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395" w:type="dxa"/>
            <w:tcBorders/>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+ 2.37%</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+ 1.59%</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(751</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+ 1.60%</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+ 2.11%</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+ 2.11%</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+ 2.11%</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0.16%</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7/30/2022</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Non Hedge Accounting Swaps</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44"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hanging="0"/>
              <w:jc w:val="right"/>
              <w:rPr/>
            </w:pPr>
            <w:r>
              <w:rPr/>
              <w:t> </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(a)(c)(d)</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+ 2.25%</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(20,489</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(a)(c)(d)</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+ 2.46%</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(3,302</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(a)(c)</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2.50%</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 + 1.91%</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8/1/2026</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(25,426</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Hedge Accounting Swaps</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(49,217</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collateral</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77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802,500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(55,965</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Contains a variable rate structure. Bears interest at a rate determined by three-month LIBOR.</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Interest rate swap was terminated or matured during the period.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Instrument is used in a hedge accounting relationship. The associated change in fair value is recorded along with the change in fair value of the hedged item within interest expense.</w:t>
      </w:r>
    </w:p>
    <w:p>
      <w:pPr>
        <w:pStyle w:val="TextBody"/>
        <w:bidi w:val="0"/>
        <w:spacing w:before="0" w:after="0"/>
        <w:jc w:val="left"/>
        <w:rPr>
          <w:rFonts w:ascii="Times New Roman" w:hAnsi="Times New Roman"/>
          <w:b w:val="false"/>
          <w:sz w:val="20"/>
        </w:rPr>
      </w:pPr>
      <w:r>
        <w:rPr>
          <w:rFonts w:ascii="Times New Roman" w:hAnsi="Times New Roman"/>
          <w:b w:val="false"/>
          <w:sz w:val="20"/>
        </w:rPr>
        <w:t>d)</w:t>
      </w:r>
    </w:p>
    <w:p>
      <w:pPr>
        <w:pStyle w:val="TextBody"/>
        <w:bidi w:val="0"/>
        <w:spacing w:before="0" w:after="0"/>
        <w:jc w:val="left"/>
        <w:rPr/>
      </w:pPr>
      <w:r>
        <w:rPr>
          <w:rFonts w:ascii="Times New Roman;serif" w:hAnsi="Times New Roman;serif"/>
          <w:b w:val="false"/>
          <w:sz w:val="20"/>
        </w:rPr>
        <w:t>$2.5</w:t>
      </w:r>
      <w:r>
        <w:rPr/>
        <w:t xml:space="preserve"> </w:t>
      </w:r>
      <w:r>
        <w:rPr>
          <w:rFonts w:ascii="Times New Roman;serif" w:hAnsi="Times New Roman;serif"/>
          <w:b w:val="false"/>
          <w:sz w:val="20"/>
        </w:rPr>
        <w:t>million in aggregate notional value of these instruments is no longer designated as instruments in a hedge accounting relationship. The associated change in fair value of the de-designated portion is recorded within unrealized gain/(loss).</w:t>
      </w:r>
    </w:p>
    <w:p>
      <w:pPr>
        <w:pStyle w:val="TextBody"/>
        <w:bidi w:val="0"/>
        <w:spacing w:before="0" w:after="0"/>
        <w:jc w:val="left"/>
        <w:rPr>
          <w:rFonts w:ascii="Times New Roman" w:hAnsi="Times New Roman"/>
          <w:b w:val="false"/>
          <w:sz w:val="20"/>
        </w:rPr>
      </w:pPr>
      <w:r>
        <w:rPr>
          <w:rFonts w:ascii="Times New Roman" w:hAnsi="Times New Roman"/>
          <w:b w:val="false"/>
          <w:sz w:val="20"/>
        </w:rPr>
        <w:t>e)</w:t>
      </w:r>
    </w:p>
    <w:p>
      <w:pPr>
        <w:pStyle w:val="TextBody"/>
        <w:bidi w:val="0"/>
        <w:jc w:val="left"/>
        <w:rPr/>
      </w:pPr>
      <w:r>
        <w:rPr>
          <w:rFonts w:ascii="Times New Roman;serif" w:hAnsi="Times New Roman;serif"/>
          <w:b w:val="false"/>
          <w:sz w:val="20"/>
        </w:rPr>
        <w:t>The fair market value of this instrument is presented net with the $2.5</w:t>
      </w:r>
      <w:r>
        <w:rPr/>
        <w:t xml:space="preserve"> </w:t>
      </w:r>
      <w:r>
        <w:rPr>
          <w:rFonts w:ascii="Times New Roman;serif" w:hAnsi="Times New Roman;serif"/>
          <w:b w:val="false"/>
          <w:sz w:val="20"/>
        </w:rPr>
        <w:t xml:space="preserve">million in aggregate notional value of instruments no longer designated as instruments in a hedge accounting relationship. </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pPr>
      <w:r>
        <w:rPr>
          <w:rFonts w:ascii="Times New Roman;serif" w:hAnsi="Times New Roman;serif"/>
          <w:b w:val="false"/>
          <w:sz w:val="20"/>
        </w:rPr>
        <w:t>Certain portfolio company investments are subject to contractual restrictions on sales.</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pPr>
      <w:r>
        <w:rPr>
          <w:rFonts w:ascii="Times New Roman;serif" w:hAnsi="Times New Roman;serif"/>
          <w:b w:val="false"/>
          <w:sz w:val="20"/>
        </w:rPr>
        <w:t>The amortized cost represents the original cost adjusted for the amortization of discounts and premiums, as applicable, on debt investments using the effective interest method.</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the Canadian Prime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2022.</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9.7% of total assets as of December 31, 2022.</w:t>
      </w:r>
    </w:p>
    <w:p>
      <w:pPr>
        <w:pStyle w:val="TextBody"/>
        <w:bidi w:val="0"/>
        <w:spacing w:before="0" w:after="0"/>
        <w:jc w:val="left"/>
        <w:rPr>
          <w:rFonts w:ascii="Times New Roman" w:hAnsi="Times New Roman"/>
          <w:b w:val="false"/>
          <w:sz w:val="20"/>
        </w:rPr>
      </w:pPr>
      <w:r>
        <w:rPr>
          <w:rFonts w:ascii="Times New Roman" w:hAnsi="Times New Roman"/>
          <w:b w:val="false"/>
          <w:sz w:val="20"/>
        </w:rPr>
        <w:t>(5)</w:t>
      </w:r>
    </w:p>
    <w:p>
      <w:pPr>
        <w:pStyle w:val="TextBody"/>
        <w:bidi w:val="0"/>
        <w:spacing w:before="0" w:after="0"/>
        <w:jc w:val="left"/>
        <w:rPr/>
      </w:pPr>
      <w:r>
        <w:rPr>
          <w:rFonts w:ascii="Times New Roman;serif" w:hAnsi="Times New Roman;serif"/>
          <w:b w:val="false"/>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(6)</w:t>
      </w:r>
    </w:p>
    <w:p>
      <w:pPr>
        <w:pStyle w:val="TextBody"/>
        <w:bidi w:val="0"/>
        <w:jc w:val="left"/>
        <w:rPr>
          <w:rFonts w:ascii="Times New Roman;serif" w:hAnsi="Times New Roman;serif"/>
          <w:b w:val="false"/>
          <w:sz w:val="20"/>
        </w:rPr>
      </w:pPr>
      <w:r>
        <w:rPr>
          <w:rFonts w:ascii="Times New Roman;serif" w:hAnsi="Times New Roman;serif"/>
          <w:b w:val="false"/>
          <w:sz w:val="20"/>
        </w:rPr>
        <w:t>Under the 1940 Act, the Company is deemed to be an “Affiliated Person” of, as defined in the 1940 Act, this portfolio company, as the Company owns more than 5% of the portfolio company’s outstanding voting securities. Transactions during the year ended December 31, 2022 in which the Company was an Affiliated Person of the portfolio company are as follows:</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u w:val="single"/>
        </w:rPr>
      </w:pPr>
      <w:r>
        <w:rPr>
          <w:rFonts w:ascii="Times New Roman;serif" w:hAnsi="Times New Roman;serif"/>
          <w:b/>
          <w:sz w:val="20"/>
          <w:u w:val="single"/>
        </w:rPr>
        <w:t>Non-controlled, Affiliated Investments during the year ended December 31, 2022</w:t>
      </w:r>
    </w:p>
    <w:p>
      <w:pPr>
        <w:pStyle w:val="TextBody"/>
        <w:bidi w:val="0"/>
        <w:spacing w:before="0" w:after="0"/>
        <w:jc w:val="center"/>
        <w:rPr/>
      </w:pPr>
      <w:r>
        <w:rPr/>
        <w:t> </w:t>
      </w:r>
    </w:p>
    <w:tbl>
      <w:tblPr>
        <w:tblW w:w="10659" w:type="dxa"/>
        <w:jc w:val="left"/>
        <w:tblInd w:w="0" w:type="dxa"/>
        <w:tblLayout w:type="fixed"/>
        <w:tblCellMar>
          <w:top w:w="28" w:type="dxa"/>
          <w:left w:w="28" w:type="dxa"/>
          <w:bottom w:w="28" w:type="dxa"/>
          <w:right w:w="28" w:type="dxa"/>
        </w:tblCellMar>
      </w:tblPr>
      <w:tblGrid>
        <w:gridCol w:w="826"/>
        <w:gridCol w:w="146"/>
        <w:gridCol w:w="203"/>
        <w:gridCol w:w="623"/>
        <w:gridCol w:w="146"/>
        <w:gridCol w:w="146"/>
        <w:gridCol w:w="287"/>
        <w:gridCol w:w="509"/>
        <w:gridCol w:w="146"/>
        <w:gridCol w:w="146"/>
        <w:gridCol w:w="206"/>
        <w:gridCol w:w="695"/>
        <w:gridCol w:w="166"/>
        <w:gridCol w:w="146"/>
        <w:gridCol w:w="202"/>
        <w:gridCol w:w="684"/>
        <w:gridCol w:w="166"/>
        <w:gridCol w:w="146"/>
        <w:gridCol w:w="196"/>
        <w:gridCol w:w="601"/>
        <w:gridCol w:w="146"/>
        <w:gridCol w:w="146"/>
        <w:gridCol w:w="287"/>
        <w:gridCol w:w="509"/>
        <w:gridCol w:w="146"/>
        <w:gridCol w:w="146"/>
        <w:gridCol w:w="298"/>
        <w:gridCol w:w="528"/>
        <w:gridCol w:w="146"/>
        <w:gridCol w:w="146"/>
        <w:gridCol w:w="228"/>
        <w:gridCol w:w="403"/>
        <w:gridCol w:w="146"/>
        <w:gridCol w:w="146"/>
        <w:gridCol w:w="226"/>
        <w:gridCol w:w="435"/>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Company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w:t>
              <w:br/>
              <w:t>Value at</w:t>
              <w:br/>
              <w:t>December 31, 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Additions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Gross</w:t>
              <w:br/>
              <w:t>Reductions</w:t>
            </w:r>
            <w:r>
              <w:rPr>
                <w:rFonts w:ascii="Times New Roman" w:hAnsi="Times New Roman"/>
                <w:sz w:val="16"/>
              </w:rPr>
              <w:t xml:space="preserve"> </w:t>
            </w:r>
            <w:r>
              <w:rPr>
                <w:rFonts w:ascii="Times New Roman;serif" w:hAnsi="Times New Roman;serif"/>
                <w:b/>
                <w:sz w:val="16"/>
              </w:rPr>
              <w:t>(b)</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Change</w:t>
              <w:br/>
              <w:t>In Unrealized</w:t>
              <w:br/>
              <w:t>Gain/(Loss)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Realized</w:t>
              <w:br/>
              <w:t>Gain/(Loss)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Transfers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w:t>
              <w:br/>
              <w:t>Value at</w:t>
              <w:br/>
              <w:t>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b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w:t>
              <w:br/>
              <w:t>Income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2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MD America Energy, </w:t>
              <w:br/>
              <w:t xml:space="preserve">   LLC </w:t>
            </w:r>
            <w:r>
              <w:rPr>
                <w:rFonts w:ascii="Times New Roman;serif" w:hAnsi="Times New Roman;serif"/>
                <w:b w:val="false"/>
                <w:sz w:val="11"/>
              </w:rPr>
              <w:t>(c)</w:t>
            </w:r>
          </w:p>
        </w:tc>
        <w:tc>
          <w:tcPr>
            <w:tcW w:w="146" w:type="dxa"/>
            <w:tcBorders/>
            <w:vAlign w:val="center"/>
          </w:tcPr>
          <w:p>
            <w:pPr>
              <w:pStyle w:val="TableContents"/>
              <w:bidi w:val="0"/>
              <w:spacing w:before="0" w:after="0"/>
              <w:ind w:left="0" w:right="0" w:hanging="0"/>
              <w:jc w:val="righ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26" w:type="dxa"/>
            <w:tcBorders/>
            <w:vAlign w:val="center"/>
          </w:tcPr>
          <w:p>
            <w:pPr>
              <w:pStyle w:val="TableContents"/>
              <w:bidi w:val="0"/>
              <w:spacing w:before="0" w:after="0"/>
              <w:ind w:left="0" w:right="0" w:hanging="0"/>
              <w:jc w:val="left"/>
              <w:rPr/>
            </w:pPr>
            <w:r>
              <w:rPr/>
              <w:t> </w:t>
            </w:r>
            <w:r>
              <w:rPr>
                <w:rFonts w:ascii="Times New Roman;serif" w:hAnsi="Times New Roman;serif"/>
                <w:b/>
                <w:sz w:val="16"/>
              </w:rPr>
              <w:t>Total</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27,017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(12,667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(14,350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13,608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133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Gross additions include increases in the cost basis of investments resulting from new investments, payment-in-kind interest or dividends, the amortization of any unearned income or discounts on debt investments, as applicable. </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 </w:t>
      </w:r>
    </w:p>
    <w:p>
      <w:pPr>
        <w:pStyle w:val="TextBody"/>
        <w:bidi w:val="0"/>
        <w:spacing w:before="0" w:after="0"/>
        <w:jc w:val="left"/>
        <w:rPr>
          <w:rFonts w:ascii="Times New Roman" w:hAnsi="Times New Roman"/>
          <w:b w:val="false"/>
          <w:sz w:val="20"/>
        </w:rPr>
      </w:pPr>
      <w:r>
        <w:rPr>
          <w:rFonts w:ascii="Times New Roman" w:hAnsi="Times New Roman"/>
          <w:b w:val="false"/>
          <w:sz w:val="20"/>
        </w:rPr>
        <w:t>(c)</w:t>
      </w:r>
    </w:p>
    <w:p>
      <w:pPr>
        <w:pStyle w:val="TextBody"/>
        <w:bidi w:val="0"/>
        <w:jc w:val="left"/>
        <w:rPr/>
      </w:pPr>
      <w:r>
        <w:rPr>
          <w:rFonts w:ascii="Times New Roman;serif" w:hAnsi="Times New Roman;serif"/>
          <w:b w:val="false"/>
          <w:sz w:val="20"/>
        </w:rPr>
        <w:t>Includes investment in SMPA Holdings, LLC of 15,000</w:t>
      </w:r>
      <w:r>
        <w:rPr/>
        <w:t xml:space="preserve"> </w:t>
      </w:r>
      <w:r>
        <w:rPr>
          <w:rFonts w:ascii="Times New Roman;serif" w:hAnsi="Times New Roman;serif"/>
          <w:b w:val="false"/>
          <w:sz w:val="20"/>
        </w:rPr>
        <w:t xml:space="preserve">common equity units. </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(7)</w:t>
      </w:r>
    </w:p>
    <w:p>
      <w:pPr>
        <w:pStyle w:val="TextBody"/>
        <w:bidi w:val="0"/>
        <w:jc w:val="left"/>
        <w:rPr/>
      </w:pPr>
      <w:r>
        <w:rPr>
          <w:rFonts w:ascii="Times New Roman;serif" w:hAnsi="Times New Roman;serif"/>
          <w:b w:val="false"/>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2022</w:t>
      </w:r>
      <w:r>
        <w:rPr/>
        <w:t xml:space="preserve"> </w:t>
      </w:r>
      <w:r>
        <w:rPr>
          <w:rFonts w:ascii="Times New Roman;serif" w:hAnsi="Times New Roman;serif"/>
          <w:b w:val="false"/>
          <w:sz w:val="20"/>
        </w:rPr>
        <w:t xml:space="preserve">in which the Company was an Affiliated Person of and was deemed to Control a portfolio company are as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u w:val="single"/>
        </w:rPr>
      </w:pPr>
      <w:r>
        <w:rPr>
          <w:rFonts w:ascii="Times New Roman;serif" w:hAnsi="Times New Roman;serif"/>
          <w:b/>
          <w:sz w:val="20"/>
          <w:u w:val="single"/>
        </w:rPr>
        <w:t>Controlled, Affiliated Investments during the year ended December 31, 2022</w:t>
      </w:r>
    </w:p>
    <w:p>
      <w:pPr>
        <w:pStyle w:val="TextBody"/>
        <w:bidi w:val="0"/>
        <w:spacing w:before="0" w:after="0"/>
        <w:jc w:val="center"/>
        <w:rPr/>
      </w:pPr>
      <w:r>
        <w:rPr/>
        <w:t> </w:t>
      </w:r>
    </w:p>
    <w:tbl>
      <w:tblPr>
        <w:tblW w:w="10654" w:type="dxa"/>
        <w:jc w:val="left"/>
        <w:tblInd w:w="0" w:type="dxa"/>
        <w:tblLayout w:type="fixed"/>
        <w:tblCellMar>
          <w:top w:w="28" w:type="dxa"/>
          <w:left w:w="28" w:type="dxa"/>
          <w:bottom w:w="28" w:type="dxa"/>
          <w:right w:w="28" w:type="dxa"/>
        </w:tblCellMar>
      </w:tblPr>
      <w:tblGrid>
        <w:gridCol w:w="871"/>
        <w:gridCol w:w="146"/>
        <w:gridCol w:w="203"/>
        <w:gridCol w:w="623"/>
        <w:gridCol w:w="146"/>
        <w:gridCol w:w="146"/>
        <w:gridCol w:w="220"/>
        <w:gridCol w:w="576"/>
        <w:gridCol w:w="146"/>
        <w:gridCol w:w="146"/>
        <w:gridCol w:w="230"/>
        <w:gridCol w:w="671"/>
        <w:gridCol w:w="166"/>
        <w:gridCol w:w="146"/>
        <w:gridCol w:w="245"/>
        <w:gridCol w:w="641"/>
        <w:gridCol w:w="146"/>
        <w:gridCol w:w="146"/>
        <w:gridCol w:w="260"/>
        <w:gridCol w:w="461"/>
        <w:gridCol w:w="146"/>
        <w:gridCol w:w="146"/>
        <w:gridCol w:w="287"/>
        <w:gridCol w:w="509"/>
        <w:gridCol w:w="146"/>
        <w:gridCol w:w="146"/>
        <w:gridCol w:w="203"/>
        <w:gridCol w:w="623"/>
        <w:gridCol w:w="146"/>
        <w:gridCol w:w="146"/>
        <w:gridCol w:w="315"/>
        <w:gridCol w:w="316"/>
        <w:gridCol w:w="146"/>
        <w:gridCol w:w="146"/>
        <w:gridCol w:w="196"/>
        <w:gridCol w:w="511"/>
        <w:gridCol w:w="19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Company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w:t>
              <w:br/>
              <w:t>Value at</w:t>
              <w:br/>
              <w:t>December 31, 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Additions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Gross</w:t>
              <w:br/>
              <w:t>Reductions</w:t>
            </w:r>
            <w:r>
              <w:rPr>
                <w:rFonts w:ascii="Times New Roman" w:hAnsi="Times New Roman"/>
                <w:sz w:val="16"/>
              </w:rPr>
              <w:t xml:space="preserve"> </w:t>
            </w:r>
            <w:r>
              <w:rPr>
                <w:rFonts w:ascii="Times New Roman;serif" w:hAnsi="Times New Roman;serif"/>
                <w:b/>
                <w:sz w:val="16"/>
              </w:rPr>
              <w:t>(b)</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Change</w:t>
              <w:br/>
              <w:t>In Unrealized</w:t>
              <w:br/>
              <w:t>Gain/(Loss)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Realized</w:t>
              <w:br/>
              <w:t>Gain/(Losses)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Transfers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w:t>
              <w:br/>
              <w:t>Value at</w:t>
              <w:br/>
              <w:t>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b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w:t>
              <w:br/>
              <w:t>Income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IRGSE Holding Corp.</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59,779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5,064</w:t>
            </w:r>
          </w:p>
        </w:tc>
        <w:tc>
          <w:tcPr>
            <w:tcW w:w="191" w:type="dxa"/>
            <w:tcBorders/>
            <w:vAlign w:val="center"/>
          </w:tcPr>
          <w:p>
            <w:pPr>
              <w:pStyle w:val="TableContents"/>
              <w:bidi w:val="0"/>
              <w:spacing w:before="0" w:after="0"/>
              <w:ind w:left="0" w:right="0" w:hanging="0"/>
              <w:jc w:val="left"/>
              <w:rPr/>
            </w:pPr>
            <w:r>
              <w:rPr/>
              <w:t> </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Mississippi Resources,</w:t>
              <w:br/>
              <w:t>   LLC</w:t>
            </w:r>
          </w:p>
        </w:tc>
        <w:tc>
          <w:tcPr>
            <w:tcW w:w="146" w:type="dxa"/>
            <w:tcBorders/>
            <w:vAlign w:val="center"/>
          </w:tcPr>
          <w:p>
            <w:pPr>
              <w:pStyle w:val="TableContents"/>
              <w:bidi w:val="0"/>
              <w:spacing w:before="0" w:after="0"/>
              <w:ind w:left="0" w:right="0" w:hanging="0"/>
              <w:jc w:val="right"/>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8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59,779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4,420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(1,553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8,054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70,755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5,064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spacing w:before="0" w:after="0"/>
        <w:jc w:val="left"/>
        <w:rPr/>
      </w:pPr>
      <w:r>
        <w:rPr>
          <w:rFonts w:ascii="Times New Roman;serif" w:hAnsi="Times New Roman;serif"/>
          <w:b w:val="false"/>
          <w:sz w:val="20"/>
        </w:rPr>
        <w:t>Gross additions include increases in the cost basis of investments resulting from new investments, payment-in-kind interest or dividends, the amortization of any unearned income or discounts on debt investments, as applicable.</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jc w:val="left"/>
        <w:rPr/>
      </w:pPr>
      <w:r>
        <w:rPr>
          <w:rFonts w:ascii="Times New Roman;serif" w:hAnsi="Times New Roman;serif"/>
          <w:b w:val="false"/>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(8)</w:t>
      </w:r>
    </w:p>
    <w:p>
      <w:pPr>
        <w:pStyle w:val="TextBody"/>
        <w:bidi w:val="0"/>
        <w:spacing w:before="0" w:after="0"/>
        <w:jc w:val="left"/>
        <w:rPr/>
      </w:pPr>
      <w:r>
        <w:rPr>
          <w:rFonts w:ascii="Times New Roman;serif" w:hAnsi="Times New Roman;serif"/>
          <w:b w:val="false"/>
          <w:sz w:val="20"/>
        </w:rPr>
        <w:t>As of December 31, 2022, the estimated cost basis of investments for U.S. federal tax purposes was $2,787,005</w:t>
      </w:r>
      <w:r>
        <w:rPr/>
        <w:t xml:space="preserve"> </w:t>
      </w:r>
      <w:r>
        <w:rPr>
          <w:rFonts w:ascii="Times New Roman;serif" w:hAnsi="Times New Roman;serif"/>
          <w:b w:val="false"/>
          <w:sz w:val="20"/>
        </w:rPr>
        <w:t>resulting in estimated gross unrealized gains and losses of $109,609</w:t>
      </w:r>
      <w:r>
        <w:rPr/>
        <w:t xml:space="preserve"> </w:t>
      </w:r>
      <w:r>
        <w:rPr>
          <w:rFonts w:ascii="Times New Roman;serif" w:hAnsi="Times New Roman;serif"/>
          <w:b w:val="false"/>
          <w:sz w:val="20"/>
        </w:rPr>
        <w:t>and $105,786, respectively.</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(9)</w:t>
      </w:r>
    </w:p>
    <w:p>
      <w:pPr>
        <w:pStyle w:val="TextBody"/>
        <w:bidi w:val="0"/>
        <w:spacing w:before="0" w:after="0"/>
        <w:jc w:val="left"/>
        <w:rPr/>
      </w:pPr>
      <w:r>
        <w:rPr>
          <w:rFonts w:ascii="Times New Roman;serif" w:hAnsi="Times New Roman;serif"/>
          <w:b w:val="false"/>
          <w:sz w:val="20"/>
        </w:rPr>
        <w:t xml:space="preserve">In accordance with Financial Accounting Standards Board Accounting Standards Codification Topic 820, </w:t>
      </w:r>
      <w:r>
        <w:rPr>
          <w:rFonts w:ascii="Times New Roman;serif" w:hAnsi="Times New Roman;serif"/>
          <w:b w:val="false"/>
          <w:i/>
          <w:sz w:val="20"/>
        </w:rPr>
        <w:t>Fair Value Measurements</w:t>
      </w:r>
      <w:r>
        <w:rPr/>
        <w:t xml:space="preserve"> </w:t>
      </w:r>
      <w:r>
        <w:rPr>
          <w:rFonts w:ascii="Times New Roman;serif" w:hAnsi="Times New Roman;serif"/>
          <w:b w:val="false"/>
          <w:sz w:val="20"/>
        </w:rPr>
        <w:t>(“ASC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b w:val="false"/>
          <w:sz w:val="20"/>
        </w:rPr>
      </w:pPr>
      <w:r>
        <w:rPr>
          <w:rFonts w:ascii="Times New Roman" w:hAnsi="Times New Roman"/>
          <w:b w:val="false"/>
          <w:sz w:val="20"/>
        </w:rPr>
        <w:t>(10)</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investment is valued using observable inputs and is considered a Level 2 investment. See Note 6 for further information related to investments at fair value.</w:t>
      </w:r>
    </w:p>
    <w:p>
      <w:pPr>
        <w:pStyle w:val="TextBody"/>
        <w:bidi w:val="0"/>
        <w:spacing w:before="0" w:after="0"/>
        <w:jc w:val="left"/>
        <w:rPr>
          <w:rFonts w:ascii="Times New Roman" w:hAnsi="Times New Roman"/>
          <w:b w:val="false"/>
          <w:sz w:val="20"/>
        </w:rPr>
      </w:pPr>
      <w:r>
        <w:rPr>
          <w:rFonts w:ascii="Times New Roman" w:hAnsi="Times New Roman"/>
          <w:b w:val="false"/>
          <w:sz w:val="20"/>
        </w:rPr>
        <w:t>(11)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investment is valued using observable inputs and is considered a Level 1 investment. See Note 6 for further information related to investments at fair value.</w:t>
      </w:r>
    </w:p>
    <w:p>
      <w:pPr>
        <w:pStyle w:val="TextBody"/>
        <w:bidi w:val="0"/>
        <w:spacing w:before="0" w:after="0"/>
        <w:jc w:val="left"/>
        <w:rPr>
          <w:rFonts w:ascii="Times New Roman" w:hAnsi="Times New Roman"/>
          <w:b w:val="false"/>
          <w:sz w:val="20"/>
        </w:rPr>
      </w:pPr>
      <w:r>
        <w:rPr>
          <w:rFonts w:ascii="Times New Roman" w:hAnsi="Times New Roman"/>
          <w:b w:val="false"/>
          <w:sz w:val="20"/>
        </w:rPr>
        <w:t>(12)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investment is non-income producing.</w:t>
      </w:r>
    </w:p>
    <w:p>
      <w:pPr>
        <w:pStyle w:val="TextBody"/>
        <w:bidi w:val="0"/>
        <w:spacing w:before="0" w:after="0"/>
        <w:jc w:val="left"/>
        <w:rPr>
          <w:rFonts w:ascii="Times New Roman" w:hAnsi="Times New Roman"/>
          <w:b w:val="false"/>
          <w:sz w:val="20"/>
        </w:rPr>
      </w:pPr>
      <w:r>
        <w:rPr>
          <w:rFonts w:ascii="Times New Roman" w:hAnsi="Times New Roman"/>
          <w:b w:val="false"/>
          <w:sz w:val="20"/>
        </w:rPr>
        <w:t>(13)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All or a portion of this security was acquired in a transaction exempt from registration under the Securities Act of 1933, and may be deemed to be “restricted securities” under the Securities Act. As of December 31, 2022, the aggregate fair value of these securities is $47,288, or 3.5% of the Company’s net assets.</w:t>
      </w:r>
    </w:p>
    <w:p>
      <w:pPr>
        <w:pStyle w:val="TextBody"/>
        <w:bidi w:val="0"/>
        <w:spacing w:before="0" w:after="0"/>
        <w:jc w:val="left"/>
        <w:rPr>
          <w:rFonts w:ascii="Times New Roman" w:hAnsi="Times New Roman"/>
          <w:b w:val="false"/>
          <w:sz w:val="20"/>
        </w:rPr>
      </w:pPr>
      <w:r>
        <w:rPr>
          <w:rFonts w:ascii="Times New Roman" w:hAnsi="Times New Roman"/>
          <w:b w:val="false"/>
          <w:sz w:val="20"/>
        </w:rPr>
        <w:t>(14)</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Ownership of equity investments may occur through a holding company or partnership.</w:t>
      </w:r>
    </w:p>
    <w:p>
      <w:pPr>
        <w:pStyle w:val="TextBody"/>
        <w:bidi w:val="0"/>
        <w:spacing w:before="0" w:after="0"/>
        <w:jc w:val="left"/>
        <w:rPr>
          <w:rFonts w:ascii="Times New Roman" w:hAnsi="Times New Roman"/>
          <w:b w:val="false"/>
          <w:sz w:val="20"/>
        </w:rPr>
      </w:pPr>
      <w:r>
        <w:rPr>
          <w:rFonts w:ascii="Times New Roman" w:hAnsi="Times New Roman"/>
          <w:b w:val="false"/>
          <w:sz w:val="20"/>
        </w:rPr>
        <w:t>(15)</w:t>
      </w:r>
    </w:p>
    <w:p>
      <w:pPr>
        <w:pStyle w:val="TextBody"/>
        <w:bidi w:val="0"/>
        <w:jc w:val="left"/>
        <w:rPr>
          <w:rFonts w:ascii="Times New Roman;serif" w:hAnsi="Times New Roman;serif"/>
          <w:b w:val="false"/>
          <w:sz w:val="20"/>
        </w:rPr>
      </w:pPr>
      <w:r>
        <w:rPr>
          <w:rFonts w:ascii="Times New Roman;serif" w:hAnsi="Times New Roman;serif"/>
          <w:b w:val="false"/>
          <w:sz w:val="20"/>
        </w:rPr>
        <w:t>Investment is on non-accrual status as of December 31, 2022.</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7" w:name="consolidated_statements_changes_in_net_a"/>
      <w:bookmarkEnd w:id="7"/>
      <w:r>
        <w:rPr>
          <w:rFonts w:ascii="Times New Roman;serif" w:hAnsi="Times New Roman;serif"/>
          <w:b/>
          <w:sz w:val="20"/>
        </w:rPr>
        <w:t>Consolidated Statements of Changes in Net Assets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80"/>
        <w:gridCol w:w="146"/>
        <w:gridCol w:w="146"/>
        <w:gridCol w:w="766"/>
        <w:gridCol w:w="146"/>
        <w:gridCol w:w="146"/>
        <w:gridCol w:w="196"/>
        <w:gridCol w:w="375"/>
        <w:gridCol w:w="146"/>
        <w:gridCol w:w="146"/>
        <w:gridCol w:w="146"/>
        <w:gridCol w:w="586"/>
        <w:gridCol w:w="146"/>
        <w:gridCol w:w="146"/>
        <w:gridCol w:w="181"/>
        <w:gridCol w:w="556"/>
        <w:gridCol w:w="151"/>
        <w:gridCol w:w="146"/>
        <w:gridCol w:w="206"/>
        <w:gridCol w:w="788"/>
        <w:gridCol w:w="151"/>
        <w:gridCol w:w="146"/>
        <w:gridCol w:w="221"/>
        <w:gridCol w:w="680"/>
        <w:gridCol w:w="151"/>
        <w:gridCol w:w="146"/>
        <w:gridCol w:w="181"/>
        <w:gridCol w:w="691"/>
        <w:gridCol w:w="393"/>
      </w:tblGrid>
      <w:tr>
        <w:trPr/>
        <w:tc>
          <w:tcPr>
            <w:tcW w:w="2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7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7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Treasury 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4"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393" w:type="dxa"/>
            <w:tcBorders/>
            <w:vAlign w:val="center"/>
          </w:tcPr>
          <w:p>
            <w:pPr>
              <w:pStyle w:val="TableContents"/>
              <w:bidi w:val="0"/>
              <w:spacing w:before="0" w:after="0"/>
              <w:ind w:left="0" w:right="0" w:hanging="0"/>
              <w:jc w:val="center"/>
              <w:rPr/>
            </w:pPr>
            <w:r>
              <w:rPr/>
              <w:t> </w:t>
            </w:r>
          </w:p>
        </w:tc>
      </w:tr>
      <w:tr>
        <w:trPr/>
        <w:tc>
          <w:tcPr>
            <w:tcW w:w="21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Par</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Cost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 in Capital in</w:t>
              <w:br/>
              <w:t>Excess of Par</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Distributable</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 Net</w:t>
              <w:br/>
              <w:t>Assets</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80"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81,389,287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664,250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(10,459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1,294,751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56,456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1,341,569</w:t>
            </w:r>
          </w:p>
        </w:tc>
        <w:tc>
          <w:tcPr>
            <w:tcW w:w="393" w:type="dxa"/>
            <w:tcBorders/>
            <w:vAlign w:val="center"/>
          </w:tcPr>
          <w:p>
            <w:pPr>
              <w:pStyle w:val="TableContents"/>
              <w:bidi w:val="0"/>
              <w:spacing w:before="0" w:after="0"/>
              <w:ind w:left="0" w:right="0" w:firstLine="100"/>
              <w:jc w:val="left"/>
              <w:rPr/>
            </w:pPr>
            <w:r>
              <w:rPr/>
              <w:t> </w:t>
            </w:r>
          </w:p>
        </w:tc>
      </w:tr>
      <w:tr>
        <w:trPr/>
        <w:tc>
          <w:tcPr>
            <w:tcW w:w="2180" w:type="dxa"/>
            <w:tcBorders/>
            <w:vAlign w:val="center"/>
          </w:tcPr>
          <w:p>
            <w:pPr>
              <w:pStyle w:val="TableContents"/>
              <w:bidi w:val="0"/>
              <w:spacing w:before="0" w:after="0"/>
              <w:ind w:left="100" w:right="0" w:hanging="0"/>
              <w:jc w:val="left"/>
              <w:rPr>
                <w:rFonts w:ascii="Times New Roman;serif" w:hAnsi="Times New Roman;serif"/>
                <w:b w:val="false"/>
                <w:sz w:val="14"/>
              </w:rPr>
            </w:pPr>
            <w:r>
              <w:rPr>
                <w:rFonts w:ascii="Times New Roman;serif" w:hAnsi="Times New Roman;serif"/>
                <w:b w:val="false"/>
                <w:sz w:val="14"/>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4"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2180"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Net investment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42,937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42,937</w:t>
            </w:r>
          </w:p>
        </w:tc>
        <w:tc>
          <w:tcPr>
            <w:tcW w:w="393" w:type="dxa"/>
            <w:tcBorders/>
            <w:vAlign w:val="center"/>
          </w:tcPr>
          <w:p>
            <w:pPr>
              <w:pStyle w:val="TableContents"/>
              <w:bidi w:val="0"/>
              <w:spacing w:before="0" w:after="0"/>
              <w:ind w:left="0" w:right="0" w:firstLine="200"/>
              <w:jc w:val="left"/>
              <w:rPr/>
            </w:pPr>
            <w:r>
              <w:rPr/>
              <w:t> </w:t>
            </w:r>
          </w:p>
        </w:tc>
      </w:tr>
      <w:tr>
        <w:trPr/>
        <w:tc>
          <w:tcPr>
            <w:tcW w:w="2180"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Net change in unrealized gains (losses) on investments and</w:t>
              <w:br/>
              <w:t>   foreign currency translation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4,777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4,777</w:t>
            </w:r>
          </w:p>
        </w:tc>
        <w:tc>
          <w:tcPr>
            <w:tcW w:w="393" w:type="dxa"/>
            <w:tcBorders/>
            <w:vAlign w:val="center"/>
          </w:tcPr>
          <w:p>
            <w:pPr>
              <w:pStyle w:val="TableContents"/>
              <w:bidi w:val="0"/>
              <w:spacing w:before="0" w:after="0"/>
              <w:ind w:left="0" w:right="0" w:firstLine="200"/>
              <w:jc w:val="left"/>
              <w:rPr/>
            </w:pPr>
            <w:r>
              <w:rPr/>
              <w:t> </w:t>
            </w:r>
          </w:p>
        </w:tc>
      </w:tr>
      <w:tr>
        <w:trPr/>
        <w:tc>
          <w:tcPr>
            <w:tcW w:w="2180"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 xml:space="preserve">Net realized gains (losses) on investments and foreign </w:t>
              <w:br/>
              <w:t>   currency transactions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5,238</w:t>
            </w:r>
          </w:p>
        </w:tc>
        <w:tc>
          <w:tcPr>
            <w:tcW w:w="393" w:type="dxa"/>
            <w:tcBorders/>
            <w:vAlign w:val="center"/>
          </w:tcPr>
          <w:p>
            <w:pPr>
              <w:pStyle w:val="TableContents"/>
              <w:bidi w:val="0"/>
              <w:spacing w:before="0" w:after="0"/>
              <w:ind w:left="0" w:right="0" w:firstLine="100"/>
              <w:jc w:val="left"/>
              <w:rPr/>
            </w:pPr>
            <w:r>
              <w:rPr/>
              <w:t> </w:t>
            </w:r>
          </w:p>
        </w:tc>
      </w:tr>
      <w:tr>
        <w:trPr/>
        <w:tc>
          <w:tcPr>
            <w:tcW w:w="2180" w:type="dxa"/>
            <w:tcBorders/>
            <w:vAlign w:val="center"/>
          </w:tcPr>
          <w:p>
            <w:pPr>
              <w:pStyle w:val="TableContents"/>
              <w:bidi w:val="0"/>
              <w:spacing w:before="0" w:after="0"/>
              <w:ind w:left="100" w:right="0" w:hanging="0"/>
              <w:jc w:val="left"/>
              <w:rPr>
                <w:rFonts w:ascii="Times New Roman;serif" w:hAnsi="Times New Roman;serif"/>
                <w:b w:val="false"/>
                <w:sz w:val="14"/>
              </w:rPr>
            </w:pPr>
            <w:r>
              <w:rPr>
                <w:rFonts w:ascii="Times New Roman;serif" w:hAnsi="Times New Roman;serif"/>
                <w:b w:val="false"/>
                <w:sz w:val="14"/>
              </w:rPr>
              <w:t>Dividends to stockholders:</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4"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2180"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Stock issued in connection with dividend reinvestment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362,578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6,245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6,248</w:t>
            </w:r>
          </w:p>
        </w:tc>
        <w:tc>
          <w:tcPr>
            <w:tcW w:w="393" w:type="dxa"/>
            <w:tcBorders/>
            <w:vAlign w:val="center"/>
          </w:tcPr>
          <w:p>
            <w:pPr>
              <w:pStyle w:val="TableContents"/>
              <w:bidi w:val="0"/>
              <w:spacing w:before="0" w:after="0"/>
              <w:ind w:left="0" w:right="0" w:firstLine="200"/>
              <w:jc w:val="left"/>
              <w:rPr/>
            </w:pPr>
            <w:r>
              <w:rPr/>
              <w:t> </w:t>
            </w:r>
          </w:p>
        </w:tc>
      </w:tr>
      <w:tr>
        <w:trPr/>
        <w:tc>
          <w:tcPr>
            <w:tcW w:w="2180"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Dividends declared from distributable earnings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(44,764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(44,764</w:t>
            </w:r>
          </w:p>
        </w:tc>
        <w:tc>
          <w:tcPr>
            <w:tcW w:w="393" w:type="dxa"/>
            <w:tcBorders/>
            <w:vAlign w:val="center"/>
          </w:tcPr>
          <w:p>
            <w:pPr>
              <w:pStyle w:val="TableContents"/>
              <w:bidi w:val="0"/>
              <w:spacing w:before="0" w:after="0"/>
              <w:ind w:left="0" w:right="0" w:firstLine="100"/>
              <w:jc w:val="left"/>
              <w:rPr>
                <w:rFonts w:ascii="Times New Roman;serif" w:hAnsi="Times New Roman;serif"/>
                <w:b w:val="false"/>
                <w:sz w:val="14"/>
              </w:rPr>
            </w:pPr>
            <w:r>
              <w:rPr>
                <w:rFonts w:ascii="Times New Roman;serif" w:hAnsi="Times New Roman;serif"/>
                <w:b w:val="false"/>
                <w:sz w:val="14"/>
              </w:rPr>
              <w:t>)</w:t>
            </w:r>
          </w:p>
        </w:tc>
      </w:tr>
      <w:tr>
        <w:trPr/>
        <w:tc>
          <w:tcPr>
            <w:tcW w:w="2180" w:type="dxa"/>
            <w:tcBorders/>
            <w:vAlign w:val="center"/>
          </w:tcPr>
          <w:p>
            <w:pPr>
              <w:pStyle w:val="TableContents"/>
              <w:bidi w:val="0"/>
              <w:spacing w:before="0" w:after="0"/>
              <w:ind w:left="100" w:right="0" w:hanging="0"/>
              <w:jc w:val="left"/>
              <w:rPr>
                <w:rFonts w:ascii="Times New Roman" w:hAnsi="Times New Roman"/>
                <w:sz w:val="14"/>
              </w:rPr>
            </w:pPr>
            <w:r>
              <w:rPr>
                <w:rFonts w:ascii="Times New Roman;serif" w:hAnsi="Times New Roman;serif"/>
                <w:b w:val="false"/>
                <w:sz w:val="14"/>
              </w:rPr>
              <w:t>Tax reclassification of stockholders' equity in accordance with</w:t>
              <w:br/>
              <w:t xml:space="preserve">   GAAP </w:t>
            </w:r>
            <w:r>
              <w:rPr>
                <w:rFonts w:ascii="Times New Roman;serif" w:hAnsi="Times New Roman;serif"/>
                <w:b w:val="false"/>
                <w:sz w:val="9"/>
              </w:rPr>
              <w:t>(1)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80"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81,751,865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824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664,250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(10,459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146" w:type="dxa"/>
            <w:tcBorders/>
            <w:vAlign w:val="center"/>
          </w:tcPr>
          <w:p>
            <w:pPr>
              <w:pStyle w:val="TableContents"/>
              <w:bidi w:val="0"/>
              <w:spacing w:before="0" w:after="0"/>
              <w:ind w:left="0" w:right="0" w:hanging="0"/>
              <w:jc w:val="righ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7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1,300,593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65,047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1,356,005</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180" w:type="dxa"/>
            <w:tcBorders/>
            <w:vAlign w:val="center"/>
          </w:tcPr>
          <w:p>
            <w:pPr>
              <w:pStyle w:val="TableContents"/>
              <w:bidi w:val="0"/>
              <w:spacing w:before="0" w:after="0"/>
              <w:ind w:left="100" w:right="0" w:hanging="0"/>
              <w:jc w:val="left"/>
              <w:rPr>
                <w:rFonts w:ascii="Times New Roman;serif" w:hAnsi="Times New Roman;serif"/>
                <w:b w:val="false"/>
                <w:sz w:val="14"/>
              </w:rPr>
            </w:pPr>
            <w:r>
              <w:rPr>
                <w:rFonts w:ascii="Times New Roman;serif" w:hAnsi="Times New Roman;serif"/>
                <w:b w:val="false"/>
                <w:sz w:val="14"/>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4"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2180"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Net investment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48,784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48,784</w:t>
            </w:r>
          </w:p>
        </w:tc>
        <w:tc>
          <w:tcPr>
            <w:tcW w:w="393" w:type="dxa"/>
            <w:tcBorders/>
            <w:vAlign w:val="center"/>
          </w:tcPr>
          <w:p>
            <w:pPr>
              <w:pStyle w:val="TableContents"/>
              <w:bidi w:val="0"/>
              <w:spacing w:before="0" w:after="0"/>
              <w:ind w:left="0" w:right="0" w:firstLine="200"/>
              <w:jc w:val="left"/>
              <w:rPr/>
            </w:pPr>
            <w:r>
              <w:rPr/>
              <w:t> </w:t>
            </w:r>
          </w:p>
        </w:tc>
      </w:tr>
      <w:tr>
        <w:trPr/>
        <w:tc>
          <w:tcPr>
            <w:tcW w:w="2180"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Net change in unrealized gains (losses) on investments and</w:t>
              <w:br/>
              <w:t>   foreign currency translation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2,822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2,822</w:t>
            </w:r>
          </w:p>
        </w:tc>
        <w:tc>
          <w:tcPr>
            <w:tcW w:w="393" w:type="dxa"/>
            <w:tcBorders/>
            <w:vAlign w:val="center"/>
          </w:tcPr>
          <w:p>
            <w:pPr>
              <w:pStyle w:val="TableContents"/>
              <w:bidi w:val="0"/>
              <w:spacing w:before="0" w:after="0"/>
              <w:ind w:left="0" w:right="0" w:firstLine="200"/>
              <w:jc w:val="left"/>
              <w:rPr/>
            </w:pPr>
            <w:r>
              <w:rPr/>
              <w:t> </w:t>
            </w:r>
          </w:p>
        </w:tc>
      </w:tr>
      <w:tr>
        <w:trPr/>
        <w:tc>
          <w:tcPr>
            <w:tcW w:w="2180"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 xml:space="preserve">Net realized gains (losses) on investments and foreign </w:t>
              <w:br/>
              <w:t>   currency transactions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1,484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1,484</w:t>
            </w:r>
          </w:p>
        </w:tc>
        <w:tc>
          <w:tcPr>
            <w:tcW w:w="393" w:type="dxa"/>
            <w:tcBorders/>
            <w:vAlign w:val="center"/>
          </w:tcPr>
          <w:p>
            <w:pPr>
              <w:pStyle w:val="TableContents"/>
              <w:bidi w:val="0"/>
              <w:spacing w:before="0" w:after="0"/>
              <w:ind w:left="0" w:right="0" w:firstLine="100"/>
              <w:jc w:val="left"/>
              <w:rPr/>
            </w:pPr>
            <w:r>
              <w:rPr/>
              <w:t> </w:t>
            </w:r>
          </w:p>
        </w:tc>
      </w:tr>
      <w:tr>
        <w:trPr/>
        <w:tc>
          <w:tcPr>
            <w:tcW w:w="2180" w:type="dxa"/>
            <w:tcBorders/>
            <w:vAlign w:val="center"/>
          </w:tcPr>
          <w:p>
            <w:pPr>
              <w:pStyle w:val="TableContents"/>
              <w:bidi w:val="0"/>
              <w:spacing w:before="0" w:after="0"/>
              <w:ind w:left="100" w:right="0" w:hanging="0"/>
              <w:jc w:val="left"/>
              <w:rPr>
                <w:rFonts w:ascii="Times New Roman;serif" w:hAnsi="Times New Roman;serif"/>
                <w:b w:val="false"/>
                <w:sz w:val="14"/>
              </w:rPr>
            </w:pPr>
            <w:r>
              <w:rPr>
                <w:rFonts w:ascii="Times New Roman;serif" w:hAnsi="Times New Roman;serif"/>
                <w:b w:val="false"/>
                <w:sz w:val="14"/>
              </w:rPr>
              <w:t>Increase (decrease) in Net Assets Resulting from Capital Share</w:t>
              <w:br/>
              <w:t>   Transactions:</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4"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2180"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 xml:space="preserve">Issuance of common stock, net of offering and </w:t>
              <w:br/>
              <w:t>   underwriting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5,175,000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89,238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89,290</w:t>
            </w:r>
          </w:p>
        </w:tc>
        <w:tc>
          <w:tcPr>
            <w:tcW w:w="393" w:type="dxa"/>
            <w:tcBorders/>
            <w:vAlign w:val="center"/>
          </w:tcPr>
          <w:p>
            <w:pPr>
              <w:pStyle w:val="TableContents"/>
              <w:bidi w:val="0"/>
              <w:spacing w:before="0" w:after="0"/>
              <w:ind w:left="0" w:right="0" w:firstLine="100"/>
              <w:jc w:val="left"/>
              <w:rPr/>
            </w:pPr>
            <w:r>
              <w:rPr/>
              <w:t> </w:t>
            </w:r>
          </w:p>
        </w:tc>
      </w:tr>
      <w:tr>
        <w:trPr/>
        <w:tc>
          <w:tcPr>
            <w:tcW w:w="2180" w:type="dxa"/>
            <w:tcBorders/>
            <w:vAlign w:val="center"/>
          </w:tcPr>
          <w:p>
            <w:pPr>
              <w:pStyle w:val="TableContents"/>
              <w:bidi w:val="0"/>
              <w:spacing w:before="0" w:after="0"/>
              <w:ind w:left="100" w:right="0" w:hanging="0"/>
              <w:jc w:val="left"/>
              <w:rPr>
                <w:rFonts w:ascii="Times New Roman;serif" w:hAnsi="Times New Roman;serif"/>
                <w:b w:val="false"/>
                <w:sz w:val="14"/>
              </w:rPr>
            </w:pPr>
            <w:r>
              <w:rPr>
                <w:rFonts w:ascii="Times New Roman;serif" w:hAnsi="Times New Roman;serif"/>
                <w:b w:val="false"/>
                <w:sz w:val="14"/>
              </w:rPr>
              <w:t>Dividends to stockholders:</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4"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2180"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Stock issued in connection with dividend reinvestment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314,366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5,578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5,581</w:t>
            </w:r>
          </w:p>
        </w:tc>
        <w:tc>
          <w:tcPr>
            <w:tcW w:w="393" w:type="dxa"/>
            <w:tcBorders/>
            <w:vAlign w:val="center"/>
          </w:tcPr>
          <w:p>
            <w:pPr>
              <w:pStyle w:val="TableContents"/>
              <w:bidi w:val="0"/>
              <w:spacing w:before="0" w:after="0"/>
              <w:ind w:left="0" w:right="0" w:firstLine="200"/>
              <w:jc w:val="left"/>
              <w:rPr/>
            </w:pPr>
            <w:r>
              <w:rPr/>
              <w:t> </w:t>
            </w:r>
          </w:p>
        </w:tc>
      </w:tr>
      <w:tr>
        <w:trPr/>
        <w:tc>
          <w:tcPr>
            <w:tcW w:w="2180"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Dividends declared from distributable earnings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(43,437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(43,437</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180"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87,241,231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879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664,250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(10,459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146" w:type="dxa"/>
            <w:tcBorders/>
            <w:vAlign w:val="center"/>
          </w:tcPr>
          <w:p>
            <w:pPr>
              <w:pStyle w:val="TableContents"/>
              <w:bidi w:val="0"/>
              <w:spacing w:before="0" w:after="0"/>
              <w:ind w:left="0" w:right="0" w:hanging="0"/>
              <w:jc w:val="righ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7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1,395,409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74,700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1,460,529</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280"/>
        <w:gridCol w:w="146"/>
        <w:gridCol w:w="146"/>
        <w:gridCol w:w="766"/>
        <w:gridCol w:w="146"/>
        <w:gridCol w:w="146"/>
        <w:gridCol w:w="196"/>
        <w:gridCol w:w="375"/>
        <w:gridCol w:w="146"/>
        <w:gridCol w:w="146"/>
        <w:gridCol w:w="146"/>
        <w:gridCol w:w="586"/>
        <w:gridCol w:w="146"/>
        <w:gridCol w:w="146"/>
        <w:gridCol w:w="181"/>
        <w:gridCol w:w="481"/>
        <w:gridCol w:w="151"/>
        <w:gridCol w:w="146"/>
        <w:gridCol w:w="208"/>
        <w:gridCol w:w="797"/>
        <w:gridCol w:w="151"/>
        <w:gridCol w:w="146"/>
        <w:gridCol w:w="221"/>
        <w:gridCol w:w="680"/>
        <w:gridCol w:w="151"/>
        <w:gridCol w:w="146"/>
        <w:gridCol w:w="181"/>
        <w:gridCol w:w="691"/>
        <w:gridCol w:w="357"/>
      </w:tblGrid>
      <w:tr>
        <w:trPr/>
        <w:tc>
          <w:tcPr>
            <w:tcW w:w="2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2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7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Treasury 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357" w:type="dxa"/>
            <w:tcBorders/>
            <w:vAlign w:val="center"/>
          </w:tcPr>
          <w:p>
            <w:pPr>
              <w:pStyle w:val="TableContents"/>
              <w:bidi w:val="0"/>
              <w:spacing w:before="0" w:after="0"/>
              <w:ind w:left="0" w:right="0" w:hanging="0"/>
              <w:jc w:val="center"/>
              <w:rPr/>
            </w:pPr>
            <w:r>
              <w:rPr/>
              <w:t> </w:t>
            </w:r>
          </w:p>
        </w:tc>
      </w:tr>
      <w:tr>
        <w:trPr/>
        <w:tc>
          <w:tcPr>
            <w:tcW w:w="22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Par</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Cost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 in Capital in</w:t>
              <w:br/>
              <w:t>Excess of Par</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Distributable</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 Net</w:t>
              <w:br/>
              <w:t>Assets</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0"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75,771,542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296,044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(4,291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1,189,275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90,103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1,275,848</w:t>
            </w:r>
          </w:p>
        </w:tc>
        <w:tc>
          <w:tcPr>
            <w:tcW w:w="357" w:type="dxa"/>
            <w:tcBorders/>
            <w:vAlign w:val="center"/>
          </w:tcPr>
          <w:p>
            <w:pPr>
              <w:pStyle w:val="TableContents"/>
              <w:bidi w:val="0"/>
              <w:spacing w:before="0" w:after="0"/>
              <w:ind w:left="0" w:right="0" w:firstLine="80"/>
              <w:jc w:val="left"/>
              <w:rPr/>
            </w:pPr>
            <w:r>
              <w:rPr/>
              <w:t> </w:t>
            </w:r>
          </w:p>
        </w:tc>
      </w:tr>
      <w:tr>
        <w:trPr/>
        <w:tc>
          <w:tcPr>
            <w:tcW w:w="2280" w:type="dxa"/>
            <w:tcBorders/>
            <w:vAlign w:val="center"/>
          </w:tcPr>
          <w:p>
            <w:pPr>
              <w:pStyle w:val="TableContents"/>
              <w:bidi w:val="0"/>
              <w:spacing w:before="0" w:after="0"/>
              <w:ind w:left="80" w:right="0" w:hanging="0"/>
              <w:jc w:val="left"/>
              <w:rPr>
                <w:rFonts w:ascii="Times New Roman;serif" w:hAnsi="Times New Roman;serif"/>
                <w:b w:val="false"/>
                <w:sz w:val="14"/>
              </w:rPr>
            </w:pPr>
            <w:r>
              <w:rPr>
                <w:rFonts w:ascii="Times New Roman;serif" w:hAnsi="Times New Roman;serif"/>
                <w:b w:val="false"/>
                <w:sz w:val="14"/>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280"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investment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35,712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35,712</w:t>
            </w:r>
          </w:p>
        </w:tc>
        <w:tc>
          <w:tcPr>
            <w:tcW w:w="357" w:type="dxa"/>
            <w:tcBorders/>
            <w:vAlign w:val="center"/>
          </w:tcPr>
          <w:p>
            <w:pPr>
              <w:pStyle w:val="TableContents"/>
              <w:bidi w:val="0"/>
              <w:spacing w:before="0" w:after="0"/>
              <w:ind w:left="0" w:right="0" w:firstLine="160"/>
              <w:jc w:val="left"/>
              <w:rPr/>
            </w:pPr>
            <w:r>
              <w:rPr/>
              <w:t> </w:t>
            </w:r>
          </w:p>
        </w:tc>
      </w:tr>
      <w:tr>
        <w:trPr/>
        <w:tc>
          <w:tcPr>
            <w:tcW w:w="2280"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change in unrealized gains (losses) on investments and</w:t>
              <w:br/>
              <w:t>   foreign currency translation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(8,495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(8,495</w:t>
            </w:r>
          </w:p>
        </w:tc>
        <w:tc>
          <w:tcPr>
            <w:tcW w:w="357"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280"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 xml:space="preserve">Net realized gains (losses) on investments and foreign </w:t>
              <w:br/>
              <w:t>   currency transactions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13,668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13,668</w:t>
            </w:r>
          </w:p>
        </w:tc>
        <w:tc>
          <w:tcPr>
            <w:tcW w:w="357" w:type="dxa"/>
            <w:tcBorders/>
            <w:vAlign w:val="center"/>
          </w:tcPr>
          <w:p>
            <w:pPr>
              <w:pStyle w:val="TableContents"/>
              <w:bidi w:val="0"/>
              <w:spacing w:before="0" w:after="0"/>
              <w:ind w:left="0" w:right="0" w:firstLine="80"/>
              <w:jc w:val="left"/>
              <w:rPr/>
            </w:pPr>
            <w:r>
              <w:rPr/>
              <w:t> </w:t>
            </w:r>
          </w:p>
        </w:tc>
      </w:tr>
      <w:tr>
        <w:trPr/>
        <w:tc>
          <w:tcPr>
            <w:tcW w:w="2280" w:type="dxa"/>
            <w:tcBorders/>
            <w:vAlign w:val="center"/>
          </w:tcPr>
          <w:p>
            <w:pPr>
              <w:pStyle w:val="TableContents"/>
              <w:bidi w:val="0"/>
              <w:spacing w:before="0" w:after="0"/>
              <w:ind w:left="80" w:right="0" w:hanging="0"/>
              <w:jc w:val="left"/>
              <w:rPr>
                <w:rFonts w:ascii="Times New Roman;serif" w:hAnsi="Times New Roman;serif"/>
                <w:b w:val="false"/>
                <w:sz w:val="14"/>
              </w:rPr>
            </w:pPr>
            <w:r>
              <w:rPr>
                <w:rFonts w:ascii="Times New Roman;serif" w:hAnsi="Times New Roman;serif"/>
                <w:b w:val="false"/>
                <w:sz w:val="14"/>
              </w:rPr>
              <w:t>Dividends to stockholders:</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280"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Stock issued in connection with dividend reinvestment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299,138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6,771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6,774</w:t>
            </w:r>
          </w:p>
        </w:tc>
        <w:tc>
          <w:tcPr>
            <w:tcW w:w="357" w:type="dxa"/>
            <w:tcBorders/>
            <w:vAlign w:val="center"/>
          </w:tcPr>
          <w:p>
            <w:pPr>
              <w:pStyle w:val="TableContents"/>
              <w:bidi w:val="0"/>
              <w:spacing w:before="0" w:after="0"/>
              <w:ind w:left="0" w:right="0" w:firstLine="160"/>
              <w:jc w:val="left"/>
              <w:rPr/>
            </w:pPr>
            <w:r>
              <w:rPr/>
              <w:t> </w:t>
            </w:r>
          </w:p>
        </w:tc>
      </w:tr>
      <w:tr>
        <w:trPr/>
        <w:tc>
          <w:tcPr>
            <w:tcW w:w="2280"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Dividends declared from distributable earnings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(39,522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(39,522</w:t>
            </w:r>
          </w:p>
        </w:tc>
        <w:tc>
          <w:tcPr>
            <w:tcW w:w="357" w:type="dxa"/>
            <w:tcBorders/>
            <w:vAlign w:val="center"/>
          </w:tcPr>
          <w:p>
            <w:pPr>
              <w:pStyle w:val="TableContents"/>
              <w:bidi w:val="0"/>
              <w:spacing w:before="0" w:after="0"/>
              <w:ind w:left="0" w:right="0" w:firstLine="80"/>
              <w:jc w:val="left"/>
              <w:rPr>
                <w:rFonts w:ascii="Times New Roman;serif" w:hAnsi="Times New Roman;serif"/>
                <w:b w:val="false"/>
                <w:sz w:val="14"/>
              </w:rPr>
            </w:pPr>
            <w:r>
              <w:rPr>
                <w:rFonts w:ascii="Times New Roman;serif" w:hAnsi="Times New Roman;serif"/>
                <w:b w:val="false"/>
                <w:sz w:val="14"/>
              </w:rPr>
              <w:t>)</w:t>
            </w:r>
          </w:p>
        </w:tc>
      </w:tr>
      <w:tr>
        <w:trPr/>
        <w:tc>
          <w:tcPr>
            <w:tcW w:w="2280" w:type="dxa"/>
            <w:tcBorders/>
            <w:vAlign w:val="center"/>
          </w:tcPr>
          <w:p>
            <w:pPr>
              <w:pStyle w:val="TableContents"/>
              <w:bidi w:val="0"/>
              <w:spacing w:before="0" w:after="0"/>
              <w:ind w:left="80" w:right="0" w:hanging="0"/>
              <w:jc w:val="left"/>
              <w:rPr>
                <w:rFonts w:ascii="Times New Roman" w:hAnsi="Times New Roman"/>
                <w:sz w:val="14"/>
              </w:rPr>
            </w:pPr>
            <w:r>
              <w:rPr>
                <w:rFonts w:ascii="Times New Roman;serif" w:hAnsi="Times New Roman;serif"/>
                <w:b w:val="false"/>
                <w:sz w:val="14"/>
              </w:rPr>
              <w:t>Tax reclassification of stockholders' equity in accordance with</w:t>
              <w:br/>
              <w:t xml:space="preserve">   GAAP </w:t>
            </w:r>
            <w:r>
              <w:rPr>
                <w:rFonts w:ascii="Times New Roman;serif" w:hAnsi="Times New Roman;serif"/>
                <w:b w:val="false"/>
                <w:sz w:val="9"/>
              </w:rPr>
              <w:t>(1)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80"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76,070,680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764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296,044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(4,291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146" w:type="dxa"/>
            <w:tcBorders/>
            <w:vAlign w:val="center"/>
          </w:tcPr>
          <w:p>
            <w:pPr>
              <w:pStyle w:val="TableContents"/>
              <w:bidi w:val="0"/>
              <w:spacing w:before="0" w:after="0"/>
              <w:ind w:left="0" w:right="0" w:hanging="0"/>
              <w:jc w:val="righ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7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1,195,695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91,817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1,283,985</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firstLine="80"/>
              <w:jc w:val="left"/>
              <w:rPr/>
            </w:pPr>
            <w:r>
              <w:rPr/>
              <w:t> </w:t>
            </w:r>
          </w:p>
        </w:tc>
      </w:tr>
      <w:tr>
        <w:trPr/>
        <w:tc>
          <w:tcPr>
            <w:tcW w:w="2280" w:type="dxa"/>
            <w:tcBorders/>
            <w:vAlign w:val="center"/>
          </w:tcPr>
          <w:p>
            <w:pPr>
              <w:pStyle w:val="TableContents"/>
              <w:bidi w:val="0"/>
              <w:spacing w:before="0" w:after="0"/>
              <w:ind w:left="80" w:right="0" w:hanging="0"/>
              <w:jc w:val="left"/>
              <w:rPr>
                <w:rFonts w:ascii="Times New Roman;serif" w:hAnsi="Times New Roman;serif"/>
                <w:b w:val="false"/>
                <w:sz w:val="14"/>
              </w:rPr>
            </w:pPr>
            <w:r>
              <w:rPr>
                <w:rFonts w:ascii="Times New Roman;serif" w:hAnsi="Times New Roman;serif"/>
                <w:b w:val="false"/>
                <w:sz w:val="14"/>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280"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investment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40,822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40,822</w:t>
            </w:r>
          </w:p>
        </w:tc>
        <w:tc>
          <w:tcPr>
            <w:tcW w:w="357" w:type="dxa"/>
            <w:tcBorders/>
            <w:vAlign w:val="center"/>
          </w:tcPr>
          <w:p>
            <w:pPr>
              <w:pStyle w:val="TableContents"/>
              <w:bidi w:val="0"/>
              <w:spacing w:before="0" w:after="0"/>
              <w:ind w:left="0" w:right="0" w:firstLine="160"/>
              <w:jc w:val="left"/>
              <w:rPr/>
            </w:pPr>
            <w:r>
              <w:rPr/>
              <w:t> </w:t>
            </w:r>
          </w:p>
        </w:tc>
      </w:tr>
      <w:tr>
        <w:trPr/>
        <w:tc>
          <w:tcPr>
            <w:tcW w:w="2280"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change in unrealized gains (losses) on investments and</w:t>
              <w:br/>
              <w:t>   foreign currency translation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(54,751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(54,751</w:t>
            </w:r>
          </w:p>
        </w:tc>
        <w:tc>
          <w:tcPr>
            <w:tcW w:w="357"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280"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 xml:space="preserve">Net realized gains (losses) on investments and foreign </w:t>
              <w:br/>
              <w:t>   currency transactions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404</w:t>
            </w:r>
          </w:p>
        </w:tc>
        <w:tc>
          <w:tcPr>
            <w:tcW w:w="357" w:type="dxa"/>
            <w:tcBorders/>
            <w:vAlign w:val="center"/>
          </w:tcPr>
          <w:p>
            <w:pPr>
              <w:pStyle w:val="TableContents"/>
              <w:bidi w:val="0"/>
              <w:spacing w:before="0" w:after="0"/>
              <w:ind w:left="0" w:right="0" w:firstLine="80"/>
              <w:jc w:val="left"/>
              <w:rPr/>
            </w:pPr>
            <w:r>
              <w:rPr/>
              <w:t> </w:t>
            </w:r>
          </w:p>
        </w:tc>
      </w:tr>
      <w:tr>
        <w:trPr/>
        <w:tc>
          <w:tcPr>
            <w:tcW w:w="2280" w:type="dxa"/>
            <w:tcBorders/>
            <w:vAlign w:val="center"/>
          </w:tcPr>
          <w:p>
            <w:pPr>
              <w:pStyle w:val="TableContents"/>
              <w:bidi w:val="0"/>
              <w:spacing w:before="0" w:after="0"/>
              <w:ind w:left="80" w:right="0" w:hanging="0"/>
              <w:jc w:val="left"/>
              <w:rPr>
                <w:rFonts w:ascii="Times New Roman;serif" w:hAnsi="Times New Roman;serif"/>
                <w:b w:val="false"/>
                <w:sz w:val="14"/>
              </w:rPr>
            </w:pPr>
            <w:r>
              <w:rPr>
                <w:rFonts w:ascii="Times New Roman;serif" w:hAnsi="Times New Roman;serif"/>
                <w:b w:val="false"/>
                <w:sz w:val="14"/>
              </w:rPr>
              <w:t>Dividends to stockholders:</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280"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Stock issued in connection with dividend reinvestment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268,835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5,836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5,838</w:t>
            </w:r>
          </w:p>
        </w:tc>
        <w:tc>
          <w:tcPr>
            <w:tcW w:w="357" w:type="dxa"/>
            <w:tcBorders/>
            <w:vAlign w:val="center"/>
          </w:tcPr>
          <w:p>
            <w:pPr>
              <w:pStyle w:val="TableContents"/>
              <w:bidi w:val="0"/>
              <w:spacing w:before="0" w:after="0"/>
              <w:ind w:left="0" w:right="0" w:firstLine="160"/>
              <w:jc w:val="left"/>
              <w:rPr/>
            </w:pPr>
            <w:r>
              <w:rPr/>
              <w:t> </w:t>
            </w:r>
          </w:p>
        </w:tc>
      </w:tr>
      <w:tr>
        <w:trPr/>
        <w:tc>
          <w:tcPr>
            <w:tcW w:w="2280"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Dividends declared from distributable earnings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(34,339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(34,339</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280"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76,339,515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766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296,044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(4,291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146" w:type="dxa"/>
            <w:tcBorders/>
            <w:vAlign w:val="center"/>
          </w:tcPr>
          <w:p>
            <w:pPr>
              <w:pStyle w:val="TableContents"/>
              <w:bidi w:val="0"/>
              <w:spacing w:before="0" w:after="0"/>
              <w:ind w:left="0" w:right="0" w:hanging="0"/>
              <w:jc w:val="righ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7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1,201,531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43,953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1,241,959</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pPr>
      <w:r>
        <w:rPr>
          <w:rFonts w:ascii="Times New Roman;serif" w:hAnsi="Times New Roman;serif"/>
          <w:b w:val="false"/>
          <w:sz w:val="20"/>
        </w:rPr>
        <w:t>The Company’s tax year end is March 31</w:t>
      </w:r>
      <w:r>
        <w:rPr>
          <w:rFonts w:ascii="Times New Roman;serif" w:hAnsi="Times New Roman;serif"/>
          <w:b w:val="false"/>
          <w:sz w:val="13"/>
        </w:rPr>
        <w:t>st</w:t>
      </w:r>
      <w:r>
        <w:rPr>
          <w:rFonts w:ascii="Times New Roman;serif" w:hAnsi="Times New Roman;serif"/>
          <w:b w:val="false"/>
          <w:sz w:val="20"/>
        </w:rPr>
        <w:t>.</w:t>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8" w:name="consolidated_statements_cash_flows"/>
      <w:bookmarkEnd w:id="8"/>
      <w:r>
        <w:rPr>
          <w:rFonts w:ascii="Times New Roman;serif" w:hAnsi="Times New Roman;serif"/>
          <w:b/>
          <w:sz w:val="20"/>
        </w:rPr>
        <w:t>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6377"/>
        <w:gridCol w:w="146"/>
        <w:gridCol w:w="276"/>
        <w:gridCol w:w="1102"/>
        <w:gridCol w:w="166"/>
        <w:gridCol w:w="146"/>
        <w:gridCol w:w="276"/>
        <w:gridCol w:w="1102"/>
        <w:gridCol w:w="614"/>
      </w:tblGrid>
      <w:tr>
        <w:trPr/>
        <w:tc>
          <w:tcPr>
            <w:tcW w:w="6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37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614" w:type="dxa"/>
            <w:tcBorders/>
            <w:vAlign w:val="center"/>
          </w:tcPr>
          <w:p>
            <w:pPr>
              <w:pStyle w:val="TableContents"/>
              <w:bidi w:val="0"/>
              <w:spacing w:before="0" w:after="0"/>
              <w:ind w:left="0" w:right="0" w:hanging="0"/>
              <w:jc w:val="center"/>
              <w:rPr/>
            </w:pPr>
            <w:r>
              <w:rPr/>
              <w:t> </w:t>
            </w:r>
          </w:p>
        </w:tc>
      </w:tr>
      <w:tr>
        <w:trPr/>
        <w:tc>
          <w:tcPr>
            <w:tcW w:w="637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left"/>
              <w:rPr/>
            </w:pPr>
            <w:r>
              <w:rPr/>
              <w:t> </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(decrease) in net assets resulting from operations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27,360</w:t>
            </w:r>
          </w:p>
        </w:tc>
        <w:tc>
          <w:tcPr>
            <w:tcW w:w="614" w:type="dxa"/>
            <w:tcBorders/>
            <w:vAlign w:val="center"/>
          </w:tcPr>
          <w:p>
            <w:pPr>
              <w:pStyle w:val="TableContents"/>
              <w:bidi w:val="0"/>
              <w:spacing w:before="0" w:after="0"/>
              <w:ind w:left="0" w:right="0" w:hanging="0"/>
              <w:jc w:val="left"/>
              <w:rPr/>
            </w:pPr>
            <w:r>
              <w:rPr/>
              <w:t> </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Adjustments to reconcile increase (decrease) in net assets resulting from operations </w:t>
              <w:br/>
              <w:t>   to net cash provided by (used in) operating activities:</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614" w:type="dxa"/>
            <w:tcBorders/>
            <w:vAlign w:val="center"/>
          </w:tcPr>
          <w:p>
            <w:pPr>
              <w:pStyle w:val="TableContents"/>
              <w:bidi w:val="0"/>
              <w:spacing w:before="0" w:after="0"/>
              <w:ind w:left="0" w:right="0" w:firstLine="400"/>
              <w:jc w:val="righ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change in unrealized (gains) losses on investments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64,524</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change in unrealized (gains) losses on foreign currency transactions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(5,872</w:t>
            </w:r>
          </w:p>
        </w:tc>
        <w:tc>
          <w:tcPr>
            <w:tcW w:w="61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change in unrealized (gains) losses on interest rate swaps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4,594</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realized (gains) losses on investments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(14,104</w:t>
            </w:r>
          </w:p>
        </w:tc>
        <w:tc>
          <w:tcPr>
            <w:tcW w:w="61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realized (gains) losses on foreign currency transactions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61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amortization of discount on investments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(9,421</w:t>
            </w:r>
          </w:p>
        </w:tc>
        <w:tc>
          <w:tcPr>
            <w:tcW w:w="61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2,882</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discount on debt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Purchases and originations of investments, net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(455,596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(438,388</w:t>
            </w:r>
          </w:p>
        </w:tc>
        <w:tc>
          <w:tcPr>
            <w:tcW w:w="61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Proceeds from investments, net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19,381</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Repayments on investments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176,630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370,086</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Paid-in-kind interest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(6,762</w:t>
            </w:r>
          </w:p>
        </w:tc>
        <w:tc>
          <w:tcPr>
            <w:tcW w:w="61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614" w:type="dxa"/>
            <w:tcBorders/>
            <w:vAlign w:val="center"/>
          </w:tcPr>
          <w:p>
            <w:pPr>
              <w:pStyle w:val="TableContents"/>
              <w:bidi w:val="0"/>
              <w:spacing w:before="0" w:after="0"/>
              <w:ind w:left="0" w:right="0" w:firstLine="400"/>
              <w:jc w:val="righ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(1,479</w:t>
            </w:r>
          </w:p>
        </w:tc>
        <w:tc>
          <w:tcPr>
            <w:tcW w:w="61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receivable paid-in-kind</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w:t>
            </w:r>
          </w:p>
        </w:tc>
        <w:tc>
          <w:tcPr>
            <w:tcW w:w="61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Management fees payable to affiliate</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Incentive fees on net investment income payable to affiliate</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(3,065</w:t>
            </w:r>
          </w:p>
        </w:tc>
        <w:tc>
          <w:tcPr>
            <w:tcW w:w="61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Incentive fees on net capital gains accrued to affiliate</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(7,699</w:t>
            </w:r>
          </w:p>
        </w:tc>
        <w:tc>
          <w:tcPr>
            <w:tcW w:w="61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Payable to affiliate</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(37,018</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Net Cash Provided by (Used in) Operating Activities</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(34,726</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614" w:type="dxa"/>
            <w:tcBorders/>
            <w:vAlign w:val="center"/>
          </w:tcPr>
          <w:p>
            <w:pPr>
              <w:pStyle w:val="TableContents"/>
              <w:bidi w:val="0"/>
              <w:spacing w:before="0" w:after="0"/>
              <w:ind w:left="0" w:right="0" w:hanging="0"/>
              <w:jc w:val="right"/>
              <w:rPr/>
            </w:pPr>
            <w:r>
              <w:rPr/>
              <w:t> </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 on debt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498,755</w:t>
            </w:r>
          </w:p>
        </w:tc>
        <w:tc>
          <w:tcPr>
            <w:tcW w:w="614" w:type="dxa"/>
            <w:tcBorders/>
            <w:vAlign w:val="center"/>
          </w:tcPr>
          <w:p>
            <w:pPr>
              <w:pStyle w:val="TableContents"/>
              <w:bidi w:val="0"/>
              <w:spacing w:before="0" w:after="0"/>
              <w:ind w:left="0" w:right="0" w:hanging="0"/>
              <w:jc w:val="left"/>
              <w:rPr/>
            </w:pPr>
            <w:r>
              <w:rPr/>
              <w:t> </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on debt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(571,126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(387,635</w:t>
            </w:r>
          </w:p>
        </w:tc>
        <w:tc>
          <w:tcPr>
            <w:tcW w:w="6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financing costs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(4,296</w:t>
            </w:r>
          </w:p>
        </w:tc>
        <w:tc>
          <w:tcPr>
            <w:tcW w:w="6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offering expenses</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pPr>
            <w:r>
              <w:rPr/>
              <w:t>—</w:t>
            </w:r>
          </w:p>
        </w:tc>
        <w:tc>
          <w:tcPr>
            <w:tcW w:w="614" w:type="dxa"/>
            <w:tcBorders/>
            <w:vAlign w:val="center"/>
          </w:tcPr>
          <w:p>
            <w:pPr>
              <w:pStyle w:val="TableContents"/>
              <w:bidi w:val="0"/>
              <w:spacing w:before="0" w:after="0"/>
              <w:ind w:left="0" w:right="0" w:hanging="0"/>
              <w:jc w:val="left"/>
              <w:rPr/>
            </w:pPr>
            <w:r>
              <w:rPr/>
              <w:t> </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Public offering</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pPr>
            <w:r>
              <w:rPr/>
              <w:t>—</w:t>
            </w:r>
          </w:p>
        </w:tc>
        <w:tc>
          <w:tcPr>
            <w:tcW w:w="614" w:type="dxa"/>
            <w:tcBorders/>
            <w:vAlign w:val="center"/>
          </w:tcPr>
          <w:p>
            <w:pPr>
              <w:pStyle w:val="TableContents"/>
              <w:bidi w:val="0"/>
              <w:spacing w:before="0" w:after="0"/>
              <w:ind w:left="0" w:right="0" w:hanging="0"/>
              <w:jc w:val="left"/>
              <w:rPr/>
            </w:pPr>
            <w:r>
              <w:rPr/>
              <w:t> </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 paid to stockholders</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(60,888</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Net Cash Provided by (Used in) Financing Activities</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186,789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45,936</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Net Increase (Decrease) in Cash, Cash Equivalents, and Restricted Cash</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11,210</w:t>
            </w:r>
          </w:p>
        </w:tc>
        <w:tc>
          <w:tcPr>
            <w:tcW w:w="614" w:type="dxa"/>
            <w:tcBorders/>
            <w:vAlign w:val="center"/>
          </w:tcPr>
          <w:p>
            <w:pPr>
              <w:pStyle w:val="TableContents"/>
              <w:bidi w:val="0"/>
              <w:spacing w:before="0" w:after="0"/>
              <w:ind w:left="0" w:right="0" w:hanging="0"/>
              <w:jc w:val="left"/>
              <w:rPr/>
            </w:pPr>
            <w:r>
              <w:rPr/>
              <w:t> </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beginning of period</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15,967</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Cash, Cash Equivalents, and Restricted Cash, End of Period</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27,177</w:t>
            </w:r>
          </w:p>
        </w:tc>
        <w:tc>
          <w:tcPr>
            <w:tcW w:w="6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Information:</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614" w:type="dxa"/>
            <w:tcBorders/>
            <w:vAlign w:val="center"/>
          </w:tcPr>
          <w:p>
            <w:pPr>
              <w:pStyle w:val="TableContents"/>
              <w:bidi w:val="0"/>
              <w:spacing w:before="0" w:after="0"/>
              <w:ind w:left="0" w:right="0" w:firstLine="400"/>
              <w:jc w:val="righ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paid during the period</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17,833</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Excise and other taxes paid during the period</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1,600</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Dividends declared during the period</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73,861</w:t>
            </w:r>
          </w:p>
        </w:tc>
        <w:tc>
          <w:tcPr>
            <w:tcW w:w="614" w:type="dxa"/>
            <w:tcBorders/>
            <w:vAlign w:val="center"/>
          </w:tcPr>
          <w:p>
            <w:pPr>
              <w:pStyle w:val="TableContents"/>
              <w:bidi w:val="0"/>
              <w:spacing w:before="0" w:after="0"/>
              <w:ind w:left="0" w:right="0" w:firstLine="400"/>
              <w:jc w:val="left"/>
              <w:rPr/>
            </w:pPr>
            <w:r>
              <w:rPr/>
              <w:t> </w:t>
            </w:r>
          </w:p>
        </w:tc>
      </w:tr>
      <w:tr>
        <w:trPr/>
        <w:tc>
          <w:tcPr>
            <w:tcW w:w="6377" w:type="dxa"/>
            <w:tcBorders/>
            <w:vAlign w:val="center"/>
          </w:tcPr>
          <w:p>
            <w:pPr>
              <w:pStyle w:val="TableContents"/>
              <w:bidi w:val="0"/>
              <w:spacing w:before="0" w:after="0"/>
              <w:ind w:left="40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614" w:type="dxa"/>
            <w:tcBorders/>
            <w:vAlign w:val="center"/>
          </w:tcPr>
          <w:p>
            <w:pPr>
              <w:pStyle w:val="TableContents"/>
              <w:bidi w:val="0"/>
              <w:spacing w:before="0" w:after="0"/>
              <w:ind w:left="0" w:right="0" w:hanging="0"/>
              <w:jc w:val="right"/>
              <w:rPr/>
            </w:pPr>
            <w:r>
              <w:rPr/>
              <w:t> </w:t>
            </w:r>
          </w:p>
        </w:tc>
      </w:tr>
      <w:tr>
        <w:trPr/>
        <w:tc>
          <w:tcPr>
            <w:tcW w:w="6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Financing Activities:</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78" w:type="dxa"/>
            <w:gridSpan w:val="2"/>
            <w:tcBorders/>
            <w:vAlign w:val="center"/>
          </w:tcPr>
          <w:p>
            <w:pPr>
              <w:pStyle w:val="TableContents"/>
              <w:bidi w:val="0"/>
              <w:spacing w:before="0" w:after="0"/>
              <w:ind w:left="0" w:right="0" w:hanging="0"/>
              <w:jc w:val="right"/>
              <w:rPr/>
            </w:pPr>
            <w:r>
              <w:rPr/>
              <w:t> </w:t>
            </w:r>
          </w:p>
        </w:tc>
        <w:tc>
          <w:tcPr>
            <w:tcW w:w="614" w:type="dxa"/>
            <w:tcBorders/>
            <w:vAlign w:val="center"/>
          </w:tcPr>
          <w:p>
            <w:pPr>
              <w:pStyle w:val="TableContents"/>
              <w:bidi w:val="0"/>
              <w:spacing w:before="0" w:after="0"/>
              <w:ind w:left="0" w:right="0" w:firstLine="400"/>
              <w:jc w:val="right"/>
              <w:rPr/>
            </w:pPr>
            <w:r>
              <w:rPr/>
              <w:t> </w:t>
            </w:r>
          </w:p>
        </w:tc>
      </w:tr>
      <w:tr>
        <w:trPr/>
        <w:tc>
          <w:tcPr>
            <w:tcW w:w="637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Reinvestment of dividends during the period</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12,613</w:t>
            </w:r>
          </w:p>
        </w:tc>
        <w:tc>
          <w:tcPr>
            <w:tcW w:w="614"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9" w:name="notes_to_consolidated_financial_statemen"/>
      <w:bookmarkEnd w:id="9"/>
      <w:r>
        <w:rPr>
          <w:rFonts w:ascii="Times New Roman;serif" w:hAnsi="Times New Roman;serif"/>
          <w:b/>
          <w:sz w:val="20"/>
        </w:rPr>
        <w:t>Notes to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unless otherwise indicated)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1. Organization and 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Organization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March 21, 2014, the Company completed its initial public offering (“IPO”) and the Company’s shares began trading on the New York Stock Exchange (“NYSE”) under the symbol “TSLX.”</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2022, which was filed with the Securities and Exchange Commission (“SEC”), on February 16,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 Company is an investment company and, therefore, applies the specialized accounting and reporting guidance in Accounting Standards Codification (“ASC”) Topic 946, </w:t>
      </w:r>
      <w:r>
        <w:rPr>
          <w:rFonts w:ascii="Times New Roman;serif" w:hAnsi="Times New Roman;serif"/>
          <w:b w:val="false"/>
          <w:i/>
          <w:sz w:val="20"/>
        </w:rPr>
        <w:t>Financial Services – Investment Companies.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Fiscal Year 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fiscal year ends on December 31.</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2. Significant Accounting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Cash and Cash Equivalents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Investments at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Board undertakes a multi-step valuation process, which includes, among other procedures,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Adviser’s management reviews the preliminary valuations with the investment professionals. Agreed upon valuation recommendations are presented to the Audit Committee.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Audit Committee reviews the valuations presented and recommends values for each investment to the Board.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conducts this valuation process on a quarterly basis.</w:t>
      </w:r>
    </w:p>
    <w:p>
      <w:pPr>
        <w:pStyle w:val="TextBody"/>
        <w:bidi w:val="0"/>
        <w:spacing w:before="240" w:after="0"/>
        <w:jc w:val="left"/>
        <w:rPr>
          <w:rFonts w:ascii="Times New Roman" w:hAnsi="Times New Roman"/>
          <w:sz w:val="20"/>
        </w:rPr>
      </w:pPr>
      <w:r>
        <w:rPr>
          <w:rFonts w:ascii="Times New Roman;serif" w:hAnsi="Times New Roman;serif"/>
          <w:b w:val="false"/>
          <w:sz w:val="20"/>
        </w:rPr>
        <w:t>The Board has engaged independent third-party valuation firms to perform certain limited procedures that the Board has identified and requested them to perform in connection with the valuation process of investments for which no market quotations are readily available. At June 30, 2023,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 Company applies Financial Accounting Standards Board Accounting Standards Codification Topic 820, </w:t>
      </w:r>
      <w:r>
        <w:rPr>
          <w:rFonts w:ascii="Times New Roman;serif" w:hAnsi="Times New Roman;serif"/>
          <w:b w:val="false"/>
          <w:i/>
          <w:sz w:val="20"/>
        </w:rPr>
        <w:t xml:space="preserve">Fair Value Measurement </w:t>
      </w:r>
      <w:r>
        <w:rPr>
          <w:rFonts w:ascii="Times New Roman;serif" w:hAnsi="Times New Roman;serif"/>
          <w:b w:val="false"/>
          <w:sz w:val="20"/>
        </w:rPr>
        <w:t>(“ASC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Level 1—Valuations based on quoted prices in active markets for identical assets or liabilities that the Company has the ability to access.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Level 2—Valuations based on quoted prices in markets that are not active or for which all significant inputs are observable, either directly or indirectly.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Level 3—Valuations based on inputs that are unobservable and significant to the overall fair value measurement.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Financial and Derivative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Derivatives, including the Company’s interest rate swaps, for which broker quotes are available are typically valued at those broker quotes.</w:t>
      </w:r>
    </w:p>
    <w:p>
      <w:pPr>
        <w:pStyle w:val="TextBody"/>
        <w:bidi w:val="0"/>
        <w:spacing w:before="360" w:after="0"/>
        <w:jc w:val="left"/>
        <w:rPr>
          <w:rFonts w:ascii="Times New Roman" w:hAnsi="Times New Roman"/>
          <w:sz w:val="20"/>
        </w:rPr>
      </w:pPr>
      <w:r>
        <w:rPr>
          <w:rFonts w:ascii="Times New Roman;serif" w:hAnsi="Times New Roman;serif"/>
          <w:b w:val="false"/>
          <w:i/>
          <w:sz w:val="20"/>
        </w:rPr>
        <w:t>Offsetting Assets and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Foreign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Foreign currency amounts are translated into U.S. dollars on the following basis: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cash and cash equivalents, market value of investments, outstanding debt on revolving credit facilities, other assets and liabilities: at the spot exchange rate on the last business day of the period;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purchases and sales of investments, borrowings and repayments of such borrowings, income and expenses: at the rates of exchange prevailing on the respective dates of such transactions.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0"/>
        <w:jc w:val="left"/>
        <w:rPr>
          <w:rFonts w:ascii="Times New Roman" w:hAnsi="Times New Roman"/>
          <w:sz w:val="20"/>
        </w:rPr>
      </w:pPr>
      <w:r>
        <w:rPr>
          <w:rFonts w:ascii="Times New Roman;serif" w:hAnsi="Times New Roman;serif"/>
          <w:b w:val="false"/>
          <w:sz w:val="20"/>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Equity Offering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records expenses related to equity offerings as a reduction of capital upon completion of an offering of registered securities. The costs associated with renewals of the Company’s shelf registration statement are expensed as incurred.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Debt Issuance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Interest and Dividend Income Recognition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Unless providing services in connection with an investment, such as syndication, structuring or diligence, all or a portion of any loan fees received by the Company will be deferred and amortized over the investment’s life using the effective interest method.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Other Income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Earnings per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Reimbursement of Transaction-Related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0"/>
        <w:jc w:val="left"/>
        <w:rPr>
          <w:rFonts w:ascii="Times New Roman" w:hAnsi="Times New Roman"/>
          <w:sz w:val="20"/>
        </w:rPr>
      </w:pPr>
      <w:r>
        <w:rPr>
          <w:rFonts w:ascii="Times New Roman;serif" w:hAnsi="Times New Roman;serif"/>
          <w:b w:val="false"/>
          <w:i/>
          <w:sz w:val="20"/>
        </w:rPr>
        <w:t>Income Taxes, Including Excise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and six months ended June 30, 2023, the Company recorded a net expense of $0.9</w:t>
      </w:r>
      <w:r>
        <w:rPr>
          <w:rFonts w:ascii="Times New Roman" w:hAnsi="Times New Roman"/>
          <w:sz w:val="20"/>
        </w:rPr>
        <w:t xml:space="preserve"> </w:t>
      </w:r>
      <w:r>
        <w:rPr>
          <w:rFonts w:ascii="Times New Roman;serif" w:hAnsi="Times New Roman;serif"/>
          <w:b w:val="false"/>
          <w:sz w:val="20"/>
        </w:rPr>
        <w:t>million and $1.3</w:t>
      </w:r>
      <w:r>
        <w:rPr>
          <w:rFonts w:ascii="Times New Roman" w:hAnsi="Times New Roman"/>
          <w:sz w:val="20"/>
        </w:rPr>
        <w:t xml:space="preserve"> </w:t>
      </w:r>
      <w:r>
        <w:rPr>
          <w:rFonts w:ascii="Times New Roman;serif" w:hAnsi="Times New Roman;serif"/>
          <w:b w:val="false"/>
          <w:sz w:val="20"/>
        </w:rPr>
        <w:t>million, respectively, for U.S. federal excise tax and other taxes. For the three and six months ended June 30, 2022, the Company recorded a net expense of $0.8</w:t>
      </w:r>
      <w:r>
        <w:rPr>
          <w:rFonts w:ascii="Times New Roman" w:hAnsi="Times New Roman"/>
          <w:sz w:val="20"/>
        </w:rPr>
        <w:t xml:space="preserve"> </w:t>
      </w:r>
      <w:r>
        <w:rPr>
          <w:rFonts w:ascii="Times New Roman;serif" w:hAnsi="Times New Roman;serif"/>
          <w:b w:val="false"/>
          <w:sz w:val="20"/>
        </w:rPr>
        <w:t>million and $1.1</w:t>
      </w:r>
      <w:r>
        <w:rPr>
          <w:rFonts w:ascii="Times New Roman" w:hAnsi="Times New Roman"/>
          <w:sz w:val="20"/>
        </w:rPr>
        <w:t xml:space="preserve"> </w:t>
      </w:r>
      <w:r>
        <w:rPr>
          <w:rFonts w:ascii="Times New Roman;serif" w:hAnsi="Times New Roman;serif"/>
          <w:b w:val="false"/>
          <w:sz w:val="20"/>
        </w:rPr>
        <w:t>million, respectively, for U.S. federal excise tax and other taxes.</w:t>
      </w:r>
    </w:p>
    <w:p>
      <w:pPr>
        <w:pStyle w:val="TextBody"/>
        <w:bidi w:val="0"/>
        <w:spacing w:before="360" w:after="0"/>
        <w:jc w:val="left"/>
        <w:rPr>
          <w:rFonts w:ascii="Times New Roman" w:hAnsi="Times New Roman"/>
          <w:sz w:val="20"/>
        </w:rPr>
      </w:pPr>
      <w:r>
        <w:rPr>
          <w:rFonts w:ascii="Times New Roman;serif" w:hAnsi="Times New Roman;serif"/>
          <w:b w:val="false"/>
          <w:i/>
          <w:sz w:val="20"/>
        </w:rPr>
        <w:t>Dividends to Common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r>
        <w:rPr>
          <w:rFonts w:ascii="Times New Roman" w:hAnsi="Times New Roman"/>
          <w:sz w:val="20"/>
        </w:rPr>
        <w:t xml:space="preserve"> </w:t>
      </w:r>
    </w:p>
    <w:p>
      <w:pPr>
        <w:pStyle w:val="TextBody"/>
        <w:bidi w:val="0"/>
        <w:spacing w:before="0" w:after="0"/>
        <w:jc w:val="left"/>
        <w:rPr/>
      </w:pPr>
      <w:r>
        <w:rPr/>
        <w:t> </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Recent Accounting Standards and Regulatory Updates</w:t>
      </w:r>
    </w:p>
    <w:p>
      <w:pPr>
        <w:pStyle w:val="TextBody"/>
        <w:bidi w:val="0"/>
        <w:spacing w:before="120" w:after="0"/>
        <w:jc w:val="left"/>
        <w:rPr>
          <w:rFonts w:ascii="Times New Roman" w:hAnsi="Times New Roman"/>
          <w:sz w:val="20"/>
        </w:rPr>
      </w:pPr>
      <w:r>
        <w:rPr>
          <w:rFonts w:ascii="Times New Roman;serif" w:hAnsi="Times New Roman;serif"/>
          <w:b w:val="false"/>
          <w:sz w:val="20"/>
        </w:rPr>
        <w:t>In December 2022, the Financial Accounting Standards Board issued Accounting Standards Update 2022-06 (“ASU 2022-06”) “Reference Rate Reform (Topic 848): Deferral of the Sunset Date of Topic 848.” Topic 848 provides optional expedients and exceptions for applying generally accepted accounting principles to contract modifications and hedging relationships, subject to meeting certain criteria, that reference LIBOR or another reference rate expected to be discontinued. ASU 2022-06 defers the sunset date of Topic 848 from December 31, 2022, to December 31, 2024, after which entities will no longer be permitted to apply the relief in Topic 848. ASU 2022-06 is effective for all entities in scope upon issuance of ASU 2022-06. The adoption</w:t>
      </w:r>
      <w:r>
        <w:rPr>
          <w:rFonts w:ascii="Times New Roman" w:hAnsi="Times New Roman"/>
          <w:sz w:val="20"/>
        </w:rPr>
        <w:t xml:space="preserve"> </w:t>
      </w:r>
      <w:r>
        <w:rPr>
          <w:rFonts w:ascii="Times New Roman;serif" w:hAnsi="Times New Roman;serif"/>
          <w:b w:val="false"/>
          <w:sz w:val="20"/>
        </w:rPr>
        <w:t>of this guidance did not have a material impact on the Company’s financial position, result of operations or cash flows.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3. Agreements and Related Party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Administration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November 2022, the Board renewed the Administration Agreement. Unless earlier terminated as described below, the Administration Agreement will remain in effect until November 2023, and may be extended subject to required approvals. The Administration Agreement may be terminated by either party without penalty on 60</w:t>
      </w:r>
      <w:r>
        <w:rPr>
          <w:rFonts w:ascii="Times New Roman" w:hAnsi="Times New Roman"/>
          <w:sz w:val="20"/>
        </w:rPr>
        <w:t xml:space="preserve"> </w:t>
      </w:r>
      <w:r>
        <w:rPr>
          <w:rFonts w:ascii="Times New Roman;serif" w:hAnsi="Times New Roman;serif"/>
          <w:b w:val="false"/>
          <w:sz w:val="20"/>
        </w:rPr>
        <w:t>days’ written notice to the other 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and six months ended June 30, 2023 the Company incurred expenses of $0.6</w:t>
      </w:r>
      <w:r>
        <w:rPr>
          <w:rFonts w:ascii="Times New Roman" w:hAnsi="Times New Roman"/>
          <w:sz w:val="20"/>
        </w:rPr>
        <w:t xml:space="preserve"> </w:t>
      </w:r>
      <w:r>
        <w:rPr>
          <w:rFonts w:ascii="Times New Roman;serif" w:hAnsi="Times New Roman;serif"/>
          <w:b w:val="false"/>
          <w:sz w:val="20"/>
        </w:rPr>
        <w:t>million and $1.2</w:t>
      </w:r>
      <w:r>
        <w:rPr>
          <w:rFonts w:ascii="Times New Roman" w:hAnsi="Times New Roman"/>
          <w:sz w:val="20"/>
        </w:rPr>
        <w:t xml:space="preserve"> </w:t>
      </w:r>
      <w:r>
        <w:rPr>
          <w:rFonts w:ascii="Times New Roman;serif" w:hAnsi="Times New Roman;serif"/>
          <w:b w:val="false"/>
          <w:sz w:val="20"/>
        </w:rPr>
        <w:t>million, respectively, for administrative services payable to the Adviser under the terms of the Administration Agreement, which is included in other general and administrative expenses in the Consolidated Statements of Operations. For the three and six months ended June 30, 2022, the Company incurred expenses of $0.8</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respectively, for administrative services payable to the Adviser under the terms of the Administration Agreement.</w:t>
      </w:r>
    </w:p>
    <w:p>
      <w:pPr>
        <w:pStyle w:val="TextBody"/>
        <w:bidi w:val="0"/>
        <w:spacing w:before="360" w:after="0"/>
        <w:jc w:val="left"/>
        <w:rPr>
          <w:rFonts w:ascii="Times New Roman" w:hAnsi="Times New Roman"/>
          <w:sz w:val="20"/>
        </w:rPr>
      </w:pPr>
      <w:r>
        <w:rPr>
          <w:rFonts w:ascii="Times New Roman;serif" w:hAnsi="Times New Roman;serif"/>
          <w:b w:val="false"/>
          <w:i/>
          <w:sz w:val="20"/>
        </w:rPr>
        <w:t>Investment Advisory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and six months ended June 30, 2023 Management Fees (gross of waivers) were $11.4</w:t>
      </w:r>
      <w:r>
        <w:rPr>
          <w:rFonts w:ascii="Times New Roman" w:hAnsi="Times New Roman"/>
          <w:sz w:val="20"/>
        </w:rPr>
        <w:t xml:space="preserve"> </w:t>
      </w:r>
      <w:r>
        <w:rPr>
          <w:rFonts w:ascii="Times New Roman;serif" w:hAnsi="Times New Roman;serif"/>
          <w:b w:val="false"/>
          <w:sz w:val="20"/>
        </w:rPr>
        <w:t>million and $22.1</w:t>
      </w:r>
      <w:r>
        <w:rPr>
          <w:rFonts w:ascii="Times New Roman" w:hAnsi="Times New Roman"/>
          <w:sz w:val="20"/>
        </w:rPr>
        <w:t xml:space="preserve"> </w:t>
      </w:r>
      <w:r>
        <w:rPr>
          <w:rFonts w:ascii="Times New Roman;serif" w:hAnsi="Times New Roman;serif"/>
          <w:b w:val="false"/>
          <w:sz w:val="20"/>
        </w:rPr>
        <w:t>million, respectively. For the three and six months ended June 30, 2022, Management Fees (gross of waivers) were $9.5</w:t>
      </w:r>
      <w:r>
        <w:rPr>
          <w:rFonts w:ascii="Times New Roman" w:hAnsi="Times New Roman"/>
          <w:sz w:val="20"/>
        </w:rPr>
        <w:t xml:space="preserve"> </w:t>
      </w:r>
      <w:r>
        <w:rPr>
          <w:rFonts w:ascii="Times New Roman;serif" w:hAnsi="Times New Roman;serif"/>
          <w:b w:val="false"/>
          <w:sz w:val="20"/>
        </w:rPr>
        <w:t>million and $18.8</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Any waived Management Fees are not subject to recoupment by the Adviser.</w:t>
      </w:r>
    </w:p>
    <w:p>
      <w:pPr>
        <w:pStyle w:val="TextBody"/>
        <w:bidi w:val="0"/>
        <w:spacing w:before="240" w:after="0"/>
        <w:jc w:val="left"/>
        <w:rPr>
          <w:rFonts w:ascii="Times New Roman" w:hAnsi="Times New Roman"/>
          <w:sz w:val="20"/>
        </w:rPr>
      </w:pPr>
      <w:r>
        <w:rPr>
          <w:rFonts w:ascii="Times New Roman;serif" w:hAnsi="Times New Roman;serif"/>
          <w:b w:val="false"/>
          <w:sz w:val="20"/>
        </w:rPr>
        <w:t>The Adviser intends to waive a portion of the Management Fee payable under the Investment Advisory Agreement by reducing the Management Fee on assets financed using leverage over 200% asset coverage (in other words, over 1.0x debt to equity)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pPr>
      <w:r>
        <w:rPr/>
        <w:t>“</w:t>
      </w:r>
      <w:r>
        <w:rPr>
          <w:rFonts w:ascii="Times New Roman;serif" w:hAnsi="Times New Roman;serif"/>
          <w:b w:val="false"/>
          <w:sz w:val="20"/>
        </w:rPr>
        <w:t>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The Adviser waived Management Fees of $0.3</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respectively, for the three and six months ended June 30, 2023 pursuant to the Leverage Waiver. For the three and six months ended June 30, 2022, Management Fees of less than $0.1</w:t>
      </w:r>
      <w:r>
        <w:rPr>
          <w:rFonts w:ascii="Times New Roman" w:hAnsi="Times New Roman"/>
          <w:sz w:val="20"/>
        </w:rPr>
        <w:t xml:space="preserve"> </w:t>
      </w:r>
      <w:r>
        <w:rPr>
          <w:rFonts w:ascii="Times New Roman;serif" w:hAnsi="Times New Roman;serif"/>
          <w:b w:val="false"/>
          <w:sz w:val="20"/>
        </w:rPr>
        <w:t>million have been waived pursuant to the Leverage Waiver.</w:t>
      </w:r>
    </w:p>
    <w:p>
      <w:pPr>
        <w:pStyle w:val="TextBody"/>
        <w:bidi w:val="0"/>
        <w:spacing w:before="240" w:after="0"/>
        <w:jc w:val="left"/>
        <w:rPr>
          <w:rFonts w:ascii="Times New Roman" w:hAnsi="Times New Roman"/>
          <w:sz w:val="20"/>
        </w:rPr>
      </w:pPr>
      <w:r>
        <w:rPr>
          <w:rFonts w:ascii="Times New Roman;serif" w:hAnsi="Times New Roman;serif"/>
          <w:b w:val="false"/>
          <w:sz w:val="20"/>
        </w:rPr>
        <w:t>The Incentive Fee consists of two parts, as follows:</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p>
      <w:pPr>
        <w:pStyle w:val="TextBody"/>
        <w:bidi w:val="0"/>
        <w:spacing w:before="120" w:after="0"/>
        <w:jc w:val="left"/>
        <w:rPr>
          <w:rFonts w:ascii="Times New Roman" w:hAnsi="Times New Roman"/>
          <w:sz w:val="20"/>
        </w:rPr>
      </w:pPr>
      <w:r>
        <w:rPr>
          <w:rFonts w:ascii="Times New Roman;serif" w:hAnsi="Times New Roman;serif"/>
          <w:b w:val="false"/>
          <w:sz w:val="20"/>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sz w:val="24"/>
        </w:rPr>
      </w:pPr>
      <w:r>
        <w:rPr>
          <w:rFonts w:ascii="Times New Roman;serif" w:hAnsi="Times New Roman;serif"/>
          <w:b w:val="false"/>
          <w:sz w:val="20"/>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were no</w:t>
      </w:r>
      <w:r>
        <w:rPr>
          <w:rFonts w:ascii="Times New Roman;serif" w:hAnsi="Times New Roman;serif"/>
          <w:sz w:val="24"/>
        </w:rPr>
        <w:t xml:space="preserve"> </w:t>
      </w:r>
      <w:r>
        <w:rPr>
          <w:rFonts w:ascii="Times New Roman;serif" w:hAnsi="Times New Roman;serif"/>
          <w:b w:val="false"/>
          <w:sz w:val="20"/>
        </w:rPr>
        <w:t xml:space="preserve">remaining investments that were made prior to April 1, 2014, and as a result, the Incentive Fee rate of 17.5% is applicable to any future realized capital gains. </w:t>
      </w:r>
    </w:p>
    <w:p>
      <w:pPr>
        <w:pStyle w:val="TextBody"/>
        <w:bidi w:val="0"/>
        <w:spacing w:before="240" w:after="0"/>
        <w:jc w:val="left"/>
        <w:rPr>
          <w:rFonts w:ascii="Times New Roman" w:hAnsi="Times New Roman"/>
          <w:sz w:val="20"/>
        </w:rPr>
      </w:pPr>
      <w:r>
        <w:rPr>
          <w:rFonts w:ascii="Times New Roman;serif" w:hAnsi="Times New Roman;serif"/>
          <w:b w:val="false"/>
          <w:sz w:val="20"/>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three and six months ended June 30, 2023, Incentive Fees were $11.3</w:t>
      </w:r>
      <w:r>
        <w:rPr>
          <w:rFonts w:ascii="Times New Roman" w:hAnsi="Times New Roman"/>
          <w:sz w:val="20"/>
        </w:rPr>
        <w:t xml:space="preserve"> </w:t>
      </w:r>
      <w:r>
        <w:rPr>
          <w:rFonts w:ascii="Times New Roman;serif" w:hAnsi="Times New Roman;serif"/>
          <w:b w:val="false"/>
          <w:sz w:val="20"/>
        </w:rPr>
        <w:t>million and $22.5</w:t>
      </w:r>
      <w:r>
        <w:rPr>
          <w:rFonts w:ascii="Times New Roman" w:hAnsi="Times New Roman"/>
          <w:sz w:val="20"/>
        </w:rPr>
        <w:t xml:space="preserve"> </w:t>
      </w:r>
      <w:r>
        <w:rPr>
          <w:rFonts w:ascii="Times New Roman;serif" w:hAnsi="Times New Roman;serif"/>
          <w:b w:val="false"/>
          <w:sz w:val="20"/>
        </w:rPr>
        <w:t>million, respectively, of which $10.5</w:t>
      </w:r>
      <w:r>
        <w:rPr>
          <w:rFonts w:ascii="Times New Roman" w:hAnsi="Times New Roman"/>
          <w:sz w:val="20"/>
        </w:rPr>
        <w:t xml:space="preserve"> </w:t>
      </w:r>
      <w:r>
        <w:rPr>
          <w:rFonts w:ascii="Times New Roman;serif" w:hAnsi="Times New Roman;serif"/>
          <w:b w:val="false"/>
          <w:sz w:val="20"/>
        </w:rPr>
        <w:t>million and $20.0</w:t>
      </w:r>
      <w:r>
        <w:rPr>
          <w:rFonts w:ascii="Times New Roman" w:hAnsi="Times New Roman"/>
          <w:sz w:val="20"/>
        </w:rPr>
        <w:t xml:space="preserve"> </w:t>
      </w:r>
      <w:r>
        <w:rPr>
          <w:rFonts w:ascii="Times New Roman;serif" w:hAnsi="Times New Roman;serif"/>
          <w:b w:val="false"/>
          <w:sz w:val="20"/>
        </w:rPr>
        <w:t>million, respectively, were realized and payable to the Adviser. For the three and six months ended June 30, 2022, Incentive Fees were ($2.4) million and $6.9</w:t>
      </w:r>
      <w:r>
        <w:rPr>
          <w:rFonts w:ascii="Times New Roman" w:hAnsi="Times New Roman"/>
          <w:sz w:val="20"/>
        </w:rPr>
        <w:t xml:space="preserve"> </w:t>
      </w:r>
      <w:r>
        <w:rPr>
          <w:rFonts w:ascii="Times New Roman;serif" w:hAnsi="Times New Roman;serif"/>
          <w:b w:val="false"/>
          <w:sz w:val="20"/>
        </w:rPr>
        <w:t>million, respectively, of which $6.7</w:t>
      </w:r>
      <w:r>
        <w:rPr>
          <w:rFonts w:ascii="Times New Roman" w:hAnsi="Times New Roman"/>
          <w:sz w:val="20"/>
        </w:rPr>
        <w:t xml:space="preserve"> </w:t>
      </w:r>
      <w:r>
        <w:rPr>
          <w:rFonts w:ascii="Times New Roman;serif" w:hAnsi="Times New Roman;serif"/>
          <w:b w:val="false"/>
          <w:sz w:val="20"/>
        </w:rPr>
        <w:t>million and $14.6</w:t>
      </w:r>
      <w:r>
        <w:rPr>
          <w:rFonts w:ascii="Times New Roman" w:hAnsi="Times New Roman"/>
          <w:sz w:val="20"/>
        </w:rPr>
        <w:t xml:space="preserve"> </w:t>
      </w:r>
      <w:r>
        <w:rPr>
          <w:rFonts w:ascii="Times New Roman;serif" w:hAnsi="Times New Roman;serif"/>
          <w:b w:val="false"/>
          <w:sz w:val="20"/>
        </w:rPr>
        <w:t>million, respectively, were realized and payable to the Adviser. For the three and six months ended June 30, 2023, $0.7</w:t>
      </w:r>
      <w:r>
        <w:rPr>
          <w:rFonts w:ascii="Times New Roman" w:hAnsi="Times New Roman"/>
          <w:sz w:val="20"/>
        </w:rPr>
        <w:t xml:space="preserve"> </w:t>
      </w:r>
      <w:r>
        <w:rPr>
          <w:rFonts w:ascii="Times New Roman;serif" w:hAnsi="Times New Roman;serif"/>
          <w:b w:val="false"/>
          <w:sz w:val="20"/>
        </w:rPr>
        <w:t>million and $2.5</w:t>
      </w:r>
      <w:r>
        <w:rPr>
          <w:rFonts w:ascii="Times New Roman" w:hAnsi="Times New Roman"/>
          <w:sz w:val="20"/>
        </w:rPr>
        <w:t xml:space="preserve"> </w:t>
      </w:r>
      <w:r>
        <w:rPr>
          <w:rFonts w:ascii="Times New Roman;serif" w:hAnsi="Times New Roman;serif"/>
          <w:b w:val="false"/>
          <w:sz w:val="20"/>
        </w:rPr>
        <w:t>million, respectively of Incentive Fees was accrued related to the reversal of Capital Gains Fees. For the three and six months ended June 30, 2022, ($9.1) million and ($7.7) million, respectively of Incentive Fees was accrued related to the reversal of Capital Gains Fees. As of June 30, 2023, the Capital Gains Fees accrued are not contractually payable to the Adviser.</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Any waived Incentive Fees are not subject to recoupment by the Adviser.</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 November 2022, the Board renewed the Investment Advisory Agreement. Unless earlier terminated as described below, the Investment Advisory Agreement will remain in effect until November 2023, and may be extended subject to required approvals. The Investment Advisory Agreement will automatically terminate in the event of an assignment and may be terminated by either party without penalty on 60 days’ written notice to the other 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4. Investments at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Investments at fair value consisted of the following at June 30, 2023 and December 31, 2022:</w:t>
      </w:r>
      <w:r>
        <w:rPr>
          <w:rFonts w:ascii="Times New Roman" w:hAnsi="Times New Roman"/>
          <w:sz w:val="20"/>
        </w:rPr>
        <w:t xml:space="preserve"> </w:t>
      </w:r>
    </w:p>
    <w:p>
      <w:pPr>
        <w:pStyle w:val="TextBody"/>
        <w:bidi w:val="0"/>
        <w:spacing w:before="0" w:after="0"/>
        <w:jc w:val="left"/>
        <w:rPr/>
      </w:pPr>
      <w:r>
        <w:rPr/>
        <w:t> </w:t>
      </w:r>
    </w:p>
    <w:tbl>
      <w:tblPr>
        <w:tblW w:w="739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82"/>
        <w:gridCol w:w="903"/>
        <w:gridCol w:w="4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Amortized Cost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Unrealized</w:t>
              <w:br/>
              <w:t>Gain (Loss)</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2,783,455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2,800,152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16,697</w:t>
            </w:r>
          </w:p>
        </w:tc>
        <w:tc>
          <w:tcPr>
            <w:tcW w:w="41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1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1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2,765</w:t>
            </w:r>
          </w:p>
        </w:tc>
        <w:tc>
          <w:tcPr>
            <w:tcW w:w="41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1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13,061</w:t>
            </w:r>
          </w:p>
        </w:tc>
        <w:tc>
          <w:tcPr>
            <w:tcW w:w="41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Structured credit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3,065,359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3,088,987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23,628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739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4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Amortized Cost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Unrealized</w:t>
              <w:br/>
              <w:t>Gain (Loss)</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2,517,894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(11,423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1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1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2,661</w:t>
            </w:r>
          </w:p>
        </w:tc>
        <w:tc>
          <w:tcPr>
            <w:tcW w:w="41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1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25,582</w:t>
            </w:r>
          </w:p>
        </w:tc>
        <w:tc>
          <w:tcPr>
            <w:tcW w:w="41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Structured credit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2,774,726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2,787,925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sz w:val="24"/>
        </w:rPr>
      </w:pPr>
      <w:r>
        <w:rPr>
          <w:rFonts w:ascii="Times New Roman;serif" w:hAnsi="Times New Roman;serif"/>
          <w:b w:val="false"/>
          <w:sz w:val="20"/>
        </w:rPr>
        <w:t>The amortized cost represents the original cost adjusted for the amortization of discounts or premiums, as applicable, on debt investments using the effective interest method.</w:t>
      </w:r>
      <w:r>
        <w:rPr>
          <w:rFonts w:ascii="Times New Roman;serif" w:hAnsi="Times New Roman;serif"/>
          <w:sz w:val="24"/>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industry composition of investments at fair value at June 30, 2023 and December 31, 2022 is as follows:</w:t>
      </w:r>
      <w:r>
        <w:rPr>
          <w:rFonts w:ascii="Times New Roman" w:hAnsi="Times New Roman"/>
          <w:sz w:val="20"/>
        </w:rPr>
        <w:t xml:space="preserve"> </w:t>
      </w:r>
    </w:p>
    <w:p>
      <w:pPr>
        <w:pStyle w:val="TextBody"/>
        <w:bidi w:val="0"/>
        <w:spacing w:before="0" w:after="0"/>
        <w:jc w:val="left"/>
        <w:rPr/>
      </w:pPr>
      <w:r>
        <w:rPr/>
        <w:t> </w:t>
      </w:r>
    </w:p>
    <w:tbl>
      <w:tblPr>
        <w:tblW w:w="6615" w:type="dxa"/>
        <w:jc w:val="left"/>
        <w:tblInd w:w="0" w:type="dxa"/>
        <w:tblLayout w:type="fixed"/>
        <w:tblCellMar>
          <w:top w:w="28" w:type="dxa"/>
          <w:left w:w="28" w:type="dxa"/>
          <w:bottom w:w="28" w:type="dxa"/>
          <w:right w:w="28" w:type="dxa"/>
        </w:tblCellMar>
      </w:tblPr>
      <w:tblGrid>
        <w:gridCol w:w="2911"/>
        <w:gridCol w:w="146"/>
        <w:gridCol w:w="229"/>
        <w:gridCol w:w="896"/>
        <w:gridCol w:w="271"/>
        <w:gridCol w:w="146"/>
        <w:gridCol w:w="305"/>
        <w:gridCol w:w="1195"/>
        <w:gridCol w:w="5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Automotive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Business Services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Chemicals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Communications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Education</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Services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Healthcare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Hotel, Gaming and Leisure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Human Resource Support Services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Insurance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Internet Services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Marketing Services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Office Products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Oil, Gas and Consumable Fuels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Retail and Consumer Products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Transportation</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geographic composition of investments at fair value at June 30, 2023 and December 31, 2022 is as follows:</w:t>
      </w:r>
      <w:r>
        <w:rPr>
          <w:rFonts w:ascii="Times New Roman" w:hAnsi="Times New Roman"/>
          <w:sz w:val="20"/>
        </w:rPr>
        <w:t xml:space="preserve"> </w:t>
      </w:r>
    </w:p>
    <w:p>
      <w:pPr>
        <w:pStyle w:val="TextBody"/>
        <w:bidi w:val="0"/>
        <w:spacing w:before="0" w:after="0"/>
        <w:jc w:val="left"/>
        <w:rPr/>
      </w:pPr>
      <w:r>
        <w:rPr/>
        <w:t> </w:t>
      </w:r>
    </w:p>
    <w:tbl>
      <w:tblPr>
        <w:tblW w:w="5190" w:type="dxa"/>
        <w:jc w:val="left"/>
        <w:tblInd w:w="0" w:type="dxa"/>
        <w:tblLayout w:type="fixed"/>
        <w:tblCellMar>
          <w:top w:w="28" w:type="dxa"/>
          <w:left w:w="28" w:type="dxa"/>
          <w:bottom w:w="28" w:type="dxa"/>
          <w:right w:w="28" w:type="dxa"/>
        </w:tblCellMar>
      </w:tblPr>
      <w:tblGrid>
        <w:gridCol w:w="1486"/>
        <w:gridCol w:w="146"/>
        <w:gridCol w:w="229"/>
        <w:gridCol w:w="896"/>
        <w:gridCol w:w="271"/>
        <w:gridCol w:w="146"/>
        <w:gridCol w:w="305"/>
        <w:gridCol w:w="1195"/>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200"/>
              <w:jc w:val="right"/>
              <w:rPr/>
            </w:pPr>
            <w:r>
              <w:rPr/>
              <w:t> </w:t>
            </w:r>
          </w:p>
        </w:tc>
      </w:tr>
      <w:tr>
        <w:trPr/>
        <w:tc>
          <w:tcPr>
            <w:tcW w:w="1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Midwest</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Northeast</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South</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West</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Australia</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Finland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Germany</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Luxembourg</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Netherlands</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Norway</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Kingdom</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pPr>
      <w:r>
        <w:rPr/>
        <w:t> </w:t>
      </w:r>
    </w:p>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Value sums to less than 0.1%.</w:t>
      </w:r>
    </w:p>
    <w:p>
      <w:pPr>
        <w:pStyle w:val="TextBody"/>
        <w:bidi w:val="0"/>
        <w:spacing w:before="360" w:after="0"/>
        <w:jc w:val="left"/>
        <w:rPr>
          <w:rFonts w:ascii="Times New Roman" w:hAnsi="Times New Roman"/>
          <w:sz w:val="20"/>
        </w:rPr>
      </w:pPr>
      <w:r>
        <w:rPr>
          <w:rFonts w:ascii="Times New Roman;serif" w:hAnsi="Times New Roman;serif"/>
          <w:b/>
          <w:sz w:val="20"/>
        </w:rPr>
        <w:t>5. Derivatives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Interest Rate Swaps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tables present the amounts paid and received on the Company’s interest rate swap transactions, excluding upfront fees, for the three and six months ended June 30, 2023 and 2022:</w:t>
      </w:r>
      <w:r>
        <w:rPr>
          <w:rFonts w:ascii="Times New Roman" w:hAnsi="Times New Roman"/>
          <w:sz w:val="20"/>
        </w:rPr>
        <w:t xml:space="preserve"> </w:t>
      </w:r>
    </w:p>
    <w:p>
      <w:pPr>
        <w:pStyle w:val="TextBody"/>
        <w:bidi w:val="0"/>
        <w:spacing w:before="0" w:after="0"/>
        <w:jc w:val="left"/>
        <w:rPr/>
      </w:pPr>
      <w:r>
        <w:rPr/>
        <w:t> </w:t>
      </w:r>
    </w:p>
    <w:tbl>
      <w:tblPr>
        <w:tblW w:w="10540" w:type="dxa"/>
        <w:jc w:val="left"/>
        <w:tblInd w:w="0" w:type="dxa"/>
        <w:tblLayout w:type="fixed"/>
        <w:tblCellMar>
          <w:top w:w="28" w:type="dxa"/>
          <w:left w:w="28" w:type="dxa"/>
          <w:bottom w:w="28" w:type="dxa"/>
          <w:right w:w="28" w:type="dxa"/>
        </w:tblCellMar>
      </w:tblPr>
      <w:tblGrid>
        <w:gridCol w:w="721"/>
        <w:gridCol w:w="146"/>
        <w:gridCol w:w="871"/>
        <w:gridCol w:w="146"/>
        <w:gridCol w:w="211"/>
        <w:gridCol w:w="781"/>
        <w:gridCol w:w="146"/>
        <w:gridCol w:w="146"/>
        <w:gridCol w:w="211"/>
        <w:gridCol w:w="736"/>
        <w:gridCol w:w="166"/>
        <w:gridCol w:w="146"/>
        <w:gridCol w:w="249"/>
        <w:gridCol w:w="622"/>
        <w:gridCol w:w="146"/>
        <w:gridCol w:w="146"/>
        <w:gridCol w:w="211"/>
        <w:gridCol w:w="631"/>
        <w:gridCol w:w="166"/>
        <w:gridCol w:w="146"/>
        <w:gridCol w:w="211"/>
        <w:gridCol w:w="736"/>
        <w:gridCol w:w="166"/>
        <w:gridCol w:w="146"/>
        <w:gridCol w:w="211"/>
        <w:gridCol w:w="676"/>
        <w:gridCol w:w="146"/>
        <w:gridCol w:w="146"/>
        <w:gridCol w:w="211"/>
        <w:gridCol w:w="736"/>
        <w:gridCol w:w="411"/>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6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38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 June 30,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Maturity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Notional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Paid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Received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Paid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Received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1/22/2023</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41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8/1/2026</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As of June 30, 2023, these interest rate swaps had either matured or been terminated due to repayment of the underlying investment or security.</w:t>
      </w:r>
    </w:p>
    <w:p>
      <w:pPr>
        <w:pStyle w:val="TextBody"/>
        <w:bidi w:val="0"/>
        <w:spacing w:before="0" w:after="0"/>
        <w:jc w:val="left"/>
        <w:rPr/>
      </w:pPr>
      <w:r>
        <w:rPr/>
        <w:t> </w:t>
      </w:r>
    </w:p>
    <w:tbl>
      <w:tblPr>
        <w:tblW w:w="10270" w:type="dxa"/>
        <w:jc w:val="left"/>
        <w:tblInd w:w="0" w:type="dxa"/>
        <w:tblLayout w:type="fixed"/>
        <w:tblCellMar>
          <w:top w:w="28" w:type="dxa"/>
          <w:left w:w="28" w:type="dxa"/>
          <w:bottom w:w="28" w:type="dxa"/>
          <w:right w:w="28" w:type="dxa"/>
        </w:tblCellMar>
      </w:tblPr>
      <w:tblGrid>
        <w:gridCol w:w="721"/>
        <w:gridCol w:w="146"/>
        <w:gridCol w:w="871"/>
        <w:gridCol w:w="146"/>
        <w:gridCol w:w="211"/>
        <w:gridCol w:w="931"/>
        <w:gridCol w:w="146"/>
        <w:gridCol w:w="146"/>
        <w:gridCol w:w="211"/>
        <w:gridCol w:w="631"/>
        <w:gridCol w:w="166"/>
        <w:gridCol w:w="146"/>
        <w:gridCol w:w="271"/>
        <w:gridCol w:w="600"/>
        <w:gridCol w:w="146"/>
        <w:gridCol w:w="146"/>
        <w:gridCol w:w="211"/>
        <w:gridCol w:w="481"/>
        <w:gridCol w:w="166"/>
        <w:gridCol w:w="146"/>
        <w:gridCol w:w="211"/>
        <w:gridCol w:w="736"/>
        <w:gridCol w:w="166"/>
        <w:gridCol w:w="146"/>
        <w:gridCol w:w="211"/>
        <w:gridCol w:w="676"/>
        <w:gridCol w:w="146"/>
        <w:gridCol w:w="146"/>
        <w:gridCol w:w="211"/>
        <w:gridCol w:w="571"/>
        <w:gridCol w:w="411"/>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00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22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 June 30,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Maturity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Notional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Paid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Received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Paid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Received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w:t>
            </w:r>
          </w:p>
        </w:tc>
        <w:tc>
          <w:tcPr>
            <w:tcW w:w="41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w:t>
            </w:r>
          </w:p>
        </w:tc>
        <w:tc>
          <w:tcPr>
            <w:tcW w:w="41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41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1/22/2023</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1,404</w:t>
            </w:r>
          </w:p>
        </w:tc>
        <w:tc>
          <w:tcPr>
            <w:tcW w:w="41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1,479</w:t>
            </w:r>
          </w:p>
        </w:tc>
        <w:tc>
          <w:tcPr>
            <w:tcW w:w="41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41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8/1/2026</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1,047,510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For the three and six months ended June 30, 2023, the Company recognized $0.1</w:t>
      </w:r>
      <w:r>
        <w:rPr>
          <w:rFonts w:ascii="Times New Roman" w:hAnsi="Times New Roman"/>
          <w:sz w:val="20"/>
        </w:rPr>
        <w:t xml:space="preserve"> </w:t>
      </w:r>
      <w:r>
        <w:rPr>
          <w:rFonts w:ascii="Times New Roman;serif" w:hAnsi="Times New Roman;serif"/>
          <w:b w:val="false"/>
          <w:sz w:val="20"/>
        </w:rPr>
        <w:t>million in net unrealized losses and $0.2</w:t>
      </w:r>
      <w:r>
        <w:rPr>
          <w:rFonts w:ascii="Times New Roman" w:hAnsi="Times New Roman"/>
          <w:sz w:val="20"/>
        </w:rPr>
        <w:t xml:space="preserve"> </w:t>
      </w:r>
      <w:r>
        <w:rPr>
          <w:rFonts w:ascii="Times New Roman;serif" w:hAnsi="Times New Roman;serif"/>
          <w:b w:val="false"/>
          <w:sz w:val="20"/>
        </w:rPr>
        <w:t>million in net unrealized gains, respectively, on interest rate swaps not designated as hedging instruments in the Consolidated Statements of Operations related to the swap transactions. For the three and six months ended June 30, 2023, the Company recognized $4.8</w:t>
      </w:r>
      <w:r>
        <w:rPr>
          <w:rFonts w:ascii="Times New Roman" w:hAnsi="Times New Roman"/>
          <w:sz w:val="20"/>
        </w:rPr>
        <w:t xml:space="preserve"> </w:t>
      </w:r>
      <w:r>
        <w:rPr>
          <w:rFonts w:ascii="Times New Roman;serif" w:hAnsi="Times New Roman;serif"/>
          <w:b w:val="false"/>
          <w:sz w:val="20"/>
        </w:rPr>
        <w:t>million in net unrealized losses and $2.4</w:t>
      </w:r>
      <w:r>
        <w:rPr>
          <w:rFonts w:ascii="Times New Roman" w:hAnsi="Times New Roman"/>
          <w:sz w:val="20"/>
        </w:rPr>
        <w:t xml:space="preserve"> </w:t>
      </w:r>
      <w:r>
        <w:rPr>
          <w:rFonts w:ascii="Times New Roman;serif" w:hAnsi="Times New Roman;serif"/>
          <w:b w:val="false"/>
          <w:sz w:val="20"/>
        </w:rPr>
        <w:t>million in net unrealized gains, respectively, on interest rate swaps designated as hedging instruments in the Consolidated Statements of Operations. For the three and six months ended June 30, 2023, this amount is offset by a decrease of $1.3</w:t>
      </w:r>
      <w:r>
        <w:rPr>
          <w:rFonts w:ascii="Times New Roman" w:hAnsi="Times New Roman"/>
          <w:sz w:val="20"/>
        </w:rPr>
        <w:t xml:space="preserve"> </w:t>
      </w:r>
      <w:r>
        <w:rPr>
          <w:rFonts w:ascii="Times New Roman;serif" w:hAnsi="Times New Roman;serif"/>
          <w:b w:val="false"/>
          <w:sz w:val="20"/>
        </w:rPr>
        <w:t>million and an increase of $1.8</w:t>
      </w:r>
      <w:r>
        <w:rPr>
          <w:rFonts w:ascii="Times New Roman" w:hAnsi="Times New Roman"/>
          <w:sz w:val="20"/>
        </w:rPr>
        <w:t xml:space="preserve"> </w:t>
      </w:r>
      <w:r>
        <w:rPr>
          <w:rFonts w:ascii="Times New Roman;serif" w:hAnsi="Times New Roman;serif"/>
          <w:b w:val="false"/>
          <w:sz w:val="20"/>
        </w:rPr>
        <w:t>million, respectively, for a change in the carrying value of the 2024 Notes and a decrease of $3.5</w:t>
      </w:r>
      <w:r>
        <w:rPr>
          <w:rFonts w:ascii="Times New Roman" w:hAnsi="Times New Roman"/>
          <w:sz w:val="20"/>
        </w:rPr>
        <w:t xml:space="preserve"> </w:t>
      </w:r>
      <w:r>
        <w:rPr>
          <w:rFonts w:ascii="Times New Roman;serif" w:hAnsi="Times New Roman;serif"/>
          <w:b w:val="false"/>
          <w:sz w:val="20"/>
        </w:rPr>
        <w:t>million and a decrease of $0.6</w:t>
      </w:r>
      <w:r>
        <w:rPr>
          <w:rFonts w:ascii="Times New Roman" w:hAnsi="Times New Roman"/>
          <w:sz w:val="20"/>
        </w:rPr>
        <w:t xml:space="preserve"> </w:t>
      </w:r>
      <w:r>
        <w:rPr>
          <w:rFonts w:ascii="Times New Roman;serif" w:hAnsi="Times New Roman;serif"/>
          <w:b w:val="false"/>
          <w:sz w:val="20"/>
        </w:rPr>
        <w:t>million, respectively, for a change in carrying value of the 2026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and six months ended June 30, 2022, the Company recognized $1.7</w:t>
      </w:r>
      <w:r>
        <w:rPr>
          <w:rFonts w:ascii="Times New Roman" w:hAnsi="Times New Roman"/>
          <w:sz w:val="20"/>
        </w:rPr>
        <w:t xml:space="preserve"> </w:t>
      </w:r>
      <w:r>
        <w:rPr>
          <w:rFonts w:ascii="Times New Roman;serif" w:hAnsi="Times New Roman;serif"/>
          <w:b w:val="false"/>
          <w:sz w:val="20"/>
        </w:rPr>
        <w:t>million and $4.6</w:t>
      </w:r>
      <w:r>
        <w:rPr>
          <w:rFonts w:ascii="Times New Roman" w:hAnsi="Times New Roman"/>
          <w:sz w:val="20"/>
        </w:rPr>
        <w:t xml:space="preserve"> </w:t>
      </w:r>
      <w:r>
        <w:rPr>
          <w:rFonts w:ascii="Times New Roman;serif" w:hAnsi="Times New Roman;serif"/>
          <w:b w:val="false"/>
          <w:sz w:val="20"/>
        </w:rPr>
        <w:t>million, respectively, in net change in unrealized losses, on interest rate swaps not designated as hedging instruments in the Consolidated Statement of Operations related to the swap transactions. For the three and six months ended June 30, 2022, the Company recognized $8.1</w:t>
      </w:r>
      <w:r>
        <w:rPr>
          <w:rFonts w:ascii="Times New Roman" w:hAnsi="Times New Roman"/>
          <w:sz w:val="20"/>
        </w:rPr>
        <w:t xml:space="preserve"> </w:t>
      </w:r>
      <w:r>
        <w:rPr>
          <w:rFonts w:ascii="Times New Roman;serif" w:hAnsi="Times New Roman;serif"/>
          <w:b w:val="false"/>
          <w:sz w:val="20"/>
        </w:rPr>
        <w:t>million and $35.3</w:t>
      </w:r>
      <w:r>
        <w:rPr>
          <w:rFonts w:ascii="Times New Roman" w:hAnsi="Times New Roman"/>
          <w:sz w:val="20"/>
        </w:rPr>
        <w:t xml:space="preserve"> </w:t>
      </w:r>
      <w:r>
        <w:rPr>
          <w:rFonts w:ascii="Times New Roman;serif" w:hAnsi="Times New Roman;serif"/>
          <w:b w:val="false"/>
          <w:sz w:val="20"/>
        </w:rPr>
        <w:t>million in net change in unrealized losses, respectively, on interest rate swaps designated as hedging instruments as a component of interest expense in the Consolidated Statement of Operations. For the three and six months ended June 30, 2022, this amount is offset by a decrease of $3.7</w:t>
      </w:r>
      <w:r>
        <w:rPr>
          <w:rFonts w:ascii="Times New Roman" w:hAnsi="Times New Roman"/>
          <w:sz w:val="20"/>
        </w:rPr>
        <w:t xml:space="preserve"> </w:t>
      </w:r>
      <w:r>
        <w:rPr>
          <w:rFonts w:ascii="Times New Roman;serif" w:hAnsi="Times New Roman;serif"/>
          <w:b w:val="false"/>
          <w:sz w:val="20"/>
        </w:rPr>
        <w:t>million and $16.9</w:t>
      </w:r>
      <w:r>
        <w:rPr>
          <w:rFonts w:ascii="Times New Roman" w:hAnsi="Times New Roman"/>
          <w:sz w:val="20"/>
        </w:rPr>
        <w:t xml:space="preserve"> </w:t>
      </w:r>
      <w:r>
        <w:rPr>
          <w:rFonts w:ascii="Times New Roman;serif" w:hAnsi="Times New Roman;serif"/>
          <w:b w:val="false"/>
          <w:sz w:val="20"/>
        </w:rPr>
        <w:t>million, respectively, for a change in the carrying value of the 2024 Notes and a decrease of $4.4</w:t>
      </w:r>
      <w:r>
        <w:rPr>
          <w:rFonts w:ascii="Times New Roman" w:hAnsi="Times New Roman"/>
          <w:sz w:val="20"/>
        </w:rPr>
        <w:t xml:space="preserve"> </w:t>
      </w:r>
      <w:r>
        <w:rPr>
          <w:rFonts w:ascii="Times New Roman;serif" w:hAnsi="Times New Roman;serif"/>
          <w:b w:val="false"/>
          <w:sz w:val="20"/>
        </w:rPr>
        <w:t>million and $18.4</w:t>
      </w:r>
      <w:r>
        <w:rPr>
          <w:rFonts w:ascii="Times New Roman" w:hAnsi="Times New Roman"/>
          <w:sz w:val="20"/>
        </w:rPr>
        <w:t xml:space="preserve"> </w:t>
      </w:r>
      <w:r>
        <w:rPr>
          <w:rFonts w:ascii="Times New Roman;serif" w:hAnsi="Times New Roman;serif"/>
          <w:b w:val="false"/>
          <w:sz w:val="20"/>
        </w:rPr>
        <w:t>million, respectively, for a change in carrying value of the 2026 Notes.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the swap transactions had a fair value of $(52.7) million which is netted against cash collateral on the Company’s consolidated balance sheet. As of December 31, 2022, the swap transactions had a fair value of $(55.3) million which is netted against cash collateral on the Company’s consolidated balance sheet.</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$15.1</w:t>
      </w:r>
      <w:r>
        <w:rPr>
          <w:rFonts w:ascii="Times New Roman" w:hAnsi="Times New Roman"/>
          <w:sz w:val="20"/>
        </w:rPr>
        <w:t xml:space="preserve"> </w:t>
      </w:r>
      <w:r>
        <w:rPr>
          <w:rFonts w:ascii="Times New Roman;serif" w:hAnsi="Times New Roman;serif"/>
          <w:b w:val="false"/>
          <w:sz w:val="20"/>
        </w:rPr>
        <w:t>million of cash was pledged as collateral under the Company’s derivative agreements and is included in restricted cash as a component of cash and cash equivalents on the Company’s consolidated balance sheet. As of December 31, 2022, $15.4</w:t>
      </w:r>
      <w:r>
        <w:rPr>
          <w:rFonts w:ascii="Times New Roman" w:hAnsi="Times New Roman"/>
          <w:sz w:val="20"/>
        </w:rPr>
        <w:t xml:space="preserve"> </w:t>
      </w:r>
      <w:r>
        <w:rPr>
          <w:rFonts w:ascii="Times New Roman;serif" w:hAnsi="Times New Roman;serif"/>
          <w:b w:val="false"/>
          <w:sz w:val="20"/>
        </w:rPr>
        <w:t>million of cash was pledged as collateral under the Company’s derivative agreements and is included in restricted cash as a component of cash and cash equivalents on the Company’s consolidated balance sheet.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may enter into other derivative instruments and incur other exposures with the same or other counterparties in the future.</w:t>
      </w:r>
    </w:p>
    <w:p>
      <w:pPr>
        <w:pStyle w:val="TextBody"/>
        <w:bidi w:val="0"/>
        <w:spacing w:before="360" w:after="0"/>
        <w:jc w:val="left"/>
        <w:rPr>
          <w:rFonts w:ascii="Times New Roman" w:hAnsi="Times New Roman"/>
          <w:sz w:val="20"/>
        </w:rPr>
      </w:pPr>
      <w:r>
        <w:rPr>
          <w:rFonts w:ascii="Times New Roman;serif" w:hAnsi="Times New Roman;serif"/>
          <w:b/>
          <w:sz w:val="20"/>
        </w:rPr>
        <w:t>6. Fair Value of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Investments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present fair value measurements of investments as of June 30, 2023 and December 31, 2022:</w:t>
      </w:r>
      <w:r>
        <w:rPr>
          <w:rFonts w:ascii="Times New Roman" w:hAnsi="Times New Roman"/>
          <w:sz w:val="20"/>
        </w:rPr>
        <w:t xml:space="preserve"> </w:t>
      </w:r>
    </w:p>
    <w:tbl>
      <w:tblPr>
        <w:tblW w:w="8047" w:type="dxa"/>
        <w:jc w:val="left"/>
        <w:tblInd w:w="0" w:type="dxa"/>
        <w:tblLayout w:type="fixed"/>
        <w:tblCellMar>
          <w:top w:w="28" w:type="dxa"/>
          <w:left w:w="28" w:type="dxa"/>
          <w:bottom w:w="28" w:type="dxa"/>
          <w:right w:w="28" w:type="dxa"/>
        </w:tblCellMar>
      </w:tblPr>
      <w:tblGrid>
        <w:gridCol w:w="2581"/>
        <w:gridCol w:w="146"/>
        <w:gridCol w:w="211"/>
        <w:gridCol w:w="571"/>
        <w:gridCol w:w="146"/>
        <w:gridCol w:w="146"/>
        <w:gridCol w:w="211"/>
        <w:gridCol w:w="736"/>
        <w:gridCol w:w="166"/>
        <w:gridCol w:w="146"/>
        <w:gridCol w:w="211"/>
        <w:gridCol w:w="931"/>
        <w:gridCol w:w="146"/>
        <w:gridCol w:w="146"/>
        <w:gridCol w:w="211"/>
        <w:gridCol w:w="931"/>
        <w:gridCol w:w="4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90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Hierarchy at June 30,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2,777,390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2,800,152</w:t>
            </w:r>
          </w:p>
        </w:tc>
        <w:tc>
          <w:tcPr>
            <w:tcW w:w="41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39,708</w:t>
            </w:r>
          </w:p>
        </w:tc>
        <w:tc>
          <w:tcPr>
            <w:tcW w:w="41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40,237</w:t>
            </w:r>
          </w:p>
        </w:tc>
        <w:tc>
          <w:tcPr>
            <w:tcW w:w="41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154,707</w:t>
            </w:r>
          </w:p>
        </w:tc>
        <w:tc>
          <w:tcPr>
            <w:tcW w:w="41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Structured credit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54,183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investments at fair value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87,413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2,993,521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3,088,987</w:t>
            </w:r>
          </w:p>
        </w:tc>
        <w:tc>
          <w:tcPr>
            <w:tcW w:w="41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(52,649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8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2,993,521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3,036,338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tbl>
      <w:tblPr>
        <w:tblW w:w="8047" w:type="dxa"/>
        <w:jc w:val="left"/>
        <w:tblInd w:w="0" w:type="dxa"/>
        <w:tblLayout w:type="fixed"/>
        <w:tblCellMar>
          <w:top w:w="28" w:type="dxa"/>
          <w:left w:w="28" w:type="dxa"/>
          <w:bottom w:w="28" w:type="dxa"/>
          <w:right w:w="28" w:type="dxa"/>
        </w:tblCellMar>
      </w:tblPr>
      <w:tblGrid>
        <w:gridCol w:w="2581"/>
        <w:gridCol w:w="146"/>
        <w:gridCol w:w="211"/>
        <w:gridCol w:w="571"/>
        <w:gridCol w:w="146"/>
        <w:gridCol w:w="146"/>
        <w:gridCol w:w="211"/>
        <w:gridCol w:w="736"/>
        <w:gridCol w:w="166"/>
        <w:gridCol w:w="146"/>
        <w:gridCol w:w="211"/>
        <w:gridCol w:w="931"/>
        <w:gridCol w:w="146"/>
        <w:gridCol w:w="146"/>
        <w:gridCol w:w="211"/>
        <w:gridCol w:w="931"/>
        <w:gridCol w:w="4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90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Hierarchy at December 31,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2,517,894</w:t>
            </w:r>
          </w:p>
        </w:tc>
        <w:tc>
          <w:tcPr>
            <w:tcW w:w="41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40,762</w:t>
            </w:r>
          </w:p>
        </w:tc>
        <w:tc>
          <w:tcPr>
            <w:tcW w:w="41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10,158</w:t>
            </w:r>
          </w:p>
        </w:tc>
        <w:tc>
          <w:tcPr>
            <w:tcW w:w="41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147,059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167,685</w:t>
            </w:r>
          </w:p>
        </w:tc>
        <w:tc>
          <w:tcPr>
            <w:tcW w:w="41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Structured credit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51,426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investments at fair value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2,693,938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2,787,925</w:t>
            </w:r>
          </w:p>
        </w:tc>
        <w:tc>
          <w:tcPr>
            <w:tcW w:w="41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(55,314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8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2,693,938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2,732,611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rFonts w:ascii="Times New Roman" w:hAnsi="Times New Roman"/>
          <w:sz w:val="20"/>
        </w:rPr>
      </w:pPr>
      <w:r>
        <w:rPr>
          <w:rFonts w:ascii="Times New Roman;serif" w:hAnsi="Times New Roman;serif"/>
          <w:b w:val="false"/>
          <w:sz w:val="20"/>
        </w:rPr>
        <w:t>Transfers between levels, if any, are recognized at the beginning of the quarter in which the transfers occur.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tables present the changes in the fair value of investments for which Level 3 inputs were used to determine the fair value as of and for the three and six months ended June 30, 2023:</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391"/>
      </w:tblGrid>
      <w:tr>
        <w:trPr/>
        <w:tc>
          <w:tcPr>
            <w:tcW w:w="3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16"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and for the Three Months Ended</w:t>
            </w:r>
          </w:p>
        </w:tc>
        <w:tc>
          <w:tcPr>
            <w:tcW w:w="391" w:type="dxa"/>
            <w:tcBorders/>
            <w:vAlign w:val="center"/>
          </w:tcPr>
          <w:p>
            <w:pPr>
              <w:pStyle w:val="TableContents"/>
              <w:bidi w:val="0"/>
              <w:spacing w:before="0" w:after="0"/>
              <w:ind w:left="0" w:right="0" w:hanging="0"/>
              <w:jc w:val="center"/>
              <w:rPr/>
            </w:pPr>
            <w:r>
              <w:rPr/>
              <w:t> </w:t>
            </w:r>
          </w:p>
        </w:tc>
      </w:tr>
      <w:tr>
        <w:trPr/>
        <w:tc>
          <w:tcPr>
            <w:tcW w:w="32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1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First-lien</w:t>
              <w:br/>
              <w:t>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Second-lien</w:t>
              <w:br/>
              <w:t>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Mezzanine</w:t>
              <w:br/>
              <w:t> 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br/>
              <w:t>and other</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2,628,849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136,769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2,821,516</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or originations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279,221</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 redemptions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(119,056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Proceeds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Paid-in-kind interest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3,335</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unrealized gains (losses)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4,171</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amortization of discount on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3,808</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Transfers into (out of) Level 3</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52"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Balance, End of Period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2,777,390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136,186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2,993,521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272"/>
        <w:gridCol w:w="146"/>
        <w:gridCol w:w="211"/>
        <w:gridCol w:w="931"/>
        <w:gridCol w:w="166"/>
        <w:gridCol w:w="146"/>
        <w:gridCol w:w="225"/>
        <w:gridCol w:w="721"/>
        <w:gridCol w:w="166"/>
        <w:gridCol w:w="146"/>
        <w:gridCol w:w="225"/>
        <w:gridCol w:w="721"/>
        <w:gridCol w:w="146"/>
        <w:gridCol w:w="146"/>
        <w:gridCol w:w="211"/>
        <w:gridCol w:w="781"/>
        <w:gridCol w:w="166"/>
        <w:gridCol w:w="146"/>
        <w:gridCol w:w="211"/>
        <w:gridCol w:w="931"/>
        <w:gridCol w:w="391"/>
      </w:tblGrid>
      <w:tr>
        <w:trPr/>
        <w:tc>
          <w:tcPr>
            <w:tcW w:w="3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396"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and for the Six Months Ended</w:t>
            </w:r>
          </w:p>
        </w:tc>
        <w:tc>
          <w:tcPr>
            <w:tcW w:w="391" w:type="dxa"/>
            <w:tcBorders/>
            <w:vAlign w:val="center"/>
          </w:tcPr>
          <w:p>
            <w:pPr>
              <w:pStyle w:val="TableContents"/>
              <w:bidi w:val="0"/>
              <w:spacing w:before="0" w:after="0"/>
              <w:ind w:left="0" w:right="0" w:hanging="0"/>
              <w:jc w:val="center"/>
              <w:rPr/>
            </w:pPr>
            <w:r>
              <w:rPr/>
              <w:t> </w:t>
            </w:r>
          </w:p>
        </w:tc>
      </w:tr>
      <w:tr>
        <w:trPr/>
        <w:tc>
          <w:tcPr>
            <w:tcW w:w="32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39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First-lien</w:t>
              <w:br/>
              <w:t>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Second-lien</w:t>
              <w:br/>
              <w:t>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Mezzanine</w:t>
              <w:br/>
              <w:t> debt</w:t>
              <w:br/>
              <w:t>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br/>
              <w:t>and other</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2,495,959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147,059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2,693,938</w:t>
            </w:r>
          </w:p>
        </w:tc>
        <w:tc>
          <w:tcPr>
            <w:tcW w:w="391" w:type="dxa"/>
            <w:tcBorders/>
            <w:vAlign w:val="center"/>
          </w:tcPr>
          <w:p>
            <w:pPr>
              <w:pStyle w:val="TableContents"/>
              <w:bidi w:val="0"/>
              <w:spacing w:before="0" w:after="0"/>
              <w:ind w:left="0" w:right="0" w:hanging="0"/>
              <w:jc w:val="left"/>
              <w:rPr/>
            </w:pPr>
            <w:r>
              <w:rPr/>
              <w:t> </w:t>
            </w:r>
          </w:p>
        </w:tc>
      </w:tr>
      <w:tr>
        <w:trPr/>
        <w:tc>
          <w:tcPr>
            <w:tcW w:w="3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or originations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417,459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454,175</w:t>
            </w:r>
          </w:p>
        </w:tc>
        <w:tc>
          <w:tcPr>
            <w:tcW w:w="391" w:type="dxa"/>
            <w:tcBorders/>
            <w:vAlign w:val="center"/>
          </w:tcPr>
          <w:p>
            <w:pPr>
              <w:pStyle w:val="TableContents"/>
              <w:bidi w:val="0"/>
              <w:spacing w:before="0" w:after="0"/>
              <w:ind w:left="0" w:right="0" w:hanging="0"/>
              <w:jc w:val="left"/>
              <w:rPr/>
            </w:pPr>
            <w:r>
              <w:rPr/>
              <w:t> </w:t>
            </w:r>
          </w:p>
        </w:tc>
      </w:tr>
      <w:tr>
        <w:trPr/>
        <w:tc>
          <w:tcPr>
            <w:tcW w:w="3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 redemptions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(5,809</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Proceeds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(176,394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(176,394</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Paid-in-kind interest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6,634</w:t>
            </w:r>
          </w:p>
        </w:tc>
        <w:tc>
          <w:tcPr>
            <w:tcW w:w="391" w:type="dxa"/>
            <w:tcBorders/>
            <w:vAlign w:val="center"/>
          </w:tcPr>
          <w:p>
            <w:pPr>
              <w:pStyle w:val="TableContents"/>
              <w:bidi w:val="0"/>
              <w:spacing w:before="0" w:after="0"/>
              <w:ind w:left="0" w:right="0" w:hanging="0"/>
              <w:jc w:val="left"/>
              <w:rPr/>
            </w:pPr>
            <w:r>
              <w:rPr/>
              <w:t> </w:t>
            </w:r>
          </w:p>
        </w:tc>
      </w:tr>
      <w:tr>
        <w:trPr/>
        <w:tc>
          <w:tcPr>
            <w:tcW w:w="3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unrealized gains (losses)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8,180</w:t>
            </w:r>
          </w:p>
        </w:tc>
        <w:tc>
          <w:tcPr>
            <w:tcW w:w="391" w:type="dxa"/>
            <w:tcBorders/>
            <w:vAlign w:val="center"/>
          </w:tcPr>
          <w:p>
            <w:pPr>
              <w:pStyle w:val="TableContents"/>
              <w:bidi w:val="0"/>
              <w:spacing w:before="0" w:after="0"/>
              <w:ind w:left="0" w:right="0" w:hanging="0"/>
              <w:jc w:val="left"/>
              <w:rPr/>
            </w:pPr>
            <w:r>
              <w:rPr/>
              <w:t> </w:t>
            </w:r>
          </w:p>
        </w:tc>
      </w:tr>
      <w:tr>
        <w:trPr/>
        <w:tc>
          <w:tcPr>
            <w:tcW w:w="3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5,048</w:t>
            </w:r>
          </w:p>
        </w:tc>
        <w:tc>
          <w:tcPr>
            <w:tcW w:w="391" w:type="dxa"/>
            <w:tcBorders/>
            <w:vAlign w:val="center"/>
          </w:tcPr>
          <w:p>
            <w:pPr>
              <w:pStyle w:val="TableContents"/>
              <w:bidi w:val="0"/>
              <w:spacing w:before="0" w:after="0"/>
              <w:ind w:left="0" w:right="0" w:hanging="0"/>
              <w:jc w:val="left"/>
              <w:rPr/>
            </w:pPr>
            <w:r>
              <w:rPr/>
              <w:t> </w:t>
            </w:r>
          </w:p>
        </w:tc>
      </w:tr>
      <w:tr>
        <w:trPr/>
        <w:tc>
          <w:tcPr>
            <w:tcW w:w="3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amortization of discount on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7,018</w:t>
            </w:r>
          </w:p>
        </w:tc>
        <w:tc>
          <w:tcPr>
            <w:tcW w:w="391" w:type="dxa"/>
            <w:tcBorders/>
            <w:vAlign w:val="center"/>
          </w:tcPr>
          <w:p>
            <w:pPr>
              <w:pStyle w:val="TableContents"/>
              <w:bidi w:val="0"/>
              <w:spacing w:before="0" w:after="0"/>
              <w:ind w:left="0" w:right="0" w:hanging="0"/>
              <w:jc w:val="left"/>
              <w:rPr/>
            </w:pPr>
            <w:r>
              <w:rPr/>
              <w:t> </w:t>
            </w:r>
          </w:p>
        </w:tc>
      </w:tr>
      <w:tr>
        <w:trPr/>
        <w:tc>
          <w:tcPr>
            <w:tcW w:w="3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Transfers into (out of) Level 3</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72"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Balance, End of Period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2,777,390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136,186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2,993,521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Copper Bidco, LLC was transferred into Level 3 from Level 2 for fair value measurement purposes during the three months ended June 30, 2023, as a result of changes in observability of inputs into the security valuation for this portfolio company.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tables present the changes in the fair value of investments for which Level 3 inputs were used to determine the fair value as of and for the three and six months ended June 30, 2022:</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391"/>
      </w:tblGrid>
      <w:tr>
        <w:trPr/>
        <w:tc>
          <w:tcPr>
            <w:tcW w:w="3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16"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and for the Three Months Ended</w:t>
            </w:r>
          </w:p>
        </w:tc>
        <w:tc>
          <w:tcPr>
            <w:tcW w:w="391" w:type="dxa"/>
            <w:tcBorders/>
            <w:vAlign w:val="center"/>
          </w:tcPr>
          <w:p>
            <w:pPr>
              <w:pStyle w:val="TableContents"/>
              <w:bidi w:val="0"/>
              <w:spacing w:before="0" w:after="0"/>
              <w:ind w:left="0" w:right="0" w:hanging="0"/>
              <w:jc w:val="center"/>
              <w:rPr/>
            </w:pPr>
            <w:r>
              <w:rPr/>
              <w:t> </w:t>
            </w:r>
          </w:p>
        </w:tc>
      </w:tr>
      <w:tr>
        <w:trPr/>
        <w:tc>
          <w:tcPr>
            <w:tcW w:w="32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1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First-lien</w:t>
              <w:br/>
              <w:t>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Second-lien</w:t>
              <w:br/>
              <w:t>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Mezzanine</w:t>
              <w:br/>
              <w:t> 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br/>
              <w:t>and other</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2,239,027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123,019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2,418,696</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or originations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298,675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327,230</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 redemptions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(215,774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(215,784</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Proceeds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Paid-in-kind interest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3,666</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unrealized gains (losses)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(53,456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amortization of discount on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52"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Balance, End of Period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2,295,057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2,484,558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391"/>
      </w:tblGrid>
      <w:tr>
        <w:trPr/>
        <w:tc>
          <w:tcPr>
            <w:tcW w:w="3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16"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and for the Six Months Ended</w:t>
            </w:r>
          </w:p>
        </w:tc>
        <w:tc>
          <w:tcPr>
            <w:tcW w:w="391" w:type="dxa"/>
            <w:tcBorders/>
            <w:vAlign w:val="center"/>
          </w:tcPr>
          <w:p>
            <w:pPr>
              <w:pStyle w:val="TableContents"/>
              <w:bidi w:val="0"/>
              <w:spacing w:before="0" w:after="0"/>
              <w:ind w:left="0" w:right="0" w:hanging="0"/>
              <w:jc w:val="center"/>
              <w:rPr/>
            </w:pPr>
            <w:r>
              <w:rPr/>
              <w:t> </w:t>
            </w:r>
          </w:p>
        </w:tc>
      </w:tr>
      <w:tr>
        <w:trPr/>
        <w:tc>
          <w:tcPr>
            <w:tcW w:w="32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1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First-lien</w:t>
              <w:br/>
              <w:t>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Second-lien</w:t>
              <w:br/>
              <w:t>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Mezzanine</w:t>
              <w:br/>
              <w:t> 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br/>
              <w:t>and other</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2,298,856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2,434,638</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or originations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378,622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411,452</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 redemptions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(361,869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(361,879</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 Proceeds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(18,315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Paid-in-kind interest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6,762</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unrealized gains (losses)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(54,313</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14,135</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amortization of discount on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9,349</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Transfers within Level 3</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3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Transfers into (out of) Level 3</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42,729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52"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Balance, End of Period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2,295,057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2,484,558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Astra Acquisition Corp. was transferred into Level 3 from Level 2 for fair value measurement purposes during the six months ended June 30, 2022, as a result of changes in the observability of inputs into the security valuation for this portfolio company.</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presents information with respect to the net change in unrealized gains or losses on investments for which Level 3 inputs were used in determining fair value that are still held by the Company at</w:t>
      </w:r>
      <w:r>
        <w:rPr>
          <w:rFonts w:ascii="Times New Roman" w:hAnsi="Times New Roman"/>
          <w:sz w:val="20"/>
        </w:rPr>
        <w:t xml:space="preserve"> </w:t>
      </w:r>
      <w:r>
        <w:rPr>
          <w:rFonts w:ascii="Times New Roman;serif" w:hAnsi="Times New Roman;serif"/>
          <w:b w:val="false"/>
          <w:sz w:val="20"/>
        </w:rPr>
        <w:t>June 30, 2023 and 2022:</w:t>
      </w:r>
      <w:r>
        <w:rPr>
          <w:rFonts w:ascii="Times New Roman" w:hAnsi="Times New Roman"/>
          <w:sz w:val="20"/>
        </w:rPr>
        <w:t xml:space="preserve"> </w:t>
      </w:r>
    </w:p>
    <w:tbl>
      <w:tblPr>
        <w:tblW w:w="7680" w:type="dxa"/>
        <w:jc w:val="left"/>
        <w:tblInd w:w="0" w:type="dxa"/>
        <w:tblLayout w:type="fixed"/>
        <w:tblCellMar>
          <w:top w:w="28" w:type="dxa"/>
          <w:left w:w="28" w:type="dxa"/>
          <w:bottom w:w="28" w:type="dxa"/>
          <w:right w:w="28" w:type="dxa"/>
        </w:tblCellMar>
      </w:tblPr>
      <w:tblGrid>
        <w:gridCol w:w="2521"/>
        <w:gridCol w:w="146"/>
        <w:gridCol w:w="510"/>
        <w:gridCol w:w="1635"/>
        <w:gridCol w:w="166"/>
        <w:gridCol w:w="146"/>
        <w:gridCol w:w="478"/>
        <w:gridCol w:w="1667"/>
        <w:gridCol w:w="4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Change in Unrealized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Change in Unrealized</w:t>
            </w:r>
          </w:p>
        </w:tc>
        <w:tc>
          <w:tcPr>
            <w:tcW w:w="41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Gains or (Losses)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Gains or (Losses)</w:t>
            </w:r>
          </w:p>
        </w:tc>
        <w:tc>
          <w:tcPr>
            <w:tcW w:w="41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41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 on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 on</w:t>
            </w:r>
          </w:p>
        </w:tc>
        <w:tc>
          <w:tcPr>
            <w:tcW w:w="41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Held at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Held at</w:t>
            </w:r>
          </w:p>
        </w:tc>
        <w:tc>
          <w:tcPr>
            <w:tcW w:w="41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5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(32,820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vAlign w:val="center"/>
          </w:tcPr>
          <w:p>
            <w:pPr>
              <w:pStyle w:val="TableContents"/>
              <w:bidi w:val="0"/>
              <w:spacing w:before="0" w:after="0"/>
              <w:ind w:left="0" w:right="0" w:hanging="0"/>
              <w:jc w:val="right"/>
              <w:rPr/>
            </w:pPr>
            <w:r>
              <w:rPr/>
              <w:t> </w:t>
            </w:r>
          </w:p>
        </w:tc>
        <w:tc>
          <w:tcPr>
            <w:tcW w:w="510" w:type="dxa"/>
            <w:tcBorders/>
            <w:vAlign w:val="center"/>
          </w:tcPr>
          <w:p>
            <w:pPr>
              <w:pStyle w:val="TableContents"/>
              <w:bidi w:val="0"/>
              <w:spacing w:before="0" w:after="0"/>
              <w:ind w:left="0" w:right="0" w:hanging="0"/>
              <w:jc w:val="left"/>
              <w:rPr/>
            </w:pPr>
            <w:r>
              <w:rPr/>
              <w:t> </w:t>
            </w:r>
          </w:p>
        </w:tc>
        <w:tc>
          <w:tcPr>
            <w:tcW w:w="16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78" w:type="dxa"/>
            <w:tcBorders/>
            <w:vAlign w:val="center"/>
          </w:tcPr>
          <w:p>
            <w:pPr>
              <w:pStyle w:val="TableContents"/>
              <w:bidi w:val="0"/>
              <w:spacing w:before="0" w:after="0"/>
              <w:ind w:left="0" w:right="0" w:hanging="0"/>
              <w:jc w:val="left"/>
              <w:rPr/>
            </w:pPr>
            <w:r>
              <w:rPr/>
              <w:t> </w:t>
            </w:r>
          </w:p>
        </w:tc>
        <w:tc>
          <w:tcPr>
            <w:tcW w:w="16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vAlign w:val="center"/>
          </w:tcPr>
          <w:p>
            <w:pPr>
              <w:pStyle w:val="TableContents"/>
              <w:bidi w:val="0"/>
              <w:spacing w:before="0" w:after="0"/>
              <w:ind w:left="0" w:right="0" w:hanging="0"/>
              <w:jc w:val="right"/>
              <w:rPr/>
            </w:pPr>
            <w:r>
              <w:rPr/>
              <w:t> </w:t>
            </w:r>
          </w:p>
        </w:tc>
        <w:tc>
          <w:tcPr>
            <w:tcW w:w="510" w:type="dxa"/>
            <w:tcBorders/>
            <w:vAlign w:val="center"/>
          </w:tcPr>
          <w:p>
            <w:pPr>
              <w:pStyle w:val="TableContents"/>
              <w:bidi w:val="0"/>
              <w:spacing w:before="0" w:after="0"/>
              <w:ind w:left="0" w:right="0" w:hanging="0"/>
              <w:jc w:val="left"/>
              <w:rPr/>
            </w:pPr>
            <w:r>
              <w:rPr/>
              <w:t> </w:t>
            </w:r>
          </w:p>
        </w:tc>
        <w:tc>
          <w:tcPr>
            <w:tcW w:w="16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78" w:type="dxa"/>
            <w:tcBorders/>
            <w:vAlign w:val="center"/>
          </w:tcPr>
          <w:p>
            <w:pPr>
              <w:pStyle w:val="TableContents"/>
              <w:bidi w:val="0"/>
              <w:spacing w:before="0" w:after="0"/>
              <w:ind w:left="0" w:right="0" w:hanging="0"/>
              <w:jc w:val="left"/>
              <w:rPr/>
            </w:pPr>
            <w:r>
              <w:rPr/>
              <w:t> </w:t>
            </w:r>
          </w:p>
        </w:tc>
        <w:tc>
          <w:tcPr>
            <w:tcW w:w="16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5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(13,134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5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(50,807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7300" w:type="dxa"/>
        <w:jc w:val="left"/>
        <w:tblInd w:w="0" w:type="dxa"/>
        <w:tblLayout w:type="fixed"/>
        <w:tblCellMar>
          <w:top w:w="28" w:type="dxa"/>
          <w:left w:w="28" w:type="dxa"/>
          <w:bottom w:w="28" w:type="dxa"/>
          <w:right w:w="28" w:type="dxa"/>
        </w:tblCellMar>
      </w:tblPr>
      <w:tblGrid>
        <w:gridCol w:w="2521"/>
        <w:gridCol w:w="146"/>
        <w:gridCol w:w="467"/>
        <w:gridCol w:w="1498"/>
        <w:gridCol w:w="166"/>
        <w:gridCol w:w="146"/>
        <w:gridCol w:w="438"/>
        <w:gridCol w:w="1527"/>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Change in Unrealized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Change in Unrealized</w:t>
            </w:r>
          </w:p>
        </w:tc>
        <w:tc>
          <w:tcPr>
            <w:tcW w:w="39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Gains or (Losses)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Gains or (Losses)</w:t>
            </w:r>
          </w:p>
        </w:tc>
        <w:tc>
          <w:tcPr>
            <w:tcW w:w="39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w:t>
            </w:r>
          </w:p>
        </w:tc>
        <w:tc>
          <w:tcPr>
            <w:tcW w:w="39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 on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 on</w:t>
            </w:r>
          </w:p>
        </w:tc>
        <w:tc>
          <w:tcPr>
            <w:tcW w:w="39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Held at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Held at</w:t>
            </w:r>
          </w:p>
        </w:tc>
        <w:tc>
          <w:tcPr>
            <w:tcW w:w="39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9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4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(30,834</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vAlign w:val="center"/>
          </w:tcPr>
          <w:p>
            <w:pPr>
              <w:pStyle w:val="TableContents"/>
              <w:bidi w:val="0"/>
              <w:spacing w:before="0" w:after="0"/>
              <w:ind w:left="0" w:right="0" w:hanging="0"/>
              <w:jc w:val="right"/>
              <w:rPr/>
            </w:pPr>
            <w:r>
              <w:rPr/>
              <w:t> </w:t>
            </w:r>
          </w:p>
        </w:tc>
        <w:tc>
          <w:tcPr>
            <w:tcW w:w="467" w:type="dxa"/>
            <w:tcBorders/>
            <w:vAlign w:val="center"/>
          </w:tcPr>
          <w:p>
            <w:pPr>
              <w:pStyle w:val="TableContents"/>
              <w:bidi w:val="0"/>
              <w:spacing w:before="0" w:after="0"/>
              <w:ind w:left="0" w:right="0" w:hanging="0"/>
              <w:jc w:val="left"/>
              <w:rPr/>
            </w:pPr>
            <w:r>
              <w:rPr/>
              <w:t> </w:t>
            </w:r>
          </w:p>
        </w:tc>
        <w:tc>
          <w:tcPr>
            <w:tcW w:w="14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8" w:type="dxa"/>
            <w:tcBorders/>
            <w:vAlign w:val="center"/>
          </w:tcPr>
          <w:p>
            <w:pPr>
              <w:pStyle w:val="TableContents"/>
              <w:bidi w:val="0"/>
              <w:spacing w:before="0" w:after="0"/>
              <w:ind w:left="0" w:right="0" w:hanging="0"/>
              <w:jc w:val="left"/>
              <w:rPr/>
            </w:pPr>
            <w:r>
              <w:rPr/>
              <w:t> </w:t>
            </w:r>
          </w:p>
        </w:tc>
        <w:tc>
          <w:tcPr>
            <w:tcW w:w="1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vAlign w:val="center"/>
          </w:tcPr>
          <w:p>
            <w:pPr>
              <w:pStyle w:val="TableContents"/>
              <w:bidi w:val="0"/>
              <w:spacing w:before="0" w:after="0"/>
              <w:ind w:left="0" w:right="0" w:hanging="0"/>
              <w:jc w:val="right"/>
              <w:rPr/>
            </w:pPr>
            <w:r>
              <w:rPr/>
              <w:t> </w:t>
            </w:r>
          </w:p>
        </w:tc>
        <w:tc>
          <w:tcPr>
            <w:tcW w:w="467" w:type="dxa"/>
            <w:tcBorders/>
            <w:vAlign w:val="center"/>
          </w:tcPr>
          <w:p>
            <w:pPr>
              <w:pStyle w:val="TableContents"/>
              <w:bidi w:val="0"/>
              <w:spacing w:before="0" w:after="0"/>
              <w:ind w:left="0" w:right="0" w:hanging="0"/>
              <w:jc w:val="left"/>
              <w:rPr/>
            </w:pPr>
            <w:r>
              <w:rPr/>
              <w:t> </w:t>
            </w:r>
          </w:p>
        </w:tc>
        <w:tc>
          <w:tcPr>
            <w:tcW w:w="14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8" w:type="dxa"/>
            <w:tcBorders/>
            <w:vAlign w:val="center"/>
          </w:tcPr>
          <w:p>
            <w:pPr>
              <w:pStyle w:val="TableContents"/>
              <w:bidi w:val="0"/>
              <w:spacing w:before="0" w:after="0"/>
              <w:ind w:left="0" w:right="0" w:hanging="0"/>
              <w:jc w:val="left"/>
              <w:rPr/>
            </w:pPr>
            <w:r>
              <w:rPr/>
              <w:t> </w:t>
            </w:r>
          </w:p>
        </w:tc>
        <w:tc>
          <w:tcPr>
            <w:tcW w:w="1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(33,920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following tables present the fair value of Level 3 Investments at fair value and the significant unobservable inputs used in the valuations as of June 30, 2023 and December 31, 2022. The tables are not intended to be all-inclusive, but instead capture the significant unobservable inputs relevant to the Company’s determination of fair values.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30"/>
        <w:gridCol w:w="146"/>
        <w:gridCol w:w="196"/>
        <w:gridCol w:w="826"/>
        <w:gridCol w:w="146"/>
        <w:gridCol w:w="146"/>
        <w:gridCol w:w="1435"/>
        <w:gridCol w:w="146"/>
        <w:gridCol w:w="1513"/>
        <w:gridCol w:w="146"/>
        <w:gridCol w:w="1795"/>
        <w:gridCol w:w="146"/>
        <w:gridCol w:w="1534"/>
      </w:tblGrid>
      <w:tr>
        <w:trPr/>
        <w:tc>
          <w:tcPr>
            <w:tcW w:w="2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29" w:type="dxa"/>
            <w:gridSpan w:val="11"/>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r>
      <w:tr>
        <w:trPr/>
        <w:tc>
          <w:tcPr>
            <w:tcW w:w="20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w:t>
            </w:r>
          </w:p>
        </w:tc>
        <w:tc>
          <w:tcPr>
            <w:tcW w:w="146" w:type="dxa"/>
            <w:tcBorders/>
            <w:vAlign w:val="center"/>
          </w:tcPr>
          <w:p>
            <w:pPr>
              <w:pStyle w:val="TableContents"/>
              <w:bidi w:val="0"/>
              <w:spacing w:before="0" w:after="0"/>
              <w:ind w:left="0" w:right="0" w:hanging="0"/>
              <w:jc w:val="left"/>
              <w:rPr/>
            </w:pPr>
            <w:r>
              <w:rPr/>
              <w:t> </w:t>
            </w:r>
          </w:p>
        </w:tc>
        <w:tc>
          <w:tcPr>
            <w:tcW w:w="1513"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Unobservable</w:t>
            </w:r>
          </w:p>
        </w:tc>
        <w:tc>
          <w:tcPr>
            <w:tcW w:w="146" w:type="dxa"/>
            <w:tcBorders/>
            <w:vAlign w:val="center"/>
          </w:tcPr>
          <w:p>
            <w:pPr>
              <w:pStyle w:val="TableContents"/>
              <w:bidi w:val="0"/>
              <w:spacing w:before="0" w:after="0"/>
              <w:ind w:left="0" w:right="0" w:hanging="0"/>
              <w:jc w:val="left"/>
              <w:rPr/>
            </w:pPr>
            <w:r>
              <w:rPr/>
              <w:t> </w:t>
            </w:r>
          </w:p>
        </w:tc>
        <w:tc>
          <w:tcPr>
            <w:tcW w:w="1795"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Range (Weighted</w:t>
            </w:r>
          </w:p>
        </w:tc>
        <w:tc>
          <w:tcPr>
            <w:tcW w:w="146" w:type="dxa"/>
            <w:tcBorders/>
            <w:vAlign w:val="center"/>
          </w:tcPr>
          <w:p>
            <w:pPr>
              <w:pStyle w:val="TableContents"/>
              <w:bidi w:val="0"/>
              <w:spacing w:before="0" w:after="0"/>
              <w:ind w:left="0" w:right="0" w:hanging="0"/>
              <w:jc w:val="left"/>
              <w:rPr/>
            </w:pPr>
            <w:r>
              <w:rPr/>
              <w:t> </w:t>
            </w:r>
          </w:p>
        </w:tc>
        <w:tc>
          <w:tcPr>
            <w:tcW w:w="153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Impact to Valuation</w:t>
              <w:br/>
              <w:t>from an</w:t>
            </w:r>
          </w:p>
        </w:tc>
      </w:tr>
      <w:tr>
        <w:trPr/>
        <w:tc>
          <w:tcPr>
            <w:tcW w:w="20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Technique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to Input</w:t>
            </w:r>
          </w:p>
        </w:tc>
      </w:tr>
      <w:tr>
        <w:trPr/>
        <w:tc>
          <w:tcPr>
            <w:tcW w:w="203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First-lien debt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2,777,390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Income approach</w:t>
            </w:r>
            <w:r>
              <w:rPr>
                <w:rFonts w:ascii="Times New Roman" w:hAnsi="Times New Roman"/>
                <w:sz w:val="18"/>
              </w:rPr>
              <w:t> </w:t>
            </w: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5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vAlign w:val="center"/>
          </w:tcPr>
          <w:p>
            <w:pPr>
              <w:pStyle w:val="TableContents"/>
              <w:bidi w:val="0"/>
              <w:spacing w:before="0" w:after="0"/>
              <w:ind w:left="0" w:right="0" w:hanging="0"/>
              <w:jc w:val="left"/>
              <w:rPr/>
            </w:pPr>
            <w:r>
              <w:rPr/>
              <w:t> </w:t>
            </w:r>
          </w:p>
        </w:tc>
        <w:tc>
          <w:tcPr>
            <w:tcW w:w="1795"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9.7% — 20.4% (14.8%)</w:t>
            </w:r>
          </w:p>
        </w:tc>
        <w:tc>
          <w:tcPr>
            <w:tcW w:w="146" w:type="dxa"/>
            <w:tcBorders/>
            <w:vAlign w:val="center"/>
          </w:tcPr>
          <w:p>
            <w:pPr>
              <w:pStyle w:val="TableContents"/>
              <w:bidi w:val="0"/>
              <w:spacing w:before="0" w:after="0"/>
              <w:ind w:left="0" w:right="0" w:hanging="0"/>
              <w:jc w:val="left"/>
              <w:rPr/>
            </w:pPr>
            <w:r>
              <w:rPr/>
              <w:t> </w:t>
            </w:r>
          </w:p>
        </w:tc>
        <w:tc>
          <w:tcPr>
            <w:tcW w:w="1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Second-lien debt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Income approach</w:t>
            </w:r>
            <w:r>
              <w:rPr>
                <w:rFonts w:ascii="Times New Roman" w:hAnsi="Times New Roman"/>
                <w:sz w:val="18"/>
              </w:rPr>
              <w:t> </w:t>
            </w: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left"/>
              <w:rPr/>
            </w:pPr>
            <w:r>
              <w:rPr/>
              <w:t> </w:t>
            </w:r>
          </w:p>
        </w:tc>
        <w:tc>
          <w:tcPr>
            <w:tcW w:w="15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vAlign w:val="center"/>
          </w:tcPr>
          <w:p>
            <w:pPr>
              <w:pStyle w:val="TableContents"/>
              <w:bidi w:val="0"/>
              <w:spacing w:before="0" w:after="0"/>
              <w:ind w:left="0" w:right="0" w:hanging="0"/>
              <w:jc w:val="left"/>
              <w:rPr/>
            </w:pPr>
            <w:r>
              <w:rPr/>
              <w:t> </w:t>
            </w:r>
          </w:p>
        </w:tc>
        <w:tc>
          <w:tcPr>
            <w:tcW w:w="1795"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15.5% — 15.5% (15.5%)</w:t>
            </w:r>
          </w:p>
        </w:tc>
        <w:tc>
          <w:tcPr>
            <w:tcW w:w="146" w:type="dxa"/>
            <w:tcBorders/>
            <w:vAlign w:val="center"/>
          </w:tcPr>
          <w:p>
            <w:pPr>
              <w:pStyle w:val="TableContents"/>
              <w:bidi w:val="0"/>
              <w:spacing w:before="0" w:after="0"/>
              <w:ind w:left="0" w:right="0" w:hanging="0"/>
              <w:jc w:val="left"/>
              <w:rPr/>
            </w:pPr>
            <w:r>
              <w:rPr/>
              <w:t> </w:t>
            </w:r>
          </w:p>
        </w:tc>
        <w:tc>
          <w:tcPr>
            <w:tcW w:w="1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Mezzanine debt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approach</w:t>
            </w:r>
          </w:p>
        </w:tc>
        <w:tc>
          <w:tcPr>
            <w:tcW w:w="146" w:type="dxa"/>
            <w:tcBorders/>
            <w:vAlign w:val="center"/>
          </w:tcPr>
          <w:p>
            <w:pPr>
              <w:pStyle w:val="TableContents"/>
              <w:bidi w:val="0"/>
              <w:spacing w:before="0" w:after="0"/>
              <w:ind w:left="0" w:right="0" w:hanging="0"/>
              <w:jc w:val="left"/>
              <w:rPr/>
            </w:pPr>
            <w:r>
              <w:rPr/>
              <w:t> </w:t>
            </w:r>
          </w:p>
        </w:tc>
        <w:tc>
          <w:tcPr>
            <w:tcW w:w="15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vAlign w:val="center"/>
          </w:tcPr>
          <w:p>
            <w:pPr>
              <w:pStyle w:val="TableContents"/>
              <w:bidi w:val="0"/>
              <w:spacing w:before="0" w:after="0"/>
              <w:ind w:left="0" w:right="0" w:hanging="0"/>
              <w:jc w:val="left"/>
              <w:rPr/>
            </w:pPr>
            <w:r>
              <w:rPr/>
              <w:t> </w:t>
            </w:r>
          </w:p>
        </w:tc>
        <w:tc>
          <w:tcPr>
            <w:tcW w:w="1795"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14.3% — 22.5% (15.5%)</w:t>
            </w:r>
          </w:p>
        </w:tc>
        <w:tc>
          <w:tcPr>
            <w:tcW w:w="146" w:type="dxa"/>
            <w:tcBorders/>
            <w:vAlign w:val="center"/>
          </w:tcPr>
          <w:p>
            <w:pPr>
              <w:pStyle w:val="TableContents"/>
              <w:bidi w:val="0"/>
              <w:spacing w:before="0" w:after="0"/>
              <w:ind w:left="0" w:right="0" w:hanging="0"/>
              <w:jc w:val="left"/>
              <w:rPr/>
            </w:pPr>
            <w:r>
              <w:rPr/>
              <w:t> </w:t>
            </w:r>
          </w:p>
        </w:tc>
        <w:tc>
          <w:tcPr>
            <w:tcW w:w="1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 and other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136,186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Market</w:t>
            </w:r>
            <w:r>
              <w:rPr>
                <w:rFonts w:ascii="Times New Roman" w:hAnsi="Times New Roman"/>
                <w:sz w:val="18"/>
              </w:rPr>
              <w:t xml:space="preserve"> </w:t>
            </w:r>
            <w:r>
              <w:rPr>
                <w:rFonts w:ascii="Times New Roman;serif" w:hAnsi="Times New Roman;serif"/>
                <w:b w:val="false"/>
                <w:sz w:val="18"/>
              </w:rPr>
              <w:t xml:space="preserve">Multiple </w:t>
            </w:r>
            <w:r>
              <w:rPr>
                <w:rFonts w:ascii="Times New Roman;serif" w:hAnsi="Times New Roman;serif"/>
                <w:b w:val="false"/>
                <w:sz w:val="12"/>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Comparable multiple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2.0x — 25.0x (7.1x)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Increase</w:t>
            </w:r>
          </w:p>
        </w:tc>
      </w:tr>
      <w:tr>
        <w:trPr/>
        <w:tc>
          <w:tcPr>
            <w:tcW w:w="2030" w:type="dxa"/>
            <w:tcBorders/>
            <w:vAlign w:val="center"/>
          </w:tcPr>
          <w:p>
            <w:pPr>
              <w:pStyle w:val="TableContents"/>
              <w:bidi w:val="0"/>
              <w:spacing w:before="0" w:after="0"/>
              <w:ind w:left="200" w:right="0" w:hanging="0"/>
              <w:jc w:val="left"/>
              <w:rPr>
                <w:rFonts w:ascii="Times New Roman;serif" w:hAnsi="Times New Roman;serif"/>
                <w:b/>
                <w:sz w:val="18"/>
              </w:rPr>
            </w:pPr>
            <w:r>
              <w:rPr>
                <w:rFonts w:ascii="Times New Roman;serif" w:hAnsi="Times New Roman;serif"/>
                <w:b/>
                <w:sz w:val="18"/>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2,993,521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34"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0"/>
        <w:jc w:val="left"/>
        <w:rPr>
          <w:rFonts w:ascii="Times New Roman;serif" w:hAnsi="Times New Roman;serif"/>
          <w:sz w:val="20"/>
        </w:rPr>
      </w:pPr>
      <w:r>
        <w:rPr>
          <w:rFonts w:ascii="Times New Roman;serif" w:hAnsi="Times New Roman;serif"/>
          <w:b w:val="false"/>
          <w:sz w:val="20"/>
        </w:rPr>
        <w:t>Includes $77.7</w:t>
      </w:r>
      <w:r>
        <w:rPr>
          <w:rFonts w:ascii="Times New Roman;serif" w:hAnsi="Times New Roman;serif"/>
          <w:sz w:val="20"/>
        </w:rPr>
        <w:t xml:space="preserve"> </w:t>
      </w:r>
      <w:r>
        <w:rPr>
          <w:rFonts w:ascii="Times New Roman;serif" w:hAnsi="Times New Roman;serif"/>
          <w:b w:val="false"/>
          <w:sz w:val="20"/>
        </w:rPr>
        <w:t xml:space="preserve">million of debt investments which were valued using an asset valuation waterfall. </w:t>
      </w:r>
    </w:p>
    <w:p>
      <w:pPr>
        <w:pStyle w:val="TextBody"/>
        <w:bidi w:val="0"/>
        <w:spacing w:before="40" w:after="0"/>
        <w:jc w:val="left"/>
        <w:rPr>
          <w:rFonts w:ascii="Times New Roman" w:hAnsi="Times New Roman"/>
          <w:b w:val="false"/>
          <w:sz w:val="20"/>
        </w:rPr>
      </w:pPr>
      <w:r>
        <w:rPr>
          <w:rFonts w:ascii="Times New Roman" w:hAnsi="Times New Roman"/>
          <w:b w:val="false"/>
          <w:sz w:val="20"/>
        </w:rPr>
        <w:t>(2)</w:t>
      </w:r>
    </w:p>
    <w:p>
      <w:pPr>
        <w:pStyle w:val="TextBody"/>
        <w:bidi w:val="0"/>
        <w:spacing w:before="40" w:after="0"/>
        <w:jc w:val="left"/>
        <w:rPr>
          <w:rFonts w:ascii="Times New Roman;serif" w:hAnsi="Times New Roman;serif"/>
          <w:sz w:val="20"/>
        </w:rPr>
      </w:pPr>
      <w:r>
        <w:rPr>
          <w:rFonts w:ascii="Times New Roman;serif" w:hAnsi="Times New Roman;serif"/>
          <w:b w:val="false"/>
          <w:sz w:val="20"/>
        </w:rPr>
        <w:t>Includes $34.6</w:t>
      </w:r>
      <w:r>
        <w:rPr>
          <w:rFonts w:ascii="Times New Roman;serif" w:hAnsi="Times New Roman;serif"/>
          <w:sz w:val="20"/>
        </w:rPr>
        <w:t xml:space="preserve"> </w:t>
      </w:r>
      <w:r>
        <w:rPr>
          <w:rFonts w:ascii="Times New Roman;serif" w:hAnsi="Times New Roman;serif"/>
          <w:b w:val="false"/>
          <w:sz w:val="20"/>
        </w:rPr>
        <w:t>million of debt investments which were valued using an asset valuation waterfall.</w:t>
      </w:r>
    </w:p>
    <w:p>
      <w:pPr>
        <w:pStyle w:val="TextBody"/>
        <w:bidi w:val="0"/>
        <w:spacing w:before="40" w:after="0"/>
        <w:jc w:val="left"/>
        <w:rPr>
          <w:rFonts w:ascii="Times New Roman" w:hAnsi="Times New Roman"/>
          <w:b w:val="false"/>
          <w:sz w:val="20"/>
        </w:rPr>
      </w:pPr>
      <w:r>
        <w:rPr>
          <w:rFonts w:ascii="Times New Roman" w:hAnsi="Times New Roman"/>
          <w:b w:val="false"/>
          <w:sz w:val="20"/>
        </w:rPr>
        <w:t>(3)</w:t>
      </w:r>
    </w:p>
    <w:p>
      <w:pPr>
        <w:pStyle w:val="TextBody"/>
        <w:bidi w:val="0"/>
        <w:spacing w:before="40" w:after="283"/>
        <w:jc w:val="left"/>
        <w:rPr>
          <w:rFonts w:ascii="Times New Roman;serif" w:hAnsi="Times New Roman;serif"/>
          <w:sz w:val="20"/>
        </w:rPr>
      </w:pPr>
      <w:r>
        <w:rPr>
          <w:rFonts w:ascii="Times New Roman;serif" w:hAnsi="Times New Roman;serif"/>
          <w:b w:val="false"/>
          <w:sz w:val="20"/>
        </w:rPr>
        <w:t>Includes $19.7</w:t>
      </w:r>
      <w:r>
        <w:rPr>
          <w:rFonts w:ascii="Times New Roman;serif" w:hAnsi="Times New Roman;serif"/>
          <w:sz w:val="20"/>
        </w:rPr>
        <w:t xml:space="preserve"> </w:t>
      </w:r>
      <w:r>
        <w:rPr>
          <w:rFonts w:ascii="Times New Roman;serif" w:hAnsi="Times New Roman;serif"/>
          <w:b w:val="false"/>
          <w:sz w:val="20"/>
        </w:rPr>
        <w:t>million of equity investments which were valued using an asset valuation waterfall, $2.0</w:t>
      </w:r>
      <w:r>
        <w:rPr>
          <w:rFonts w:ascii="Times New Roman;serif" w:hAnsi="Times New Roman;serif"/>
          <w:sz w:val="20"/>
        </w:rPr>
        <w:t xml:space="preserve"> </w:t>
      </w:r>
      <w:r>
        <w:rPr>
          <w:rFonts w:ascii="Times New Roman;serif" w:hAnsi="Times New Roman;serif"/>
          <w:b w:val="false"/>
          <w:sz w:val="20"/>
        </w:rPr>
        <w:t>million of equity investments using a Black-Scholes model, and $13.9</w:t>
      </w:r>
      <w:r>
        <w:rPr>
          <w:rFonts w:ascii="Times New Roman;serif" w:hAnsi="Times New Roman;serif"/>
          <w:sz w:val="20"/>
        </w:rPr>
        <w:t xml:space="preserve"> </w:t>
      </w:r>
      <w:r>
        <w:rPr>
          <w:rFonts w:ascii="Times New Roman;serif" w:hAnsi="Times New Roman;serif"/>
          <w:b w:val="false"/>
          <w:sz w:val="20"/>
        </w:rPr>
        <w:t>million using discounted cash flow analysis.</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26" w:type="dxa"/>
            <w:gridSpan w:val="11"/>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r>
      <w:tr>
        <w:trPr/>
        <w:tc>
          <w:tcPr>
            <w:tcW w:w="20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w:t>
            </w:r>
          </w:p>
        </w:tc>
        <w:tc>
          <w:tcPr>
            <w:tcW w:w="146" w:type="dxa"/>
            <w:tcBorders/>
            <w:vAlign w:val="center"/>
          </w:tcPr>
          <w:p>
            <w:pPr>
              <w:pStyle w:val="TableContents"/>
              <w:bidi w:val="0"/>
              <w:spacing w:before="0" w:after="0"/>
              <w:ind w:left="0" w:right="0" w:hanging="0"/>
              <w:jc w:val="left"/>
              <w:rPr/>
            </w:pPr>
            <w:r>
              <w:rPr/>
              <w:t> </w:t>
            </w:r>
          </w:p>
        </w:tc>
        <w:tc>
          <w:tcPr>
            <w:tcW w:w="151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Unobservable</w:t>
            </w:r>
          </w:p>
        </w:tc>
        <w:tc>
          <w:tcPr>
            <w:tcW w:w="146"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Range (Weighted</w:t>
            </w:r>
          </w:p>
        </w:tc>
        <w:tc>
          <w:tcPr>
            <w:tcW w:w="146" w:type="dxa"/>
            <w:tcBorders/>
            <w:vAlign w:val="center"/>
          </w:tcPr>
          <w:p>
            <w:pPr>
              <w:pStyle w:val="TableContents"/>
              <w:bidi w:val="0"/>
              <w:spacing w:before="0" w:after="0"/>
              <w:ind w:left="0" w:right="0" w:hanging="0"/>
              <w:jc w:val="left"/>
              <w:rPr/>
            </w:pPr>
            <w:r>
              <w:rPr/>
              <w:t> </w:t>
            </w:r>
          </w:p>
        </w:tc>
        <w:tc>
          <w:tcPr>
            <w:tcW w:w="153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Impact to Valuation</w:t>
              <w:br/>
              <w:t>from an</w:t>
            </w:r>
          </w:p>
        </w:tc>
      </w:tr>
      <w:tr>
        <w:trPr/>
        <w:tc>
          <w:tcPr>
            <w:tcW w:w="20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Technique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to Input</w:t>
            </w:r>
          </w:p>
        </w:tc>
      </w:tr>
      <w:tr>
        <w:trPr/>
        <w:tc>
          <w:tcPr>
            <w:tcW w:w="20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2,495,959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29"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Income approach </w:t>
            </w: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right"/>
              <w:rPr/>
            </w:pPr>
            <w:r>
              <w:rPr/>
              <w:t> </w:t>
            </w:r>
          </w:p>
        </w:tc>
        <w:tc>
          <w:tcPr>
            <w:tcW w:w="15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vAlign w:val="center"/>
          </w:tcPr>
          <w:p>
            <w:pPr>
              <w:pStyle w:val="TableContents"/>
              <w:bidi w:val="0"/>
              <w:spacing w:before="0" w:after="0"/>
              <w:ind w:left="0" w:right="0" w:hanging="0"/>
              <w:jc w:val="right"/>
              <w:rPr/>
            </w:pPr>
            <w:r>
              <w:rPr/>
              <w:t> </w:t>
            </w:r>
          </w:p>
        </w:tc>
        <w:tc>
          <w:tcPr>
            <w:tcW w:w="1797"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9.3% — 18.5% (15.1%)</w:t>
            </w:r>
          </w:p>
        </w:tc>
        <w:tc>
          <w:tcPr>
            <w:tcW w:w="146" w:type="dxa"/>
            <w:tcBorders/>
            <w:vAlign w:val="center"/>
          </w:tcPr>
          <w:p>
            <w:pPr>
              <w:pStyle w:val="TableContents"/>
              <w:bidi w:val="0"/>
              <w:spacing w:before="0" w:after="0"/>
              <w:ind w:left="0" w:right="0" w:hanging="0"/>
              <w:jc w:val="right"/>
              <w:rPr/>
            </w:pPr>
            <w:r>
              <w:rPr/>
              <w:t> </w:t>
            </w:r>
          </w:p>
        </w:tc>
        <w:tc>
          <w:tcPr>
            <w:tcW w:w="1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Second-lien debt investments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40,762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2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approach</w:t>
            </w:r>
          </w:p>
        </w:tc>
        <w:tc>
          <w:tcPr>
            <w:tcW w:w="146" w:type="dxa"/>
            <w:tcBorders/>
            <w:vAlign w:val="center"/>
          </w:tcPr>
          <w:p>
            <w:pPr>
              <w:pStyle w:val="TableContents"/>
              <w:bidi w:val="0"/>
              <w:spacing w:before="0" w:after="0"/>
              <w:ind w:left="0" w:right="0" w:hanging="0"/>
              <w:jc w:val="right"/>
              <w:rPr/>
            </w:pPr>
            <w:r>
              <w:rPr/>
              <w:t> </w:t>
            </w:r>
          </w:p>
        </w:tc>
        <w:tc>
          <w:tcPr>
            <w:tcW w:w="15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vAlign w:val="center"/>
          </w:tcPr>
          <w:p>
            <w:pPr>
              <w:pStyle w:val="TableContents"/>
              <w:bidi w:val="0"/>
              <w:spacing w:before="0" w:after="0"/>
              <w:ind w:left="0" w:right="0" w:hanging="0"/>
              <w:jc w:val="right"/>
              <w:rPr/>
            </w:pPr>
            <w:r>
              <w:rPr/>
              <w:t> </w:t>
            </w:r>
          </w:p>
        </w:tc>
        <w:tc>
          <w:tcPr>
            <w:tcW w:w="1797"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19.6% — 19.6% (19.6%)</w:t>
            </w:r>
          </w:p>
        </w:tc>
        <w:tc>
          <w:tcPr>
            <w:tcW w:w="146" w:type="dxa"/>
            <w:tcBorders/>
            <w:vAlign w:val="center"/>
          </w:tcPr>
          <w:p>
            <w:pPr>
              <w:pStyle w:val="TableContents"/>
              <w:bidi w:val="0"/>
              <w:spacing w:before="0" w:after="0"/>
              <w:ind w:left="0" w:right="0" w:hanging="0"/>
              <w:jc w:val="right"/>
              <w:rPr/>
            </w:pPr>
            <w:r>
              <w:rPr/>
              <w:t> </w:t>
            </w:r>
          </w:p>
        </w:tc>
        <w:tc>
          <w:tcPr>
            <w:tcW w:w="1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Mezzanine debt investments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29"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Income approach </w:t>
            </w: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right"/>
              <w:rPr/>
            </w:pPr>
            <w:r>
              <w:rPr/>
              <w:t> </w:t>
            </w:r>
          </w:p>
        </w:tc>
        <w:tc>
          <w:tcPr>
            <w:tcW w:w="15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vAlign w:val="center"/>
          </w:tcPr>
          <w:p>
            <w:pPr>
              <w:pStyle w:val="TableContents"/>
              <w:bidi w:val="0"/>
              <w:spacing w:before="0" w:after="0"/>
              <w:ind w:left="0" w:right="0" w:hanging="0"/>
              <w:jc w:val="right"/>
              <w:rPr/>
            </w:pPr>
            <w:r>
              <w:rPr/>
              <w:t> </w:t>
            </w:r>
          </w:p>
        </w:tc>
        <w:tc>
          <w:tcPr>
            <w:tcW w:w="1797"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14.5% — 18.0% (16.0%)</w:t>
            </w:r>
          </w:p>
        </w:tc>
        <w:tc>
          <w:tcPr>
            <w:tcW w:w="146" w:type="dxa"/>
            <w:tcBorders/>
            <w:vAlign w:val="center"/>
          </w:tcPr>
          <w:p>
            <w:pPr>
              <w:pStyle w:val="TableContents"/>
              <w:bidi w:val="0"/>
              <w:spacing w:before="0" w:after="0"/>
              <w:ind w:left="0" w:right="0" w:hanging="0"/>
              <w:jc w:val="right"/>
              <w:rPr/>
            </w:pPr>
            <w:r>
              <w:rPr/>
              <w:t> </w:t>
            </w:r>
          </w:p>
        </w:tc>
        <w:tc>
          <w:tcPr>
            <w:tcW w:w="15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147,059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Market</w:t>
            </w:r>
            <w:r>
              <w:rPr>
                <w:rFonts w:ascii="Times New Roman" w:hAnsi="Times New Roman"/>
                <w:sz w:val="18"/>
              </w:rPr>
              <w:t xml:space="preserve"> </w:t>
            </w:r>
            <w:r>
              <w:rPr>
                <w:rFonts w:ascii="Times New Roman;serif" w:hAnsi="Times New Roman;serif"/>
                <w:b w:val="false"/>
                <w:sz w:val="18"/>
              </w:rPr>
              <w:t xml:space="preserve">Multiple </w:t>
            </w:r>
            <w:r>
              <w:rPr>
                <w:rFonts w:ascii="Times New Roman;serif" w:hAnsi="Times New Roman;serif"/>
                <w:b w:val="false"/>
                <w:sz w:val="12"/>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Comparable multiple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2.0x — 26.6x (7.9x)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3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Increase</w:t>
            </w:r>
          </w:p>
        </w:tc>
      </w:tr>
      <w:tr>
        <w:trPr/>
        <w:tc>
          <w:tcPr>
            <w:tcW w:w="2033" w:type="dxa"/>
            <w:tcBorders/>
            <w:vAlign w:val="center"/>
          </w:tcPr>
          <w:p>
            <w:pPr>
              <w:pStyle w:val="TableContents"/>
              <w:bidi w:val="0"/>
              <w:spacing w:before="0" w:after="0"/>
              <w:ind w:left="200" w:right="0" w:hanging="0"/>
              <w:jc w:val="left"/>
              <w:rPr>
                <w:rFonts w:ascii="Times New Roman;serif" w:hAnsi="Times New Roman;serif"/>
                <w:b/>
                <w:sz w:val="18"/>
              </w:rPr>
            </w:pPr>
            <w:r>
              <w:rPr>
                <w:rFonts w:ascii="Times New Roman;serif" w:hAnsi="Times New Roman;serif"/>
                <w:b/>
                <w:sz w:val="18"/>
              </w:rPr>
              <w:t>Total</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2,693,938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9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53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0"/>
        <w:jc w:val="left"/>
        <w:rPr>
          <w:rFonts w:ascii="Times New Roman;serif" w:hAnsi="Times New Roman;serif"/>
          <w:sz w:val="20"/>
        </w:rPr>
      </w:pPr>
      <w:r>
        <w:rPr>
          <w:rFonts w:ascii="Times New Roman;serif" w:hAnsi="Times New Roman;serif"/>
          <w:b w:val="false"/>
          <w:sz w:val="20"/>
        </w:rPr>
        <w:t>Includes $21.0</w:t>
      </w:r>
      <w:r>
        <w:rPr>
          <w:rFonts w:ascii="Times New Roman;serif" w:hAnsi="Times New Roman;serif"/>
          <w:sz w:val="20"/>
        </w:rPr>
        <w:t xml:space="preserve"> </w:t>
      </w:r>
      <w:r>
        <w:rPr>
          <w:rFonts w:ascii="Times New Roman;serif" w:hAnsi="Times New Roman;serif"/>
          <w:b w:val="false"/>
          <w:sz w:val="20"/>
        </w:rPr>
        <w:t>million of first-lien debt investments which were valued using an asset valuation waterfall.</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sz w:val="20"/>
        </w:rPr>
      </w:pPr>
      <w:r>
        <w:rPr>
          <w:rFonts w:ascii="Times New Roman;serif" w:hAnsi="Times New Roman;serif"/>
          <w:b w:val="false"/>
          <w:sz w:val="20"/>
        </w:rPr>
        <w:t>Includes $0.1</w:t>
      </w:r>
      <w:r>
        <w:rPr>
          <w:rFonts w:ascii="Times New Roman;serif" w:hAnsi="Times New Roman;serif"/>
          <w:sz w:val="20"/>
        </w:rPr>
        <w:t xml:space="preserve"> </w:t>
      </w:r>
      <w:r>
        <w:rPr>
          <w:rFonts w:ascii="Times New Roman;serif" w:hAnsi="Times New Roman;serif"/>
          <w:b w:val="false"/>
          <w:sz w:val="20"/>
        </w:rPr>
        <w:t>million of debt investments which were valued using an asset valuation waterfall.</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rFonts w:ascii="Times New Roman;serif" w:hAnsi="Times New Roman;serif"/>
          <w:sz w:val="20"/>
        </w:rPr>
      </w:pPr>
      <w:r>
        <w:rPr>
          <w:rFonts w:ascii="Times New Roman;serif" w:hAnsi="Times New Roman;serif"/>
          <w:b w:val="false"/>
          <w:sz w:val="20"/>
        </w:rPr>
        <w:t>Includes $38.4</w:t>
      </w:r>
      <w:r>
        <w:rPr>
          <w:rFonts w:ascii="Times New Roman;serif" w:hAnsi="Times New Roman;serif"/>
          <w:sz w:val="20"/>
        </w:rPr>
        <w:t xml:space="preserve"> </w:t>
      </w:r>
      <w:r>
        <w:rPr>
          <w:rFonts w:ascii="Times New Roman;serif" w:hAnsi="Times New Roman;serif"/>
          <w:b w:val="false"/>
          <w:sz w:val="20"/>
        </w:rPr>
        <w:t>million of equity investments which were valued using an asset valuation waterfall, $7.5</w:t>
      </w:r>
      <w:r>
        <w:rPr>
          <w:rFonts w:ascii="Times New Roman;serif" w:hAnsi="Times New Roman;serif"/>
          <w:sz w:val="20"/>
        </w:rPr>
        <w:t xml:space="preserve"> </w:t>
      </w:r>
      <w:r>
        <w:rPr>
          <w:rFonts w:ascii="Times New Roman;serif" w:hAnsi="Times New Roman;serif"/>
          <w:b w:val="false"/>
          <w:sz w:val="20"/>
        </w:rPr>
        <w:t>million of equity investments using a Black-Scholes model, and $13.1</w:t>
      </w:r>
      <w:r>
        <w:rPr>
          <w:rFonts w:ascii="Times New Roman;serif" w:hAnsi="Times New Roman;serif"/>
          <w:sz w:val="20"/>
        </w:rPr>
        <w:t xml:space="preserve"> </w:t>
      </w:r>
      <w:r>
        <w:rPr>
          <w:rFonts w:ascii="Times New Roman;serif" w:hAnsi="Times New Roman;serif"/>
          <w:b w:val="false"/>
          <w:sz w:val="20"/>
        </w:rPr>
        <w:t xml:space="preserve">million using a discounted cash flow analysis.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Financial Instruments Not Carried at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fair value of the Company’s Revolving Credit Facility, which is categorized as Level 3 within the fair value hierarchy, as of June 30, 2023 and December 31, 2022, approximates its carrying value as the outstanding balance is callable at carrying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presents the fair value of the Company’s 2023 Notes, 2024 Notes and 2026 Notes, as of June 30, 2023 and December 31, 2022.</w:t>
      </w:r>
      <w:r>
        <w:rPr>
          <w:rFonts w:ascii="Times New Roman" w:hAnsi="Times New Roman"/>
          <w:sz w:val="20"/>
        </w:rPr>
        <w:t xml:space="preserve"> </w:t>
      </w:r>
    </w:p>
    <w:p>
      <w:pPr>
        <w:pStyle w:val="TextBody"/>
        <w:bidi w:val="0"/>
        <w:spacing w:before="0" w:after="0"/>
        <w:jc w:val="left"/>
        <w:rPr/>
      </w:pPr>
      <w:r>
        <w:rPr/>
        <w:t> </w:t>
      </w:r>
    </w:p>
    <w:tbl>
      <w:tblPr>
        <w:tblW w:w="6460" w:type="dxa"/>
        <w:jc w:val="left"/>
        <w:tblInd w:w="0" w:type="dxa"/>
        <w:tblLayout w:type="fixed"/>
        <w:tblCellMar>
          <w:top w:w="28" w:type="dxa"/>
          <w:left w:w="28" w:type="dxa"/>
          <w:bottom w:w="28" w:type="dxa"/>
          <w:right w:w="28" w:type="dxa"/>
        </w:tblCellMar>
      </w:tblPr>
      <w:tblGrid>
        <w:gridCol w:w="1051"/>
        <w:gridCol w:w="146"/>
        <w:gridCol w:w="213"/>
        <w:gridCol w:w="793"/>
        <w:gridCol w:w="146"/>
        <w:gridCol w:w="146"/>
        <w:gridCol w:w="211"/>
        <w:gridCol w:w="781"/>
        <w:gridCol w:w="146"/>
        <w:gridCol w:w="146"/>
        <w:gridCol w:w="213"/>
        <w:gridCol w:w="793"/>
        <w:gridCol w:w="146"/>
        <w:gridCol w:w="146"/>
        <w:gridCol w:w="211"/>
        <w:gridCol w:w="781"/>
        <w:gridCol w:w="3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Fair</w:t>
              <w:br/>
              <w:t xml:space="preserve">Value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Fair</w:t>
              <w:br/>
              <w:t xml:space="preserve">Value </w:t>
            </w:r>
            <w:r>
              <w:rPr>
                <w:rFonts w:ascii="Times New Roman;serif" w:hAnsi="Times New Roman;serif"/>
                <w:b/>
                <w:sz w:val="11"/>
              </w:rPr>
              <w:t>(1)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Notes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149,640</w:t>
            </w:r>
          </w:p>
        </w:tc>
        <w:tc>
          <w:tcPr>
            <w:tcW w:w="391"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332,853</w:t>
            </w:r>
          </w:p>
        </w:tc>
        <w:tc>
          <w:tcPr>
            <w:tcW w:w="391"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262,530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261,750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05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597,781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744,243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fair value is based on broker quotes received by the Company and is categorized as Level 2 within the fair value hierarchy.</w:t>
      </w:r>
    </w:p>
    <w:p>
      <w:pPr>
        <w:pStyle w:val="TextBody"/>
        <w:bidi w:val="0"/>
        <w:spacing w:before="360" w:after="0"/>
        <w:jc w:val="left"/>
        <w:rPr>
          <w:rFonts w:ascii="Times New Roman" w:hAnsi="Times New Roman"/>
          <w:sz w:val="20"/>
        </w:rPr>
      </w:pPr>
      <w:r>
        <w:rPr>
          <w:rFonts w:ascii="Times New Roman;serif" w:hAnsi="Times New Roman;serif"/>
          <w:b w:val="false"/>
          <w:sz w:val="20"/>
        </w:rPr>
        <w:t>Other Financial Assets and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carrying amounts of the Company’s assets and liabilities, other than investments at fair value and the 2023 Notes, 2024 Notes and 2026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r>
        <w:rPr>
          <w:rFonts w:ascii="Times New Roman" w:hAnsi="Times New Roman"/>
          <w:sz w:val="20"/>
        </w:rPr>
        <w:t xml:space="preserve"> </w:t>
      </w:r>
    </w:p>
    <w:p>
      <w:pPr>
        <w:pStyle w:val="TextBody"/>
        <w:bidi w:val="0"/>
        <w:spacing w:before="0" w:after="0"/>
        <w:jc w:val="left"/>
        <w:rPr/>
      </w:pPr>
      <w:r>
        <w:rPr/>
        <w:t> </w:t>
      </w:r>
    </w:p>
    <w:p>
      <w:pPr>
        <w:pStyle w:val="TextBody"/>
        <w:bidi w:val="0"/>
        <w:spacing w:before="180" w:after="0"/>
        <w:jc w:val="left"/>
        <w:rPr>
          <w:rFonts w:ascii="Times New Roman" w:hAnsi="Times New Roman"/>
          <w:sz w:val="20"/>
        </w:rPr>
      </w:pPr>
      <w:r>
        <w:rPr>
          <w:rFonts w:ascii="Times New Roman;serif" w:hAnsi="Times New Roman;serif"/>
          <w:b/>
          <w:sz w:val="20"/>
        </w:rPr>
        <w:t>7.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Revolving Credit Facility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 aggregate commitments under the facility were $1.585</w:t>
      </w:r>
      <w:r>
        <w:rPr>
          <w:rFonts w:ascii="Times New Roman" w:hAnsi="Times New Roman"/>
          <w:sz w:val="20"/>
        </w:rPr>
        <w:t xml:space="preserve"> </w:t>
      </w:r>
      <w:r>
        <w:rPr>
          <w:rFonts w:ascii="Times New Roman;serif" w:hAnsi="Times New Roman;serif"/>
          <w:b w:val="false"/>
          <w:sz w:val="20"/>
        </w:rPr>
        <w:t>billion. Pursuant to an amendment to the Revolving Credit Facility dated as of June 12, 2023 (the “Fourteenth Amendment”), the aggregate commitments under the facility were increased to $1.710</w:t>
      </w:r>
      <w:r>
        <w:rPr>
          <w:rFonts w:ascii="Times New Roman" w:hAnsi="Times New Roman"/>
          <w:sz w:val="20"/>
        </w:rPr>
        <w:t xml:space="preserve"> </w:t>
      </w:r>
      <w:r>
        <w:rPr>
          <w:rFonts w:ascii="Times New Roman;serif" w:hAnsi="Times New Roman;serif"/>
          <w:b w:val="false"/>
          <w:sz w:val="20"/>
        </w:rPr>
        <w:t>billion. The facility includes an uncommitted accordion feature that allows the Company, under certain circumstances, to increase the size of the facility to up to $2.0</w:t>
      </w:r>
      <w:r>
        <w:rPr>
          <w:rFonts w:ascii="Times New Roman" w:hAnsi="Times New Roman"/>
          <w:sz w:val="20"/>
        </w:rPr>
        <w:t xml:space="preserve"> </w:t>
      </w:r>
      <w:r>
        <w:rPr>
          <w:rFonts w:ascii="Times New Roman;serif" w:hAnsi="Times New Roman;serif"/>
          <w:b w:val="false"/>
          <w:sz w:val="20"/>
        </w:rPr>
        <w:t>billion.</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Fourteenth Amendment, with respect to $1.465</w:t>
      </w:r>
      <w:r>
        <w:rPr>
          <w:rFonts w:ascii="Times New Roman" w:hAnsi="Times New Roman"/>
          <w:sz w:val="20"/>
        </w:rPr>
        <w:t xml:space="preserve"> </w:t>
      </w:r>
      <w:r>
        <w:rPr>
          <w:rFonts w:ascii="Times New Roman;serif" w:hAnsi="Times New Roman;serif"/>
          <w:b w:val="false"/>
          <w:sz w:val="20"/>
        </w:rPr>
        <w:t>billion in commitments, the revolving period, during which period the Company, subject to certain conditions, may make borrowings under the facility, was extended to June 11, 2027</w:t>
      </w:r>
      <w:r>
        <w:rPr>
          <w:rFonts w:ascii="Times New Roman" w:hAnsi="Times New Roman"/>
          <w:sz w:val="20"/>
        </w:rPr>
        <w:t xml:space="preserve"> </w:t>
      </w:r>
      <w:r>
        <w:rPr>
          <w:rFonts w:ascii="Times New Roman;serif" w:hAnsi="Times New Roman;serif"/>
          <w:b w:val="false"/>
          <w:sz w:val="20"/>
        </w:rPr>
        <w:t>and the stated maturity date was extended to June 12, 2028. For the remaining $245.0</w:t>
      </w:r>
      <w:r>
        <w:rPr>
          <w:rFonts w:ascii="Times New Roman" w:hAnsi="Times New Roman"/>
          <w:sz w:val="20"/>
        </w:rPr>
        <w:t xml:space="preserve"> </w:t>
      </w:r>
      <w:r>
        <w:rPr>
          <w:rFonts w:ascii="Times New Roman;serif" w:hAnsi="Times New Roman;serif"/>
          <w:b w:val="false"/>
          <w:sz w:val="20"/>
        </w:rPr>
        <w:t>million of commitments, (A) with respect to $25.0</w:t>
      </w:r>
      <w:r>
        <w:rPr>
          <w:rFonts w:ascii="Times New Roman" w:hAnsi="Times New Roman"/>
          <w:sz w:val="20"/>
        </w:rPr>
        <w:t xml:space="preserve"> </w:t>
      </w:r>
      <w:r>
        <w:rPr>
          <w:rFonts w:ascii="Times New Roman;serif" w:hAnsi="Times New Roman;serif"/>
          <w:b w:val="false"/>
          <w:sz w:val="20"/>
        </w:rPr>
        <w:t>million of commitments, the revolving period ends January 31, 2024</w:t>
      </w:r>
      <w:r>
        <w:rPr>
          <w:rFonts w:ascii="Times New Roman" w:hAnsi="Times New Roman"/>
          <w:sz w:val="20"/>
        </w:rPr>
        <w:t xml:space="preserve"> </w:t>
      </w:r>
      <w:r>
        <w:rPr>
          <w:rFonts w:ascii="Times New Roman;serif" w:hAnsi="Times New Roman;serif"/>
          <w:b w:val="false"/>
          <w:sz w:val="20"/>
        </w:rPr>
        <w:t>and the stated maturity is January 31, 2025, (B) with respect to $50.0</w:t>
      </w:r>
      <w:r>
        <w:rPr>
          <w:rFonts w:ascii="Times New Roman" w:hAnsi="Times New Roman"/>
          <w:sz w:val="20"/>
        </w:rPr>
        <w:t xml:space="preserve"> </w:t>
      </w:r>
      <w:r>
        <w:rPr>
          <w:rFonts w:ascii="Times New Roman;serif" w:hAnsi="Times New Roman;serif"/>
          <w:b w:val="false"/>
          <w:sz w:val="20"/>
        </w:rPr>
        <w:t>million of commitments, the revolving period ends on February 4, 2025</w:t>
      </w:r>
      <w:r>
        <w:rPr>
          <w:rFonts w:ascii="Times New Roman" w:hAnsi="Times New Roman"/>
          <w:sz w:val="20"/>
        </w:rPr>
        <w:t xml:space="preserve"> </w:t>
      </w:r>
      <w:r>
        <w:rPr>
          <w:rFonts w:ascii="Times New Roman;serif" w:hAnsi="Times New Roman;serif"/>
          <w:b w:val="false"/>
          <w:sz w:val="20"/>
        </w:rPr>
        <w:t>and the stated maturity is February 4, 2026</w:t>
      </w:r>
      <w:r>
        <w:rPr>
          <w:rFonts w:ascii="Times New Roman" w:hAnsi="Times New Roman"/>
          <w:sz w:val="20"/>
        </w:rPr>
        <w:t xml:space="preserve"> </w:t>
      </w:r>
      <w:r>
        <w:rPr>
          <w:rFonts w:ascii="Times New Roman;serif" w:hAnsi="Times New Roman;serif"/>
          <w:b w:val="false"/>
          <w:sz w:val="20"/>
        </w:rPr>
        <w:t>and (C) with respect to $170.0</w:t>
      </w:r>
      <w:r>
        <w:rPr>
          <w:rFonts w:ascii="Times New Roman" w:hAnsi="Times New Roman"/>
          <w:sz w:val="20"/>
        </w:rPr>
        <w:t xml:space="preserve"> </w:t>
      </w:r>
      <w:r>
        <w:rPr>
          <w:rFonts w:ascii="Times New Roman;serif" w:hAnsi="Times New Roman;serif"/>
          <w:b w:val="false"/>
          <w:sz w:val="20"/>
        </w:rPr>
        <w:t>million of commitments, the revolving period ends April 24, 2026</w:t>
      </w:r>
      <w:r>
        <w:rPr>
          <w:rFonts w:ascii="Times New Roman" w:hAnsi="Times New Roman"/>
          <w:sz w:val="20"/>
        </w:rPr>
        <w:t xml:space="preserve"> </w:t>
      </w:r>
      <w:r>
        <w:rPr>
          <w:rFonts w:ascii="Times New Roman;serif" w:hAnsi="Times New Roman;serif"/>
          <w:b w:val="false"/>
          <w:sz w:val="20"/>
        </w:rPr>
        <w:t>and the stated maturity is April 23, 2027.</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may borrow amounts in U.S. dollars or certain other permitted currencies. As of June 30, 2023, the Company had outstanding debt denominated in Australian dollars (AUD) of 67.5</w:t>
      </w:r>
      <w:r>
        <w:rPr>
          <w:rFonts w:ascii="Times New Roman" w:hAnsi="Times New Roman"/>
          <w:sz w:val="20"/>
        </w:rPr>
        <w:t xml:space="preserve"> </w:t>
      </w:r>
      <w:r>
        <w:rPr>
          <w:rFonts w:ascii="Times New Roman;serif" w:hAnsi="Times New Roman;serif"/>
          <w:b w:val="false"/>
          <w:sz w:val="20"/>
        </w:rPr>
        <w:t>million, British pounds (GBP) of 14.0</w:t>
      </w:r>
      <w:r>
        <w:rPr>
          <w:rFonts w:ascii="Times New Roman" w:hAnsi="Times New Roman"/>
          <w:sz w:val="20"/>
        </w:rPr>
        <w:t xml:space="preserve"> </w:t>
      </w:r>
      <w:r>
        <w:rPr>
          <w:rFonts w:ascii="Times New Roman;serif" w:hAnsi="Times New Roman;serif"/>
          <w:b w:val="false"/>
          <w:sz w:val="20"/>
        </w:rPr>
        <w:t>million, Canadian dollars (CAD) of 101.7</w:t>
      </w:r>
      <w:r>
        <w:rPr>
          <w:rFonts w:ascii="Times New Roman" w:hAnsi="Times New Roman"/>
          <w:sz w:val="20"/>
        </w:rPr>
        <w:t xml:space="preserve"> </w:t>
      </w:r>
      <w:r>
        <w:rPr>
          <w:rFonts w:ascii="Times New Roman;serif" w:hAnsi="Times New Roman;serif"/>
          <w:b w:val="false"/>
          <w:sz w:val="20"/>
        </w:rPr>
        <w:t>million, and Euro (EUR) of 28.0</w:t>
      </w:r>
      <w:r>
        <w:rPr>
          <w:rFonts w:ascii="Times New Roman" w:hAnsi="Times New Roman"/>
          <w:sz w:val="20"/>
        </w:rPr>
        <w:t xml:space="preserve"> </w:t>
      </w:r>
      <w:r>
        <w:rPr>
          <w:rFonts w:ascii="Times New Roman;serif" w:hAnsi="Times New Roman;serif"/>
          <w:b w:val="false"/>
          <w:sz w:val="20"/>
        </w:rPr>
        <w:t>million on its Revolving Credit Facility, included in the Outstanding Principal amount in the table above.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Revolving Credit Facility also provides for the issuance of letters of credit up to an aggregate amount of $75</w:t>
      </w:r>
      <w:r>
        <w:rPr>
          <w:rFonts w:ascii="Times New Roman" w:hAnsi="Times New Roman"/>
          <w:sz w:val="20"/>
        </w:rPr>
        <w:t xml:space="preserve"> </w:t>
      </w:r>
      <w:r>
        <w:rPr>
          <w:rFonts w:ascii="Times New Roman;serif" w:hAnsi="Times New Roman;serif"/>
          <w:b w:val="false"/>
          <w:sz w:val="20"/>
        </w:rPr>
        <w:t>million. As of June 30, 2023 and December 31, 2022 the Company had $0.2</w:t>
      </w:r>
      <w:r>
        <w:rPr>
          <w:rFonts w:ascii="Times New Roman" w:hAnsi="Times New Roman"/>
          <w:sz w:val="20"/>
        </w:rPr>
        <w:t xml:space="preserve"> </w:t>
      </w:r>
      <w:r>
        <w:rPr>
          <w:rFonts w:ascii="Times New Roman;serif" w:hAnsi="Times New Roman;serif"/>
          <w:b w:val="false"/>
          <w:sz w:val="20"/>
        </w:rPr>
        <w:t>million and less than $0.1</w:t>
      </w:r>
      <w:r>
        <w:rPr>
          <w:rFonts w:ascii="Times New Roman" w:hAnsi="Times New Roman"/>
          <w:sz w:val="20"/>
        </w:rPr>
        <w:t xml:space="preserve"> </w:t>
      </w:r>
      <w:r>
        <w:rPr>
          <w:rFonts w:ascii="Times New Roman;serif" w:hAnsi="Times New Roman;serif"/>
          <w:b w:val="false"/>
          <w:sz w:val="20"/>
        </w:rPr>
        <w:t>million, respectively, of letters of credit issued through the Revolving Credit Facility. The amount available for borrowing under the Revolving Credit Facility is reduced by any letters of credit issued through the Revolving Credit Facility.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pStyle w:val="TextBody"/>
        <w:bidi w:val="0"/>
        <w:spacing w:before="240" w:after="0"/>
        <w:jc w:val="left"/>
        <w:rPr>
          <w:rFonts w:ascii="Times New Roman" w:hAnsi="Times New Roman"/>
          <w:sz w:val="20"/>
        </w:rPr>
      </w:pPr>
      <w:r>
        <w:rPr>
          <w:rFonts w:ascii="Times New Roman;serif" w:hAnsi="Times New Roman;serif"/>
          <w:b w:val="false"/>
          <w:sz w:val="20"/>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Revolving Credit Facility includes customary events of default, as well as customary covenants, including restrictions on certain distributions and financial covenants. In accordance with the terms of the Thirteenth Amendment, the financial covenants require: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sz w:val="24"/>
        </w:rPr>
      </w:pPr>
      <w:r>
        <w:rPr>
          <w:rFonts w:ascii="Times New Roman;serif" w:hAnsi="Times New Roman;serif"/>
          <w:b w:val="false"/>
          <w:sz w:val="20"/>
        </w:rPr>
        <w:t>an asset coverage ratio of no less than 1.5</w:t>
      </w:r>
      <w:r>
        <w:rPr>
          <w:rFonts w:ascii="Times New Roman;serif" w:hAnsi="Times New Roman;serif"/>
          <w:sz w:val="24"/>
        </w:rPr>
        <w:t xml:space="preserve"> </w:t>
      </w:r>
      <w:r>
        <w:rPr>
          <w:rFonts w:ascii="Times New Roman;serif" w:hAnsi="Times New Roman;serif"/>
          <w:b w:val="false"/>
          <w:sz w:val="20"/>
        </w:rPr>
        <w:t xml:space="preserve">to 1 on the last day of any fiscal quarter; </w:t>
      </w:r>
    </w:p>
    <w:p>
      <w:pPr>
        <w:pStyle w:val="TextBody"/>
        <w:bidi w:val="0"/>
        <w:spacing w:before="120" w:after="0"/>
        <w:jc w:val="left"/>
        <w:rPr/>
      </w:pPr>
      <w:r>
        <w:rPr/>
        <w:t>•</w:t>
      </w:r>
    </w:p>
    <w:p>
      <w:pPr>
        <w:pStyle w:val="TextBody"/>
        <w:bidi w:val="0"/>
        <w:spacing w:before="120" w:after="0"/>
        <w:jc w:val="left"/>
        <w:rPr>
          <w:rFonts w:ascii="Times New Roman;serif" w:hAnsi="Times New Roman;serif"/>
          <w:sz w:val="24"/>
        </w:rPr>
      </w:pPr>
      <w:r>
        <w:rPr>
          <w:rFonts w:ascii="Times New Roman;serif" w:hAnsi="Times New Roman;serif"/>
          <w:b w:val="false"/>
          <w:sz w:val="20"/>
        </w:rPr>
        <w:t>stockholders’ equity of at least $500</w:t>
      </w:r>
      <w:r>
        <w:rPr>
          <w:rFonts w:ascii="Times New Roman;serif" w:hAnsi="Times New Roman;serif"/>
          <w:sz w:val="24"/>
        </w:rPr>
        <w:t xml:space="preserve"> </w:t>
      </w:r>
      <w:r>
        <w:rPr>
          <w:rFonts w:ascii="Times New Roman;serif" w:hAnsi="Times New Roman;serif"/>
          <w:b w:val="false"/>
          <w:sz w:val="20"/>
        </w:rPr>
        <w:t>million plus 25% of the net proceeds of the sale of equity interests after January 31, 2020; and</w:t>
      </w:r>
    </w:p>
    <w:p>
      <w:pPr>
        <w:pStyle w:val="TextBody"/>
        <w:bidi w:val="0"/>
        <w:spacing w:before="120" w:after="0"/>
        <w:jc w:val="left"/>
        <w:rPr/>
      </w:pPr>
      <w:r>
        <w:rPr/>
        <w:t>•</w:t>
      </w:r>
    </w:p>
    <w:p>
      <w:pPr>
        <w:pStyle w:val="TextBody"/>
        <w:bidi w:val="0"/>
        <w:spacing w:before="120" w:after="283"/>
        <w:jc w:val="left"/>
        <w:rPr>
          <w:rFonts w:ascii="Times New Roman;serif" w:hAnsi="Times New Roman;serif"/>
          <w:sz w:val="24"/>
        </w:rPr>
      </w:pPr>
      <w:r>
        <w:rPr>
          <w:rFonts w:ascii="Times New Roman;serif" w:hAnsi="Times New Roman;serif"/>
          <w:b w:val="false"/>
          <w:sz w:val="20"/>
        </w:rPr>
        <w:t>a minimum asset coverage ratio of no less than 2</w:t>
      </w:r>
      <w:r>
        <w:rPr>
          <w:rFonts w:ascii="Times New Roman;serif" w:hAnsi="Times New Roman;serif"/>
          <w:sz w:val="24"/>
        </w:rPr>
        <w:t xml:space="preserve"> </w:t>
      </w:r>
      <w:r>
        <w:rPr>
          <w:rFonts w:ascii="Times New Roman;serif" w:hAnsi="Times New Roman;serif"/>
          <w:b w:val="false"/>
          <w:sz w:val="20"/>
        </w:rPr>
        <w:t>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Revolving Credit Facility also contains certain additional concentration limits in connection with the calculation of the borrowing base, based on the Obligor Asset Coverage Ratio.</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and December 31, 2022, the Company was in compliance with the terms of the Revolving Credit Facility.</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2022 Convertible Notes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2017, the Company issued in a private offering $115.0</w:t>
      </w:r>
      <w:r>
        <w:rPr>
          <w:rFonts w:ascii="Times New Roman" w:hAnsi="Times New Roman"/>
          <w:sz w:val="20"/>
        </w:rPr>
        <w:t xml:space="preserve"> </w:t>
      </w:r>
      <w:r>
        <w:rPr>
          <w:rFonts w:ascii="Times New Roman;serif" w:hAnsi="Times New Roman;serif"/>
          <w:b w:val="false"/>
          <w:sz w:val="20"/>
        </w:rPr>
        <w:t>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the Company issued an additional $57.5</w:t>
      </w:r>
      <w:r>
        <w:rPr>
          <w:rFonts w:ascii="Times New Roman" w:hAnsi="Times New Roman"/>
          <w:sz w:val="20"/>
        </w:rPr>
        <w:t xml:space="preserve"> </w:t>
      </w:r>
      <w:r>
        <w:rPr>
          <w:rFonts w:ascii="Times New Roman;serif" w:hAnsi="Times New Roman;serif"/>
          <w:b w:val="false"/>
          <w:sz w:val="20"/>
        </w:rPr>
        <w:t>million aggregate principal amount of 2022 Convertible Notes. The additional 2022 Convertible Notes were issued with identical terms, and were fungible with and were part of a single series with the previously outstanding $115.0</w:t>
      </w:r>
      <w:r>
        <w:rPr>
          <w:rFonts w:ascii="Times New Roman" w:hAnsi="Times New Roman"/>
          <w:sz w:val="20"/>
        </w:rPr>
        <w:t xml:space="preserve"> </w:t>
      </w:r>
      <w:r>
        <w:rPr>
          <w:rFonts w:ascii="Times New Roman;serif" w:hAnsi="Times New Roman;serif"/>
          <w:b w:val="false"/>
          <w:sz w:val="20"/>
        </w:rPr>
        <w:t>million aggregate principal amount of the Company’s 2022 Convertible Notes issued in February 2017. In connection with the offering of 2022 Convertible Notes in February 2017 and the reopening in June 2018, the Company entered into interest rate swaps to align the interest rates of its liabilities with its investment portfolio, which consists of predominately floating rate loans. The notional amount of the interest rate swaps matched the amount of principal outstanding, and matured on August 1, 2022, matching the maturity date of the 2022 Convertible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1, 2022, the 2022 Convertible Notes matured in accordance with the governing indenture. Holders of $79.2</w:t>
      </w:r>
      <w:r>
        <w:rPr>
          <w:rFonts w:ascii="Times New Roman" w:hAnsi="Times New Roman"/>
          <w:sz w:val="20"/>
        </w:rPr>
        <w:t xml:space="preserve"> </w:t>
      </w:r>
      <w:r>
        <w:rPr>
          <w:rFonts w:ascii="Times New Roman;serif" w:hAnsi="Times New Roman;serif"/>
          <w:b w:val="false"/>
          <w:sz w:val="20"/>
        </w:rPr>
        <w:t>million aggregate principal amount of notes provided valid notice of conversion and were subject to the combination settlement method previously elected by the Company, with a specified cash amount (as defined in the indenture governing the 2022 Convertible Notes) of $20.00</w:t>
      </w:r>
      <w:r>
        <w:rPr>
          <w:rFonts w:ascii="Times New Roman" w:hAnsi="Times New Roman"/>
          <w:sz w:val="20"/>
        </w:rPr>
        <w:t xml:space="preserve"> </w:t>
      </w:r>
      <w:r>
        <w:rPr>
          <w:rFonts w:ascii="Times New Roman;serif" w:hAnsi="Times New Roman;serif"/>
          <w:b w:val="false"/>
          <w:sz w:val="20"/>
        </w:rPr>
        <w:t>per $1,000</w:t>
      </w:r>
      <w:r>
        <w:rPr>
          <w:rFonts w:ascii="Times New Roman" w:hAnsi="Times New Roman"/>
          <w:sz w:val="20"/>
        </w:rPr>
        <w:t xml:space="preserve"> </w:t>
      </w:r>
      <w:r>
        <w:rPr>
          <w:rFonts w:ascii="Times New Roman;serif" w:hAnsi="Times New Roman;serif"/>
          <w:b w:val="false"/>
          <w:sz w:val="20"/>
        </w:rPr>
        <w:t>principal amount of the 2022 Convertible Notes and any additional amounts in stock based on the applicable conversion rate as described in the indenture. In accordance with the settlement method, the Company issued a total of 4,360,125</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shares of common stock, or $77.6</w:t>
      </w:r>
      <w:r>
        <w:rPr>
          <w:rFonts w:ascii="Times New Roman" w:hAnsi="Times New Roman"/>
          <w:sz w:val="20"/>
        </w:rPr>
        <w:t xml:space="preserve"> </w:t>
      </w:r>
      <w:r>
        <w:rPr>
          <w:rFonts w:ascii="Times New Roman;serif" w:hAnsi="Times New Roman;serif"/>
          <w:b w:val="false"/>
          <w:sz w:val="20"/>
        </w:rPr>
        <w:t>million at the adjusted conversion price per share of $17.92. The remaining balance of the notes that were not converted into newly issued shares of common stock were settled with existing cash resources, including through utilization of the Company’s Revolving Credit Facility. The interest rate swaps associated with the principal amount of the notes outstanding were terminated on the date of maturity of the 2022 Convertible Notes.</w:t>
      </w:r>
    </w:p>
    <w:p>
      <w:pPr>
        <w:pStyle w:val="TextBody"/>
        <w:bidi w:val="0"/>
        <w:spacing w:before="0" w:after="0"/>
        <w:jc w:val="left"/>
        <w:rPr/>
      </w:pPr>
      <w:r>
        <w:rPr/>
        <w:t> </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2023 Notes</w:t>
      </w:r>
    </w:p>
    <w:p>
      <w:pPr>
        <w:pStyle w:val="TextBody"/>
        <w:bidi w:val="0"/>
        <w:spacing w:before="120" w:after="0"/>
        <w:jc w:val="left"/>
        <w:rPr>
          <w:rFonts w:ascii="Times New Roman" w:hAnsi="Times New Roman"/>
          <w:sz w:val="20"/>
        </w:rPr>
      </w:pPr>
      <w:r>
        <w:rPr>
          <w:rFonts w:ascii="Times New Roman;serif" w:hAnsi="Times New Roman;serif"/>
          <w:b w:val="false"/>
          <w:sz w:val="20"/>
        </w:rPr>
        <w:t>In January 2018, the Company issued $150.0</w:t>
      </w:r>
      <w:r>
        <w:rPr>
          <w:rFonts w:ascii="Times New Roman" w:hAnsi="Times New Roman"/>
          <w:sz w:val="20"/>
        </w:rPr>
        <w:t xml:space="preserve"> </w:t>
      </w:r>
      <w:r>
        <w:rPr>
          <w:rFonts w:ascii="Times New Roman;serif" w:hAnsi="Times New Roman;serif"/>
          <w:b w:val="false"/>
          <w:sz w:val="20"/>
        </w:rPr>
        <w:t>million aggregate principal amount of unsecured notes that matured on January 22, 2023</w:t>
      </w:r>
      <w:r>
        <w:rPr>
          <w:rFonts w:ascii="Times New Roman" w:hAnsi="Times New Roman"/>
          <w:sz w:val="20"/>
        </w:rPr>
        <w:t xml:space="preserve"> </w:t>
      </w:r>
      <w:r>
        <w:rPr>
          <w:rFonts w:ascii="Times New Roman;serif" w:hAnsi="Times New Roman;serif"/>
          <w:b w:val="false"/>
          <w:sz w:val="20"/>
        </w:rPr>
        <w:t>(the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w:t>
      </w:r>
      <w:r>
        <w:rPr>
          <w:rFonts w:ascii="Times New Roman" w:hAnsi="Times New Roman"/>
          <w:sz w:val="20"/>
        </w:rPr>
        <w:t xml:space="preserve"> </w:t>
      </w:r>
      <w:r>
        <w:rPr>
          <w:rFonts w:ascii="Times New Roman;serif" w:hAnsi="Times New Roman;serif"/>
          <w:b w:val="false"/>
          <w:sz w:val="20"/>
        </w:rPr>
        <w:t>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2024 Notes</w:t>
      </w:r>
    </w:p>
    <w:p>
      <w:pPr>
        <w:pStyle w:val="TextBody"/>
        <w:bidi w:val="0"/>
        <w:spacing w:before="120" w:after="0"/>
        <w:jc w:val="left"/>
        <w:rPr>
          <w:rFonts w:ascii="Times New Roman" w:hAnsi="Times New Roman"/>
          <w:sz w:val="20"/>
        </w:rPr>
      </w:pPr>
      <w:r>
        <w:rPr>
          <w:rFonts w:ascii="Times New Roman;serif" w:hAnsi="Times New Roman;serif"/>
          <w:b w:val="false"/>
          <w:sz w:val="20"/>
        </w:rPr>
        <w:t>In November 2019, the Company issued $300.0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November 1, 2024</w:t>
      </w:r>
      <w:r>
        <w:rPr>
          <w:rFonts w:ascii="Times New Roman" w:hAnsi="Times New Roman"/>
          <w:sz w:val="20"/>
        </w:rPr>
        <w:t xml:space="preserve"> </w:t>
      </w:r>
      <w:r>
        <w:rPr>
          <w:rFonts w:ascii="Times New Roman;serif" w:hAnsi="Times New Roman;serif"/>
          <w:b w:val="false"/>
          <w:sz w:val="20"/>
        </w:rPr>
        <w:t>(the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w:t>
      </w:r>
      <w:r>
        <w:rPr>
          <w:rFonts w:ascii="Times New Roman" w:hAnsi="Times New Roman"/>
          <w:sz w:val="20"/>
        </w:rPr>
        <w:t xml:space="preserve"> </w:t>
      </w:r>
      <w:r>
        <w:rPr>
          <w:rFonts w:ascii="Times New Roman;serif" w:hAnsi="Times New Roman;serif"/>
          <w:b w:val="false"/>
          <w:sz w:val="20"/>
        </w:rPr>
        <w:t>million. The Company used the net proceeds of the 2024 Notes to repay outstanding indebtedness under the Revolving Credit Facility.</w:t>
      </w:r>
    </w:p>
    <w:p>
      <w:pPr>
        <w:pStyle w:val="TextBody"/>
        <w:bidi w:val="0"/>
        <w:spacing w:before="240" w:after="0"/>
        <w:jc w:val="left"/>
        <w:rPr>
          <w:rFonts w:ascii="Times New Roman" w:hAnsi="Times New Roman"/>
          <w:sz w:val="20"/>
        </w:rPr>
      </w:pPr>
      <w:r>
        <w:rPr>
          <w:rFonts w:ascii="Times New Roman;serif" w:hAnsi="Times New Roman;serif"/>
          <w:b w:val="false"/>
          <w:sz w:val="20"/>
        </w:rPr>
        <w:t>On February 5, 2020, the Company issued an additional $50.0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w:t>
      </w:r>
      <w:r>
        <w:rPr>
          <w:rFonts w:ascii="Times New Roman" w:hAnsi="Times New Roman"/>
          <w:sz w:val="20"/>
        </w:rPr>
        <w:t xml:space="preserve"> </w:t>
      </w:r>
      <w:r>
        <w:rPr>
          <w:rFonts w:ascii="Times New Roman;serif" w:hAnsi="Times New Roman;serif"/>
          <w:b w:val="false"/>
          <w:sz w:val="20"/>
        </w:rPr>
        <w:t>million. The Company used the net proceeds of the 2024 Notes to repay outstanding indebtedness under the Revolving Credit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w:t>
      </w:r>
      <w:r>
        <w:rPr>
          <w:rFonts w:ascii="Times New Roman" w:hAnsi="Times New Roman"/>
          <w:sz w:val="20"/>
        </w:rPr>
        <w:t xml:space="preserve"> </w:t>
      </w:r>
      <w:r>
        <w:rPr>
          <w:rFonts w:ascii="Times New Roman;serif" w:hAnsi="Times New Roman;serif"/>
          <w:b w:val="false"/>
          <w:sz w:val="20"/>
        </w:rPr>
        <w:t>million and $50.0</w:t>
      </w:r>
      <w:r>
        <w:rPr>
          <w:rFonts w:ascii="Times New Roman" w:hAnsi="Times New Roman"/>
          <w:sz w:val="20"/>
        </w:rPr>
        <w:t xml:space="preserve"> </w:t>
      </w:r>
      <w:r>
        <w:rPr>
          <w:rFonts w:ascii="Times New Roman;serif" w:hAnsi="Times New Roman;serif"/>
          <w:b w:val="false"/>
          <w:sz w:val="20"/>
        </w:rPr>
        <w:t>million, respectively, each of which matures on November 1, 2024, matching the maturity date of the 2024 Notes. As a result of the swaps, the Company’s effective interest rate on the 2024 Notes is three-month LIBOR</w:t>
      </w:r>
      <w:r>
        <w:rPr>
          <w:rFonts w:ascii="Times New Roman" w:hAnsi="Times New Roman"/>
          <w:sz w:val="20"/>
        </w:rPr>
        <w:t xml:space="preserve"> </w:t>
      </w:r>
      <w:r>
        <w:rPr>
          <w:rFonts w:ascii="Times New Roman;serif" w:hAnsi="Times New Roman;serif"/>
          <w:b w:val="false"/>
          <w:sz w:val="20"/>
        </w:rPr>
        <w:t>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Statements of Operations. As of June 30, 2023, and December 31, 2022, the effective hedge interest rate swaps had a fair value of $(17.6) million and $(19.4) million, respectively, which is offset within interest expense by an equal, but opposite, fair value change for the hedged risk on the 2024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year ended December 31, 2020, the Company repurchased on the open market and extinguished $2.5</w:t>
      </w:r>
      <w:r>
        <w:rPr>
          <w:rFonts w:ascii="Times New Roman" w:hAnsi="Times New Roman"/>
          <w:sz w:val="20"/>
        </w:rPr>
        <w:t xml:space="preserve"> </w:t>
      </w:r>
      <w:r>
        <w:rPr>
          <w:rFonts w:ascii="Times New Roman;serif" w:hAnsi="Times New Roman;serif"/>
          <w:b w:val="false"/>
          <w:sz w:val="20"/>
        </w:rPr>
        <w:t>million in aggregate principal amount of the 2024 Notes for $2.4</w:t>
      </w:r>
      <w:r>
        <w:rPr>
          <w:rFonts w:ascii="Times New Roman" w:hAnsi="Times New Roman"/>
          <w:sz w:val="20"/>
        </w:rPr>
        <w:t xml:space="preserve"> </w:t>
      </w:r>
      <w:r>
        <w:rPr>
          <w:rFonts w:ascii="Times New Roman;serif" w:hAnsi="Times New Roman;serif"/>
          <w:b w:val="false"/>
          <w:sz w:val="20"/>
        </w:rPr>
        <w:t>million.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three-month LIBOR</w:t>
      </w:r>
      <w:r>
        <w:rPr>
          <w:rFonts w:ascii="Times New Roman" w:hAnsi="Times New Roman"/>
          <w:sz w:val="20"/>
        </w:rPr>
        <w:t xml:space="preserve"> </w:t>
      </w:r>
      <w:r>
        <w:rPr>
          <w:rFonts w:ascii="Times New Roman;serif" w:hAnsi="Times New Roman;serif"/>
          <w:b w:val="false"/>
          <w:sz w:val="20"/>
        </w:rPr>
        <w:t>plus 2.28% (on a weighted average basis). Due to the Index Cessation Event, each Legacy LIBOR Instrument referenced herein will transition to 3-month SOFR plus the relevant tenor spread adjustment effective September 25, 2023. As a result of the transition, the Company's effective interest rate will be three-month SOFR plus 2.54% (on a weighted average basis).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2026 Notes</w:t>
      </w:r>
    </w:p>
    <w:p>
      <w:pPr>
        <w:pStyle w:val="TextBody"/>
        <w:bidi w:val="0"/>
        <w:spacing w:before="120" w:after="0"/>
        <w:jc w:val="left"/>
        <w:rPr>
          <w:rFonts w:ascii="Times New Roman" w:hAnsi="Times New Roman"/>
          <w:sz w:val="20"/>
        </w:rPr>
      </w:pPr>
      <w:r>
        <w:rPr>
          <w:rFonts w:ascii="Times New Roman;serif" w:hAnsi="Times New Roman;serif"/>
          <w:b w:val="false"/>
          <w:sz w:val="20"/>
        </w:rPr>
        <w:t>On February 3, 2021, the Company issued $300.0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August 1, 2026</w:t>
      </w:r>
      <w:r>
        <w:rPr>
          <w:rFonts w:ascii="Times New Roman" w:hAnsi="Times New Roman"/>
          <w:sz w:val="20"/>
        </w:rPr>
        <w:t xml:space="preserve"> </w:t>
      </w:r>
      <w:r>
        <w:rPr>
          <w:rFonts w:ascii="Times New Roman;serif" w:hAnsi="Times New Roman;serif"/>
          <w:b w:val="false"/>
          <w:sz w:val="20"/>
        </w:rPr>
        <w:t>(the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w:t>
      </w:r>
      <w:r>
        <w:rPr>
          <w:rFonts w:ascii="Times New Roman" w:hAnsi="Times New Roman"/>
          <w:sz w:val="20"/>
        </w:rPr>
        <w:t xml:space="preserve"> </w:t>
      </w:r>
      <w:r>
        <w:rPr>
          <w:rFonts w:ascii="Times New Roman;serif" w:hAnsi="Times New Roman;serif"/>
          <w:b w:val="false"/>
          <w:sz w:val="20"/>
        </w:rPr>
        <w:t>million. The Company used the net proceeds of the 2026 Notes to repay outstanding indebtedness under the Revolving Credit Facility.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w:t>
      </w:r>
      <w:r>
        <w:rPr>
          <w:rFonts w:ascii="Times New Roman" w:hAnsi="Times New Roman"/>
          <w:sz w:val="20"/>
        </w:rPr>
        <w:t xml:space="preserve"> </w:t>
      </w:r>
      <w:r>
        <w:rPr>
          <w:rFonts w:ascii="Times New Roman;serif" w:hAnsi="Times New Roman;serif"/>
          <w:b w:val="false"/>
          <w:sz w:val="20"/>
        </w:rPr>
        <w:t>million, which matures on August 1, 2026, matching the maturity date of the 2026 Notes. As a result of the swap, the Company’s effective interest rate on the 2026 Notes is three-month LIBOR</w:t>
      </w:r>
      <w:r>
        <w:rPr>
          <w:rFonts w:ascii="Times New Roman" w:hAnsi="Times New Roman"/>
          <w:sz w:val="20"/>
        </w:rPr>
        <w:t xml:space="preserve"> </w:t>
      </w:r>
      <w:r>
        <w:rPr>
          <w:rFonts w:ascii="Times New Roman;serif" w:hAnsi="Times New Roman;serif"/>
          <w:b w:val="false"/>
          <w:sz w:val="20"/>
        </w:rPr>
        <w:t>plus 1.91%. The interest expense related to the 2026 Notes is offset by proceeds received from the interest rate swaps designated as a hedge. The swap adjusted interest expense is included as a component of interest expense on the Company’s Consolidated Statements of Operations. As of June 30, 2023 and December 31, 2022 the effective hedge interest rate swaps had a fair value of $(35.1)</w:t>
      </w:r>
      <w:r>
        <w:rPr>
          <w:rFonts w:ascii="Times New Roman" w:hAnsi="Times New Roman"/>
          <w:sz w:val="20"/>
        </w:rPr>
        <w:t xml:space="preserve"> </w:t>
      </w:r>
      <w:r>
        <w:rPr>
          <w:rFonts w:ascii="Times New Roman;serif" w:hAnsi="Times New Roman;serif"/>
          <w:b w:val="false"/>
          <w:sz w:val="20"/>
        </w:rPr>
        <w:t>million and $(35.7) million, respectively, which is offset within interest expense by an equal, but opposite, fair value change for the hedged risk on the 2026 Notes. Due to the Index Cessation Event, each Legacy LIBOR Instrument referenced herein will transition to 3-month SOFR plus the relevant tenor spread adjustment effective September 25, 2023. As a result of the transition, the Company's effective interest rate will be three-month SOFR</w:t>
      </w:r>
      <w:r>
        <w:rPr>
          <w:rFonts w:ascii="Times New Roman" w:hAnsi="Times New Roman"/>
          <w:sz w:val="20"/>
        </w:rPr>
        <w:t xml:space="preserve"> </w:t>
      </w:r>
      <w:r>
        <w:rPr>
          <w:rFonts w:ascii="Times New Roman;serif" w:hAnsi="Times New Roman;serif"/>
          <w:b w:val="false"/>
          <w:sz w:val="20"/>
        </w:rPr>
        <w:t>plus 2.17%.</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and six months ended June 30, 2023 and 2022, the components of interest expense related to the 2023 Notes, 2024 Notes and 2026 Notes were as follows:</w:t>
      </w:r>
    </w:p>
    <w:tbl>
      <w:tblPr>
        <w:tblW w:w="8854" w:type="dxa"/>
        <w:jc w:val="left"/>
        <w:tblInd w:w="0" w:type="dxa"/>
        <w:tblLayout w:type="fixed"/>
        <w:tblCellMar>
          <w:top w:w="28" w:type="dxa"/>
          <w:left w:w="28" w:type="dxa"/>
          <w:bottom w:w="28" w:type="dxa"/>
          <w:right w:w="28" w:type="dxa"/>
        </w:tblCellMar>
      </w:tblPr>
      <w:tblGrid>
        <w:gridCol w:w="2941"/>
        <w:gridCol w:w="146"/>
        <w:gridCol w:w="312"/>
        <w:gridCol w:w="813"/>
        <w:gridCol w:w="146"/>
        <w:gridCol w:w="146"/>
        <w:gridCol w:w="312"/>
        <w:gridCol w:w="813"/>
        <w:gridCol w:w="146"/>
        <w:gridCol w:w="146"/>
        <w:gridCol w:w="276"/>
        <w:gridCol w:w="849"/>
        <w:gridCol w:w="146"/>
        <w:gridCol w:w="146"/>
        <w:gridCol w:w="276"/>
        <w:gridCol w:w="849"/>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13,858</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Accretion of original issue discount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378</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Amortization of deferred financing costs</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Interest Expense</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15,430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Total interest expense in the table above does not include the effect of the interest rate swaps related to the 2023 Notes, 2024 Notes and 2026 Notes. During the three and six months ended June 30, 2023, the Company received $5.3</w:t>
      </w:r>
      <w:r>
        <w:rPr>
          <w:rFonts w:ascii="Times New Roman" w:hAnsi="Times New Roman"/>
          <w:sz w:val="20"/>
        </w:rPr>
        <w:t xml:space="preserve"> </w:t>
      </w:r>
      <w:r>
        <w:rPr>
          <w:rFonts w:ascii="Times New Roman;serif" w:hAnsi="Times New Roman;serif"/>
          <w:b w:val="false"/>
          <w:sz w:val="20"/>
        </w:rPr>
        <w:t>million and $11.0</w:t>
      </w:r>
      <w:r>
        <w:rPr>
          <w:rFonts w:ascii="Times New Roman" w:hAnsi="Times New Roman"/>
          <w:sz w:val="20"/>
        </w:rPr>
        <w:t xml:space="preserve"> </w:t>
      </w:r>
      <w:r>
        <w:rPr>
          <w:rFonts w:ascii="Times New Roman;serif" w:hAnsi="Times New Roman;serif"/>
          <w:b w:val="false"/>
          <w:sz w:val="20"/>
        </w:rPr>
        <w:t>million, respectively, and paid $11.9</w:t>
      </w:r>
      <w:r>
        <w:rPr>
          <w:rFonts w:ascii="Times New Roman" w:hAnsi="Times New Roman"/>
          <w:sz w:val="20"/>
        </w:rPr>
        <w:t xml:space="preserve"> </w:t>
      </w:r>
      <w:r>
        <w:rPr>
          <w:rFonts w:ascii="Times New Roman;serif" w:hAnsi="Times New Roman;serif"/>
          <w:b w:val="false"/>
          <w:sz w:val="20"/>
        </w:rPr>
        <w:t>million and $23.7</w:t>
      </w:r>
      <w:r>
        <w:rPr>
          <w:rFonts w:ascii="Times New Roman" w:hAnsi="Times New Roman"/>
          <w:sz w:val="20"/>
        </w:rPr>
        <w:t xml:space="preserve"> </w:t>
      </w:r>
      <w:r>
        <w:rPr>
          <w:rFonts w:ascii="Times New Roman;serif" w:hAnsi="Times New Roman;serif"/>
          <w:b w:val="false"/>
          <w:sz w:val="20"/>
        </w:rPr>
        <w:t>million, respectively, related to the settlements of its interest rate swaps, excluding upfront fees, related to the 2023, 2024 and 2026 Notes. During the three and six months ended June 30, 2022, the Company received $7.0</w:t>
      </w:r>
      <w:r>
        <w:rPr>
          <w:rFonts w:ascii="Times New Roman" w:hAnsi="Times New Roman"/>
          <w:sz w:val="20"/>
        </w:rPr>
        <w:t xml:space="preserve"> </w:t>
      </w:r>
      <w:r>
        <w:rPr>
          <w:rFonts w:ascii="Times New Roman;serif" w:hAnsi="Times New Roman;serif"/>
          <w:b w:val="false"/>
          <w:sz w:val="20"/>
        </w:rPr>
        <w:t>million and $13.9</w:t>
      </w:r>
      <w:r>
        <w:rPr>
          <w:rFonts w:ascii="Times New Roman" w:hAnsi="Times New Roman"/>
          <w:sz w:val="20"/>
        </w:rPr>
        <w:t xml:space="preserve"> </w:t>
      </w:r>
      <w:r>
        <w:rPr>
          <w:rFonts w:ascii="Times New Roman;serif" w:hAnsi="Times New Roman;serif"/>
          <w:b w:val="false"/>
          <w:sz w:val="20"/>
        </w:rPr>
        <w:t>million, respectively, and paid $6.4</w:t>
      </w:r>
      <w:r>
        <w:rPr>
          <w:rFonts w:ascii="Times New Roman" w:hAnsi="Times New Roman"/>
          <w:sz w:val="20"/>
        </w:rPr>
        <w:t xml:space="preserve"> </w:t>
      </w:r>
      <w:r>
        <w:rPr>
          <w:rFonts w:ascii="Times New Roman;serif" w:hAnsi="Times New Roman;serif"/>
          <w:b w:val="false"/>
          <w:sz w:val="20"/>
        </w:rPr>
        <w:t>million and $10.9</w:t>
      </w:r>
      <w:r>
        <w:rPr>
          <w:rFonts w:ascii="Times New Roman" w:hAnsi="Times New Roman"/>
          <w:sz w:val="20"/>
        </w:rPr>
        <w:t xml:space="preserve"> </w:t>
      </w:r>
      <w:r>
        <w:rPr>
          <w:rFonts w:ascii="Times New Roman;serif" w:hAnsi="Times New Roman;serif"/>
          <w:b w:val="false"/>
          <w:sz w:val="20"/>
        </w:rPr>
        <w:t>million, respectively, related to the settlements of its interest rate swaps, excluding upfront fees, related to the 2023, 2024 and 2026 Notes. These net amounts are reflected in interest expense in the Company’s Consolidated Statements of Operations. See Note 5 for further information about the Company’s interest rate swaps.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June 30, 2023 and December 31, 2022, the components of the carrying value of the 2023 Notes, 2024 Notes and 2026 Notes and the stated interest rate were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115"/>
        <w:gridCol w:w="146"/>
        <w:gridCol w:w="211"/>
        <w:gridCol w:w="781"/>
        <w:gridCol w:w="271"/>
        <w:gridCol w:w="146"/>
        <w:gridCol w:w="211"/>
        <w:gridCol w:w="781"/>
        <w:gridCol w:w="271"/>
        <w:gridCol w:w="146"/>
        <w:gridCol w:w="211"/>
        <w:gridCol w:w="781"/>
        <w:gridCol w:w="271"/>
        <w:gridCol w:w="146"/>
        <w:gridCol w:w="211"/>
        <w:gridCol w:w="781"/>
        <w:gridCol w:w="271"/>
        <w:gridCol w:w="146"/>
        <w:gridCol w:w="211"/>
        <w:gridCol w:w="781"/>
        <w:gridCol w:w="316"/>
      </w:tblGrid>
      <w:tr>
        <w:trPr/>
        <w:tc>
          <w:tcPr>
            <w:tcW w:w="3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15"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81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2024 Notes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2026 Notes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Notes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2024 Notes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2026 Notes</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amount of debt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316" w:type="dxa"/>
            <w:tcBorders/>
            <w:vAlign w:val="center"/>
          </w:tcPr>
          <w:p>
            <w:pPr>
              <w:pStyle w:val="TableContents"/>
              <w:bidi w:val="0"/>
              <w:spacing w:before="0" w:after="0"/>
              <w:ind w:left="0" w:right="0" w:hanging="0"/>
              <w:jc w:val="left"/>
              <w:rPr/>
            </w:pPr>
            <w:r>
              <w:rPr/>
              <w:t> </w:t>
            </w:r>
          </w:p>
        </w:tc>
      </w:tr>
      <w:tr>
        <w:trPr/>
        <w:tc>
          <w:tcPr>
            <w:tcW w:w="31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Original issue discount, net of accretion</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financing costs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an effective hedge</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(17,599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(35,050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(19,418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(35,665</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Carrying value of debt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328,007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261,368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149,960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325,492</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260,188</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Stated interest rate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stated interest rate in the table above does not include the effect of the interest rate swaps. As of June 30, 2023, the Company’s swap-adjusted interest rate on the 2024 Notes and 2026 Notes was three month LIBOR plus 2.28% (on a weighted average basis), and 1.91%, respectively. On September 25, 2023, the Company’s swap-adjusted interest rate on the 2024 Notes and 2026 Notes will transition to three-month SOFR</w:t>
      </w:r>
      <w:r>
        <w:rPr>
          <w:rFonts w:ascii="Times New Roman" w:hAnsi="Times New Roman"/>
          <w:sz w:val="20"/>
        </w:rPr>
        <w:t xml:space="preserve"> </w:t>
      </w:r>
      <w:r>
        <w:rPr>
          <w:rFonts w:ascii="Times New Roman;serif" w:hAnsi="Times New Roman;serif"/>
          <w:b w:val="false"/>
          <w:sz w:val="20"/>
        </w:rPr>
        <w:t>plus 2.54% (on a weighted average basis), and three-month SOFR</w:t>
      </w:r>
      <w:r>
        <w:rPr>
          <w:rFonts w:ascii="Times New Roman" w:hAnsi="Times New Roman"/>
          <w:sz w:val="20"/>
        </w:rPr>
        <w:t xml:space="preserve"> </w:t>
      </w:r>
      <w:r>
        <w:rPr>
          <w:rFonts w:ascii="Times New Roman;serif" w:hAnsi="Times New Roman;serif"/>
          <w:b w:val="false"/>
          <w:sz w:val="20"/>
        </w:rPr>
        <w:t>plus 2.17%, respectively. As of December 31, 2022, the Company's swap-adjusted interest rate on the 2023 Notes, 2024 Notes and 2026 Notes was three month LIBOR</w:t>
      </w:r>
      <w:r>
        <w:rPr>
          <w:rFonts w:ascii="Times New Roman" w:hAnsi="Times New Roman"/>
          <w:sz w:val="20"/>
        </w:rPr>
        <w:t xml:space="preserve"> </w:t>
      </w:r>
      <w:r>
        <w:rPr>
          <w:rFonts w:ascii="Times New Roman;serif" w:hAnsi="Times New Roman;serif"/>
          <w:b w:val="false"/>
          <w:sz w:val="20"/>
        </w:rPr>
        <w:t>plus 1.99%, 2.28% (on a weighted average basis), and 1.91%,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the Company was in compliance with the terms of the indentures governing the 2024 Notes and 2026 Notes. As of December 31, 2022, the Company was in compliance with the terms of the indentures governing the 2023 Notes, 2024 Notes and 2026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accordance with the 1940 Act, with certain limitations, the Company is allowed to borrow amounts such that its asset coverage, as defined in the 1940 Act, is at least 150% after such borrowing. As of June 30, 2023 and December 31, 2022, the Company’s asset coverage was 186.1%</w:t>
      </w:r>
      <w:r>
        <w:rPr>
          <w:rFonts w:ascii="Times New Roman" w:hAnsi="Times New Roman"/>
          <w:sz w:val="20"/>
        </w:rPr>
        <w:t xml:space="preserve"> </w:t>
      </w:r>
      <w:r>
        <w:rPr>
          <w:rFonts w:ascii="Times New Roman;serif" w:hAnsi="Times New Roman;serif"/>
          <w:b w:val="false"/>
          <w:sz w:val="20"/>
        </w:rPr>
        <w:t>and 188.6%, respectively.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Debt obligations consisted of the following as of June 30, 2023 and December 31, 2022:</w:t>
      </w:r>
      <w:r>
        <w:rPr>
          <w:rFonts w:ascii="Times New Roman" w:hAnsi="Times New Roman"/>
          <w:sz w:val="20"/>
        </w:rPr>
        <w:t xml:space="preserve"> </w:t>
      </w:r>
    </w:p>
    <w:p>
      <w:pPr>
        <w:pStyle w:val="TextBody"/>
        <w:bidi w:val="0"/>
        <w:spacing w:before="0" w:after="0"/>
        <w:jc w:val="left"/>
        <w:rPr/>
      </w:pPr>
      <w:r>
        <w:rPr/>
        <w:t> </w:t>
      </w:r>
    </w:p>
    <w:tbl>
      <w:tblPr>
        <w:tblW w:w="805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Principal</w:t>
              <w:br/>
              <w:t>Amount</w:t>
              <w:br/>
              <w:t>Committed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Amount</w:t>
              <w:br/>
              <w:t xml:space="preserve">Available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Carrying</w:t>
              <w:br/>
              <w:t xml:space="preserve">Value </w:t>
            </w:r>
            <w:r>
              <w:rPr>
                <w:rFonts w:ascii="Times New Roman;serif" w:hAnsi="Times New Roman;serif"/>
                <w:b/>
                <w:sz w:val="11"/>
              </w:rPr>
              <w:t>(2)(3)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1,050,784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1,033,926</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328,007</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261,368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2,357,500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1,698,284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659,216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1,623,301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amount available may be subject to limitations related to the borrowing base under the Revolving Credit Facility and asset coverage requirements.</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sz w:val="20"/>
        </w:rPr>
      </w:pPr>
      <w:r>
        <w:rPr>
          <w:rFonts w:ascii="Times New Roman;serif" w:hAnsi="Times New Roman;serif"/>
          <w:b w:val="false"/>
          <w:sz w:val="20"/>
        </w:rPr>
        <w:t>The carrying values of the Revolving Credit Facility, 2024 Notes and 2026 Notes are presented net of the combination of deferred financing costs and original issue discounts totaling $16.9</w:t>
      </w:r>
      <w:r>
        <w:rPr>
          <w:rFonts w:ascii="Times New Roman;serif" w:hAnsi="Times New Roman;serif"/>
          <w:sz w:val="20"/>
        </w:rPr>
        <w:t xml:space="preserve"> </w:t>
      </w:r>
      <w:r>
        <w:rPr>
          <w:rFonts w:ascii="Times New Roman;serif" w:hAnsi="Times New Roman;serif"/>
          <w:b w:val="false"/>
          <w:sz w:val="20"/>
        </w:rPr>
        <w:t>million, $1.9</w:t>
      </w:r>
      <w:r>
        <w:rPr>
          <w:rFonts w:ascii="Times New Roman;serif" w:hAnsi="Times New Roman;serif"/>
          <w:sz w:val="20"/>
        </w:rPr>
        <w:t xml:space="preserve"> </w:t>
      </w:r>
      <w:r>
        <w:rPr>
          <w:rFonts w:ascii="Times New Roman;serif" w:hAnsi="Times New Roman;serif"/>
          <w:b w:val="false"/>
          <w:sz w:val="20"/>
        </w:rPr>
        <w:t>million and $3.6</w:t>
      </w:r>
      <w:r>
        <w:rPr>
          <w:rFonts w:ascii="Times New Roman;serif" w:hAnsi="Times New Roman;serif"/>
          <w:sz w:val="20"/>
        </w:rPr>
        <w:t xml:space="preserve"> </w:t>
      </w:r>
      <w:r>
        <w:rPr>
          <w:rFonts w:ascii="Times New Roman;serif" w:hAnsi="Times New Roman;serif"/>
          <w:b w:val="false"/>
          <w:sz w:val="20"/>
        </w:rPr>
        <w:t>million, respectively.</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rFonts w:ascii="Times New Roman;serif" w:hAnsi="Times New Roman;serif"/>
          <w:b w:val="false"/>
          <w:sz w:val="20"/>
        </w:rPr>
      </w:pPr>
      <w:r>
        <w:rPr>
          <w:rFonts w:ascii="Times New Roman;serif" w:hAnsi="Times New Roman;serif"/>
          <w:b w:val="false"/>
          <w:sz w:val="20"/>
        </w:rPr>
        <w:t>The carrying values of the 2024 Notes and 2026 Notes are presented inclusive of an incremental $(17.6) million and $(35.1) million, respectively, which represents an adjustment in the carrying values of the 2024 Notes and 2026 Notes, each resulting from a hedge accounting relationship.</w:t>
      </w:r>
    </w:p>
    <w:p>
      <w:pPr>
        <w:pStyle w:val="TextBody"/>
        <w:bidi w:val="0"/>
        <w:spacing w:before="0" w:after="0"/>
        <w:jc w:val="left"/>
        <w:rPr/>
      </w:pPr>
      <w:r>
        <w:rPr/>
        <w:t> </w:t>
      </w:r>
    </w:p>
    <w:p>
      <w:pPr>
        <w:pStyle w:val="TextBody"/>
        <w:bidi w:val="0"/>
        <w:spacing w:before="0" w:after="0"/>
        <w:jc w:val="left"/>
        <w:rPr/>
      </w:pPr>
      <w:r>
        <w:rPr/>
        <w:t> </w:t>
      </w:r>
    </w:p>
    <w:tbl>
      <w:tblPr>
        <w:tblW w:w="805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Principal</w:t>
              <w:br/>
              <w:t>Amount</w:t>
              <w:br/>
              <w:t>Committed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Amount</w:t>
              <w:br/>
              <w:t xml:space="preserve">Available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Carrying</w:t>
              <w:br/>
              <w:t xml:space="preserve">Value </w:t>
            </w:r>
            <w:r>
              <w:rPr>
                <w:rFonts w:ascii="Times New Roman;serif" w:hAnsi="Times New Roman;serif"/>
                <w:b/>
                <w:sz w:val="11"/>
              </w:rPr>
              <w:t>(2)(3)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719,328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865,672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706,156</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Notes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149,960</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325,492</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260,188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2,382,500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1,516,828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865,672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1,441,796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sz w:val="20"/>
        </w:rPr>
      </w:pPr>
      <w:r>
        <w:rPr>
          <w:rFonts w:ascii="Times New Roman;serif" w:hAnsi="Times New Roman;serif"/>
          <w:b w:val="false"/>
          <w:sz w:val="20"/>
        </w:rPr>
        <w:t>The amount available may be subject to limitations related to the borrowing base under the Revolving Credit Facility and asset coverage requirements.</w:t>
      </w:r>
      <w:r>
        <w:rPr>
          <w:rFonts w:ascii="Times New Roman;serif" w:hAnsi="Times New Roman;serif"/>
          <w:sz w:val="20"/>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sz w:val="20"/>
        </w:rPr>
      </w:pPr>
      <w:r>
        <w:rPr>
          <w:rFonts w:ascii="Times New Roman;serif" w:hAnsi="Times New Roman;serif"/>
          <w:b w:val="false"/>
          <w:sz w:val="20"/>
        </w:rPr>
        <w:t>The carrying values of the Revolving Credit Facility, 2023 Notes, 2024 Notes and 2026 Notes are presented net of the combination of deferred financing costs and original issue discounts totaling</w:t>
      </w:r>
      <w:r>
        <w:rPr>
          <w:rFonts w:ascii="Times New Roman;serif" w:hAnsi="Times New Roman;serif"/>
          <w:sz w:val="20"/>
        </w:rPr>
        <w:t xml:space="preserve"> </w:t>
      </w:r>
      <w:r>
        <w:rPr>
          <w:rFonts w:ascii="Times New Roman;serif" w:hAnsi="Times New Roman;serif"/>
          <w:b w:val="false"/>
          <w:sz w:val="20"/>
        </w:rPr>
        <w:t>$13.2</w:t>
      </w:r>
      <w:r>
        <w:rPr>
          <w:rFonts w:ascii="Times New Roman;serif" w:hAnsi="Times New Roman;serif"/>
          <w:sz w:val="20"/>
        </w:rPr>
        <w:t xml:space="preserve"> </w:t>
      </w:r>
      <w:r>
        <w:rPr>
          <w:rFonts w:ascii="Times New Roman;serif" w:hAnsi="Times New Roman;serif"/>
          <w:b w:val="false"/>
          <w:sz w:val="20"/>
        </w:rPr>
        <w:t>million, less than $0.1</w:t>
      </w:r>
      <w:r>
        <w:rPr>
          <w:rFonts w:ascii="Times New Roman;serif" w:hAnsi="Times New Roman;serif"/>
          <w:sz w:val="20"/>
        </w:rPr>
        <w:t xml:space="preserve"> </w:t>
      </w:r>
      <w:r>
        <w:rPr>
          <w:rFonts w:ascii="Times New Roman;serif" w:hAnsi="Times New Roman;serif"/>
          <w:b w:val="false"/>
          <w:sz w:val="20"/>
        </w:rPr>
        <w:t>million, $2.6</w:t>
      </w:r>
      <w:r>
        <w:rPr>
          <w:rFonts w:ascii="Times New Roman;serif" w:hAnsi="Times New Roman;serif"/>
          <w:sz w:val="20"/>
        </w:rPr>
        <w:t xml:space="preserve"> </w:t>
      </w:r>
      <w:r>
        <w:rPr>
          <w:rFonts w:ascii="Times New Roman;serif" w:hAnsi="Times New Roman;serif"/>
          <w:b w:val="false"/>
          <w:sz w:val="20"/>
        </w:rPr>
        <w:t>million and $4.1</w:t>
      </w:r>
      <w:r>
        <w:rPr>
          <w:rFonts w:ascii="Times New Roman;serif" w:hAnsi="Times New Roman;serif"/>
          <w:sz w:val="20"/>
        </w:rPr>
        <w:t xml:space="preserve"> </w:t>
      </w:r>
      <w:r>
        <w:rPr>
          <w:rFonts w:ascii="Times New Roman;serif" w:hAnsi="Times New Roman;serif"/>
          <w:b w:val="false"/>
          <w:sz w:val="20"/>
        </w:rPr>
        <w:t>million, respectively.</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rFonts w:ascii="Times New Roman;serif" w:hAnsi="Times New Roman;serif"/>
          <w:b w:val="false"/>
          <w:sz w:val="20"/>
        </w:rPr>
      </w:pPr>
      <w:r>
        <w:rPr>
          <w:rFonts w:ascii="Times New Roman;serif" w:hAnsi="Times New Roman;serif"/>
          <w:b w:val="false"/>
          <w:sz w:val="20"/>
        </w:rPr>
        <w:t>The carrying values of the 2024 Notes and 2026 Notes are presented inclusive of an incremental $(19.4) million and $(35.7) million, respectively, which represents an adjustment in the carrying values of the 2024 Notes and 2026 Notes, each resulting from a hedge accounting relationship.</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For the three and six months ended June 30, 2023 and 2022, the components of interest expense were as follows:</w:t>
      </w:r>
      <w:r>
        <w:rPr>
          <w:rFonts w:ascii="Times New Roman" w:hAnsi="Times New Roman"/>
          <w:sz w:val="20"/>
        </w:rPr>
        <w:t xml:space="preserve"> </w:t>
      </w:r>
    </w:p>
    <w:tbl>
      <w:tblPr>
        <w:tblW w:w="9699" w:type="dxa"/>
        <w:jc w:val="left"/>
        <w:tblInd w:w="0" w:type="dxa"/>
        <w:tblLayout w:type="fixed"/>
        <w:tblCellMar>
          <w:top w:w="28" w:type="dxa"/>
          <w:left w:w="28" w:type="dxa"/>
          <w:bottom w:w="28" w:type="dxa"/>
          <w:right w:w="28" w:type="dxa"/>
        </w:tblCellMar>
      </w:tblPr>
      <w:tblGrid>
        <w:gridCol w:w="3391"/>
        <w:gridCol w:w="146"/>
        <w:gridCol w:w="254"/>
        <w:gridCol w:w="871"/>
        <w:gridCol w:w="271"/>
        <w:gridCol w:w="146"/>
        <w:gridCol w:w="254"/>
        <w:gridCol w:w="871"/>
        <w:gridCol w:w="271"/>
        <w:gridCol w:w="146"/>
        <w:gridCol w:w="254"/>
        <w:gridCol w:w="871"/>
        <w:gridCol w:w="271"/>
        <w:gridCol w:w="146"/>
        <w:gridCol w:w="254"/>
        <w:gridCol w:w="871"/>
        <w:gridCol w:w="4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6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44,320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19,807</w:t>
            </w:r>
          </w:p>
        </w:tc>
        <w:tc>
          <w:tcPr>
            <w:tcW w:w="4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 fees</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2,376</w:t>
            </w:r>
          </w:p>
        </w:tc>
        <w:tc>
          <w:tcPr>
            <w:tcW w:w="4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2,882</w:t>
            </w:r>
          </w:p>
        </w:tc>
        <w:tc>
          <w:tcPr>
            <w:tcW w:w="4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Accretion of original issue discount</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w:t>
            </w:r>
          </w:p>
        </w:tc>
        <w:tc>
          <w:tcPr>
            <w:tcW w:w="4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Swap settlement</w:t>
            </w:r>
          </w:p>
        </w:tc>
        <w:tc>
          <w:tcPr>
            <w:tcW w:w="146" w:type="dxa"/>
            <w:tcBorders/>
            <w:vAlign w:val="center"/>
          </w:tcPr>
          <w:p>
            <w:pPr>
              <w:pStyle w:val="TableContents"/>
              <w:bidi w:val="0"/>
              <w:spacing w:before="0" w:after="0"/>
              <w:ind w:left="0" w:right="0" w:hanging="0"/>
              <w:jc w:val="righ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39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Interest Expense</w:t>
            </w:r>
          </w:p>
        </w:tc>
        <w:tc>
          <w:tcPr>
            <w:tcW w:w="146" w:type="dxa"/>
            <w:tcBorders/>
            <w:vAlign w:val="center"/>
          </w:tcPr>
          <w:p>
            <w:pPr>
              <w:pStyle w:val="TableContents"/>
              <w:bidi w:val="0"/>
              <w:spacing w:before="0" w:after="0"/>
              <w:ind w:left="0" w:right="0" w:hanging="0"/>
              <w:jc w:val="righ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32,442</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11,963</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60,928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21,565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debt outstanding (in millions)</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1,156.5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1,642.0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1,183.6</w:t>
            </w:r>
          </w:p>
        </w:tc>
        <w:tc>
          <w:tcPr>
            <w:tcW w:w="4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interest rate</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8.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Portfolio Company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remaining term as the associated loan agreement. Undrawn senior secured delayed draw term loan commitments generally have a shorter availability period than the term of the associated loan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and December 31, 2022, the Company had the following commitments to fund investments in current portfolio companies:</w:t>
      </w:r>
      <w:r>
        <w:rPr>
          <w:rFonts w:ascii="Times New Roman" w:hAnsi="Times New Roman"/>
          <w:sz w:val="20"/>
        </w:rPr>
        <w:t xml:space="preserve"> </w:t>
      </w:r>
    </w:p>
    <w:p>
      <w:pPr>
        <w:pStyle w:val="TextBody"/>
        <w:bidi w:val="0"/>
        <w:spacing w:before="0" w:after="0"/>
        <w:jc w:val="left"/>
        <w:rPr/>
      </w:pPr>
      <w:r>
        <w:rPr/>
        <w:t> </w:t>
      </w:r>
    </w:p>
    <w:tbl>
      <w:tblPr>
        <w:tblW w:w="8465" w:type="dxa"/>
        <w:jc w:val="left"/>
        <w:tblInd w:w="0" w:type="dxa"/>
        <w:tblLayout w:type="fixed"/>
        <w:tblCellMar>
          <w:top w:w="28" w:type="dxa"/>
          <w:left w:w="28" w:type="dxa"/>
          <w:bottom w:w="28" w:type="dxa"/>
          <w:right w:w="28" w:type="dxa"/>
        </w:tblCellMar>
      </w:tblPr>
      <w:tblGrid>
        <w:gridCol w:w="4711"/>
        <w:gridCol w:w="246"/>
        <w:gridCol w:w="248"/>
        <w:gridCol w:w="877"/>
        <w:gridCol w:w="246"/>
        <w:gridCol w:w="246"/>
        <w:gridCol w:w="331"/>
        <w:gridCol w:w="1169"/>
        <w:gridCol w:w="391"/>
      </w:tblGrid>
      <w:tr>
        <w:trPr/>
        <w:tc>
          <w:tcPr>
            <w:tcW w:w="47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11"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Alaska Bidco Oy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298</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69"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Alpha Midco, Inc.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690</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American Achievement, Corp. -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2,403</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2,403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Arrow Buyer, Inc.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7,645</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500" w:type="dxa"/>
            <w:gridSpan w:val="2"/>
            <w:tcBorders/>
            <w:vAlign w:val="center"/>
          </w:tcPr>
          <w:p>
            <w:pPr>
              <w:pStyle w:val="TableContents"/>
              <w:bidi w:val="0"/>
              <w:spacing w:before="0" w:after="0"/>
              <w:ind w:left="10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ASG II, LLC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5,189</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6,952</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Avalara, Inc. -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3,864</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3,864</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Axonify, Inc.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4,106</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6,113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Banyan Software Holdings, LLC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20,000</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500" w:type="dxa"/>
            <w:gridSpan w:val="2"/>
            <w:tcBorders/>
            <w:vAlign w:val="center"/>
          </w:tcPr>
          <w:p>
            <w:pPr>
              <w:pStyle w:val="TableContents"/>
              <w:bidi w:val="0"/>
              <w:spacing w:before="0" w:after="0"/>
              <w:ind w:left="10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Bayshore Intermediate #2, L.P. -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1,930</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BCTO Ace Purchaser, Inc.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3,608</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6,556</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Bear OpCo, LLC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1,901</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2,606</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BlueSnap, Inc.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2,500</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BTRS Holdings, Inc.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6,032</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8,638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Carlstar Group, LLC -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8,500</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8,500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Cordance Operations, LLC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5,783</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12,093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Coupa Holdings, LLC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6,809</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500" w:type="dxa"/>
            <w:gridSpan w:val="2"/>
            <w:tcBorders/>
            <w:vAlign w:val="center"/>
          </w:tcPr>
          <w:p>
            <w:pPr>
              <w:pStyle w:val="TableContents"/>
              <w:bidi w:val="0"/>
              <w:spacing w:before="0" w:after="0"/>
              <w:ind w:left="10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CrunchTime Information Systems, Inc.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7,101</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Disco Parent, Inc. -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455</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500" w:type="dxa"/>
            <w:gridSpan w:val="2"/>
            <w:tcBorders/>
            <w:vAlign w:val="center"/>
          </w:tcPr>
          <w:p>
            <w:pPr>
              <w:pStyle w:val="TableContents"/>
              <w:bidi w:val="0"/>
              <w:spacing w:before="0" w:after="0"/>
              <w:ind w:left="10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Dye &amp; Durham Corp.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2,566</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6,280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EDB Parent, LLC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14,766</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18,037</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Edge Bidco B.V.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1,352</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500" w:type="dxa"/>
            <w:gridSpan w:val="2"/>
            <w:tcBorders/>
            <w:vAlign w:val="center"/>
          </w:tcPr>
          <w:p>
            <w:pPr>
              <w:pStyle w:val="TableContents"/>
              <w:bidi w:val="0"/>
              <w:spacing w:before="0" w:after="0"/>
              <w:ind w:left="10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Elysian Finco Ltd.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5,818</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6,792</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Employment Hero Holdings Pty Ltd.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8,653</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8,816</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EMS Linq, Inc. -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3,514</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8,784</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Erling Lux Bidco SARL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5,743</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5,618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ExtraHop Networks, Inc.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13,837</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17,050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ForeScout Technologies, Inc.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3,425</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3,425</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 Treasury SS, LLC - Delayed Draw</w:t>
            </w:r>
          </w:p>
        </w:tc>
        <w:tc>
          <w:tcPr>
            <w:tcW w:w="246" w:type="dxa"/>
            <w:tcBorders/>
            <w:vAlign w:val="center"/>
          </w:tcPr>
          <w:p>
            <w:pPr>
              <w:pStyle w:val="TableContents"/>
              <w:bidi w:val="0"/>
              <w:spacing w:before="0" w:after="0"/>
              <w:ind w:left="0" w:right="0" w:firstLine="100"/>
              <w:jc w:val="right"/>
              <w:rPr/>
            </w:pPr>
            <w:r>
              <w:rPr/>
              <w:t> </w:t>
            </w:r>
          </w:p>
        </w:tc>
        <w:tc>
          <w:tcPr>
            <w:tcW w:w="1125" w:type="dxa"/>
            <w:gridSpan w:val="2"/>
            <w:tcBorders/>
            <w:vAlign w:val="center"/>
          </w:tcPr>
          <w:p>
            <w:pPr>
              <w:pStyle w:val="TableContents"/>
              <w:bidi w:val="0"/>
              <w:spacing w:before="0" w:after="0"/>
              <w:ind w:left="100" w:right="0" w:hanging="0"/>
              <w:jc w:val="right"/>
              <w:rPr/>
            </w:pPr>
            <w:r>
              <w:rPr/>
              <w:t>—</w:t>
            </w:r>
          </w:p>
        </w:tc>
        <w:tc>
          <w:tcPr>
            <w:tcW w:w="2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3,400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Galileo Parent, Inc. -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5,625</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500" w:type="dxa"/>
            <w:gridSpan w:val="2"/>
            <w:tcBorders/>
            <w:vAlign w:val="center"/>
          </w:tcPr>
          <w:p>
            <w:pPr>
              <w:pStyle w:val="TableContents"/>
              <w:bidi w:val="0"/>
              <w:spacing w:before="0" w:after="0"/>
              <w:ind w:left="10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Hirevue, Inc. -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6,887</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500" w:type="dxa"/>
            <w:gridSpan w:val="2"/>
            <w:tcBorders/>
            <w:vAlign w:val="center"/>
          </w:tcPr>
          <w:p>
            <w:pPr>
              <w:pStyle w:val="TableContents"/>
              <w:bidi w:val="0"/>
              <w:spacing w:before="0" w:after="0"/>
              <w:ind w:left="10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Hornetsecurity Holding GmbH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2,087</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2,041</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Ibis Intermediate Co.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6,338</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6,338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IRGSE Holding Corp. -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1,868</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Kyriba Corp.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Laramie Energy, LLC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7,683</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500" w:type="dxa"/>
            <w:gridSpan w:val="2"/>
            <w:tcBorders/>
            <w:vAlign w:val="center"/>
          </w:tcPr>
          <w:p>
            <w:pPr>
              <w:pStyle w:val="TableContents"/>
              <w:bidi w:val="0"/>
              <w:spacing w:before="0" w:after="0"/>
              <w:ind w:left="10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LeanTaaS Holdings, Inc.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41,076</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47,218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Lithium Technologies, LLC -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990</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1,979</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Lucidworks, Inc.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833</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Murchison Oil and Gas, LLC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3,257</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9,772</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Netwrix Corp.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12,690</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13,881</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Neuintel, LLC - Delayed Draw</w:t>
            </w:r>
          </w:p>
        </w:tc>
        <w:tc>
          <w:tcPr>
            <w:tcW w:w="246" w:type="dxa"/>
            <w:tcBorders/>
            <w:vAlign w:val="center"/>
          </w:tcPr>
          <w:p>
            <w:pPr>
              <w:pStyle w:val="TableContents"/>
              <w:bidi w:val="0"/>
              <w:spacing w:before="0" w:after="0"/>
              <w:ind w:left="0" w:right="0" w:firstLine="100"/>
              <w:jc w:val="right"/>
              <w:rPr/>
            </w:pPr>
            <w:r>
              <w:rPr/>
              <w:t> </w:t>
            </w:r>
          </w:p>
        </w:tc>
        <w:tc>
          <w:tcPr>
            <w:tcW w:w="1125" w:type="dxa"/>
            <w:gridSpan w:val="2"/>
            <w:tcBorders/>
            <w:vAlign w:val="center"/>
          </w:tcPr>
          <w:p>
            <w:pPr>
              <w:pStyle w:val="TableContents"/>
              <w:bidi w:val="0"/>
              <w:spacing w:before="0" w:after="0"/>
              <w:ind w:left="100" w:right="0" w:hanging="0"/>
              <w:jc w:val="right"/>
              <w:rPr/>
            </w:pPr>
            <w:r>
              <w:rPr/>
              <w:t>—</w:t>
            </w:r>
          </w:p>
        </w:tc>
        <w:tc>
          <w:tcPr>
            <w:tcW w:w="2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4,200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OutSystems Luxco SARL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2,185</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2,137</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PageUp People, Ltd. - Delayed Draw &amp; Revolver</w:t>
            </w:r>
          </w:p>
        </w:tc>
        <w:tc>
          <w:tcPr>
            <w:tcW w:w="246" w:type="dxa"/>
            <w:tcBorders/>
            <w:vAlign w:val="center"/>
          </w:tcPr>
          <w:p>
            <w:pPr>
              <w:pStyle w:val="TableContents"/>
              <w:bidi w:val="0"/>
              <w:spacing w:before="0" w:after="0"/>
              <w:ind w:left="0" w:right="0" w:firstLine="100"/>
              <w:jc w:val="right"/>
              <w:rPr/>
            </w:pPr>
            <w:r>
              <w:rPr/>
              <w:t> </w:t>
            </w:r>
          </w:p>
        </w:tc>
        <w:tc>
          <w:tcPr>
            <w:tcW w:w="1125" w:type="dxa"/>
            <w:gridSpan w:val="2"/>
            <w:tcBorders/>
            <w:vAlign w:val="center"/>
          </w:tcPr>
          <w:p>
            <w:pPr>
              <w:pStyle w:val="TableContents"/>
              <w:bidi w:val="0"/>
              <w:spacing w:before="0" w:after="0"/>
              <w:ind w:left="100" w:right="0" w:hanging="0"/>
              <w:jc w:val="right"/>
              <w:rPr/>
            </w:pPr>
            <w:r>
              <w:rPr/>
              <w:t>—</w:t>
            </w:r>
          </w:p>
        </w:tc>
        <w:tc>
          <w:tcPr>
            <w:tcW w:w="2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5,764</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Passport Labs, Inc.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2,778</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2,778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Ping Identity Holding Corp. -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2,273</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PrimePay Intermediate, LLC - Delayed Draw</w:t>
            </w:r>
          </w:p>
        </w:tc>
        <w:tc>
          <w:tcPr>
            <w:tcW w:w="246" w:type="dxa"/>
            <w:tcBorders/>
            <w:vAlign w:val="center"/>
          </w:tcPr>
          <w:p>
            <w:pPr>
              <w:pStyle w:val="TableContents"/>
              <w:bidi w:val="0"/>
              <w:spacing w:before="0" w:after="0"/>
              <w:ind w:left="0" w:right="0" w:firstLine="100"/>
              <w:jc w:val="right"/>
              <w:rPr/>
            </w:pPr>
            <w:r>
              <w:rPr/>
              <w:t> </w:t>
            </w:r>
          </w:p>
        </w:tc>
        <w:tc>
          <w:tcPr>
            <w:tcW w:w="1125" w:type="dxa"/>
            <w:gridSpan w:val="2"/>
            <w:tcBorders/>
            <w:vAlign w:val="center"/>
          </w:tcPr>
          <w:p>
            <w:pPr>
              <w:pStyle w:val="TableContents"/>
              <w:bidi w:val="0"/>
              <w:spacing w:before="0" w:after="0"/>
              <w:ind w:left="100" w:right="0" w:hanging="0"/>
              <w:jc w:val="right"/>
              <w:rPr/>
            </w:pPr>
            <w:r>
              <w:rPr/>
              <w:t>—</w:t>
            </w:r>
          </w:p>
        </w:tc>
        <w:tc>
          <w:tcPr>
            <w:tcW w:w="2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2,474</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PrimeRevenue, Inc.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6,250</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6,250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Project44, Inc.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19,861</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19,861</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ReliaQuest Holdings, LLC - Delayed Draw</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13,971</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22,752</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Tango Management Consulting, LLC - Delayed Draw &amp; Revolver</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16,804</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26,576</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TRP Assets, LLC - Delayed Draw &amp; Membership Interest</w:t>
            </w:r>
          </w:p>
        </w:tc>
        <w:tc>
          <w:tcPr>
            <w:tcW w:w="246"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4,264</w:t>
            </w:r>
          </w:p>
        </w:tc>
        <w:tc>
          <w:tcPr>
            <w:tcW w:w="2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7,806</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WideOrbit, Inc. - Revolver</w:t>
            </w:r>
          </w:p>
        </w:tc>
        <w:tc>
          <w:tcPr>
            <w:tcW w:w="246" w:type="dxa"/>
            <w:tcBorders/>
            <w:vAlign w:val="center"/>
          </w:tcPr>
          <w:p>
            <w:pPr>
              <w:pStyle w:val="TableContents"/>
              <w:bidi w:val="0"/>
              <w:spacing w:before="0" w:after="0"/>
              <w:ind w:left="0" w:right="0" w:firstLine="10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10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4,756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11" w:type="dxa"/>
            <w:tcBorders/>
            <w:vAlign w:val="center"/>
          </w:tcPr>
          <w:p>
            <w:pPr>
              <w:pStyle w:val="TableContents"/>
              <w:bidi w:val="0"/>
              <w:spacing w:before="0" w:after="0"/>
              <w:ind w:left="200" w:right="0" w:hanging="0"/>
              <w:jc w:val="left"/>
              <w:rPr>
                <w:rFonts w:ascii="Times New Roman" w:hAnsi="Times New Roman"/>
                <w:sz w:val="16"/>
              </w:rPr>
            </w:pPr>
            <w:r>
              <w:rPr>
                <w:rFonts w:ascii="Times New Roman;serif" w:hAnsi="Times New Roman;serif"/>
                <w:b/>
                <w:sz w:val="16"/>
              </w:rPr>
              <w:t>Total Portfolio Company Commitments</w:t>
            </w:r>
            <w:r>
              <w:rPr>
                <w:rFonts w:ascii="Times New Roman" w:hAnsi="Times New Roman"/>
                <w:sz w:val="16"/>
              </w:rPr>
              <w:t xml:space="preserve"> </w:t>
            </w:r>
            <w:r>
              <w:rPr>
                <w:rFonts w:ascii="Times New Roman;serif" w:hAnsi="Times New Roman;serif"/>
                <w:b/>
                <w:sz w:val="11"/>
              </w:rPr>
              <w:t>(1)(2)</w:t>
            </w:r>
          </w:p>
        </w:tc>
        <w:tc>
          <w:tcPr>
            <w:tcW w:w="246" w:type="dxa"/>
            <w:tcBorders/>
            <w:vAlign w:val="center"/>
          </w:tcPr>
          <w:p>
            <w:pPr>
              <w:pStyle w:val="TableContents"/>
              <w:bidi w:val="0"/>
              <w:spacing w:before="0" w:after="0"/>
              <w:ind w:left="0" w:right="0" w:hanging="0"/>
              <w:jc w:val="righ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299,306</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338,043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pStyle w:val="TextBody"/>
        <w:bidi w:val="0"/>
        <w:spacing w:before="40" w:after="0"/>
        <w:jc w:val="left"/>
        <w:rPr>
          <w:rFonts w:ascii="Times New Roman" w:hAnsi="Times New Roman"/>
          <w:b w:val="false"/>
          <w:sz w:val="20"/>
        </w:rPr>
      </w:pPr>
      <w:r>
        <w:rPr>
          <w:rFonts w:ascii="Times New Roman" w:hAnsi="Times New Roman"/>
          <w:b w:val="false"/>
          <w:sz w:val="20"/>
        </w:rPr>
        <w:t>(2)</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The Company’s estimate of the fair value of the current investments in these portfolio companies includes an analysis of the fair value of any unfunded commitments.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Other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Company did not have any unfunded commitments to fund investments to new borrowers that were not current portfolio companies as of such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From time to time, the Company may become a party to certain legal proceedings incidental to the normal course of its business. As of June 30, 2023 and December 31, 2022, management is not aware of any material pending or threatened litigation that would require accounting recognition or financial statement disclosure.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9. Net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February 23, 2021, the Company issued a total of 4,000,000</w:t>
      </w:r>
      <w:r>
        <w:rPr>
          <w:rFonts w:ascii="Times New Roman" w:hAnsi="Times New Roman"/>
          <w:sz w:val="20"/>
        </w:rPr>
        <w:t xml:space="preserve"> </w:t>
      </w:r>
      <w:r>
        <w:rPr>
          <w:rFonts w:ascii="Times New Roman;serif" w:hAnsi="Times New Roman;serif"/>
          <w:b w:val="false"/>
          <w:sz w:val="20"/>
        </w:rPr>
        <w:t>shares of common stock at $21.30</w:t>
      </w:r>
      <w:r>
        <w:rPr>
          <w:rFonts w:ascii="Times New Roman" w:hAnsi="Times New Roman"/>
          <w:sz w:val="20"/>
        </w:rPr>
        <w:t xml:space="preserve"> </w:t>
      </w:r>
      <w:r>
        <w:rPr>
          <w:rFonts w:ascii="Times New Roman;serif" w:hAnsi="Times New Roman;serif"/>
          <w:b w:val="false"/>
          <w:sz w:val="20"/>
        </w:rPr>
        <w:t>per share. Net of underwriting fees and offering costs, the Company received total cash proceeds of $84.9</w:t>
      </w:r>
      <w:r>
        <w:rPr>
          <w:rFonts w:ascii="Times New Roman" w:hAnsi="Times New Roman"/>
          <w:sz w:val="20"/>
        </w:rPr>
        <w:t xml:space="preserve"> </w:t>
      </w:r>
      <w:r>
        <w:rPr>
          <w:rFonts w:ascii="Times New Roman;serif" w:hAnsi="Times New Roman;serif"/>
          <w:b w:val="false"/>
          <w:sz w:val="20"/>
        </w:rPr>
        <w:t>million. Subsequent to the offering the Company issued an additional 49,689</w:t>
      </w:r>
      <w:r>
        <w:rPr>
          <w:rFonts w:ascii="Times New Roman" w:hAnsi="Times New Roman"/>
          <w:sz w:val="20"/>
        </w:rPr>
        <w:t xml:space="preserve"> </w:t>
      </w:r>
      <w:r>
        <w:rPr>
          <w:rFonts w:ascii="Times New Roman;serif" w:hAnsi="Times New Roman;serif"/>
          <w:b w:val="false"/>
          <w:sz w:val="20"/>
        </w:rPr>
        <w:t>shares on March 24, 2021 pursuant to the overallotment option granted to underwriters and received, net of underwriting fees, total cash proceeds of $1.0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three months ended December 31, 2021, the Company issued a total of 2,324,820</w:t>
      </w:r>
      <w:r>
        <w:rPr>
          <w:rFonts w:ascii="Times New Roman" w:hAnsi="Times New Roman"/>
          <w:sz w:val="20"/>
        </w:rPr>
        <w:t xml:space="preserve"> </w:t>
      </w:r>
      <w:r>
        <w:rPr>
          <w:rFonts w:ascii="Times New Roman;serif" w:hAnsi="Times New Roman;serif"/>
          <w:b w:val="false"/>
          <w:sz w:val="20"/>
        </w:rPr>
        <w:t>shares of common stock as settlement for the conversion of $42.8</w:t>
      </w:r>
      <w:r>
        <w:rPr>
          <w:rFonts w:ascii="Times New Roman" w:hAnsi="Times New Roman"/>
          <w:sz w:val="20"/>
        </w:rPr>
        <w:t xml:space="preserve"> </w:t>
      </w:r>
      <w:r>
        <w:rPr>
          <w:rFonts w:ascii="Times New Roman;serif" w:hAnsi="Times New Roman;serif"/>
          <w:b w:val="false"/>
          <w:sz w:val="20"/>
        </w:rPr>
        <w:t>million principal amount of the 2022 Convertible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1, 2022, the Company issued a total of 4,360,125</w:t>
      </w:r>
      <w:r>
        <w:rPr>
          <w:rFonts w:ascii="Times New Roman" w:hAnsi="Times New Roman"/>
          <w:sz w:val="20"/>
        </w:rPr>
        <w:t xml:space="preserve"> </w:t>
      </w:r>
      <w:r>
        <w:rPr>
          <w:rFonts w:ascii="Times New Roman;serif" w:hAnsi="Times New Roman;serif"/>
          <w:b w:val="false"/>
          <w:sz w:val="20"/>
        </w:rPr>
        <w:t>shares of common stock, or $77.6</w:t>
      </w:r>
      <w:r>
        <w:rPr>
          <w:rFonts w:ascii="Times New Roman" w:hAnsi="Times New Roman"/>
          <w:sz w:val="20"/>
        </w:rPr>
        <w:t xml:space="preserve"> </w:t>
      </w:r>
      <w:r>
        <w:rPr>
          <w:rFonts w:ascii="Times New Roman;serif" w:hAnsi="Times New Roman;serif"/>
          <w:b w:val="false"/>
          <w:sz w:val="20"/>
        </w:rPr>
        <w:t>million as settlement for the conversion of $79.2</w:t>
      </w:r>
      <w:r>
        <w:rPr>
          <w:rFonts w:ascii="Times New Roman" w:hAnsi="Times New Roman"/>
          <w:sz w:val="20"/>
        </w:rPr>
        <w:t xml:space="preserve"> </w:t>
      </w:r>
      <w:r>
        <w:rPr>
          <w:rFonts w:ascii="Times New Roman;serif" w:hAnsi="Times New Roman;serif"/>
          <w:b w:val="false"/>
          <w:sz w:val="20"/>
        </w:rPr>
        <w:t>million principal amount of the 2022 Convertible Notes.</w:t>
      </w:r>
    </w:p>
    <w:p>
      <w:pPr>
        <w:pStyle w:val="TextBody"/>
        <w:bidi w:val="0"/>
        <w:spacing w:before="240" w:after="0"/>
        <w:jc w:val="left"/>
        <w:rPr>
          <w:rFonts w:ascii="Times New Roman" w:hAnsi="Times New Roman"/>
          <w:sz w:val="20"/>
        </w:rPr>
      </w:pPr>
      <w:r>
        <w:rPr>
          <w:rFonts w:ascii="Times New Roman;serif" w:hAnsi="Times New Roman;serif"/>
          <w:b w:val="false"/>
          <w:sz w:val="20"/>
        </w:rPr>
        <w:t>On May 15, 2023, the Company issued a total of 4,500,000</w:t>
      </w:r>
      <w:r>
        <w:rPr>
          <w:rFonts w:ascii="Times New Roman" w:hAnsi="Times New Roman"/>
          <w:sz w:val="20"/>
        </w:rPr>
        <w:t xml:space="preserve"> </w:t>
      </w:r>
      <w:r>
        <w:rPr>
          <w:rFonts w:ascii="Times New Roman;serif" w:hAnsi="Times New Roman;serif"/>
          <w:b w:val="false"/>
          <w:sz w:val="20"/>
        </w:rPr>
        <w:t>shares of common stock at $17.33</w:t>
      </w:r>
      <w:r>
        <w:rPr>
          <w:rFonts w:ascii="Times New Roman" w:hAnsi="Times New Roman"/>
          <w:sz w:val="20"/>
        </w:rPr>
        <w:t xml:space="preserve"> </w:t>
      </w:r>
      <w:r>
        <w:rPr>
          <w:rFonts w:ascii="Times New Roman;serif" w:hAnsi="Times New Roman;serif"/>
          <w:b w:val="false"/>
          <w:sz w:val="20"/>
        </w:rPr>
        <w:t>per share. Net of underwriting fees and offering costs, the Company received total cash proceeds of $77.6</w:t>
      </w:r>
      <w:r>
        <w:rPr>
          <w:rFonts w:ascii="Times New Roman" w:hAnsi="Times New Roman"/>
          <w:sz w:val="20"/>
        </w:rPr>
        <w:t xml:space="preserve"> </w:t>
      </w:r>
      <w:r>
        <w:rPr>
          <w:rFonts w:ascii="Times New Roman;serif" w:hAnsi="Times New Roman;serif"/>
          <w:b w:val="false"/>
          <w:sz w:val="20"/>
        </w:rPr>
        <w:t>million. Subsequent to the offering, the Company issued an additional 675,000</w:t>
      </w:r>
      <w:r>
        <w:rPr>
          <w:rFonts w:ascii="Times New Roman" w:hAnsi="Times New Roman"/>
          <w:sz w:val="20"/>
        </w:rPr>
        <w:t xml:space="preserve"> </w:t>
      </w:r>
      <w:r>
        <w:rPr>
          <w:rFonts w:ascii="Times New Roman;serif" w:hAnsi="Times New Roman;serif"/>
          <w:b w:val="false"/>
          <w:sz w:val="20"/>
        </w:rPr>
        <w:t>shares on June 12, 2023 pursuant to the overallotment option granted to underwriters and received, net of underwriting fees, additional total cash proceeds of $11.7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Company’s dividend reinvestment plan, the following tables summarize the shares issued to stockholders who have not opted out of the Company’s dividend reinvestment plan during the six months ended June 30, 2023 and 2022. All shares issued to stockholders in the tables below are newly issued shares.</w:t>
      </w:r>
      <w:r>
        <w:rPr>
          <w:rFonts w:ascii="Times New Roman" w:hAnsi="Times New Roman"/>
          <w:sz w:val="20"/>
        </w:rPr>
        <w:t xml:space="preserve"> </w:t>
      </w:r>
    </w:p>
    <w:tbl>
      <w:tblPr>
        <w:tblW w:w="8229" w:type="dxa"/>
        <w:jc w:val="left"/>
        <w:tblInd w:w="0" w:type="dxa"/>
        <w:tblLayout w:type="fixed"/>
        <w:tblCellMar>
          <w:top w:w="28" w:type="dxa"/>
          <w:left w:w="28" w:type="dxa"/>
          <w:bottom w:w="28" w:type="dxa"/>
          <w:right w:w="28" w:type="dxa"/>
        </w:tblCellMar>
      </w:tblPr>
      <w:tblGrid>
        <w:gridCol w:w="1771"/>
        <w:gridCol w:w="346"/>
        <w:gridCol w:w="1231"/>
        <w:gridCol w:w="146"/>
        <w:gridCol w:w="1591"/>
        <w:gridCol w:w="146"/>
        <w:gridCol w:w="1396"/>
        <w:gridCol w:w="146"/>
        <w:gridCol w:w="167"/>
        <w:gridCol w:w="898"/>
        <w:gridCol w:w="391"/>
      </w:tblGrid>
      <w:tr>
        <w:trPr/>
        <w:tc>
          <w:tcPr>
            <w:tcW w:w="17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5721"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5721"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w:t>
            </w:r>
          </w:p>
        </w:tc>
        <w:tc>
          <w:tcPr>
            <w:tcW w:w="146" w:type="dxa"/>
            <w:tcBorders/>
            <w:vAlign w:val="center"/>
          </w:tcPr>
          <w:p>
            <w:pPr>
              <w:pStyle w:val="TableContents"/>
              <w:bidi w:val="0"/>
              <w:spacing w:before="0" w:after="0"/>
              <w:ind w:left="0" w:right="0" w:hanging="0"/>
              <w:jc w:val="right"/>
              <w:rPr/>
            </w:pPr>
            <w:r>
              <w:rPr/>
              <w:t> </w:t>
            </w:r>
          </w:p>
        </w:tc>
        <w:tc>
          <w:tcPr>
            <w:tcW w:w="1065"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Date Declared</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Dividend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 Issued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 Issued</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16, 2023</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February 28, 2023</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March 20, 2023</w:t>
            </w:r>
          </w:p>
        </w:tc>
        <w:tc>
          <w:tcPr>
            <w:tcW w:w="146" w:type="dxa"/>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61,590</w:t>
            </w:r>
          </w:p>
        </w:tc>
        <w:tc>
          <w:tcPr>
            <w:tcW w:w="391" w:type="dxa"/>
            <w:tcBorders/>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16, 2023</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March 15, 2023</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March 31, 2023</w:t>
            </w:r>
          </w:p>
        </w:tc>
        <w:tc>
          <w:tcPr>
            <w:tcW w:w="146" w:type="dxa"/>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300,988</w:t>
            </w:r>
          </w:p>
        </w:tc>
        <w:tc>
          <w:tcPr>
            <w:tcW w:w="391" w:type="dxa"/>
            <w:tcBorders/>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8, 2023</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May 31, 2023</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June 20, 2023</w:t>
            </w:r>
          </w:p>
        </w:tc>
        <w:tc>
          <w:tcPr>
            <w:tcW w:w="146" w:type="dxa"/>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23,686</w:t>
            </w:r>
          </w:p>
        </w:tc>
        <w:tc>
          <w:tcPr>
            <w:tcW w:w="391" w:type="dxa"/>
            <w:tcBorders/>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8, 2023</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June 15, 2023</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righ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290,680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77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Shares Issued</w:t>
            </w:r>
          </w:p>
        </w:tc>
        <w:tc>
          <w:tcPr>
            <w:tcW w:w="346" w:type="dxa"/>
            <w:tcBorders/>
            <w:vAlign w:val="center"/>
          </w:tcPr>
          <w:p>
            <w:pPr>
              <w:pStyle w:val="TableContents"/>
              <w:bidi w:val="0"/>
              <w:spacing w:before="0" w:after="0"/>
              <w:ind w:left="0" w:right="0" w:firstLine="200"/>
              <w:jc w:val="right"/>
              <w:rPr/>
            </w:pPr>
            <w:r>
              <w:rPr/>
              <w:t> </w:t>
            </w:r>
          </w:p>
        </w:tc>
        <w:tc>
          <w:tcPr>
            <w:tcW w:w="123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676,944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424" w:type="dxa"/>
        <w:jc w:val="left"/>
        <w:tblInd w:w="0" w:type="dxa"/>
        <w:tblLayout w:type="fixed"/>
        <w:tblCellMar>
          <w:top w:w="28" w:type="dxa"/>
          <w:left w:w="28" w:type="dxa"/>
          <w:bottom w:w="28" w:type="dxa"/>
          <w:right w:w="28" w:type="dxa"/>
        </w:tblCellMar>
      </w:tblPr>
      <w:tblGrid>
        <w:gridCol w:w="1771"/>
        <w:gridCol w:w="346"/>
        <w:gridCol w:w="1231"/>
        <w:gridCol w:w="146"/>
        <w:gridCol w:w="1681"/>
        <w:gridCol w:w="146"/>
        <w:gridCol w:w="1501"/>
        <w:gridCol w:w="146"/>
        <w:gridCol w:w="167"/>
        <w:gridCol w:w="898"/>
        <w:gridCol w:w="391"/>
      </w:tblGrid>
      <w:tr>
        <w:trPr/>
        <w:tc>
          <w:tcPr>
            <w:tcW w:w="17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5916"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5916"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w:t>
            </w:r>
          </w:p>
        </w:tc>
        <w:tc>
          <w:tcPr>
            <w:tcW w:w="146" w:type="dxa"/>
            <w:tcBorders/>
            <w:vAlign w:val="center"/>
          </w:tcPr>
          <w:p>
            <w:pPr>
              <w:pStyle w:val="TableContents"/>
              <w:bidi w:val="0"/>
              <w:spacing w:before="0" w:after="0"/>
              <w:ind w:left="0" w:right="0" w:hanging="0"/>
              <w:jc w:val="right"/>
              <w:rPr/>
            </w:pPr>
            <w:r>
              <w:rPr/>
              <w:t> </w:t>
            </w:r>
          </w:p>
        </w:tc>
        <w:tc>
          <w:tcPr>
            <w:tcW w:w="1065"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Date Declared</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Dividend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 Issued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 Issued</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November 2, 2021</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vAlign w:val="center"/>
          </w:tcPr>
          <w:p>
            <w:pPr>
              <w:pStyle w:val="TableContents"/>
              <w:bidi w:val="0"/>
              <w:spacing w:before="0" w:after="0"/>
              <w:ind w:left="0" w:right="0" w:hanging="0"/>
              <w:jc w:val="right"/>
              <w:rPr/>
            </w:pPr>
            <w:r>
              <w:rPr/>
              <w:t> </w:t>
            </w:r>
          </w:p>
        </w:tc>
        <w:tc>
          <w:tcPr>
            <w:tcW w:w="1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December 15, 2021</w:t>
            </w:r>
          </w:p>
        </w:tc>
        <w:tc>
          <w:tcPr>
            <w:tcW w:w="146" w:type="dxa"/>
            <w:tcBorders/>
            <w:vAlign w:val="center"/>
          </w:tcPr>
          <w:p>
            <w:pPr>
              <w:pStyle w:val="TableContents"/>
              <w:bidi w:val="0"/>
              <w:spacing w:before="0" w:after="0"/>
              <w:ind w:left="0" w:right="0" w:hanging="0"/>
              <w:jc w:val="right"/>
              <w:rPr/>
            </w:pPr>
            <w:r>
              <w:rPr/>
              <w:t> </w:t>
            </w:r>
          </w:p>
        </w:tc>
        <w:tc>
          <w:tcPr>
            <w:tcW w:w="1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January 14, 2022</w:t>
            </w:r>
          </w:p>
        </w:tc>
        <w:tc>
          <w:tcPr>
            <w:tcW w:w="146" w:type="dxa"/>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233,542</w:t>
            </w:r>
          </w:p>
        </w:tc>
        <w:tc>
          <w:tcPr>
            <w:tcW w:w="391" w:type="dxa"/>
            <w:tcBorders/>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17, 2022</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vAlign w:val="center"/>
          </w:tcPr>
          <w:p>
            <w:pPr>
              <w:pStyle w:val="TableContents"/>
              <w:bidi w:val="0"/>
              <w:spacing w:before="0" w:after="0"/>
              <w:ind w:left="0" w:right="0" w:hanging="0"/>
              <w:jc w:val="right"/>
              <w:rPr/>
            </w:pPr>
            <w:r>
              <w:rPr/>
              <w:t> </w:t>
            </w:r>
          </w:p>
        </w:tc>
        <w:tc>
          <w:tcPr>
            <w:tcW w:w="1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February 28, 2022</w:t>
            </w:r>
          </w:p>
        </w:tc>
        <w:tc>
          <w:tcPr>
            <w:tcW w:w="146" w:type="dxa"/>
            <w:tcBorders/>
            <w:vAlign w:val="center"/>
          </w:tcPr>
          <w:p>
            <w:pPr>
              <w:pStyle w:val="TableContents"/>
              <w:bidi w:val="0"/>
              <w:spacing w:before="0" w:after="0"/>
              <w:ind w:left="0" w:right="0" w:hanging="0"/>
              <w:jc w:val="right"/>
              <w:rPr/>
            </w:pPr>
            <w:r>
              <w:rPr/>
              <w:t> </w:t>
            </w:r>
          </w:p>
        </w:tc>
        <w:tc>
          <w:tcPr>
            <w:tcW w:w="1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March 31, 2022</w:t>
            </w:r>
          </w:p>
        </w:tc>
        <w:tc>
          <w:tcPr>
            <w:tcW w:w="146" w:type="dxa"/>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65,596</w:t>
            </w:r>
          </w:p>
        </w:tc>
        <w:tc>
          <w:tcPr>
            <w:tcW w:w="391" w:type="dxa"/>
            <w:tcBorders/>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17, 2022</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vAlign w:val="center"/>
          </w:tcPr>
          <w:p>
            <w:pPr>
              <w:pStyle w:val="TableContents"/>
              <w:bidi w:val="0"/>
              <w:spacing w:before="0" w:after="0"/>
              <w:ind w:left="0" w:right="0" w:hanging="0"/>
              <w:jc w:val="right"/>
              <w:rPr/>
            </w:pPr>
            <w:r>
              <w:rPr/>
              <w:t> </w:t>
            </w:r>
          </w:p>
        </w:tc>
        <w:tc>
          <w:tcPr>
            <w:tcW w:w="1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March 15, 2022</w:t>
            </w:r>
          </w:p>
        </w:tc>
        <w:tc>
          <w:tcPr>
            <w:tcW w:w="146" w:type="dxa"/>
            <w:tcBorders/>
            <w:vAlign w:val="center"/>
          </w:tcPr>
          <w:p>
            <w:pPr>
              <w:pStyle w:val="TableContents"/>
              <w:bidi w:val="0"/>
              <w:spacing w:before="0" w:after="0"/>
              <w:ind w:left="0" w:right="0" w:hanging="0"/>
              <w:jc w:val="right"/>
              <w:rPr/>
            </w:pPr>
            <w:r>
              <w:rPr/>
              <w:t> </w:t>
            </w:r>
          </w:p>
        </w:tc>
        <w:tc>
          <w:tcPr>
            <w:tcW w:w="1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April 18, 2022</w:t>
            </w:r>
          </w:p>
        </w:tc>
        <w:tc>
          <w:tcPr>
            <w:tcW w:w="146" w:type="dxa"/>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239,376</w:t>
            </w:r>
          </w:p>
        </w:tc>
        <w:tc>
          <w:tcPr>
            <w:tcW w:w="391" w:type="dxa"/>
            <w:tcBorders/>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3, 2022</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vAlign w:val="center"/>
          </w:tcPr>
          <w:p>
            <w:pPr>
              <w:pStyle w:val="TableContents"/>
              <w:bidi w:val="0"/>
              <w:spacing w:before="0" w:after="0"/>
              <w:ind w:left="0" w:right="0" w:hanging="0"/>
              <w:jc w:val="right"/>
              <w:rPr/>
            </w:pPr>
            <w:r>
              <w:rPr/>
              <w:t> </w:t>
            </w:r>
          </w:p>
        </w:tc>
        <w:tc>
          <w:tcPr>
            <w:tcW w:w="1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May 31, 2022</w:t>
            </w:r>
          </w:p>
        </w:tc>
        <w:tc>
          <w:tcPr>
            <w:tcW w:w="146" w:type="dxa"/>
            <w:tcBorders/>
            <w:vAlign w:val="center"/>
          </w:tcPr>
          <w:p>
            <w:pPr>
              <w:pStyle w:val="TableContents"/>
              <w:bidi w:val="0"/>
              <w:spacing w:before="0" w:after="0"/>
              <w:ind w:left="0" w:right="0" w:hanging="0"/>
              <w:jc w:val="right"/>
              <w:rPr/>
            </w:pPr>
            <w:r>
              <w:rPr/>
              <w:t> </w:t>
            </w:r>
          </w:p>
        </w:tc>
        <w:tc>
          <w:tcPr>
            <w:tcW w:w="1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June 30, 2022</w:t>
            </w:r>
          </w:p>
        </w:tc>
        <w:tc>
          <w:tcPr>
            <w:tcW w:w="146" w:type="dxa"/>
            <w:tcBorders/>
            <w:vAlign w:val="center"/>
          </w:tcPr>
          <w:p>
            <w:pPr>
              <w:pStyle w:val="TableContents"/>
              <w:bidi w:val="0"/>
              <w:spacing w:before="0" w:after="0"/>
              <w:ind w:left="0" w:right="0" w:hanging="0"/>
              <w:jc w:val="righ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29,459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77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Shares Issued</w:t>
            </w:r>
          </w:p>
        </w:tc>
        <w:tc>
          <w:tcPr>
            <w:tcW w:w="346" w:type="dxa"/>
            <w:tcBorders/>
            <w:vAlign w:val="center"/>
          </w:tcPr>
          <w:p>
            <w:pPr>
              <w:pStyle w:val="TableContents"/>
              <w:bidi w:val="0"/>
              <w:spacing w:before="0" w:after="0"/>
              <w:ind w:left="0" w:right="0" w:firstLine="200"/>
              <w:jc w:val="right"/>
              <w:rPr/>
            </w:pPr>
            <w:r>
              <w:rPr/>
              <w:t> </w:t>
            </w:r>
          </w:p>
        </w:tc>
        <w:tc>
          <w:tcPr>
            <w:tcW w:w="123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5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567,973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See Note 11 for further information on base, supplemental and special dividends.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4, 2015, the Company's Board authorized the Company to acquire up to $50</w:t>
      </w:r>
      <w:r>
        <w:rPr>
          <w:rFonts w:ascii="Times New Roman" w:hAnsi="Times New Roman"/>
          <w:sz w:val="20"/>
        </w:rPr>
        <w:t xml:space="preserve"> </w:t>
      </w:r>
      <w:r>
        <w:rPr>
          <w:rFonts w:ascii="Times New Roman;serif" w:hAnsi="Times New Roman;serif"/>
          <w:b w:val="false"/>
          <w:sz w:val="20"/>
        </w:rPr>
        <w:t>million in aggregate of the Company’s common stock from time to time over an initial six month</w:t>
      </w:r>
      <w:r>
        <w:rPr>
          <w:rFonts w:ascii="Times New Roman" w:hAnsi="Times New Roman"/>
          <w:sz w:val="20"/>
        </w:rPr>
        <w:t xml:space="preserve"> </w:t>
      </w:r>
      <w:r>
        <w:rPr>
          <w:rFonts w:ascii="Times New Roman;serif" w:hAnsi="Times New Roman;serif"/>
          <w:b w:val="false"/>
          <w:sz w:val="20"/>
        </w:rPr>
        <w:t>period, and has continued to authorize the refreshment of the $50</w:t>
      </w:r>
      <w:r>
        <w:rPr>
          <w:rFonts w:ascii="Times New Roman" w:hAnsi="Times New Roman"/>
          <w:sz w:val="20"/>
        </w:rPr>
        <w:t xml:space="preserve"> </w:t>
      </w:r>
      <w:r>
        <w:rPr>
          <w:rFonts w:ascii="Times New Roman;serif" w:hAnsi="Times New Roman;serif"/>
          <w:b w:val="false"/>
          <w:sz w:val="20"/>
        </w:rPr>
        <w:t>million amount authorized under and extension of the stock repurchase program prior to its expiration since that time, most recently as of May 8, 2023. The amount and timing of stock repurchases under the program may vary depending on market conditions, and no assurance can be given that any particular amount of common stock will be repurchased.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shares were repurchased during the six months ended June 30, 2023 and 2022.</w:t>
      </w:r>
    </w:p>
    <w:p>
      <w:pPr>
        <w:pStyle w:val="TextBody"/>
        <w:bidi w:val="0"/>
        <w:spacing w:before="360" w:after="0"/>
        <w:jc w:val="left"/>
        <w:rPr>
          <w:rFonts w:ascii="Times New Roman;serif" w:hAnsi="Times New Roman;serif"/>
          <w:b/>
          <w:sz w:val="20"/>
        </w:rPr>
      </w:pPr>
      <w:r>
        <w:rPr>
          <w:rFonts w:ascii="Times New Roman;serif" w:hAnsi="Times New Roman;serif"/>
          <w:b/>
          <w:sz w:val="20"/>
        </w:rPr>
        <w:t>10. Earnings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sets forth the computation of basic and diluted earnings per common share for the three and six months ended June 30, 2023 and 2022:</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984"/>
        <w:gridCol w:w="146"/>
        <w:gridCol w:w="211"/>
        <w:gridCol w:w="1036"/>
        <w:gridCol w:w="146"/>
        <w:gridCol w:w="146"/>
        <w:gridCol w:w="211"/>
        <w:gridCol w:w="1036"/>
        <w:gridCol w:w="166"/>
        <w:gridCol w:w="146"/>
        <w:gridCol w:w="211"/>
        <w:gridCol w:w="1036"/>
        <w:gridCol w:w="146"/>
        <w:gridCol w:w="146"/>
        <w:gridCol w:w="211"/>
        <w:gridCol w:w="1036"/>
        <w:gridCol w:w="191"/>
      </w:tblGrid>
      <w:tr>
        <w:trPr/>
        <w:tc>
          <w:tcPr>
            <w:tcW w:w="3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Earnings per common share—basic</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 for basic earnings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27,360</w:t>
            </w:r>
          </w:p>
        </w:tc>
        <w:tc>
          <w:tcPr>
            <w:tcW w:w="191" w:type="dxa"/>
            <w:tcBorders/>
            <w:vAlign w:val="center"/>
          </w:tcPr>
          <w:p>
            <w:pPr>
              <w:pStyle w:val="TableContents"/>
              <w:bidi w:val="0"/>
              <w:spacing w:before="0" w:after="0"/>
              <w:ind w:left="0" w:right="0" w:hanging="0"/>
              <w:jc w:val="left"/>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 for basic weighted average shares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84,223,032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76,265,661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82,819,734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76,119,681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common share—basic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Earnings per common share—diluted</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 for increase in net assets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27,360</w:t>
            </w:r>
          </w:p>
        </w:tc>
        <w:tc>
          <w:tcPr>
            <w:tcW w:w="191" w:type="dxa"/>
            <w:tcBorders/>
            <w:vAlign w:val="center"/>
          </w:tcPr>
          <w:p>
            <w:pPr>
              <w:pStyle w:val="TableContents"/>
              <w:bidi w:val="0"/>
              <w:spacing w:before="0" w:after="0"/>
              <w:ind w:left="0" w:right="0" w:hanging="0"/>
              <w:jc w:val="left"/>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 for interest expense and</w:t>
              <w:br/>
              <w:t>   deferred financing costs on 2022 Convertible</w:t>
              <w:br/>
              <w:t>   Notes, incentive fee and excise tax,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 for diluted earnings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29,357</w:t>
            </w:r>
          </w:p>
        </w:tc>
        <w:tc>
          <w:tcPr>
            <w:tcW w:w="191" w:type="dxa"/>
            <w:tcBorders/>
            <w:vAlign w:val="center"/>
          </w:tcPr>
          <w:p>
            <w:pPr>
              <w:pStyle w:val="TableContents"/>
              <w:bidi w:val="0"/>
              <w:spacing w:before="0" w:after="0"/>
              <w:ind w:left="0" w:right="0" w:hanging="0"/>
              <w:jc w:val="left"/>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 for basic weighted average shares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84,223,032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76,265,661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82,819,734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76,119,681</w:t>
            </w:r>
          </w:p>
        </w:tc>
        <w:tc>
          <w:tcPr>
            <w:tcW w:w="191" w:type="dxa"/>
            <w:tcBorders/>
            <w:vAlign w:val="center"/>
          </w:tcPr>
          <w:p>
            <w:pPr>
              <w:pStyle w:val="TableContents"/>
              <w:bidi w:val="0"/>
              <w:spacing w:before="0" w:after="0"/>
              <w:ind w:left="0" w:right="0" w:hanging="0"/>
              <w:jc w:val="left"/>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 for dilutive effect of 2022</w:t>
              <w:br/>
              <w:t>   Convertible Notes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5,580,973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5,580,973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 for diluted weighted average shares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84,223,032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81,846,634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82,819,734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81,700,654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common share—diluted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2022 Convertible Notes were convertible into a combination of cash and shares of the Company’s common stock, which could have been dilutive to common stockholders. Diluted earnings (losses) per share is the amount of earnings (losses)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was required to disclose diluted EPS using the if-converted method. The if-converted method is a method of computing EPS that assumes conversion of convertible securities at the beginning of the reporting period and is intended to show the maximum dilution effect to common stockholders regardless of how the conversion can occur.</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For the purpose of calculating diluted earnings per common share, the average closing price of the Company’s common stock for the three and six months ended June 30, 2022</w:t>
      </w:r>
      <w:r>
        <w:rPr>
          <w:rFonts w:ascii="Times New Roman" w:hAnsi="Times New Roman"/>
          <w:sz w:val="20"/>
        </w:rPr>
        <w:t xml:space="preserve"> </w:t>
      </w:r>
      <w:r>
        <w:rPr>
          <w:rFonts w:ascii="Times New Roman;serif" w:hAnsi="Times New Roman;serif"/>
          <w:b w:val="false"/>
          <w:sz w:val="20"/>
        </w:rPr>
        <w:t>was greater than the estimated adjusted conversion price for the 2022 Convertible Notes outstanding as of June 30, 2022. Therefore, for this period presented in the consolidated financial statements the Company applied the if-converted method for purposes of calculating diluted earnings per common share.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11. Dividends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tables summarize dividends declared during the six months ended June 30, 2023 and 2022:</w:t>
      </w:r>
      <w:r>
        <w:rPr>
          <w:rFonts w:ascii="Times New Roman" w:hAnsi="Times New Roman"/>
          <w:sz w:val="20"/>
        </w:rPr>
        <w:t xml:space="preserve"> </w:t>
      </w:r>
    </w:p>
    <w:p>
      <w:pPr>
        <w:pStyle w:val="TextBody"/>
        <w:bidi w:val="0"/>
        <w:spacing w:before="0" w:after="0"/>
        <w:jc w:val="left"/>
        <w:rPr/>
      </w:pPr>
      <w:r>
        <w:rPr/>
        <w:t> </w:t>
      </w:r>
    </w:p>
    <w:tbl>
      <w:tblPr>
        <w:tblW w:w="9174" w:type="dxa"/>
        <w:jc w:val="left"/>
        <w:tblInd w:w="0" w:type="dxa"/>
        <w:tblLayout w:type="fixed"/>
        <w:tblCellMar>
          <w:top w:w="28" w:type="dxa"/>
          <w:left w:w="28" w:type="dxa"/>
          <w:bottom w:w="28" w:type="dxa"/>
          <w:right w:w="28" w:type="dxa"/>
        </w:tblCellMar>
      </w:tblPr>
      <w:tblGrid>
        <w:gridCol w:w="2281"/>
        <w:gridCol w:w="346"/>
        <w:gridCol w:w="1231"/>
        <w:gridCol w:w="146"/>
        <w:gridCol w:w="1591"/>
        <w:gridCol w:w="146"/>
        <w:gridCol w:w="1396"/>
        <w:gridCol w:w="146"/>
        <w:gridCol w:w="467"/>
        <w:gridCol w:w="1033"/>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6156"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6156"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Date Declared</w:t>
            </w:r>
          </w:p>
        </w:tc>
        <w:tc>
          <w:tcPr>
            <w:tcW w:w="346" w:type="dxa"/>
            <w:tcBorders/>
            <w:vAlign w:val="center"/>
          </w:tcPr>
          <w:p>
            <w:pPr>
              <w:pStyle w:val="TableContents"/>
              <w:bidi w:val="0"/>
              <w:spacing w:before="0" w:after="0"/>
              <w:ind w:left="0" w:right="0" w:hanging="0"/>
              <w:jc w:val="righ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Dividend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Dividend per Share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16, 2023</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February 28, 2023</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March 20, 2023</w:t>
            </w:r>
          </w:p>
        </w:tc>
        <w:tc>
          <w:tcPr>
            <w:tcW w:w="146" w:type="dxa"/>
            <w:tcBorders/>
            <w:vAlign w:val="center"/>
          </w:tcPr>
          <w:p>
            <w:pPr>
              <w:pStyle w:val="TableContents"/>
              <w:bidi w:val="0"/>
              <w:spacing w:before="0" w:after="0"/>
              <w:ind w:left="0" w:right="0" w:hanging="0"/>
              <w:jc w:val="right"/>
              <w:rPr/>
            </w:pPr>
            <w:r>
              <w:rPr/>
              <w:t> </w:t>
            </w:r>
          </w:p>
        </w:tc>
        <w:tc>
          <w:tcPr>
            <w:tcW w:w="4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391"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16, 2023</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March 15, 2023</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March 31, 2023</w:t>
            </w:r>
          </w:p>
        </w:tc>
        <w:tc>
          <w:tcPr>
            <w:tcW w:w="146" w:type="dxa"/>
            <w:tcBorders/>
            <w:vAlign w:val="center"/>
          </w:tcPr>
          <w:p>
            <w:pPr>
              <w:pStyle w:val="TableContents"/>
              <w:bidi w:val="0"/>
              <w:spacing w:before="0" w:after="0"/>
              <w:ind w:left="0" w:right="0" w:hanging="0"/>
              <w:jc w:val="right"/>
              <w:rPr/>
            </w:pPr>
            <w:r>
              <w:rPr/>
              <w:t> </w:t>
            </w:r>
          </w:p>
        </w:tc>
        <w:tc>
          <w:tcPr>
            <w:tcW w:w="46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0.46</w:t>
            </w:r>
          </w:p>
        </w:tc>
        <w:tc>
          <w:tcPr>
            <w:tcW w:w="391"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8, 2023</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May 31, 2023</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June 20, 2023</w:t>
            </w:r>
          </w:p>
        </w:tc>
        <w:tc>
          <w:tcPr>
            <w:tcW w:w="146" w:type="dxa"/>
            <w:tcBorders/>
            <w:vAlign w:val="center"/>
          </w:tcPr>
          <w:p>
            <w:pPr>
              <w:pStyle w:val="TableContents"/>
              <w:bidi w:val="0"/>
              <w:spacing w:before="0" w:after="0"/>
              <w:ind w:left="0" w:right="0" w:hanging="0"/>
              <w:jc w:val="right"/>
              <w:rPr/>
            </w:pPr>
            <w:r>
              <w:rPr/>
              <w:t> </w:t>
            </w:r>
          </w:p>
        </w:tc>
        <w:tc>
          <w:tcPr>
            <w:tcW w:w="46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391"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8, 2023</w:t>
            </w:r>
          </w:p>
        </w:tc>
        <w:tc>
          <w:tcPr>
            <w:tcW w:w="3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June 15, 2023</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righ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8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Dividends Declared</w:t>
            </w:r>
          </w:p>
        </w:tc>
        <w:tc>
          <w:tcPr>
            <w:tcW w:w="346" w:type="dxa"/>
            <w:tcBorders/>
            <w:vAlign w:val="center"/>
          </w:tcPr>
          <w:p>
            <w:pPr>
              <w:pStyle w:val="TableContents"/>
              <w:bidi w:val="0"/>
              <w:spacing w:before="0" w:after="0"/>
              <w:ind w:left="0" w:right="0" w:firstLine="200"/>
              <w:jc w:val="right"/>
              <w:rPr/>
            </w:pPr>
            <w:r>
              <w:rPr/>
              <w:t> </w:t>
            </w:r>
          </w:p>
        </w:tc>
        <w:tc>
          <w:tcPr>
            <w:tcW w:w="123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8974" w:type="dxa"/>
        <w:jc w:val="left"/>
        <w:tblInd w:w="0" w:type="dxa"/>
        <w:tblLayout w:type="fixed"/>
        <w:tblCellMar>
          <w:top w:w="28" w:type="dxa"/>
          <w:left w:w="28" w:type="dxa"/>
          <w:bottom w:w="28" w:type="dxa"/>
          <w:right w:w="28" w:type="dxa"/>
        </w:tblCellMar>
      </w:tblPr>
      <w:tblGrid>
        <w:gridCol w:w="2281"/>
        <w:gridCol w:w="146"/>
        <w:gridCol w:w="1231"/>
        <w:gridCol w:w="146"/>
        <w:gridCol w:w="1591"/>
        <w:gridCol w:w="146"/>
        <w:gridCol w:w="1396"/>
        <w:gridCol w:w="146"/>
        <w:gridCol w:w="467"/>
        <w:gridCol w:w="1033"/>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156"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156"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Date Declared</w:t>
            </w:r>
          </w:p>
        </w:tc>
        <w:tc>
          <w:tcPr>
            <w:tcW w:w="146" w:type="dxa"/>
            <w:tcBorders/>
            <w:vAlign w:val="center"/>
          </w:tcPr>
          <w:p>
            <w:pPr>
              <w:pStyle w:val="TableContents"/>
              <w:bidi w:val="0"/>
              <w:spacing w:before="0" w:after="0"/>
              <w:ind w:left="0" w:right="0" w:hanging="0"/>
              <w:jc w:val="righ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Dividend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Dividend per Share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17, 2022</w:t>
            </w:r>
          </w:p>
        </w:tc>
        <w:tc>
          <w:tcPr>
            <w:tcW w:w="1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February 28, 2022</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March 31, 2022</w:t>
            </w:r>
          </w:p>
        </w:tc>
        <w:tc>
          <w:tcPr>
            <w:tcW w:w="146" w:type="dxa"/>
            <w:tcBorders/>
            <w:vAlign w:val="center"/>
          </w:tcPr>
          <w:p>
            <w:pPr>
              <w:pStyle w:val="TableContents"/>
              <w:bidi w:val="0"/>
              <w:spacing w:before="0" w:after="0"/>
              <w:ind w:left="0" w:right="0" w:hanging="0"/>
              <w:jc w:val="right"/>
              <w:rPr/>
            </w:pPr>
            <w:r>
              <w:rPr/>
              <w:t> </w:t>
            </w:r>
          </w:p>
        </w:tc>
        <w:tc>
          <w:tcPr>
            <w:tcW w:w="4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391"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17, 2022</w:t>
            </w:r>
          </w:p>
        </w:tc>
        <w:tc>
          <w:tcPr>
            <w:tcW w:w="1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March 15, 2022</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April 18, 2022</w:t>
            </w:r>
          </w:p>
        </w:tc>
        <w:tc>
          <w:tcPr>
            <w:tcW w:w="146" w:type="dxa"/>
            <w:tcBorders/>
            <w:vAlign w:val="center"/>
          </w:tcPr>
          <w:p>
            <w:pPr>
              <w:pStyle w:val="TableContents"/>
              <w:bidi w:val="0"/>
              <w:spacing w:before="0" w:after="0"/>
              <w:ind w:left="0" w:right="0" w:hanging="0"/>
              <w:jc w:val="right"/>
              <w:rPr/>
            </w:pPr>
            <w:r>
              <w:rPr/>
              <w:t> </w:t>
            </w:r>
          </w:p>
        </w:tc>
        <w:tc>
          <w:tcPr>
            <w:tcW w:w="46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0.41</w:t>
            </w:r>
          </w:p>
        </w:tc>
        <w:tc>
          <w:tcPr>
            <w:tcW w:w="391"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3, 2022</w:t>
            </w:r>
          </w:p>
        </w:tc>
        <w:tc>
          <w:tcPr>
            <w:tcW w:w="1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May 31, 2022</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June 30, 2022</w:t>
            </w:r>
          </w:p>
        </w:tc>
        <w:tc>
          <w:tcPr>
            <w:tcW w:w="146" w:type="dxa"/>
            <w:tcBorders/>
            <w:vAlign w:val="center"/>
          </w:tcPr>
          <w:p>
            <w:pPr>
              <w:pStyle w:val="TableContents"/>
              <w:bidi w:val="0"/>
              <w:spacing w:before="0" w:after="0"/>
              <w:ind w:left="0" w:right="0" w:hanging="0"/>
              <w:jc w:val="right"/>
              <w:rPr/>
            </w:pPr>
            <w:r>
              <w:rPr/>
              <w:t> </w:t>
            </w:r>
          </w:p>
        </w:tc>
        <w:tc>
          <w:tcPr>
            <w:tcW w:w="46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391"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3, 2022</w:t>
            </w:r>
          </w:p>
        </w:tc>
        <w:tc>
          <w:tcPr>
            <w:tcW w:w="1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June 15, 2022</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July 15, 2022</w:t>
            </w:r>
          </w:p>
        </w:tc>
        <w:tc>
          <w:tcPr>
            <w:tcW w:w="146" w:type="dxa"/>
            <w:tcBorders/>
            <w:vAlign w:val="center"/>
          </w:tcPr>
          <w:p>
            <w:pPr>
              <w:pStyle w:val="TableContents"/>
              <w:bidi w:val="0"/>
              <w:spacing w:before="0" w:after="0"/>
              <w:ind w:left="0" w:right="0" w:hanging="0"/>
              <w:jc w:val="righ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8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Dividends Declared</w:t>
            </w:r>
          </w:p>
        </w:tc>
        <w:tc>
          <w:tcPr>
            <w:tcW w:w="146" w:type="dxa"/>
            <w:tcBorders/>
            <w:vAlign w:val="center"/>
          </w:tcPr>
          <w:p>
            <w:pPr>
              <w:pStyle w:val="TableContents"/>
              <w:bidi w:val="0"/>
              <w:spacing w:before="0" w:after="0"/>
              <w:ind w:left="0" w:right="0" w:hanging="0"/>
              <w:jc w:val="right"/>
              <w:rPr/>
            </w:pPr>
            <w:r>
              <w:rPr/>
              <w:t> </w:t>
            </w:r>
          </w:p>
        </w:tc>
        <w:tc>
          <w:tcPr>
            <w:tcW w:w="12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59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dividends declared during the six months ended June 30, 2023 and 2022</w:t>
      </w:r>
      <w:r>
        <w:rPr>
          <w:rFonts w:ascii="Times New Roman" w:hAnsi="Times New Roman"/>
          <w:sz w:val="20"/>
        </w:rPr>
        <w:t xml:space="preserve"> </w:t>
      </w:r>
      <w:r>
        <w:rPr>
          <w:rFonts w:ascii="Times New Roman;serif" w:hAnsi="Times New Roman;serif"/>
          <w:b w:val="false"/>
          <w:sz w:val="20"/>
        </w:rPr>
        <w:t>were derived from net investment income, determined on a tax basis.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12. Financial Highlights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per share data and ratios have been derived from information provided in the consolidated financial statements. The following are the financial highlights for one share of common stock outstanding during the six months ended June 30, 2023 and 2022.</w:t>
      </w:r>
    </w:p>
    <w:tbl>
      <w:tblPr>
        <w:tblW w:w="6945" w:type="dxa"/>
        <w:jc w:val="left"/>
        <w:tblInd w:w="0" w:type="dxa"/>
        <w:tblLayout w:type="fixed"/>
        <w:tblCellMar>
          <w:top w:w="28" w:type="dxa"/>
          <w:left w:w="28" w:type="dxa"/>
          <w:bottom w:w="28" w:type="dxa"/>
          <w:right w:w="28" w:type="dxa"/>
        </w:tblCellMar>
      </w:tblPr>
      <w:tblGrid>
        <w:gridCol w:w="3151"/>
        <w:gridCol w:w="146"/>
        <w:gridCol w:w="238"/>
        <w:gridCol w:w="1172"/>
        <w:gridCol w:w="271"/>
        <w:gridCol w:w="146"/>
        <w:gridCol w:w="238"/>
        <w:gridCol w:w="1172"/>
        <w:gridCol w:w="41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11" w:type="dxa"/>
            <w:tcBorders/>
            <w:vAlign w:val="center"/>
          </w:tcPr>
          <w:p>
            <w:pPr>
              <w:pStyle w:val="TableContents"/>
              <w:bidi w:val="0"/>
              <w:spacing w:before="0" w:after="0"/>
              <w:ind w:left="0" w:right="0" w:hanging="0"/>
              <w:jc w:val="center"/>
              <w:rPr/>
            </w:pPr>
            <w:r>
              <w:rPr/>
              <w:t> </w:t>
            </w:r>
          </w:p>
        </w:tc>
      </w:tr>
      <w:tr>
        <w:trPr/>
        <w:tc>
          <w:tcPr>
            <w:tcW w:w="3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 xml:space="preserve">Per Share Data </w:t>
            </w:r>
            <w:r>
              <w:rPr>
                <w:rFonts w:ascii="Times New Roman;serif" w:hAnsi="Times New Roman;serif"/>
                <w:b/>
                <w:sz w:val="13"/>
              </w:rPr>
              <w:t>(8)</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 value, beginning of period</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16.84</w:t>
            </w:r>
          </w:p>
        </w:tc>
        <w:tc>
          <w:tcPr>
            <w:tcW w:w="41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investment income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41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realized and unrealized </w:t>
              <w:br/>
              <w:t xml:space="preserve">   gain (loss)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from operations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41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Issuance of common stock, net of</w:t>
              <w:br/>
              <w:t xml:space="preserve">   offering costs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41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Dividends declared from net</w:t>
              <w:br/>
              <w:t xml:space="preserve">   investment income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increase (decrease) in net assets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Asset Value, End of Period</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 share market value at end of</w:t>
              <w:br/>
              <w:t>   period</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w:t>
            </w:r>
          </w:p>
        </w:tc>
        <w:tc>
          <w:tcPr>
            <w:tcW w:w="41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Total return based on market value</w:t>
              <w:br/>
              <w:t xml:space="preserve">   with reinvestment of dividends </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10"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(17.06)%</w:t>
            </w:r>
          </w:p>
        </w:tc>
        <w:tc>
          <w:tcPr>
            <w:tcW w:w="41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Total return based on market value </w:t>
            </w:r>
            <w:r>
              <w:rPr>
                <w:rFonts w:ascii="Times New Roman;serif" w:hAnsi="Times New Roman;serif"/>
                <w:b w:val="false"/>
                <w:sz w:val="13"/>
              </w:rPr>
              <w:t>(4)</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10"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41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Total return based on net asset</w:t>
              <w:br/>
              <w:t xml:space="preserve">   value </w:t>
            </w:r>
            <w:r>
              <w:rPr>
                <w:rFonts w:ascii="Times New Roman;serif" w:hAnsi="Times New Roman;serif"/>
                <w:b w:val="false"/>
                <w:sz w:val="13"/>
              </w:rPr>
              <w:t>(5)</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Outstanding, End of Period</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87,241,231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76,339,515</w:t>
            </w:r>
          </w:p>
        </w:tc>
        <w:tc>
          <w:tcPr>
            <w:tcW w:w="41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 xml:space="preserve">Ratios / Supplemental Data </w:t>
            </w:r>
            <w:r>
              <w:rPr>
                <w:rFonts w:ascii="Times New Roman;serif" w:hAnsi="Times New Roman;serif"/>
                <w:b/>
                <w:sz w:val="13"/>
              </w:rPr>
              <w:t>(6)</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Ratio of net expenses to average</w:t>
              <w:br/>
              <w:t xml:space="preserve">   net assets </w:t>
            </w:r>
            <w:r>
              <w:rPr>
                <w:rFonts w:ascii="Times New Roman;serif" w:hAnsi="Times New Roman;serif"/>
                <w:b w:val="false"/>
                <w:sz w:val="13"/>
              </w:rPr>
              <w:t>(7)</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Ratio of net investment income </w:t>
              <w:br/>
              <w:t>     to average net assets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Portfolio turnover</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assets, end of period</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1,460,529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1,241,959</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The per share data was derived by using the weighted average shares outstanding during the period.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The per share data was derived by using the actual shares outstanding at the date of the relevant transactions. </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Total return based on market value with dividends reinvested is calculated as the change in market value per share during the period plus declared dividends per share, assuming reinvestment of dividends, divided by the beginning market value per share. </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Total return based on market value is calculated as the change in market value per share during the period plus declared dividends per share, divided by the beginning market value per share.</w:t>
      </w:r>
    </w:p>
    <w:p>
      <w:pPr>
        <w:pStyle w:val="TextBody"/>
        <w:bidi w:val="0"/>
        <w:spacing w:before="0" w:after="0"/>
        <w:jc w:val="left"/>
        <w:rPr>
          <w:rFonts w:ascii="Times New Roman" w:hAnsi="Times New Roman"/>
          <w:b w:val="false"/>
          <w:sz w:val="20"/>
        </w:rPr>
      </w:pPr>
      <w:r>
        <w:rPr>
          <w:rFonts w:ascii="Times New Roman" w:hAnsi="Times New Roman"/>
          <w:b w:val="false"/>
          <w:sz w:val="20"/>
        </w:rPr>
        <w:t>(5)</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Total return based on net asset value is calculated as the change in net asset value per share during the period plus declared dividends per share, divided by the beginning net asset value per share. </w:t>
      </w:r>
    </w:p>
    <w:p>
      <w:pPr>
        <w:pStyle w:val="TextBody"/>
        <w:bidi w:val="0"/>
        <w:spacing w:before="0" w:after="0"/>
        <w:jc w:val="left"/>
        <w:rPr>
          <w:rFonts w:ascii="Times New Roman" w:hAnsi="Times New Roman"/>
          <w:b w:val="false"/>
          <w:sz w:val="20"/>
        </w:rPr>
      </w:pPr>
      <w:r>
        <w:rPr>
          <w:rFonts w:ascii="Times New Roman" w:hAnsi="Times New Roman"/>
          <w:b w:val="false"/>
          <w:sz w:val="20"/>
        </w:rPr>
        <w:t>(6)</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ratios reflect an annualized amount.</w:t>
      </w:r>
    </w:p>
    <w:p>
      <w:pPr>
        <w:pStyle w:val="TextBody"/>
        <w:bidi w:val="0"/>
        <w:spacing w:before="0" w:after="0"/>
        <w:jc w:val="left"/>
        <w:rPr>
          <w:rFonts w:ascii="Times New Roman" w:hAnsi="Times New Roman"/>
          <w:b w:val="false"/>
          <w:sz w:val="20"/>
        </w:rPr>
      </w:pPr>
      <w:r>
        <w:rPr>
          <w:rFonts w:ascii="Times New Roman" w:hAnsi="Times New Roman"/>
          <w:b w:val="false"/>
          <w:sz w:val="20"/>
        </w:rPr>
        <w:t>(7)</w:t>
      </w:r>
    </w:p>
    <w:p>
      <w:pPr>
        <w:pStyle w:val="TextBody"/>
        <w:bidi w:val="0"/>
        <w:spacing w:before="0" w:after="0"/>
        <w:jc w:val="left"/>
        <w:rPr>
          <w:rFonts w:ascii="Times New Roman;serif" w:hAnsi="Times New Roman;serif"/>
          <w:sz w:val="24"/>
        </w:rPr>
      </w:pPr>
      <w:r>
        <w:rPr>
          <w:rFonts w:ascii="Times New Roman;serif" w:hAnsi="Times New Roman;serif"/>
          <w:b w:val="false"/>
          <w:sz w:val="20"/>
        </w:rPr>
        <w:t>The ratio of net expenses to average net assets in the table above reflects the Adviser’s waivers of its right to receive a portion of the Management Fee pursuant to the Leverage Waiver for the six months ended June 30, 2023 and 2022. Excluding the effects of the waivers, the ratio of net expenses to average net assets would have been 16.30%</w:t>
      </w:r>
      <w:r>
        <w:rPr>
          <w:rFonts w:ascii="Times New Roman;serif" w:hAnsi="Times New Roman;serif"/>
          <w:sz w:val="24"/>
        </w:rPr>
        <w:t xml:space="preserve"> </w:t>
      </w:r>
      <w:r>
        <w:rPr>
          <w:rFonts w:ascii="Times New Roman;serif" w:hAnsi="Times New Roman;serif"/>
          <w:b w:val="false"/>
          <w:sz w:val="20"/>
        </w:rPr>
        <w:t xml:space="preserve">and 8.65%, respectively, for the six months ended June 30, 2023 and 2022. </w:t>
      </w:r>
    </w:p>
    <w:p>
      <w:pPr>
        <w:pStyle w:val="TextBody"/>
        <w:bidi w:val="0"/>
        <w:spacing w:before="0" w:after="0"/>
        <w:jc w:val="left"/>
        <w:rPr>
          <w:rFonts w:ascii="Times New Roman" w:hAnsi="Times New Roman"/>
          <w:b w:val="false"/>
          <w:sz w:val="20"/>
        </w:rPr>
      </w:pPr>
      <w:r>
        <w:rPr>
          <w:rFonts w:ascii="Times New Roman" w:hAnsi="Times New Roman"/>
          <w:b w:val="false"/>
          <w:sz w:val="20"/>
        </w:rPr>
        <w:t>(8)</w:t>
      </w:r>
    </w:p>
    <w:p>
      <w:pPr>
        <w:pStyle w:val="TextBody"/>
        <w:bidi w:val="0"/>
        <w:jc w:val="left"/>
        <w:rPr>
          <w:rFonts w:ascii="Times New Roman;serif" w:hAnsi="Times New Roman;serif"/>
          <w:b w:val="false"/>
          <w:sz w:val="20"/>
        </w:rPr>
      </w:pPr>
      <w:r>
        <w:rPr>
          <w:rFonts w:ascii="Times New Roman;serif" w:hAnsi="Times New Roman;serif"/>
          <w:b w:val="false"/>
          <w:sz w:val="20"/>
        </w:rPr>
        <w:t>Table may not sum due to rounding.</w:t>
      </w:r>
    </w:p>
    <w:p>
      <w:pPr>
        <w:pStyle w:val="TextBody"/>
        <w:bidi w:val="0"/>
        <w:spacing w:before="0" w:after="0"/>
        <w:jc w:val="left"/>
        <w:rPr/>
      </w:pPr>
      <w:r>
        <w:rPr/>
        <w:t> </w:t>
      </w:r>
    </w:p>
    <w:p>
      <w:pPr>
        <w:pStyle w:val="TextBody"/>
        <w:bidi w:val="0"/>
        <w:spacing w:before="160" w:after="0"/>
        <w:jc w:val="left"/>
        <w:rPr>
          <w:rFonts w:ascii="Times New Roman;serif" w:hAnsi="Times New Roman;serif"/>
          <w:b/>
          <w:sz w:val="20"/>
        </w:rPr>
      </w:pPr>
      <w:r>
        <w:rPr>
          <w:rFonts w:ascii="Times New Roman;serif" w:hAnsi="Times New Roman;serif"/>
          <w:b/>
          <w:sz w:val="20"/>
        </w:rPr>
        <w:t>13. Subsequent Events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six months ended June 30,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pStyle w:val="TextBody"/>
        <w:bidi w:val="0"/>
        <w:spacing w:before="12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in which we hold assets that were previously used to support our asset-backed credit facility, Sixth Street SL Holding, LLC, a Delaware limited liability company, in which we hold certain investments, and Sixth Street Specialty Lending Sub, LLC, a Cayman Islands limited liability company, in which we plan to hold certain investments.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have elected to be regulated as a BDC under the 1940 Act and as a RIC under the Code. We made our BDC election on April 15, 2011. As a result, we are required to comply with various statutory and regulatory requirements, such as: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requirement to invest at least 70% of our assets in “qualifying assets”;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source of income limitations;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asset diversification requirements;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requirement to distribute (or be treated as distributing) in each taxable year at least 90% of our investment company taxable income and tax-exempt interest for that taxable year. </w:t>
      </w:r>
    </w:p>
    <w:p>
      <w:pPr>
        <w:pStyle w:val="TextBody"/>
        <w:bidi w:val="0"/>
        <w:spacing w:before="240" w:after="0"/>
        <w:jc w:val="left"/>
        <w:rPr>
          <w:rFonts w:ascii="Times New Roman" w:hAnsi="Times New Roman"/>
          <w:sz w:val="20"/>
        </w:rPr>
      </w:pPr>
      <w:r>
        <w:rPr>
          <w:rFonts w:ascii="Times New Roman;serif" w:hAnsi="Times New Roman;serif"/>
          <w:b w:val="false"/>
          <w:sz w:val="20"/>
        </w:rPr>
        <w:t>Our shares are listed on the NYSE under the symbol “TSLX.”</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Our Investment Framework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 specialty finance company focused on lending to middle-market companies. Since we began our investment activities in July 2011, through June 30, 2023, we have originated more than $27.6 billion aggregate principal amount of investments and retained approximately $9.6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By “middle-market companies,” we mean companies that have annual EBITDA, which we believe is a useful proxy for cash flow, of $10 million to $250 million, although we may invest in larger or smaller companies on occasion. As of June 30, 2023, our core portfolio companies, which exclude certain investments that fall outside of our typical borrower profile and represent 91.3% of our total investments based on fair value, had weighted average annual revenue of $205.3 million and weighted average annual EBITDA of $67.3 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companies in which we invest use our capital to support organic growth, acquisitions, market or product expansion and recapitalizations (including restructurings). As of June 30, 2023, the largest single investment based on fair value represented 2.5% of our total investment portfolio.</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the average investment size in each of our portfolio companies was approximately $23.8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$35.3 million as of June 30,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Through our Adviser, we consider potential investments utilizing a four-tiered investment framework and against our existing portfolio as a whole: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Business and sector selection.</w:t>
      </w:r>
      <w:r>
        <w:rPr>
          <w:rFonts w:ascii="Times New Roman" w:hAnsi="Times New Roman"/>
          <w:sz w:val="20"/>
        </w:rPr>
        <w:t xml:space="preserve"> </w:t>
      </w:r>
      <w:r>
        <w:rPr>
          <w:rFonts w:ascii="Times New Roman;serif" w:hAnsi="Times New Roman;serif"/>
          <w:b w:val="false"/>
          <w:sz w:val="20"/>
        </w:rPr>
        <w:t>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the largest industry represented 15.7% of our total investment portfolio based on fair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Investment Structuring.</w:t>
      </w:r>
      <w:r>
        <w:rPr>
          <w:rFonts w:ascii="Times New Roman" w:hAnsi="Times New Roman"/>
          <w:sz w:val="20"/>
        </w:rPr>
        <w:t xml:space="preserve"> </w:t>
      </w:r>
      <w:r>
        <w:rPr>
          <w:rFonts w:ascii="Times New Roman;serif" w:hAnsi="Times New Roman;serif"/>
          <w:b w:val="false"/>
          <w:sz w:val="20"/>
        </w:rPr>
        <w:t>We focus on investing at the top of the capital structure and protecting that position. As of June 30, 2023, approximately 91.9% of our portfolio was invested in secured debt, including 90.6%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six months ended June 30, 2023, the weighted average term on new investment commitments in new portfolio companies was 6.7 years.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Deal Dynamics.</w:t>
      </w:r>
      <w:r>
        <w:rPr>
          <w:rFonts w:ascii="Times New Roman" w:hAnsi="Times New Roman"/>
          <w:sz w:val="20"/>
        </w:rPr>
        <w:t xml:space="preserve"> </w:t>
      </w:r>
      <w:r>
        <w:rPr>
          <w:rFonts w:ascii="Times New Roman;serif" w:hAnsi="Times New Roman;serif"/>
          <w:b w:val="false"/>
          <w:sz w:val="20"/>
        </w:rPr>
        <w:t>We focus on, among other deal dynamics, direct origination of investments, where we identify and lead the investment transaction. A substantial majority of our portfolio investments are sourced through our direct or proprietary relationships.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Risk Mitigation. </w:t>
      </w:r>
      <w:r>
        <w:rPr>
          <w:rFonts w:ascii="Times New Roman;serif" w:hAnsi="Times New Roman;serif"/>
          <w:b w:val="false"/>
          <w:sz w:val="20"/>
        </w:rPr>
        <w:t>We seek to mitigate non-credit-related risk on our returns in several ways, including call protection provisions to protect future interest income. As of June 30, 2023, we had call protection on 76.6% of our debt investments based on fair value, with weighted average call prices of 107.0% for the first year, 103.6% for the second year and 101.2% for the third year, in each case from the date of the initial investment. As of June 30, 2023, 99.2%</w:t>
      </w:r>
      <w:r>
        <w:rPr>
          <w:rFonts w:ascii="Times New Roman" w:hAnsi="Times New Roman"/>
          <w:sz w:val="20"/>
        </w:rPr>
        <w:t xml:space="preserve"> </w:t>
      </w:r>
      <w:r>
        <w:rPr>
          <w:rFonts w:ascii="Times New Roman;serif" w:hAnsi="Times New Roman;serif"/>
          <w:b w:val="false"/>
          <w:sz w:val="20"/>
        </w:rPr>
        <w:t>of our debt investments based on fair value bore interest at floating rates, with 100.0% of these subject to interest rate floors, which we believe helps act as a portfolio-wide hedge against inflation.</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Relationship with our Adviser and Sixth Street</w:t>
      </w:r>
    </w:p>
    <w:p>
      <w:pPr>
        <w:pStyle w:val="TextBody"/>
        <w:bidi w:val="0"/>
        <w:spacing w:before="120" w:after="0"/>
        <w:jc w:val="left"/>
        <w:rPr>
          <w:rFonts w:ascii="Times New Roman" w:hAnsi="Times New Roman"/>
          <w:sz w:val="20"/>
        </w:rPr>
      </w:pPr>
      <w:r>
        <w:rPr>
          <w:rFonts w:ascii="Times New Roman;serif" w:hAnsi="Times New Roman;serif"/>
          <w:b w:val="false"/>
          <w:sz w:val="20"/>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Sixth Street is a global investment business with over $65 billion of assets under management as of June 30, 2023.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June 30, 2023, forty-nine (49) of these personnel are dedicated to direct lending, including thirty-seven (37) investment professionals.</w:t>
      </w:r>
    </w:p>
    <w:p>
      <w:pPr>
        <w:pStyle w:val="TextBody"/>
        <w:bidi w:val="0"/>
        <w:spacing w:before="240" w:after="0"/>
        <w:jc w:val="left"/>
        <w:rPr>
          <w:rFonts w:ascii="Times New Roman" w:hAnsi="Times New Roman"/>
          <w:sz w:val="20"/>
        </w:rPr>
      </w:pPr>
      <w:r>
        <w:rPr>
          <w:rFonts w:ascii="Times New Roman;serif" w:hAnsi="Times New Roman;serif"/>
          <w:b w:val="false"/>
          <w:sz w:val="20"/>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pStyle w:val="TextBody"/>
        <w:bidi w:val="0"/>
        <w:spacing w:before="240" w:after="0"/>
        <w:jc w:val="left"/>
        <w:rPr>
          <w:rFonts w:ascii="Times New Roman" w:hAnsi="Times New Roman"/>
          <w:sz w:val="20"/>
        </w:rPr>
      </w:pPr>
      <w:r>
        <w:rPr>
          <w:rFonts w:ascii="Times New Roman;serif" w:hAnsi="Times New Roman;serif"/>
          <w:b w:val="false"/>
          <w:sz w:val="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Key Components of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Investments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focus primarily on the direct origination of loans to middle-market companies domiciled in the United States.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as part of our risk strategy on investments, we may reduce certain levels of investments through partial sales or syndication to additional investors.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Revenues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June 30, 2023, 99.2%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three and six months ended June 30, 2023, 4.3% and 3.7%, respectively, of our total investment income was comprised of PIK interest.</w:t>
      </w:r>
    </w:p>
    <w:p>
      <w:pPr>
        <w:pStyle w:val="TextBody"/>
        <w:bidi w:val="0"/>
        <w:spacing w:before="240" w:after="0"/>
        <w:jc w:val="left"/>
        <w:rPr>
          <w:rFonts w:ascii="Times New Roman" w:hAnsi="Times New Roman"/>
          <w:sz w:val="20"/>
        </w:rPr>
      </w:pPr>
      <w:r>
        <w:rPr>
          <w:rFonts w:ascii="Times New Roman;serif" w:hAnsi="Times New Roman;serif"/>
          <w:b w:val="false"/>
          <w:sz w:val="20"/>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2024 Notes and 2026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investments made during that period—often are idiosyncratic, and reflect the characteristics of the particular portfolio companies that we invested in or exited during the period and not necessarily any trends in our business.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0"/>
        <w:jc w:val="left"/>
        <w:rPr>
          <w:rFonts w:ascii="Times New Roman" w:hAnsi="Times New Roman"/>
          <w:sz w:val="20"/>
        </w:rPr>
      </w:pPr>
      <w:r>
        <w:rPr>
          <w:rFonts w:ascii="Times New Roman;serif" w:hAnsi="Times New Roman;serif"/>
          <w:b w:val="false"/>
          <w:sz w:val="20"/>
        </w:rPr>
        <w:t>Dividend income on common equity investments is recorded on the record date for private portfolio companies or on the ex-dividend date for publicly traded portfolio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calculating individual asset values and our net asset value (including the cost and expenses of any independent valuation firms);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any public offerings of our common stock and other securities, including registration and listing fees;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Management Fee and any Incentive Fee;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certain costs and expenses relating to distributions paid on our shares;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administration fees payable under our Administration Agreement;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debt service and other costs of borrowings or other financing arrangements;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Adviser’s allocable share of costs incurred in providing significant managerial assistance to those portfolio companies that request it;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amounts payable to third parties relating to, or associated with, making or holding investments;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transfer agent and custodial fees;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of hedging;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commissions and other compensation payable to brokers or dealers;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taxes;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Independent Director fees and expenses;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any reports, proxy statements or other notices to our stockholders (including printing and mailing costs), the costs of any stockholders’ meetings and the compensation of investor relations personnel responsible for the preparation of the foregoing and related matters;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fidelity bond;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directors and officers/errors and omissions liability insurance, and any other insurance premiums;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indemnification payments;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direct costs and expenses of administration, including audit, accounting, consulting and legal costs;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all other expenses reasonably incurred by us in connection with making investments and administering our business. </w:t>
      </w:r>
    </w:p>
    <w:p>
      <w:pPr>
        <w:pStyle w:val="TextBody"/>
        <w:bidi w:val="0"/>
        <w:spacing w:before="240" w:after="0"/>
        <w:jc w:val="left"/>
        <w:rPr>
          <w:rFonts w:ascii="Times New Roman" w:hAnsi="Times New Roman"/>
          <w:sz w:val="20"/>
        </w:rPr>
      </w:pPr>
      <w:r>
        <w:rPr>
          <w:rFonts w:ascii="Times New Roman;serif" w:hAnsi="Times New Roman;serif"/>
          <w:b w:val="false"/>
          <w:sz w:val="20"/>
        </w:rPr>
        <w:t>We expect that during periods of asset growth, our general and administrative expenses will be relatively stable or will decline as a percentage of total assets, and will increase as a percentage of total assets during periods of asset declines.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Leverage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Market Trends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0"/>
        <w:jc w:val="left"/>
        <w:rPr>
          <w:rFonts w:ascii="Times New Roman" w:hAnsi="Times New Roman"/>
          <w:sz w:val="20"/>
        </w:rPr>
      </w:pPr>
      <w:r>
        <w:rPr>
          <w:rFonts w:ascii="Times New Roman;serif" w:hAnsi="Times New Roman;serif"/>
          <w:b w:val="false"/>
          <w:sz w:val="20"/>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Portfolio and Investment Activity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our portfolio based on fair value consisted of 90.6% first-lien debt investments, 1.3% second-lien investments, 1.3% mezzanine debt investments, 5.0% equity and other investments and 1.8% structured credit investments. As of December 31, 2022, our portfolio based on fair value consisted of 90.3% first-lien debt investments, 1.5% second-lien debt investments, 0.4% mezzanine investments, 6.0% equity and other investments and 1.8% structured credit investments.</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and December 31, 2022, our weighted average total yield of debt and income producing securities at fair value (which includes interest income and amortization of fees and discounts) was 14.0% and 13.5%, respectively, and our weighted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average total yield of debt and income-producing securities at amortized cost (which includes interest income and amortization of fees and discounts) was 14.1% and 13.4%, respectively.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and December 31, 2022, we had investments in 130 portfolio companies (including 44 structured credit investments, which include each series of collateralized loan obligation as a separate portfolio company investment) and 121 portfolio companies (including 43 structured credit investments, which include each series of collateralized loan obligation as a separate portfolio company investment), respectively, with an aggregate fair value of $3,089.0 million and $2,787.9 million, respectively.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months ended June 30, 2023, the principal amount of new investments funded was $240.0 million in six new portfolio companies and four existing portfolio companies. For this period, we had $114.0 million aggregate principal amount in exits and repayments.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months ended June 30, 2022, the principal amount of new investments funded was $324.8 million in 30 new portfolio companies and two existing portfolio companies. For this period, we had $212.0 million aggregate principal amount in exits and repayments.</w:t>
      </w:r>
    </w:p>
    <w:p>
      <w:pPr>
        <w:pStyle w:val="TextBody"/>
        <w:bidi w:val="0"/>
        <w:spacing w:before="240" w:after="0"/>
        <w:jc w:val="left"/>
        <w:rPr>
          <w:rFonts w:ascii="Times New Roman" w:hAnsi="Times New Roman"/>
          <w:sz w:val="20"/>
        </w:rPr>
      </w:pPr>
      <w:r>
        <w:rPr>
          <w:rFonts w:ascii="Times New Roman;serif" w:hAnsi="Times New Roman;serif"/>
          <w:b w:val="false"/>
          <w:sz w:val="20"/>
        </w:rPr>
        <w:t>Our investment activity for the six months ended June 30, 2023 and 2022 is presented below (information presented herein is at par value unless otherwise indicated).</w:t>
      </w:r>
      <w:r>
        <w:rPr>
          <w:rFonts w:ascii="Times New Roman" w:hAnsi="Times New Roman"/>
          <w:sz w:val="20"/>
        </w:rPr>
        <w:t xml:space="preserve"> </w:t>
      </w:r>
    </w:p>
    <w:p>
      <w:pPr>
        <w:pStyle w:val="TextBody"/>
        <w:bidi w:val="0"/>
        <w:spacing w:before="0" w:after="0"/>
        <w:jc w:val="left"/>
        <w:rPr/>
      </w:pPr>
      <w:r>
        <w:rPr/>
        <w:t> </w:t>
      </w:r>
    </w:p>
    <w:tbl>
      <w:tblPr>
        <w:tblW w:w="7980" w:type="dxa"/>
        <w:jc w:val="left"/>
        <w:tblInd w:w="0" w:type="dxa"/>
        <w:tblLayout w:type="fixed"/>
        <w:tblCellMar>
          <w:top w:w="28" w:type="dxa"/>
          <w:left w:w="28" w:type="dxa"/>
          <w:bottom w:w="28" w:type="dxa"/>
          <w:right w:w="28" w:type="dxa"/>
        </w:tblCellMar>
      </w:tblPr>
      <w:tblGrid>
        <w:gridCol w:w="4576"/>
        <w:gridCol w:w="146"/>
        <w:gridCol w:w="254"/>
        <w:gridCol w:w="871"/>
        <w:gridCol w:w="271"/>
        <w:gridCol w:w="146"/>
        <w:gridCol w:w="254"/>
        <w:gridCol w:w="871"/>
        <w:gridCol w:w="5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New investment commitments: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57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Gross originations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1,522.9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1,569.3</w:t>
            </w:r>
          </w:p>
        </w:tc>
        <w:tc>
          <w:tcPr>
            <w:tcW w:w="591" w:type="dxa"/>
            <w:tcBorders/>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Less: Syndications/sell downs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new investment commitments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378.9</w:t>
            </w:r>
          </w:p>
        </w:tc>
        <w:tc>
          <w:tcPr>
            <w:tcW w:w="5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Principal amount of investments funded:</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First-lien</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267.5</w:t>
            </w:r>
          </w:p>
        </w:tc>
        <w:tc>
          <w:tcPr>
            <w:tcW w:w="591" w:type="dxa"/>
            <w:tcBorders/>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Second-lien</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Mezzanine</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 and other</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w:t>
            </w:r>
          </w:p>
        </w:tc>
        <w:tc>
          <w:tcPr>
            <w:tcW w:w="591" w:type="dxa"/>
            <w:tcBorders/>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Structured Credit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324.8</w:t>
            </w:r>
          </w:p>
        </w:tc>
        <w:tc>
          <w:tcPr>
            <w:tcW w:w="5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Principal amount of investments sold or repaid:</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First-lien</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211.6</w:t>
            </w:r>
          </w:p>
        </w:tc>
        <w:tc>
          <w:tcPr>
            <w:tcW w:w="591" w:type="dxa"/>
            <w:tcBorders/>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Second-lien</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Mezzanine</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 and other</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591" w:type="dxa"/>
            <w:tcBorders/>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Structured Credit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Number of new investment commitments in</w:t>
              <w:br/>
              <w:t>   new portfolio companies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5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Average new investment commitment amount in</w:t>
              <w:br/>
              <w:t>   new portfolio companies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5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term for new investment</w:t>
              <w:br/>
              <w:t>   commitments in new portfolio companies</w:t>
              <w:br/>
              <w:t>   (in years)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5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Percentage of new debt investment commitments </w:t>
              <w:br/>
              <w:t>   at floating rates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interest rate of new</w:t>
              <w:br/>
              <w:t>   investment commitments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Weighted average spread over reference rate of new </w:t>
              <w:br/>
              <w:t>   floating rate investment commitments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interest rate on investments</w:t>
              <w:br/>
              <w:t>   fully sold or paid down</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Includes affiliates of Sixth Street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and December 31, 2022, our investments consisted of the following:</w:t>
      </w:r>
      <w:r>
        <w:rPr>
          <w:rFonts w:ascii="Times New Roman" w:hAnsi="Times New Roman"/>
          <w:sz w:val="20"/>
        </w:rPr>
        <w:t xml:space="preserve"> </w:t>
      </w:r>
    </w:p>
    <w:p>
      <w:pPr>
        <w:pStyle w:val="TextBody"/>
        <w:bidi w:val="0"/>
        <w:spacing w:before="0" w:after="0"/>
        <w:jc w:val="left"/>
        <w:rPr/>
      </w:pPr>
      <w:r>
        <w:rPr/>
        <w:t> </w:t>
      </w:r>
    </w:p>
    <w:tbl>
      <w:tblPr>
        <w:tblW w:w="8588" w:type="dxa"/>
        <w:jc w:val="left"/>
        <w:tblInd w:w="0" w:type="dxa"/>
        <w:tblLayout w:type="fixed"/>
        <w:tblCellMar>
          <w:top w:w="28" w:type="dxa"/>
          <w:left w:w="28" w:type="dxa"/>
          <w:bottom w:w="28" w:type="dxa"/>
          <w:right w:w="28" w:type="dxa"/>
        </w:tblCellMar>
      </w:tblPr>
      <w:tblGrid>
        <w:gridCol w:w="2521"/>
        <w:gridCol w:w="146"/>
        <w:gridCol w:w="211"/>
        <w:gridCol w:w="721"/>
        <w:gridCol w:w="246"/>
        <w:gridCol w:w="146"/>
        <w:gridCol w:w="282"/>
        <w:gridCol w:w="963"/>
        <w:gridCol w:w="246"/>
        <w:gridCol w:w="146"/>
        <w:gridCol w:w="211"/>
        <w:gridCol w:w="721"/>
        <w:gridCol w:w="246"/>
        <w:gridCol w:w="146"/>
        <w:gridCol w:w="282"/>
        <w:gridCol w:w="963"/>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6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2,800.2</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2,783.5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2,517.9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2,529.3</w:t>
            </w:r>
          </w:p>
        </w:tc>
        <w:tc>
          <w:tcPr>
            <w:tcW w:w="3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3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142.1</w:t>
            </w:r>
          </w:p>
        </w:tc>
        <w:tc>
          <w:tcPr>
            <w:tcW w:w="3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Structured credit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3,089.0</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3,065.4</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2,787.9</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2,774.7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following tables show the fair value and amortized cost of our performing and non-accrual investments as of June 30, 2023 and December 31, 2022:</w:t>
      </w:r>
      <w:r>
        <w:rPr>
          <w:rFonts w:ascii="Times New Roman" w:hAnsi="Times New Roman"/>
          <w:sz w:val="20"/>
        </w:rPr>
        <w:t xml:space="preserve"> </w:t>
      </w:r>
    </w:p>
    <w:p>
      <w:pPr>
        <w:pStyle w:val="TextBody"/>
        <w:bidi w:val="0"/>
        <w:spacing w:before="0" w:after="0"/>
        <w:jc w:val="left"/>
        <w:rPr/>
      </w:pPr>
      <w:r>
        <w:rPr/>
        <w:t> </w:t>
      </w:r>
    </w:p>
    <w:tbl>
      <w:tblPr>
        <w:tblW w:w="6855" w:type="dxa"/>
        <w:jc w:val="left"/>
        <w:tblInd w:w="0" w:type="dxa"/>
        <w:tblLayout w:type="fixed"/>
        <w:tblCellMar>
          <w:top w:w="28" w:type="dxa"/>
          <w:left w:w="28" w:type="dxa"/>
          <w:bottom w:w="28" w:type="dxa"/>
          <w:right w:w="28" w:type="dxa"/>
        </w:tblCellMar>
      </w:tblPr>
      <w:tblGrid>
        <w:gridCol w:w="1321"/>
        <w:gridCol w:w="146"/>
        <w:gridCol w:w="211"/>
        <w:gridCol w:w="721"/>
        <w:gridCol w:w="246"/>
        <w:gridCol w:w="146"/>
        <w:gridCol w:w="186"/>
        <w:gridCol w:w="730"/>
        <w:gridCol w:w="371"/>
        <w:gridCol w:w="146"/>
        <w:gridCol w:w="211"/>
        <w:gridCol w:w="721"/>
        <w:gridCol w:w="246"/>
        <w:gridCol w:w="1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4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Performing</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3,069.6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Non-accrual</w:t>
            </w:r>
            <w:r>
              <w:rPr>
                <w:rFonts w:ascii="Times New Roman" w:hAnsi="Times New Roman"/>
                <w:sz w:val="20"/>
              </w:rPr>
              <w:t>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3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3,089.0</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7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2,787.9</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7271" w:type="dxa"/>
        <w:jc w:val="left"/>
        <w:tblInd w:w="0" w:type="dxa"/>
        <w:tblLayout w:type="fixed"/>
        <w:tblCellMar>
          <w:top w:w="28" w:type="dxa"/>
          <w:left w:w="28" w:type="dxa"/>
          <w:bottom w:w="28" w:type="dxa"/>
          <w:right w:w="28" w:type="dxa"/>
        </w:tblCellMar>
      </w:tblPr>
      <w:tblGrid>
        <w:gridCol w:w="1141"/>
        <w:gridCol w:w="146"/>
        <w:gridCol w:w="288"/>
        <w:gridCol w:w="957"/>
        <w:gridCol w:w="246"/>
        <w:gridCol w:w="146"/>
        <w:gridCol w:w="203"/>
        <w:gridCol w:w="713"/>
        <w:gridCol w:w="341"/>
        <w:gridCol w:w="146"/>
        <w:gridCol w:w="288"/>
        <w:gridCol w:w="957"/>
        <w:gridCol w:w="246"/>
        <w:gridCol w:w="146"/>
        <w:gridCol w:w="203"/>
        <w:gridCol w:w="713"/>
        <w:gridCol w:w="39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Performing</w:t>
            </w:r>
          </w:p>
        </w:tc>
        <w:tc>
          <w:tcPr>
            <w:tcW w:w="146" w:type="dxa"/>
            <w:tcBorders/>
            <w:vAlign w:val="center"/>
          </w:tcPr>
          <w:p>
            <w:pPr>
              <w:pStyle w:val="TableContents"/>
              <w:bidi w:val="0"/>
              <w:spacing w:before="0" w:after="0"/>
              <w:ind w:left="0" w:right="0" w:hanging="0"/>
              <w:jc w:val="righ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3,037.2</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99.1</w:t>
            </w:r>
          </w:p>
        </w:tc>
        <w:tc>
          <w:tcPr>
            <w:tcW w:w="341"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10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2,772.8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99.9</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4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Non-accrual</w:t>
            </w:r>
            <w:r>
              <w:rPr>
                <w:rFonts w:ascii="Times New Roman" w:hAnsi="Times New Roman"/>
                <w:sz w:val="16"/>
              </w:rPr>
              <w:t>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righ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141"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w:t>
            </w:r>
          </w:p>
        </w:tc>
        <w:tc>
          <w:tcPr>
            <w:tcW w:w="146" w:type="dxa"/>
            <w:tcBorders/>
            <w:vAlign w:val="center"/>
          </w:tcPr>
          <w:p>
            <w:pPr>
              <w:pStyle w:val="TableContents"/>
              <w:bidi w:val="0"/>
              <w:spacing w:before="0" w:after="0"/>
              <w:ind w:left="0" w:right="0" w:hanging="0"/>
              <w:jc w:val="righ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3,065.4</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34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10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2,774.7</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pPr>
      <w:r>
        <w:rPr>
          <w:rFonts w:ascii="Times New Roman;serif" w:hAnsi="Times New Roman;serif"/>
          <w:b w:val="false"/>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t>“–</w:t>
      </w:r>
      <w:r>
        <w:rPr>
          <w:rFonts w:ascii="Times New Roman;serif" w:hAnsi="Times New Roman;serif"/>
          <w:b w:val="false"/>
          <w:i/>
          <w:sz w:val="20"/>
        </w:rPr>
        <w:t>Critical Accounting Policies – Interest and Dividend Income Recognition.”</w:t>
      </w:r>
    </w:p>
    <w:p>
      <w:pPr>
        <w:pStyle w:val="TextBody"/>
        <w:bidi w:val="0"/>
        <w:spacing w:before="0" w:after="0"/>
        <w:jc w:val="left"/>
        <w:rPr>
          <w:rFonts w:ascii="Times New Roman" w:hAnsi="Times New Roman"/>
          <w:sz w:val="20"/>
        </w:rPr>
      </w:pPr>
      <w:r>
        <w:rPr>
          <w:rFonts w:ascii="Times New Roman;serif" w:hAnsi="Times New Roman;serif"/>
          <w:b w:val="false"/>
          <w:sz w:val="20"/>
        </w:rPr>
        <w:t>The weighted average yields and interest rates of our performing debt investments at fair value as of June 30, 2023 and December 31, 2022 were as follows:</w:t>
      </w:r>
      <w:r>
        <w:rPr>
          <w:rFonts w:ascii="Times New Roman" w:hAnsi="Times New Roman"/>
          <w:sz w:val="20"/>
        </w:rPr>
        <w:t xml:space="preserve"> </w:t>
      </w:r>
    </w:p>
    <w:p>
      <w:pPr>
        <w:pStyle w:val="TextBody"/>
        <w:bidi w:val="0"/>
        <w:spacing w:before="0" w:after="0"/>
        <w:jc w:val="left"/>
        <w:rPr/>
      </w:pPr>
      <w:r>
        <w:rPr/>
        <w:t> </w:t>
      </w:r>
    </w:p>
    <w:tbl>
      <w:tblPr>
        <w:tblW w:w="8450" w:type="dxa"/>
        <w:jc w:val="left"/>
        <w:tblInd w:w="0" w:type="dxa"/>
        <w:tblLayout w:type="fixed"/>
        <w:tblCellMar>
          <w:top w:w="28" w:type="dxa"/>
          <w:left w:w="28" w:type="dxa"/>
          <w:bottom w:w="28" w:type="dxa"/>
          <w:right w:w="28" w:type="dxa"/>
        </w:tblCellMar>
      </w:tblPr>
      <w:tblGrid>
        <w:gridCol w:w="4846"/>
        <w:gridCol w:w="146"/>
        <w:gridCol w:w="268"/>
        <w:gridCol w:w="857"/>
        <w:gridCol w:w="371"/>
        <w:gridCol w:w="146"/>
        <w:gridCol w:w="357"/>
        <w:gridCol w:w="1143"/>
        <w:gridCol w:w="316"/>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4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Weighted average total yield of debt and income</w:t>
              <w:br/>
              <w:t xml:space="preserve">   producing securities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interest rate of debt and income</w:t>
              <w:br/>
              <w:t>   producing securities</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spread over reference rate of all floating</w:t>
              <w:br/>
              <w:t>   rate investments</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 xml:space="preserve">Weighted average total portfolio yield at fair value was 13.3% at June 30, 2023 and 12.8% at December 31, 2022. </w:t>
      </w:r>
    </w:p>
    <w:p>
      <w:pPr>
        <w:pStyle w:val="TextBody"/>
        <w:bidi w:val="0"/>
        <w:spacing w:before="240" w:after="0"/>
        <w:jc w:val="left"/>
        <w:rPr>
          <w:rFonts w:ascii="Times New Roman" w:hAnsi="Times New Roman"/>
          <w:sz w:val="20"/>
        </w:rPr>
      </w:pPr>
      <w:r>
        <w:rPr>
          <w:rFonts w:ascii="Times New Roman;serif" w:hAnsi="Times New Roman;serif"/>
          <w:b w:val="false"/>
          <w:sz w:val="20"/>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assessment of success of the portfolio company in adhering to its business plan and compliance with covenants;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periodic and regular contact with portfolio company management and, if appropriate, the financial or strategic sponsor, to discuss financial position, requirements and accomplishments;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comparisons to other companies in the industry;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attendance at, and participation in, board meetings;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review of monthly and quarterly financial statements and financial projections for portfolio companies.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shows the distribution of our investments on the 1 to 5 investment performance rating scale at fair value as of June 30, 2023 and December 31, 2022. Investment performance ratings are accurate only as of those dates and may change due to subsequent developments relating to a portfolio company’s business or financial condition, market conditions or developments, and other factors.</w:t>
      </w:r>
      <w:r>
        <w:rPr>
          <w:rFonts w:ascii="Times New Roman" w:hAnsi="Times New Roman"/>
          <w:sz w:val="20"/>
        </w:rPr>
        <w:t xml:space="preserve"> </w:t>
      </w:r>
    </w:p>
    <w:p>
      <w:pPr>
        <w:pStyle w:val="TextBody"/>
        <w:bidi w:val="0"/>
        <w:spacing w:before="0" w:after="0"/>
        <w:jc w:val="left"/>
        <w:rPr/>
      </w:pPr>
      <w:r>
        <w:rPr/>
        <w:t> </w:t>
      </w:r>
    </w:p>
    <w:tbl>
      <w:tblPr>
        <w:tblW w:w="7685" w:type="dxa"/>
        <w:jc w:val="left"/>
        <w:tblInd w:w="0" w:type="dxa"/>
        <w:tblLayout w:type="fixed"/>
        <w:tblCellMar>
          <w:top w:w="28" w:type="dxa"/>
          <w:left w:w="28" w:type="dxa"/>
          <w:bottom w:w="28" w:type="dxa"/>
          <w:right w:w="28" w:type="dxa"/>
        </w:tblCellMar>
      </w:tblPr>
      <w:tblGrid>
        <w:gridCol w:w="460"/>
        <w:gridCol w:w="606"/>
        <w:gridCol w:w="146"/>
        <w:gridCol w:w="146"/>
        <w:gridCol w:w="261"/>
        <w:gridCol w:w="894"/>
        <w:gridCol w:w="246"/>
        <w:gridCol w:w="146"/>
        <w:gridCol w:w="243"/>
        <w:gridCol w:w="957"/>
        <w:gridCol w:w="371"/>
        <w:gridCol w:w="146"/>
        <w:gridCol w:w="261"/>
        <w:gridCol w:w="894"/>
        <w:gridCol w:w="246"/>
        <w:gridCol w:w="146"/>
        <w:gridCol w:w="243"/>
        <w:gridCol w:w="957"/>
        <w:gridCol w:w="316"/>
      </w:tblGrid>
      <w:tr>
        <w:trPr/>
        <w:tc>
          <w:tcPr>
            <w:tcW w:w="46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6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06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Performance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w:t>
            </w:r>
          </w:p>
        </w:tc>
        <w:tc>
          <w:tcPr>
            <w:tcW w:w="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w:t>
            </w:r>
          </w:p>
        </w:tc>
        <w:tc>
          <w:tcPr>
            <w:tcW w:w="316" w:type="dxa"/>
            <w:tcBorders/>
            <w:vAlign w:val="center"/>
          </w:tcPr>
          <w:p>
            <w:pPr>
              <w:pStyle w:val="TableContents"/>
              <w:bidi w:val="0"/>
              <w:spacing w:before="0" w:after="0"/>
              <w:ind w:left="0" w:right="0" w:hanging="0"/>
              <w:jc w:val="center"/>
              <w:rPr/>
            </w:pPr>
            <w:r>
              <w:rPr/>
              <w:t> </w:t>
            </w:r>
          </w:p>
        </w:tc>
      </w:tr>
      <w:tr>
        <w:trPr/>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Rating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Portfolio</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Portfolio</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0"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2,718.5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2,472.8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0"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293.6</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316" w:type="dxa"/>
            <w:tcBorders/>
            <w:vAlign w:val="center"/>
          </w:tcPr>
          <w:p>
            <w:pPr>
              <w:pStyle w:val="TableContents"/>
              <w:bidi w:val="0"/>
              <w:spacing w:before="0" w:after="0"/>
              <w:ind w:left="0" w:right="0" w:hanging="0"/>
              <w:jc w:val="left"/>
              <w:rPr/>
            </w:pPr>
            <w:r>
              <w:rPr/>
              <w:t> </w:t>
            </w:r>
          </w:p>
        </w:tc>
      </w:tr>
      <w:tr>
        <w:trPr/>
        <w:tc>
          <w:tcPr>
            <w:tcW w:w="460"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16" w:type="dxa"/>
            <w:tcBorders/>
            <w:vAlign w:val="center"/>
          </w:tcPr>
          <w:p>
            <w:pPr>
              <w:pStyle w:val="TableContents"/>
              <w:bidi w:val="0"/>
              <w:spacing w:before="0" w:after="0"/>
              <w:ind w:left="0" w:right="0" w:hanging="0"/>
              <w:jc w:val="left"/>
              <w:rPr/>
            </w:pPr>
            <w:r>
              <w:rPr/>
              <w:t> </w:t>
            </w:r>
          </w:p>
        </w:tc>
      </w:tr>
      <w:tr>
        <w:trPr/>
        <w:tc>
          <w:tcPr>
            <w:tcW w:w="460"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460"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66"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3,089.0</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7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2,787.9</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results for the three and six months ended June 30, 2023 and 2022 were as follows: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111"/>
        <w:gridCol w:w="146"/>
        <w:gridCol w:w="273"/>
        <w:gridCol w:w="740"/>
        <w:gridCol w:w="346"/>
        <w:gridCol w:w="146"/>
        <w:gridCol w:w="286"/>
        <w:gridCol w:w="713"/>
        <w:gridCol w:w="366"/>
        <w:gridCol w:w="146"/>
        <w:gridCol w:w="273"/>
        <w:gridCol w:w="740"/>
        <w:gridCol w:w="346"/>
        <w:gridCol w:w="146"/>
        <w:gridCol w:w="273"/>
        <w:gridCol w:w="740"/>
        <w:gridCol w:w="414"/>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1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investment income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107.6</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204.1</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131.3</w:t>
            </w:r>
          </w:p>
        </w:tc>
        <w:tc>
          <w:tcPr>
            <w:tcW w:w="414"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expenses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1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investment income before income taxes</w:t>
            </w:r>
          </w:p>
        </w:tc>
        <w:tc>
          <w:tcPr>
            <w:tcW w:w="146" w:type="dxa"/>
            <w:tcBorders/>
            <w:vAlign w:val="center"/>
          </w:tcPr>
          <w:p>
            <w:pPr>
              <w:pStyle w:val="TableContents"/>
              <w:bidi w:val="0"/>
              <w:spacing w:before="0" w:after="0"/>
              <w:ind w:left="20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3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w:t>
            </w:r>
          </w:p>
        </w:tc>
        <w:tc>
          <w:tcPr>
            <w:tcW w:w="36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93.0</w:t>
            </w:r>
          </w:p>
        </w:tc>
        <w:tc>
          <w:tcPr>
            <w:tcW w:w="3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414" w:type="dxa"/>
            <w:tcBorders/>
            <w:vAlign w:val="center"/>
          </w:tcPr>
          <w:p>
            <w:pPr>
              <w:pStyle w:val="TableContents"/>
              <w:bidi w:val="0"/>
              <w:spacing w:before="0" w:after="0"/>
              <w:ind w:left="0" w:right="0" w:firstLine="200"/>
              <w:jc w:val="left"/>
              <w:rPr/>
            </w:pPr>
            <w:r>
              <w:rPr/>
              <w:t> </w:t>
            </w:r>
          </w:p>
        </w:tc>
      </w:tr>
      <w:tr>
        <w:trPr/>
        <w:tc>
          <w:tcPr>
            <w:tcW w:w="41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Less: Income taxes, including excise taxes</w:t>
            </w:r>
          </w:p>
        </w:tc>
        <w:tc>
          <w:tcPr>
            <w:tcW w:w="146" w:type="dxa"/>
            <w:tcBorders/>
            <w:vAlign w:val="center"/>
          </w:tcPr>
          <w:p>
            <w:pPr>
              <w:pStyle w:val="TableContents"/>
              <w:bidi w:val="0"/>
              <w:spacing w:before="0" w:after="0"/>
              <w:ind w:left="20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1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investment income</w:t>
            </w:r>
          </w:p>
        </w:tc>
        <w:tc>
          <w:tcPr>
            <w:tcW w:w="146" w:type="dxa"/>
            <w:tcBorders/>
            <w:vAlign w:val="center"/>
          </w:tcPr>
          <w:p>
            <w:pPr>
              <w:pStyle w:val="TableContents"/>
              <w:bidi w:val="0"/>
              <w:spacing w:before="0" w:after="0"/>
              <w:ind w:left="20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w:t>
            </w:r>
          </w:p>
        </w:tc>
        <w:tc>
          <w:tcPr>
            <w:tcW w:w="3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w:t>
            </w:r>
          </w:p>
        </w:tc>
        <w:tc>
          <w:tcPr>
            <w:tcW w:w="36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3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w:t>
            </w:r>
          </w:p>
        </w:tc>
        <w:tc>
          <w:tcPr>
            <w:tcW w:w="414"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realized gains (losses)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414"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change in unrealized gains (losses)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vAlign w:val="center"/>
          </w:tcPr>
          <w:p>
            <w:pPr>
              <w:pStyle w:val="TableContents"/>
              <w:bidi w:val="0"/>
              <w:spacing w:before="0" w:after="0"/>
              <w:ind w:left="0" w:right="0" w:firstLine="200"/>
              <w:jc w:val="left"/>
              <w:rPr>
                <w:rFonts w:ascii="Times New Roman;serif" w:hAnsi="Times New Roman;serif"/>
                <w:b/>
                <w:sz w:val="20"/>
              </w:rPr>
            </w:pPr>
            <w:r>
              <w:rPr>
                <w:rFonts w:ascii="Times New Roman;serif" w:hAnsi="Times New Roman;serif"/>
                <w:b/>
                <w:sz w:val="20"/>
              </w:rPr>
              <w:t>Net increase (decrease) in net assets resulting from operations</w:t>
            </w:r>
          </w:p>
        </w:tc>
        <w:tc>
          <w:tcPr>
            <w:tcW w:w="146" w:type="dxa"/>
            <w:tcBorders/>
            <w:vAlign w:val="center"/>
          </w:tcPr>
          <w:p>
            <w:pPr>
              <w:pStyle w:val="TableContents"/>
              <w:bidi w:val="0"/>
              <w:spacing w:before="0" w:after="0"/>
              <w:ind w:left="20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36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Includes foreign exchange hedging activity.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Investment Income</w:t>
      </w:r>
      <w:r>
        <w:rPr>
          <w:rFonts w:ascii="Times New Roman" w:hAnsi="Times New Roman"/>
          <w:sz w:val="20"/>
        </w:rPr>
        <w:t xml:space="preserve"> </w:t>
      </w:r>
    </w:p>
    <w:tbl>
      <w:tblPr>
        <w:tblW w:w="8919" w:type="dxa"/>
        <w:jc w:val="left"/>
        <w:tblInd w:w="0" w:type="dxa"/>
        <w:tblLayout w:type="fixed"/>
        <w:tblCellMar>
          <w:top w:w="28" w:type="dxa"/>
          <w:left w:w="28" w:type="dxa"/>
          <w:bottom w:w="28" w:type="dxa"/>
          <w:right w:w="28" w:type="dxa"/>
        </w:tblCellMar>
      </w:tblPr>
      <w:tblGrid>
        <w:gridCol w:w="2406"/>
        <w:gridCol w:w="146"/>
        <w:gridCol w:w="303"/>
        <w:gridCol w:w="822"/>
        <w:gridCol w:w="346"/>
        <w:gridCol w:w="146"/>
        <w:gridCol w:w="350"/>
        <w:gridCol w:w="775"/>
        <w:gridCol w:w="346"/>
        <w:gridCol w:w="146"/>
        <w:gridCol w:w="303"/>
        <w:gridCol w:w="822"/>
        <w:gridCol w:w="346"/>
        <w:gridCol w:w="146"/>
        <w:gridCol w:w="303"/>
        <w:gridCol w:w="822"/>
        <w:gridCol w:w="39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from investments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102.7</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195.9</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w:t>
            </w:r>
          </w:p>
        </w:tc>
        <w:tc>
          <w:tcPr>
            <w:tcW w:w="391" w:type="dxa"/>
            <w:tcBorders/>
            <w:vAlign w:val="center"/>
          </w:tcPr>
          <w:p>
            <w:pPr>
              <w:pStyle w:val="TableContents"/>
              <w:bidi w:val="0"/>
              <w:spacing w:before="0" w:after="0"/>
              <w:ind w:left="0" w:right="0" w:hanging="0"/>
              <w:jc w:val="left"/>
              <w:rPr/>
            </w:pPr>
            <w:r>
              <w:rPr/>
              <w:t> </w:t>
            </w:r>
          </w:p>
        </w:tc>
      </w:tr>
      <w:tr>
        <w:trPr/>
        <w:tc>
          <w:tcPr>
            <w:tcW w:w="2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income</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1" w:type="dxa"/>
            <w:tcBorders/>
            <w:vAlign w:val="center"/>
          </w:tcPr>
          <w:p>
            <w:pPr>
              <w:pStyle w:val="TableContents"/>
              <w:bidi w:val="0"/>
              <w:spacing w:before="0" w:after="0"/>
              <w:ind w:left="0" w:right="0" w:hanging="0"/>
              <w:jc w:val="left"/>
              <w:rPr/>
            </w:pPr>
            <w:r>
              <w:rPr/>
              <w:t> </w:t>
            </w:r>
          </w:p>
        </w:tc>
      </w:tr>
      <w:tr>
        <w:trPr/>
        <w:tc>
          <w:tcPr>
            <w:tcW w:w="2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06" w:type="dxa"/>
            <w:tcBorders/>
            <w:vAlign w:val="center"/>
          </w:tcPr>
          <w:p>
            <w:pPr>
              <w:pStyle w:val="TableContents"/>
              <w:bidi w:val="0"/>
              <w:spacing w:before="0" w:after="0"/>
              <w:ind w:left="0" w:right="0" w:firstLine="200"/>
              <w:jc w:val="left"/>
              <w:rPr>
                <w:rFonts w:ascii="Times New Roman;serif" w:hAnsi="Times New Roman;serif"/>
                <w:b/>
                <w:sz w:val="20"/>
              </w:rPr>
            </w:pPr>
            <w:r>
              <w:rPr>
                <w:rFonts w:ascii="Times New Roman;serif" w:hAnsi="Times New Roman;serif"/>
                <w:b/>
                <w:sz w:val="20"/>
              </w:rPr>
              <w:t>Total investment income</w:t>
            </w:r>
          </w:p>
        </w:tc>
        <w:tc>
          <w:tcPr>
            <w:tcW w:w="146" w:type="dxa"/>
            <w:tcBorders/>
            <w:vAlign w:val="center"/>
          </w:tcPr>
          <w:p>
            <w:pPr>
              <w:pStyle w:val="TableContents"/>
              <w:bidi w:val="0"/>
              <w:spacing w:before="0" w:after="0"/>
              <w:ind w:left="20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107.6</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3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204.1</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Interest from investments, which includes amortization of upfront fees and prepayment fees, increased from $61.2 million for the three months ended June 30, 2022 to $102.7 million for the three months ended June 30, 2023. The increase in interest from investments was primarily the result of an increase in interest earned due to an increase in reference rates for the period ended June 30, 2023 compared to the same period in 2022 and an increase in amendment fees. Accelerated amortization of upfront fees, which were primarily from unscheduled paydowns, decreased from $1.7 million for the three months ended June 30, 2022 to $0.7 million for the three months ended June 30, 2023. Prepayment fees decreased from $1.5 million for the three months ended June 30, 2022 to $0.3 million for the three months ended June 30, 2023. Accelerated amortization of upfront fees and prepayment fees primarily resulted from full paydowns on three portfolio investments, a partial paydown on three portfolio investment, realizations on one portfolio investments, and earning prepayment fees on one portfolio investments during the three months ended June 30, 2022 and from full paydowns on two portfolio investments, partial paydowns on two portfolio investments, a partial realization of two portfolio investments and earning prepayment fees on one portfolio investment during the three months ended June 30, 2023. Other income increased from $1.6 million for the three months ended June 30, 2022 to $4.1 million for the three months ended June 30, 2023, primarily due to increased amendment fees during the three months ended June 30, 2023 compared to the same period in 2022.</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Interest from investments, which includes amortization of upfront fees and prepayment fees, increased from $126.6 million for the six months ended June 30, 2022 to $195.9 million for the six months ended June 30, 2023. The increase in interest from investments was primarily the result of an increase in interest earned due to an increase in reference rates for the period ended June 30, 2023 compared to the same period in 2022 and an increase in amendment fees. Accelerated amortization of upfront fees from unscheduled paydowns decreased from $3.4 million for the six months ended June 30, 2022 to $1.6 million for the six months ended June 30, 2022. Prepayment fees decreased from $6.6 million for the six months ended June 30, 2022 to $0.3 million for the six months ended June 30, 2023. Accelerated amortization of upfront fees and prepayment fees primarily resulted from full paydowns on seven portfolio investments, partial paydowns on seven portfolio investments, a partial realization of one portfolio investment, a realization of one portfolio investments and earning prepayment fees on eight portfolio investments during the six months ended June 30, 2022 and full paydowns on four portfolio investments, partial paydowns on four portfolio investments, a partial realization of three portfolio investments and earning prepayment fees on two portfolio investments during the six months ended June 30, 2023. Other income increased from $3.3 million for the six months ended June 30, 2022 to $6.8 million for the six months ended June 30, 2023, primarily due to increased miscellaneous fees earned during the six months ended June 30, 2023 compared to the same period in 2022.</w:t>
      </w:r>
    </w:p>
    <w:p>
      <w:pPr>
        <w:pStyle w:val="TextBody"/>
        <w:bidi w:val="0"/>
        <w:spacing w:before="360" w:after="0"/>
        <w:jc w:val="left"/>
        <w:rPr>
          <w:rFonts w:ascii="Times New Roman" w:hAnsi="Times New Roman"/>
          <w:sz w:val="20"/>
        </w:rPr>
      </w:pPr>
      <w:r>
        <w:rPr>
          <w:rFonts w:ascii="Times New Roman;serif" w:hAnsi="Times New Roman;serif"/>
          <w:b/>
          <w:i/>
          <w:sz w:val="20"/>
        </w:rPr>
        <w:t>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expenses for the three and six months ended June 30, 2023 and 2022 were as follows: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4430"/>
        <w:gridCol w:w="146"/>
        <w:gridCol w:w="336"/>
        <w:gridCol w:w="745"/>
        <w:gridCol w:w="146"/>
        <w:gridCol w:w="146"/>
        <w:gridCol w:w="336"/>
        <w:gridCol w:w="745"/>
        <w:gridCol w:w="346"/>
        <w:gridCol w:w="146"/>
        <w:gridCol w:w="294"/>
        <w:gridCol w:w="798"/>
        <w:gridCol w:w="146"/>
        <w:gridCol w:w="146"/>
        <w:gridCol w:w="336"/>
        <w:gridCol w:w="745"/>
        <w:gridCol w:w="218"/>
      </w:tblGrid>
      <w:tr>
        <w:trPr/>
        <w:tc>
          <w:tcPr>
            <w:tcW w:w="4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3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218" w:type="dxa"/>
            <w:tcBorders/>
            <w:vAlign w:val="center"/>
          </w:tcPr>
          <w:p>
            <w:pPr>
              <w:pStyle w:val="TableContents"/>
              <w:bidi w:val="0"/>
              <w:spacing w:before="0" w:after="0"/>
              <w:ind w:left="0" w:right="0" w:hanging="0"/>
              <w:jc w:val="left"/>
              <w:rPr/>
            </w:pPr>
            <w:r>
              <w:rPr/>
              <w:t> </w:t>
            </w:r>
          </w:p>
        </w:tc>
      </w:tr>
      <w:tr>
        <w:trPr/>
        <w:tc>
          <w:tcPr>
            <w:tcW w:w="4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 fees (net of waivers)</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218" w:type="dxa"/>
            <w:tcBorders/>
            <w:vAlign w:val="center"/>
          </w:tcPr>
          <w:p>
            <w:pPr>
              <w:pStyle w:val="TableContents"/>
              <w:bidi w:val="0"/>
              <w:spacing w:before="0" w:after="0"/>
              <w:ind w:left="0" w:right="0" w:hanging="0"/>
              <w:jc w:val="left"/>
              <w:rPr/>
            </w:pPr>
            <w:r>
              <w:rPr/>
              <w:t> </w:t>
            </w:r>
          </w:p>
        </w:tc>
      </w:tr>
      <w:tr>
        <w:trPr/>
        <w:tc>
          <w:tcPr>
            <w:tcW w:w="4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Incentive fees related to pre-incentive fee net investment </w:t>
              <w:br/>
              <w:t>   income (net of waivers)</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218" w:type="dxa"/>
            <w:tcBorders/>
            <w:vAlign w:val="center"/>
          </w:tcPr>
          <w:p>
            <w:pPr>
              <w:pStyle w:val="TableContents"/>
              <w:bidi w:val="0"/>
              <w:spacing w:before="0" w:after="0"/>
              <w:ind w:left="0" w:right="0" w:hanging="0"/>
              <w:jc w:val="left"/>
              <w:rPr/>
            </w:pPr>
            <w:r>
              <w:rPr/>
              <w:t> </w:t>
            </w:r>
          </w:p>
        </w:tc>
      </w:tr>
      <w:tr>
        <w:trPr/>
        <w:tc>
          <w:tcPr>
            <w:tcW w:w="4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Incentive fees related to realized/unrealized capital gains</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fees</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18" w:type="dxa"/>
            <w:tcBorders/>
            <w:vAlign w:val="center"/>
          </w:tcPr>
          <w:p>
            <w:pPr>
              <w:pStyle w:val="TableContents"/>
              <w:bidi w:val="0"/>
              <w:spacing w:before="0" w:after="0"/>
              <w:ind w:left="0" w:right="0" w:hanging="0"/>
              <w:jc w:val="left"/>
              <w:rPr/>
            </w:pPr>
            <w:r>
              <w:rPr/>
              <w:t> </w:t>
            </w:r>
          </w:p>
        </w:tc>
      </w:tr>
      <w:tr>
        <w:trPr/>
        <w:tc>
          <w:tcPr>
            <w:tcW w:w="4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Directors fees</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218" w:type="dxa"/>
            <w:tcBorders/>
            <w:vAlign w:val="center"/>
          </w:tcPr>
          <w:p>
            <w:pPr>
              <w:pStyle w:val="TableContents"/>
              <w:bidi w:val="0"/>
              <w:spacing w:before="0" w:after="0"/>
              <w:ind w:left="0" w:right="0" w:hanging="0"/>
              <w:jc w:val="left"/>
              <w:rPr/>
            </w:pPr>
            <w:r>
              <w:rPr/>
              <w:t> </w:t>
            </w:r>
          </w:p>
        </w:tc>
      </w:tr>
      <w:tr>
        <w:trPr/>
        <w:tc>
          <w:tcPr>
            <w:tcW w:w="4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general and administrative</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30" w:type="dxa"/>
            <w:tcBorders/>
            <w:vAlign w:val="center"/>
          </w:tcPr>
          <w:p>
            <w:pPr>
              <w:pStyle w:val="TableContents"/>
              <w:bidi w:val="0"/>
              <w:spacing w:before="0" w:after="0"/>
              <w:ind w:left="0" w:right="0" w:firstLine="200"/>
              <w:jc w:val="left"/>
              <w:rPr>
                <w:rFonts w:ascii="Times New Roman;serif" w:hAnsi="Times New Roman;serif"/>
                <w:b/>
                <w:sz w:val="20"/>
              </w:rPr>
            </w:pPr>
            <w:r>
              <w:rPr>
                <w:rFonts w:ascii="Times New Roman;serif" w:hAnsi="Times New Roman;serif"/>
                <w:b/>
                <w:sz w:val="20"/>
              </w:rPr>
              <w:t>Net Expenses</w:t>
            </w:r>
          </w:p>
        </w:tc>
        <w:tc>
          <w:tcPr>
            <w:tcW w:w="146" w:type="dxa"/>
            <w:tcBorders/>
            <w:vAlign w:val="center"/>
          </w:tcPr>
          <w:p>
            <w:pPr>
              <w:pStyle w:val="TableContents"/>
              <w:bidi w:val="0"/>
              <w:spacing w:before="0" w:after="0"/>
              <w:ind w:left="20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i/>
          <w:sz w:val="20"/>
        </w:rPr>
        <w:t>Interest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including other debt financing expenses, increased from $11.9 million for the three months ended June 30, 2022 to $32.4 million for the three months ended June 30, 2023. This increase was primarily due to an increase in the average interest rate on our debt outstanding and an increase in the average debt outstanding from $1,156.4 million for the three months ended June 30, 2022 to $1,713.0 million for the three months ended June 30, 2023. The average interest rate on our debt outstanding increased from 3.1% for the three months ended June 30, 2022 to 7.1% for the three months ended June 30,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Interest expense, including other debt financing expenses, increased from $21.6 million for the six months ended June 30, 2022 to $60.9 million for the six months ended June 30, 2023. This increase was primarily due to an increase in the average interest rate on our debt outstanding and an increase in the average debt outstanding from $1,183.6 million for the six months ended June 30, 2022 to $1,641.8 million for the six months ended June 30, 2023. The average interest rate on our debt outstanding increased from 2.7% for the six months ended June 30, 2022 to 6.9% for the six months ended June 30, 2023.</w:t>
      </w:r>
    </w:p>
    <w:p>
      <w:pPr>
        <w:pStyle w:val="TextBody"/>
        <w:bidi w:val="0"/>
        <w:spacing w:before="360" w:after="0"/>
        <w:jc w:val="left"/>
        <w:rPr>
          <w:rFonts w:ascii="Times New Roman" w:hAnsi="Times New Roman"/>
          <w:sz w:val="20"/>
        </w:rPr>
      </w:pPr>
      <w:r>
        <w:rPr>
          <w:rFonts w:ascii="Times New Roman;serif" w:hAnsi="Times New Roman;serif"/>
          <w:b w:val="false"/>
          <w:i/>
          <w:sz w:val="20"/>
        </w:rPr>
        <w:t>Management Fees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Management Fees (gross of waivers) increased from $9.5 million for the three months ended June 30, 2022 to $11.4 million for the three months ended June 30, 2023 due to an increase in average assets for the three months ended June 30, 2023 compared to the same period in 2022. Management Fees (net of waivers) increased from $9.5 million for the three months ended June 30, 2022 to $11.1 million for the three months ended June 30, 2023. The Adviser waived Management Fees of $0.3 million for the three months ended June 30, 2023 pursuant to the Leverage Waiver. The Adviser waived Management Fees of less than $0.1 million, respectively, for the six months ended June 30, 2022 pursuant to the Leverage Waiver.</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Management Fees (gross of waivers) increased from $18.8 million for the six months ended June 30, 2022 to $11.4 million for the six months ended June 30, 2023 due to an increase in average assets for the six months ended June 30, 2023 compared to the same period in 2022. Management Fees (net of waivers) increased from $18.8 million for the six months ended June 30, 2022 to $22.1 million for the six months ended June 30, 2023. The Adviser waived Management Fees of $0.6 million for the six months ended June 30, 2023 pursuant to the Leverage Waiver. The Adviser waived Management Fees of less than $0.1 million, respectively, for the six months ended June 30, 2022 pursuant to the Leverage Waiver.</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Any waived Management Fees are not subject to recoupment by the Adviser.</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Incentive Fees</w:t>
      </w:r>
    </w:p>
    <w:p>
      <w:pPr>
        <w:pStyle w:val="TextBody"/>
        <w:bidi w:val="0"/>
        <w:spacing w:before="120" w:after="0"/>
        <w:jc w:val="left"/>
        <w:rPr>
          <w:rFonts w:ascii="Times New Roman" w:hAnsi="Times New Roman"/>
          <w:sz w:val="20"/>
        </w:rPr>
      </w:pPr>
      <w:r>
        <w:rPr>
          <w:rFonts w:ascii="Times New Roman;serif" w:hAnsi="Times New Roman;serif"/>
          <w:b w:val="false"/>
          <w:sz w:val="20"/>
        </w:rPr>
        <w:t>Incentive Fees related to pre-Incentive Fee net investment income increased from $6.7 million for the three months ended June 30, 2022 to $10.5 million for the three months ended June 30, 2023. This increase resulted from an increase in reference rates for the three months ended June 30, 2023. The Adviser did not waive any Incentive Fees related to pre-Incentive Fee net investment income for the three months ended June 30, 2023 or 2022. For the three months ended June 30, 2023 and 2022, $0.7 million and $(9.1) million, respectively, of Incentive Fees were accrued related to Capital Gains Fees. As of June 30, 2023, these accrued Incentive Fees are not contractually payable to the Adviser.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Incentive Fees related to pre-Incentive Fee net investment income increased from $7.9 million for the six months ended June 30, 2022 to $29.0 million for the six months ended June 30, 2023. This increase resulted from an increase in reference rates for the six months ended June 30, 2023. The Adviser did not waive any Incentive Fees related to pre-Incentive Fee net investment income for the six months ended June 30, 2023 or 2022. For the six months ended June 30, 2023 and 2022, $2.5 million and $(7.7) million, respectively, of Incentive Fees were accrued related to Capital Gains Fees. As of June 30, 2023, these accrued Incentive Fees are not contractually payable to the Adviser.</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Professional Fees and Other 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Professional fees remained constant from $1.8 million for the three months ended June 30, 2022 to $1.8 million for the three months ended June 30, 2023. Other general and administrative expenses decreased from $1.3 million for the three months ended June 30, 2022 to $1.2 million for the three months ended June 30,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Professional fees increased from $3.3 million for the six months ended June 30, 2022 to $3.5 million for the six months ended June 30, 2023. Other general and administrative expenses decreased from $2.7 million for the six months ended June 30, 2022 to $2.2 million for the six months ended June 30,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Income Taxes, Including Excise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and six months ended June 30, 2023, we recorded a net expense of $0.9 million and $1.3 million, respectively, for U.S. federal excise tax and other taxes. For the three and six months ended June 30, 2022, we recorded a net expense of $0.8 million and $1.1 million, respectively, for U.S. federal excise tax and other taxes.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Net Realized and Unrealized Gains and Losses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net realized and unrealized gains (losses) for the three and six months ended June 30, 2023 and 2022:</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551"/>
        <w:gridCol w:w="146"/>
        <w:gridCol w:w="312"/>
        <w:gridCol w:w="778"/>
        <w:gridCol w:w="166"/>
        <w:gridCol w:w="146"/>
        <w:gridCol w:w="312"/>
        <w:gridCol w:w="778"/>
        <w:gridCol w:w="166"/>
        <w:gridCol w:w="146"/>
        <w:gridCol w:w="312"/>
        <w:gridCol w:w="778"/>
        <w:gridCol w:w="166"/>
        <w:gridCol w:w="146"/>
        <w:gridCol w:w="312"/>
        <w:gridCol w:w="778"/>
        <w:gridCol w:w="212"/>
      </w:tblGrid>
      <w:tr>
        <w:trPr/>
        <w:tc>
          <w:tcPr>
            <w:tcW w:w="4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 on investments</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212" w:type="dxa"/>
            <w:tcBorders/>
            <w:vAlign w:val="center"/>
          </w:tcPr>
          <w:p>
            <w:pPr>
              <w:pStyle w:val="TableContents"/>
              <w:bidi w:val="0"/>
              <w:spacing w:before="0" w:after="0"/>
              <w:ind w:left="0" w:right="0" w:hanging="0"/>
              <w:jc w:val="left"/>
              <w:rPr/>
            </w:pPr>
            <w:r>
              <w:rPr/>
              <w:t> </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 on foreign currency transactions</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 on foreign currency investments</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12" w:type="dxa"/>
            <w:tcBorders/>
            <w:vAlign w:val="center"/>
          </w:tcPr>
          <w:p>
            <w:pPr>
              <w:pStyle w:val="TableContents"/>
              <w:bidi w:val="0"/>
              <w:spacing w:before="0" w:after="0"/>
              <w:ind w:left="0" w:right="0" w:hanging="0"/>
              <w:jc w:val="left"/>
              <w:rPr/>
            </w:pPr>
            <w:r>
              <w:rPr/>
              <w:t> </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 on foreign currency borrowings</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Realized Gains (Losses)</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unrealized gains on investments</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212" w:type="dxa"/>
            <w:tcBorders/>
            <w:vAlign w:val="center"/>
          </w:tcPr>
          <w:p>
            <w:pPr>
              <w:pStyle w:val="TableContents"/>
              <w:bidi w:val="0"/>
              <w:spacing w:before="0" w:after="0"/>
              <w:ind w:left="0" w:right="0" w:hanging="0"/>
              <w:jc w:val="left"/>
              <w:rPr/>
            </w:pPr>
            <w:r>
              <w:rPr/>
              <w:t> </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unrealized (losses) on investments</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Change in Unrealized Gains (Losses) on</w:t>
              <w:br/>
              <w:t>   Investments</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gains (losses) on foreign currency borrowings</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212" w:type="dxa"/>
            <w:tcBorders/>
            <w:vAlign w:val="center"/>
          </w:tcPr>
          <w:p>
            <w:pPr>
              <w:pStyle w:val="TableContents"/>
              <w:bidi w:val="0"/>
              <w:spacing w:before="0" w:after="0"/>
              <w:ind w:left="0" w:right="0" w:hanging="0"/>
              <w:jc w:val="left"/>
              <w:rPr/>
            </w:pPr>
            <w:r>
              <w:rPr/>
              <w:t> </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gains (losses) on foreign currency cash</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gains (losses) on interest rate swaps</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Change in Unrealized Gains (Losses) on Foreign</w:t>
              <w:br/>
              <w:t>   Currency Transactions and Interest Rate Swaps</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2" w:type="dxa"/>
            <w:tcBorders/>
            <w:vAlign w:val="center"/>
          </w:tcPr>
          <w:p>
            <w:pPr>
              <w:pStyle w:val="TableContents"/>
              <w:bidi w:val="0"/>
              <w:spacing w:before="0" w:after="0"/>
              <w:ind w:left="0" w:right="0" w:hanging="0"/>
              <w:jc w:val="left"/>
              <w:rPr/>
            </w:pPr>
            <w:r>
              <w:rPr/>
              <w:t> </w:t>
            </w:r>
          </w:p>
        </w:tc>
      </w:tr>
      <w:tr>
        <w:trPr/>
        <w:tc>
          <w:tcPr>
            <w:tcW w:w="45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45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Change in Unrealized Gains (Losses)</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For the three and six months ended June 30, 2023, we had net realized gains on investments of $1.6 million and $6.4 million, respectively, primarily driven by one investment and one investment, respectively. For the three and six months ended June 30, 2023, we had net realized losses of $(0.1) million and net realized gains of $0.1 million, respectively on foreign currency transactions, primarily as a result of translating foreign currency related to our non-USD denominated investments. For the three and six months ended June 30, 2023, we had net realized losses of less than $(0.1) million, respectively, on foreign currency investments. For the three and six months ended June 30, 2023, we had net realized losses of less than $(0.1) million and net realized gains of $0.2 million on foreign currency borrowings. The net realized gains and losses on foreign currency borrowings were a result of payments on our revolving credit facility.</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June 30, 2023, we had $18.0 million in unrealized gains on 102 portfolio company investments, which was offset by $(13.1) million in unrealized losses on 30 portfolio company investments. Unrealized gains resulted from an increase in fair value, primarily due to positive portfolio company specific developments. Unrealized losses primarily resulted from widening credit spreads, and also lesser impacts from the reversal of prior period unrealized gains due to realizations and negative portfolio company specific developments. For the six months ended June 30, 2023, we had $40.0 million in unrealized gains on 108 portfolio company investments, which was offset by $(29.6) million in unrealized losses on 26 portfolio company investments. Unrealized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gains resulted from an increase in fair value, primarily due to positive portfolio company specific developments. Unrealized losses primarily resulted from widening credit spreads, and also lesser impacts from the reversal of prior period unrealized gains due to realizations and negative portfolio company specific developments.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and six months ended June 30, 2023, we had unrealized losses on foreign currency borrowings of $(2.0) million and $(2.7) million, respectively, on foreign currency borrowings, as a result of fluctuations in the AUD, CAD, EUR and GBP exchange rates. For the three and six months ended June 30, 2023, we had unrealized gains on foreign currency cash of less than $0.1 million and unrealized losses of $(0.3) million, respectively. For the three and six months ended June 30, 2023, we had unrealized losses on interest rate swaps of $(0.1) million and unrealized gains of $0.2 million, respectively, due to fluctuations in interest rates and the periodic settlement of interest rate swaps.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and six months ended June 30, 2022, we had net realized gains on investments of $0.4 million and $14.1 million, respectively, primarily driven by one investment and one investment, respectively. For the three and six months ended June 30, 2022, we had net realized losses of less than $(0.1) million on foreign currency transactions, primarily as a result of translating foreign currency related to our non-USD denominated investments. For the three and six months ended June 30, 2022, we had net realized gains of less than $0.1 million and $0.1 million, respectively, on foreign currency investments. For the three months ended June 30, 2022, we had net realized gains of less than $0.1 million on foreign currency borrowings and for the six months ended June 30, 2022 we had net realized losses of $(0.1) million on foreign currency borrowings. The net realized gains and losses on foreign currency borrowings were a result of payments on our revolving credit facility.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months ended June 30, 2022, we had $5.8 million in unrealized gains on 6 portfolio company investments, which was offset by $(66.6) million in unrealized losses on 90 portfolio company investments. Unrealized gains resulted from an increase in fair value, primarily due to positive portfolio company specific developments. Unrealized losses primarily resulted from widening credit spreads, and also lesser impacts from the reversal of prior period unrealized gains due to realizations and negative portfolio company specific developments. For the six months ended June 30, 2022, we had $22.5 million in unrealized gains on 9 portfolio company investments, which was offset by $(87.0) million in unrealized losses on 91 portfolio company investments. Unrealized gains resulted from an increase in fair value, primarily due to positive portfolio company specific developments. Unrealized losses primarily resulted from widening credit spreads, and also lesser impacts from the reversal of prior period unrealized gains due to realizations and negative portfolio company specific developments.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and six months ended June 30, 2022, we had unrealized gains on foreign currency borrowings of $7.7 million and $5.9 million, respectively, on foreign currency borrowings, as a result of fluctuations in the AUD, CAD, EUR and GBP exchange rates. For the three and six months ended June 30, 2022, we had unrealized losses on foreign currency cash of less than $(0.1) million. For the three and six months ended June 30, 2022, we had unrealized losses on interest rate swaps of $(1.6) million and $(4.6) million, respectively, due to fluctuations in interest rates and the periodic settlement of interest rate swaps.</w:t>
      </w:r>
    </w:p>
    <w:p>
      <w:pPr>
        <w:pStyle w:val="TextBody"/>
        <w:bidi w:val="0"/>
        <w:spacing w:before="360" w:after="0"/>
        <w:jc w:val="left"/>
        <w:rPr>
          <w:rFonts w:ascii="Times New Roman" w:hAnsi="Times New Roman"/>
          <w:sz w:val="20"/>
        </w:rPr>
      </w:pPr>
      <w:r>
        <w:rPr>
          <w:rFonts w:ascii="Times New Roman;serif" w:hAnsi="Times New Roman;serif"/>
          <w:b/>
          <w:i/>
          <w:sz w:val="20"/>
        </w:rPr>
        <w:t>Realized Gross Internal Rate of Return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we began investing in 2011 through June 30, 2023, weighted by capital invested, our exited investments have generated an average realized gross internal rate of return to us of 17.5% (based on total capital invested of $6.8 billion and total proceeds from these exited investments of $8.5 billion). Ninety percent of these exited investments resulted in a realized gross internal rate of return to us of 10% or greater.</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Average gross IRR is the average of the gross IRR for each of our exited investments (each calculated as described above), weighted by the total capital invested for each of those investments.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Average gross IRR on our exited investments reflects only invested and realized cash amounts as described above, and does not reflect any unrealized gains or losses in our portfolio.</w:t>
      </w:r>
    </w:p>
    <w:p>
      <w:pPr>
        <w:pStyle w:val="TextBody"/>
        <w:bidi w:val="0"/>
        <w:spacing w:before="240" w:after="0"/>
        <w:jc w:val="left"/>
        <w:rPr>
          <w:rFonts w:ascii="Times New Roman" w:hAnsi="Times New Roman"/>
          <w:sz w:val="20"/>
        </w:rPr>
      </w:pPr>
      <w:r>
        <w:rPr>
          <w:rFonts w:ascii="Times New Roman;serif" w:hAnsi="Times New Roman;serif"/>
          <w:b w:val="false"/>
          <w:sz w:val="20"/>
        </w:rPr>
        <w:t>Internal rate of return, or IRR, is a measure of our discounted cash flows (inflows and outflows). Specifically, IRR is the discount rate at which the net present value of all cash flows is equal to zero. That is, IRR is the discount rate at which the present value of total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capital invested in each of our investments is equal to the present value of all realized returns from that investment. Our IRR calculations are unaudited.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Interest Rate and Foreign Currency Hedging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current approach to hedging the foreign currency exposure in our non-U.S. dollar denominated investments is primarily to borrow the par amount in local currency under our Revolving Credit Facility to fund these investments. For the six months ended June 30, 2023 and 2022, we had $(2.7) million of unrealized losses and $5.9 million of unrealized gains, respectively, on the translation of our non-U.S. dollar denominated debt into U.S. dollars; such amounts approximate the corresponding unrealized gains and losses on the translation of our non-U.S. dollar denominated investments into U.S. dollars for the six months ended June 30, 2023 and 2022. See Note 2 for additional disclosure regarding our accounting for foreign currency. See Note 7 for additional disclosure regarding the amounts of outstanding debt denominated in each foreign currency at June 30, 2023. See our consolidated schedule of investments for additional disclosure regarding the foreign currency amounts (in both par and fair value) of our non-U.S. dollar denominated investments.</w:t>
      </w:r>
    </w:p>
    <w:p>
      <w:pPr>
        <w:pStyle w:val="TextBody"/>
        <w:bidi w:val="0"/>
        <w:spacing w:before="360" w:after="0"/>
        <w:jc w:val="left"/>
        <w:rPr>
          <w:rFonts w:ascii="Times New Roman" w:hAnsi="Times New Roman"/>
          <w:sz w:val="20"/>
        </w:rPr>
      </w:pPr>
      <w:r>
        <w:rPr>
          <w:rFonts w:ascii="Times New Roman;serif" w:hAnsi="Times New Roman;serif"/>
          <w:b/>
          <w:sz w:val="20"/>
        </w:rPr>
        <w:t>Financial Condition, 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liquidity and capital resources are derived primarily from proceeds from equity issuances, advances from our credit facilities, and cash flows from operations. The primary uses of our cash and cash equivalents are: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investments in portfolio companies and other investments and to comply with certain portfolio diversification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operations (including paying our Adviser);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debt service, repayment, and other financing costs;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cash dividends to the holders of our shares.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June 30, 2023 and December 31, 2022, our asset coverage ratio was 186.1% and 188.6%,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0"/>
        <w:jc w:val="left"/>
        <w:rPr>
          <w:rFonts w:ascii="Times New Roman" w:hAnsi="Times New Roman"/>
          <w:sz w:val="20"/>
        </w:rPr>
      </w:pPr>
      <w:r>
        <w:rPr>
          <w:rFonts w:ascii="Times New Roman;serif" w:hAnsi="Times New Roman;serif"/>
          <w:b w:val="false"/>
          <w:sz w:val="20"/>
        </w:rPr>
        <w:t>Cash and cash equivalents as of June 30, 2023, taken together with cash available under our credit facilities, is expected to be sufficient for our investing activities and to conduct our operations in the near term. As of June 30, 2023, we had approximately $0.5 billion of availability on our Revolving Credit Facility, subject to asset coverage limitations.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we had $25.9 million in cash and cash equivalents, including $15.1 million of restricted cash, an increase of $0.2 million from December 31, 2022. During the six months ended June 30, 2023, cash used in operating activities was $(186.6)</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million, primarily attributable to funding portfolio investments of $455.6 million, which was offset by repayments and proceeds from investments of $176.6 million and an increase in net assets resulting from operations of $106.0 million. Cash provided by financing activities was $186.8 million during the period due to borrowings of $750.1 million, which was offset by paydowns on our Revolving Credit Facility of $571.1 million and change in dividends payable of $76.4 million.</w:t>
      </w:r>
    </w:p>
    <w:p>
      <w:pPr>
        <w:pStyle w:val="TextBody"/>
        <w:bidi w:val="0"/>
        <w:spacing w:before="360" w:after="0"/>
        <w:jc w:val="left"/>
        <w:rPr>
          <w:rFonts w:ascii="Times New Roman" w:hAnsi="Times New Roman"/>
          <w:sz w:val="20"/>
        </w:rPr>
      </w:pPr>
      <w:r>
        <w:rPr>
          <w:rFonts w:ascii="Times New Roman;serif" w:hAnsi="Times New Roman;serif"/>
          <w:b/>
          <w:i/>
          <w:sz w:val="20"/>
        </w:rPr>
        <w:t>Equity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February 23, 2021, we issued a total of 4,000,000 shares of common stock at $21.30 per share. Net of underwriting fees and offering costs, we received total cash proceeds of $84.9 million. Subsequent to the offering we issued an additional 49,689 shares on March 24, 2021 pursuant to the overallotment option granted to underwriters and received, net of underwriting fees, total cash proceeds of $1.0 million.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three months ended December 2021, we issued a total of 2,324,820 shares of common stock, or $42.3 million, as settlement for the conversion of $42.8 million principal amount of the 2022 Convertible Notes.</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1, 2022, we issued a total of 4,360,125 share of common stock, or $78.1 million, as settlement for the conversion of $79.2 million principal amount of the 2022 Convertible Notes.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May 15, 2023, we issued a total of 4,500,000 shares of common stock at $17.60 per share. Net of underwriting fees and offering costs, we received total cash proceeds of $77.6 million. Subsequent to the offering we issued an additional 675,000 shares on June 12, 2023 pursuant to the overallotment option granted to underwriters and received, net of underwriting fees, total cash proceeds of $11.7 million.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2023 and 2022, we also issued 676,944 and 567,973 shares of our common stock, respectively, to investors who have not opted out of our dividend reinvestment plan for proceeds of $5.6 million and $12.6 million,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8, 2023. The amount and timing of stock repurchases under the program may vary depending on market conditions, and no assurance can be given that any particular amount of common stock will be repurchased.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 shares were repurchased for the three months ended June 30, 2023 and 2022.</w:t>
      </w:r>
    </w:p>
    <w:p>
      <w:pPr>
        <w:pStyle w:val="TextBody"/>
        <w:bidi w:val="0"/>
        <w:spacing w:before="360" w:after="0"/>
        <w:jc w:val="left"/>
        <w:rPr>
          <w:rFonts w:ascii="Times New Roman" w:hAnsi="Times New Roman"/>
          <w:sz w:val="20"/>
        </w:rPr>
      </w:pPr>
      <w:r>
        <w:rPr>
          <w:rFonts w:ascii="Times New Roman;serif" w:hAnsi="Times New Roman;serif"/>
          <w:b/>
          <w:i/>
          <w:sz w:val="20"/>
        </w:rPr>
        <w:t>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Revolving Credit Facility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aggregate commitments under the facility were $1.585 billion. Pursuant to an amendment to the Revolving Credit Facility dated as of June 12, 2023 (the “Fourteenth Amendment”), the aggregate commitments under the facility were increased to $1.710 billion. The facility includes an uncommitted accordion feature that allows the Company, under certain circumstances, to increase the size of the facility to up to $2.0 billion.</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Fourteenth Amendment, with respect to $1.465 billion in commitments, the revolving period, during which period the Company, subject to certain conditions, may make borrowings under the facility, was extended to June 11, 2027 and the stated maturity date was extended to June 12, 2028. For the remaining $245.0 million of commitments, (A) with respect to $25.0 million of commitments, the revolving period ends January 31, 2024 and the stated maturity is January 31, 2025, (B) with respect to $50.0 million of commitments, the revolving period ends on February 4, 2025 and the stated maturity is February 4, 2026 and (C) with respect to $170.0 million of commitments, the revolving period ends April 24, 2026 and the stated maturity is April 23, 2027.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borrow amounts in U.S. dollars or certain other permitted currencies. As of June 30, 2023, we had outstanding debt denominated in Australian Dollars (AUD) of 67.5 million, British pounds (GBP) of 14.0 million, Canadian Dollars (CAD) of 101.7 million, and Euro (EUR) of 28.0 million on our Revolving Credit Facility, included in the outstanding principal amount in the table above.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Revolving Credit Facility also provides for the issuance of letters of credit up to an aggregate amount of $75.0 million. As of June 30, 2023 and December 31, 2022 the Company had $0.2 million and less than $0.1 million letters of credit issued through the Revolving Credit Facility. The amount available for borrowing under the Revolving Credit Facility is reduced by any letters of credit issued through the Revolving Credit Facility.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pStyle w:val="TextBody"/>
        <w:bidi w:val="0"/>
        <w:spacing w:before="240" w:after="0"/>
        <w:jc w:val="left"/>
        <w:rPr>
          <w:rFonts w:ascii="Times New Roman" w:hAnsi="Times New Roman"/>
          <w:sz w:val="20"/>
        </w:rPr>
      </w:pPr>
      <w:r>
        <w:rPr>
          <w:rFonts w:ascii="Times New Roman;serif" w:hAnsi="Times New Roman;serif"/>
          <w:b w:val="false"/>
          <w:sz w:val="20"/>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Revolving Credit Facility includes customary events of default, as well as customary covenants, including restrictions on certain distributions and financial covenants. In accordance with the terms of the Fourteenth Amendment, the financial covenants require: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asset coverage ratio of no less than 1.5 to 1 on the last day of any fiscal quarter;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stockholders’ equity of at least $500 million plus 25% of the net proceeds of the sale of equity interests after January 31, 2020;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bidi w:val="0"/>
        <w:spacing w:before="240" w:after="0"/>
        <w:jc w:val="left"/>
        <w:rPr>
          <w:rFonts w:ascii="Times New Roman" w:hAnsi="Times New Roman"/>
          <w:sz w:val="20"/>
        </w:rPr>
      </w:pPr>
      <w:r>
        <w:rPr>
          <w:rFonts w:ascii="Times New Roman;serif" w:hAnsi="Times New Roman;serif"/>
          <w:b w:val="false"/>
          <w:sz w:val="20"/>
        </w:rPr>
        <w:t>The Revolving Credit Facility also contains certain additional concentration limits in connection with the calculation of the borrowing base, based on the Obligor Asset Coverage Ratio.</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2022 Convertible Notes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2017, we issued in a private offering $115.0</w:t>
      </w:r>
      <w:r>
        <w:rPr>
          <w:rFonts w:ascii="Times New Roman" w:hAnsi="Times New Roman"/>
          <w:sz w:val="20"/>
        </w:rPr>
        <w:t xml:space="preserve"> </w:t>
      </w:r>
      <w:r>
        <w:rPr>
          <w:rFonts w:ascii="Times New Roman;serif" w:hAnsi="Times New Roman;serif"/>
          <w:b w:val="false"/>
          <w:sz w:val="20"/>
        </w:rPr>
        <w:t>million aggregate principal amount convertible notes due August 2022 (the “2022 Convertible Notes</w:t>
      </w:r>
      <w:r>
        <w:rPr>
          <w:rFonts w:ascii="Times New Roman" w:hAnsi="Times New Roman"/>
          <w:sz w:val="20"/>
        </w:rPr>
        <w:t>”</w:t>
      </w:r>
      <w:r>
        <w:rPr>
          <w:rFonts w:ascii="Times New Roman;serif" w:hAnsi="Times New Roman;serif"/>
          <w:b w:val="false"/>
          <w:sz w:val="20"/>
        </w:rPr>
        <w:t>). The 2022 Convertible Notes were issued in a private placement only to qualified institutional buyers pursuant to Rule 144A under the Securities Act. The 2022 Convertible Notes were unsecured, and bore interest at a rate of 4.50% per year, payable semiannually.</w:t>
      </w:r>
      <w:r>
        <w:rPr>
          <w:rFonts w:ascii="Times New Roman" w:hAnsi="Times New Roman"/>
          <w:sz w:val="20"/>
        </w:rPr>
        <w:t xml:space="preserve"> </w:t>
      </w:r>
      <w:r>
        <w:rPr>
          <w:rFonts w:ascii="Times New Roman;serif" w:hAnsi="Times New Roman;serif"/>
          <w:b w:val="false"/>
          <w:sz w:val="20"/>
        </w:rPr>
        <w:t>In June 2018, we issued an additional $57.5</w:t>
      </w:r>
      <w:r>
        <w:rPr>
          <w:rFonts w:ascii="Times New Roman" w:hAnsi="Times New Roman"/>
          <w:sz w:val="20"/>
        </w:rPr>
        <w:t xml:space="preserve"> </w:t>
      </w:r>
      <w:r>
        <w:rPr>
          <w:rFonts w:ascii="Times New Roman;serif" w:hAnsi="Times New Roman;serif"/>
          <w:b w:val="false"/>
          <w:sz w:val="20"/>
        </w:rPr>
        <w:t>million aggregate principal amount of 2022 Convertible Notes. The additional 2022 Convertible Notes were issued with identical terms, and were fungible with and were part of a single series with the previously outstanding $115.0</w:t>
      </w:r>
      <w:r>
        <w:rPr>
          <w:rFonts w:ascii="Times New Roman" w:hAnsi="Times New Roman"/>
          <w:sz w:val="20"/>
        </w:rPr>
        <w:t xml:space="preserve"> </w:t>
      </w:r>
      <w:r>
        <w:rPr>
          <w:rFonts w:ascii="Times New Roman;serif" w:hAnsi="Times New Roman;serif"/>
          <w:b w:val="false"/>
          <w:sz w:val="20"/>
        </w:rPr>
        <w:t>million aggregate principal amount of our 2022 Convertible Notes issued in February 2017. In connection with the offering of 2022 Convertible Notes in February 2017 and the reopening in June 2018, we entered into interest rate swaps to align the interest rates of our liabilities with our investment portfolio, which consists of predominately floating rate loans. The notional amount of the interest rate swaps matched the amount of principal outstanding, and matured on August 1, 2022, matching the maturity date of the 2022 Convertible Notes.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August 1, 2022, the 2022 Convertible Notes matured in accordance with the governing indenture. Holders of $79.2 million aggregate principal amount of notes provided valid notice of conversion and were subject to the combination settlement method previously elected by us, with a specified cash amount (as defined in the indenture governing the 2022 Convertible Notes) of $20.00 per $1,000 principal amount of the 2022 Convertible Notes and any additional amounts in stock based on the applicable conversion rate as described in the indenture. In accordance with the settlement method, we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our Revolving Credit Facility. The interest rate swaps associated with the principal amount of the notes outstanding were terminated on the date of maturity of the 2022 Convertible Notes.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2023 Notes</w:t>
      </w:r>
    </w:p>
    <w:p>
      <w:pPr>
        <w:pStyle w:val="TextBody"/>
        <w:bidi w:val="0"/>
        <w:spacing w:before="120" w:after="0"/>
        <w:jc w:val="left"/>
        <w:rPr>
          <w:rFonts w:ascii="Times New Roman" w:hAnsi="Times New Roman"/>
          <w:sz w:val="20"/>
        </w:rPr>
      </w:pPr>
      <w:r>
        <w:rPr>
          <w:rFonts w:ascii="Times New Roman;serif" w:hAnsi="Times New Roman;serif"/>
          <w:b w:val="false"/>
          <w:sz w:val="20"/>
        </w:rPr>
        <w:t>In January 2018, we issued $150.0</w:t>
      </w:r>
      <w:r>
        <w:rPr>
          <w:rFonts w:ascii="Times New Roman" w:hAnsi="Times New Roman"/>
          <w:sz w:val="20"/>
        </w:rPr>
        <w:t xml:space="preserve"> </w:t>
      </w:r>
      <w:r>
        <w:rPr>
          <w:rFonts w:ascii="Times New Roman;serif" w:hAnsi="Times New Roman;serif"/>
          <w:b w:val="false"/>
          <w:sz w:val="20"/>
        </w:rPr>
        <w:t>million aggregate principal amount of unsecured notes that matured on January 22, 2023 (the “2023 Notes</w:t>
      </w:r>
      <w:r>
        <w:rPr>
          <w:rFonts w:ascii="Times New Roman" w:hAnsi="Times New Roman"/>
          <w:sz w:val="20"/>
        </w:rPr>
        <w:t>”</w:t>
      </w:r>
      <w:r>
        <w:rPr>
          <w:rFonts w:ascii="Times New Roman;serif" w:hAnsi="Times New Roman;serif"/>
          <w:b w:val="false"/>
          <w:sz w:val="20"/>
        </w:rPr>
        <w:t>). The principal amount of the 2023 Notes was payable at maturity. The 2023 Notes bore interest at a rate of 4.50% per year, payable semi-annually commencing on July 22, 2018, and were redeemable in whole or in part at our option at any time at par plus a “make whole” premium.</w:t>
      </w:r>
      <w:r>
        <w:rPr>
          <w:rFonts w:ascii="Times New Roman" w:hAnsi="Times New Roman"/>
          <w:sz w:val="20"/>
        </w:rPr>
        <w:t xml:space="preserve"> </w:t>
      </w:r>
      <w:r>
        <w:rPr>
          <w:rFonts w:ascii="Times New Roman;serif" w:hAnsi="Times New Roman;serif"/>
          <w:b w:val="false"/>
          <w:sz w:val="20"/>
        </w:rPr>
        <w:t>Total proceeds from the issuance of the 2023 Notes, net of underwriting discounts and offering costs, were $146.9 million. We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pStyle w:val="TextBody"/>
        <w:bidi w:val="0"/>
        <w:spacing w:before="360" w:after="0"/>
        <w:jc w:val="left"/>
        <w:rPr>
          <w:rFonts w:ascii="Times New Roman" w:hAnsi="Times New Roman"/>
          <w:sz w:val="20"/>
        </w:rPr>
      </w:pPr>
      <w:r>
        <w:rPr>
          <w:rFonts w:ascii="Times New Roman;serif" w:hAnsi="Times New Roman;serif"/>
          <w:b w:val="false"/>
          <w:i/>
          <w:sz w:val="20"/>
        </w:rPr>
        <w:t>2024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November 2019, we issued $300.0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November 1, 2024 (the “2024 Notes</w:t>
      </w:r>
      <w:r>
        <w:rPr>
          <w:rFonts w:ascii="Times New Roman" w:hAnsi="Times New Roman"/>
          <w:sz w:val="20"/>
        </w:rPr>
        <w:t>”</w:t>
      </w:r>
      <w:r>
        <w:rPr>
          <w:rFonts w:ascii="Times New Roman;serif" w:hAnsi="Times New Roman;serif"/>
          <w:b w:val="false"/>
          <w:sz w:val="20"/>
        </w:rPr>
        <w:t>). The principal amount of the 2024 Notes is payable at maturity. The 2024 Notes bear interest at a rate of 3.875% per year, payable semi-annually commencing on May 1, 2020, and may be redeemed in whole or in part at our option at any time at par plus a “make whole” premium.</w:t>
      </w:r>
      <w:r>
        <w:rPr>
          <w:rFonts w:ascii="Times New Roman" w:hAnsi="Times New Roman"/>
          <w:sz w:val="20"/>
        </w:rPr>
        <w:t xml:space="preserve"> </w:t>
      </w:r>
      <w:r>
        <w:rPr>
          <w:rFonts w:ascii="Times New Roman;serif" w:hAnsi="Times New Roman;serif"/>
          <w:b w:val="false"/>
          <w:sz w:val="20"/>
        </w:rPr>
        <w:t>Total proceeds from the issuance of the 2024 Notes, net of underwriting discounts, offering costs and original issue discount were $292.9 million. We used the net proceeds of the 2024 Notes to repay outstanding indebtedness under the Revolving Credit Facility.</w:t>
      </w:r>
    </w:p>
    <w:p>
      <w:pPr>
        <w:pStyle w:val="TextBody"/>
        <w:bidi w:val="0"/>
        <w:spacing w:before="240" w:after="0"/>
        <w:jc w:val="left"/>
        <w:rPr>
          <w:rFonts w:ascii="Times New Roman" w:hAnsi="Times New Roman"/>
          <w:sz w:val="20"/>
        </w:rPr>
      </w:pPr>
      <w:r>
        <w:rPr>
          <w:rFonts w:ascii="Times New Roman;serif" w:hAnsi="Times New Roman;serif"/>
          <w:b w:val="false"/>
          <w:sz w:val="20"/>
        </w:rPr>
        <w:t>On February 5, 2020, we issued an additional $50.0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our effective interest rate on the 2024 Notes is three-month LIBOR plus 2.28% (on a weighted average basis).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three-month LIBOR plus 2.28% (on a weighted average basis). Due to the Index Cessation Event, each Legacy LIBOR Instrument referenced herein will transition to 3-month SOFR plus the relevant tenor spread adjustment effective September 25, 2023. As a result of the transition, our effective interest rate will be three-month SOFR plus 2.54% (on a weighted average basis).</w:t>
      </w:r>
    </w:p>
    <w:p>
      <w:pPr>
        <w:pStyle w:val="TextBody"/>
        <w:bidi w:val="0"/>
        <w:spacing w:before="360" w:after="0"/>
        <w:jc w:val="left"/>
        <w:rPr>
          <w:rFonts w:ascii="Times New Roman" w:hAnsi="Times New Roman"/>
          <w:sz w:val="20"/>
        </w:rPr>
      </w:pPr>
      <w:r>
        <w:rPr>
          <w:rFonts w:ascii="Times New Roman;serif" w:hAnsi="Times New Roman;serif"/>
          <w:b w:val="false"/>
          <w:i/>
          <w:sz w:val="20"/>
        </w:rPr>
        <w:t>2026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February 3, 2021, we issued $300.0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August 1, 2026 (the “2026 Notes</w:t>
      </w:r>
      <w:r>
        <w:rPr>
          <w:rFonts w:ascii="Times New Roman" w:hAnsi="Times New Roman"/>
          <w:sz w:val="20"/>
        </w:rPr>
        <w:t>”</w:t>
      </w:r>
      <w:r>
        <w:rPr>
          <w:rFonts w:ascii="Times New Roman;serif" w:hAnsi="Times New Roman;serif"/>
          <w:b w:val="false"/>
          <w:sz w:val="20"/>
        </w:rPr>
        <w:t>). The principal amount of the 2026 Notes is payable at maturity. The 2026 Notes bear interest at a rate of 2.50% per year, payable semi-annually commencing on August 1, 2021, and may be redeemed in whole or in part at our option at any time at par plus a “make whole” premium.</w:t>
      </w:r>
      <w:r>
        <w:rPr>
          <w:rFonts w:ascii="Times New Roman" w:hAnsi="Times New Roman"/>
          <w:sz w:val="20"/>
        </w:rPr>
        <w:t xml:space="preserve"> </w:t>
      </w:r>
      <w:r>
        <w:rPr>
          <w:rFonts w:ascii="Times New Roman;serif" w:hAnsi="Times New Roman;serif"/>
          <w:b w:val="false"/>
          <w:sz w:val="20"/>
        </w:rPr>
        <w:t>Total proceeds from the issuance of the 2026 Notes, net of underwriting discounts, offering costs and original issue discount, were $293.7 million. We used the net proceeds of the 2026 Notes to repay outstanding indebtedness under the Revolving Credit Facility.</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three-month LIBOR plus 1.91%. Due to the Index Cessation Event, each Legacy LIBOR Instrument referenced herein will transition to 3-month SOFR plus the relevant tenor spread adjustment effective September 25, 2023. As a result of the transition, our effective interest rate will be three-month SOFR plus 2.17%.</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Debt obligations consisted of the following as of June 30, 2023 and December 31, 2022:</w:t>
      </w:r>
      <w:r>
        <w:rPr>
          <w:rFonts w:ascii="Times New Roman" w:hAnsi="Times New Roman"/>
          <w:sz w:val="20"/>
        </w:rPr>
        <w:t xml:space="preserve"> </w:t>
      </w:r>
    </w:p>
    <w:p>
      <w:pPr>
        <w:pStyle w:val="TextBody"/>
        <w:bidi w:val="0"/>
        <w:spacing w:before="0" w:after="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4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 Principal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r>
          </w:p>
        </w:tc>
        <w:tc>
          <w:tcPr>
            <w:tcW w:w="391" w:type="dxa"/>
            <w:tcBorders/>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Committed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Available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Value </w:t>
            </w:r>
            <w:r>
              <w:rPr>
                <w:rFonts w:ascii="Times New Roman;serif" w:hAnsi="Times New Roman;serif"/>
                <w:b/>
                <w:sz w:val="11"/>
              </w:rPr>
              <w:t>(2)(3)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1,033.9</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left"/>
              <w:rPr/>
            </w:pPr>
            <w:r>
              <w:rPr/>
              <w:t> </w:t>
            </w:r>
          </w:p>
        </w:tc>
        <w:tc>
          <w:tcPr>
            <w:tcW w:w="12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60"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328.0</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vAlign w:val="center"/>
          </w:tcPr>
          <w:p>
            <w:pPr>
              <w:pStyle w:val="TableContents"/>
              <w:bidi w:val="0"/>
              <w:spacing w:before="0" w:after="0"/>
              <w:ind w:left="0" w:right="0" w:hanging="0"/>
              <w:jc w:val="righ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vAlign w:val="center"/>
          </w:tcPr>
          <w:p>
            <w:pPr>
              <w:pStyle w:val="TableContents"/>
              <w:bidi w:val="0"/>
              <w:spacing w:before="0" w:after="0"/>
              <w:ind w:left="0" w:right="0" w:hanging="0"/>
              <w:jc w:val="righ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1,623.3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The amount available may be subject to limitations related to the borrowing base under the Revolving Credit Facility and asset coverage requirements.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carrying values of the Revolving Credit Facility, 2024 Notes and 2026 Notes are presented net of the combination of deferred financing costs and original issue discounts totaling $16.9 million, $1.9 million and $3.6 million, respectively.</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rFonts w:ascii="Times New Roman;serif" w:hAnsi="Times New Roman;serif"/>
          <w:b w:val="false"/>
          <w:sz w:val="20"/>
        </w:rPr>
      </w:pPr>
      <w:r>
        <w:rPr>
          <w:rFonts w:ascii="Times New Roman;serif" w:hAnsi="Times New Roman;serif"/>
          <w:b w:val="false"/>
          <w:sz w:val="20"/>
        </w:rPr>
        <w:t>The carrying values of the 2024 Notes and 2026 Notes are presented inclusive of an incremental $(17.6) million and $(35.1) million, respectively, which represents an adjustment in the carrying values of the 2024 Notes and 2026 Notes, each resulting from a hedge accounting relationship.</w:t>
      </w:r>
    </w:p>
    <w:p>
      <w:pPr>
        <w:pStyle w:val="TextBody"/>
        <w:bidi w:val="0"/>
        <w:spacing w:before="0" w:after="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4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 Principal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r>
          </w:p>
        </w:tc>
        <w:tc>
          <w:tcPr>
            <w:tcW w:w="391" w:type="dxa"/>
            <w:tcBorders/>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Committed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Available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Value </w:t>
            </w:r>
            <w:r>
              <w:rPr>
                <w:rFonts w:ascii="Times New Roman;serif" w:hAnsi="Times New Roman;serif"/>
                <w:b/>
                <w:sz w:val="11"/>
              </w:rPr>
              <w:t>(2)(3)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706.2</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Notes</w:t>
            </w:r>
          </w:p>
        </w:tc>
        <w:tc>
          <w:tcPr>
            <w:tcW w:w="146" w:type="dxa"/>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left"/>
              <w:rPr/>
            </w:pPr>
            <w:r>
              <w:rPr/>
              <w:t> </w:t>
            </w:r>
          </w:p>
        </w:tc>
        <w:tc>
          <w:tcPr>
            <w:tcW w:w="12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60"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left"/>
              <w:rPr/>
            </w:pPr>
            <w:r>
              <w:rPr/>
              <w:t> </w:t>
            </w:r>
          </w:p>
        </w:tc>
        <w:tc>
          <w:tcPr>
            <w:tcW w:w="12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60"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325.5</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vAlign w:val="center"/>
          </w:tcPr>
          <w:p>
            <w:pPr>
              <w:pStyle w:val="TableContents"/>
              <w:bidi w:val="0"/>
              <w:spacing w:before="0" w:after="0"/>
              <w:ind w:left="0" w:right="0" w:hanging="0"/>
              <w:jc w:val="righ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vAlign w:val="center"/>
          </w:tcPr>
          <w:p>
            <w:pPr>
              <w:pStyle w:val="TableContents"/>
              <w:bidi w:val="0"/>
              <w:spacing w:before="0" w:after="0"/>
              <w:ind w:left="0" w:right="0" w:hanging="0"/>
              <w:jc w:val="righ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amount available may be subject to limitations related to the borrowing base under the Revolving Credit Facility and asset coverage requirements.</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carrying values of the Revolving Credit Facility, 2023 Notes, 2024 Notes and 2026 Notes are presented net of the combination of deferred financing costs and original issue discounts totaling $13.2 million, less than $0.1 million, $2.6 million and $4.1 million, respectively.</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rFonts w:ascii="Times New Roman;serif" w:hAnsi="Times New Roman;serif"/>
          <w:b w:val="false"/>
          <w:sz w:val="20"/>
        </w:rPr>
      </w:pPr>
      <w:r>
        <w:rPr>
          <w:rFonts w:ascii="Times New Roman;serif" w:hAnsi="Times New Roman;serif"/>
          <w:b w:val="false"/>
          <w:sz w:val="20"/>
        </w:rPr>
        <w:t>The carrying values of the 2024 Notes and 2026 Notes are presented inclusive of an incremental $(19.4) million and $(35.7) million, which represents an adjustment in the carrying values of the 2024 Notes and 2026 Notes, each resulting from a hedge accounting relationship.</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and December 31, 2022, we were in compliance with the terms of our debt arrangements. We intend to continue to utilize our credit facilities to fund investments and for other general corporate purposes.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Portfolio Company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associated loan agreement. As of June 30, 2023 and December 31, 2022, we had the following commitments to fund investments in current portfolio companies:</w:t>
      </w:r>
      <w:r>
        <w:rPr>
          <w:rFonts w:ascii="Times New Roman" w:hAnsi="Times New Roman"/>
          <w:sz w:val="20"/>
        </w:rPr>
        <w:t xml:space="preserve"> </w:t>
      </w:r>
    </w:p>
    <w:p>
      <w:pPr>
        <w:pStyle w:val="TextBody"/>
        <w:bidi w:val="0"/>
        <w:spacing w:before="0" w:after="0"/>
        <w:jc w:val="left"/>
        <w:rPr/>
      </w:pPr>
      <w:r>
        <w:rPr/>
        <w:t> </w:t>
      </w:r>
    </w:p>
    <w:tbl>
      <w:tblPr>
        <w:tblW w:w="8265" w:type="dxa"/>
        <w:jc w:val="left"/>
        <w:tblInd w:w="0" w:type="dxa"/>
        <w:tblLayout w:type="fixed"/>
        <w:tblCellMar>
          <w:top w:w="28" w:type="dxa"/>
          <w:left w:w="28" w:type="dxa"/>
          <w:bottom w:w="28" w:type="dxa"/>
          <w:right w:w="28" w:type="dxa"/>
        </w:tblCellMar>
      </w:tblPr>
      <w:tblGrid>
        <w:gridCol w:w="4711"/>
        <w:gridCol w:w="146"/>
        <w:gridCol w:w="312"/>
        <w:gridCol w:w="813"/>
        <w:gridCol w:w="246"/>
        <w:gridCol w:w="146"/>
        <w:gridCol w:w="414"/>
        <w:gridCol w:w="1086"/>
        <w:gridCol w:w="3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Alaska Bidco Oy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8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Alpha Midco, Inc.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American Achievement, Corp. -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Arrow Buyer, Inc.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ASG II, LLC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Avalara, Inc. -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Axonify, Inc.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Banyan Software Holdings, LLC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Bayshore Intermediate #2, L.P. -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BCTO Ace Purchaser, Inc.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Bear OpCo, LLC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BlueSnap, Inc.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BTRS Holdings, Inc.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Carlstar Group, LLC -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Cordance Operations, LLC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Coupa Holdings, LLC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CrunchTime Information Systems, Inc.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Disco Parent, Inc. -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Dye &amp; Durham Corp.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EDB Parent, LLC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14.8</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Edge Bidco B.V.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Elysian Finco Ltd.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Employment Hero Holdings Pty Ltd.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EMS Linq, Inc. -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Erling Lux Bidco SARL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ExtraHop Networks, Inc.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17.1</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ForeScout Technologies, Inc.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 Treasury SS, LLC - Delayed Draw</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Galileo Parent, Inc. -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Hirevue, Inc. -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Hornetsecurity Holding GmbH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Ibis Intermediate Co.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IRGSE Holding Corp. -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Kyriba Corp. - Delayed Draw &amp; Revolver</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Laramie Energy, LLC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LeanTaaS Holdings, Inc.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41.1</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47.2</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Lithium Technologies, LLC -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Lucidworks, Inc.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Murchison Oil and Gas, LLC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Netwrix Corp.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Neuintel, LLC - Delayed Draw</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OutSystems Luxco SARL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PageUp People, Ltd. - Delayed Draw &amp; Revolver</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Passport Labs, Inc.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Ping Identity Holding Corp. -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PrimePay Intermediate, LLC - Delayed Draw</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PrimeRevenue, Inc.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Project44, Inc.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ReliaQuest Holdings, LLC - Delayed Draw</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Tango Management Consulting, LLC - Delayed Draw &amp; Revolver</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26.6</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TRP Assets, LLC - Delayed Draw &amp; Membership Interest</w:t>
            </w:r>
          </w:p>
        </w:tc>
        <w:tc>
          <w:tcPr>
            <w:tcW w:w="146" w:type="dxa"/>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w:t>
            </w:r>
          </w:p>
        </w:tc>
        <w:tc>
          <w:tcPr>
            <w:tcW w:w="39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WideOrbit, Inc. - Revolver</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11" w:type="dxa"/>
            <w:tcBorders/>
            <w:vAlign w:val="center"/>
          </w:tcPr>
          <w:p>
            <w:pPr>
              <w:pStyle w:val="TableContents"/>
              <w:bidi w:val="0"/>
              <w:spacing w:before="0" w:after="0"/>
              <w:ind w:left="200" w:right="0" w:hanging="0"/>
              <w:jc w:val="left"/>
              <w:rPr>
                <w:rFonts w:ascii="Times New Roman" w:hAnsi="Times New Roman"/>
                <w:sz w:val="16"/>
              </w:rPr>
            </w:pPr>
            <w:r>
              <w:rPr>
                <w:rFonts w:ascii="Times New Roman;serif" w:hAnsi="Times New Roman;serif"/>
                <w:b/>
                <w:sz w:val="16"/>
              </w:rPr>
              <w:t>Total Portfolio Company Commitments</w:t>
            </w:r>
            <w:r>
              <w:rPr>
                <w:rFonts w:ascii="Times New Roman" w:hAnsi="Times New Roman"/>
                <w:sz w:val="16"/>
              </w:rPr>
              <w:t xml:space="preserve"> </w:t>
            </w:r>
            <w:r>
              <w:rPr>
                <w:rFonts w:ascii="Times New Roman;serif" w:hAnsi="Times New Roman;serif"/>
                <w:b/>
                <w:sz w:val="11"/>
              </w:rPr>
              <w:t>(1)(2)</w:t>
            </w:r>
          </w:p>
        </w:tc>
        <w:tc>
          <w:tcPr>
            <w:tcW w:w="146" w:type="dxa"/>
            <w:tcBorders/>
            <w:vAlign w:val="center"/>
          </w:tcPr>
          <w:p>
            <w:pPr>
              <w:pStyle w:val="TableContents"/>
              <w:bidi w:val="0"/>
              <w:spacing w:before="0" w:after="0"/>
              <w:ind w:left="0" w:right="0" w:hanging="0"/>
              <w:jc w:val="righ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299.3</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xml:space="preserve">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 </w:t>
      </w:r>
    </w:p>
    <w:p>
      <w:pPr>
        <w:pStyle w:val="TextBody"/>
        <w:bidi w:val="0"/>
        <w:spacing w:before="40" w:after="0"/>
        <w:jc w:val="left"/>
        <w:rPr>
          <w:rFonts w:ascii="Times New Roman" w:hAnsi="Times New Roman"/>
          <w:b w:val="false"/>
          <w:sz w:val="20"/>
        </w:rPr>
      </w:pPr>
      <w:r>
        <w:rPr>
          <w:rFonts w:ascii="Times New Roman" w:hAnsi="Times New Roman"/>
          <w:b w:val="false"/>
          <w:sz w:val="20"/>
        </w:rPr>
        <w:t>(2)</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Our estimate of the fair value of the current investments in these portfolio companies includes an analysis of the fair value of any unfunded commitments.</w:t>
      </w:r>
    </w:p>
    <w:p>
      <w:pPr>
        <w:pStyle w:val="TextBody"/>
        <w:bidi w:val="0"/>
        <w:spacing w:before="360" w:after="0"/>
        <w:jc w:val="left"/>
        <w:rPr>
          <w:rFonts w:ascii="Times New Roman" w:hAnsi="Times New Roman"/>
          <w:sz w:val="20"/>
        </w:rPr>
      </w:pPr>
      <w:r>
        <w:rPr>
          <w:rFonts w:ascii="Times New Roman;serif" w:hAnsi="Times New Roman;serif"/>
          <w:b/>
          <w:i/>
          <w:sz w:val="20"/>
        </w:rPr>
        <w:t>Other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we did not have any unfunded commitments to fund new investments to new borrowers that were not current portfolio companies as of such date.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From time to time, we may become a party to certain legal proceedings incidental to the normal course of our business. As of June 30, 2023, management is not aware of any material pending or threatened litigation that would require accounting recognition or financial statement disclosure.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certain contracts under which we have material future commitments. Under the Investment Advisory Agreement, our Adviser provides us with investment advisory and management services. For these services, we pay the Management Fee and the Incentive Fee.</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Contractual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summary of our contractual payment obligations as of June 30, 2023 is as follows:</w:t>
      </w:r>
      <w:r>
        <w:rPr>
          <w:rFonts w:ascii="Times New Roman" w:hAnsi="Times New Roman"/>
          <w:sz w:val="20"/>
        </w:rPr>
        <w:t xml:space="preserve"> </w:t>
      </w:r>
    </w:p>
    <w:p>
      <w:pPr>
        <w:pStyle w:val="TextBody"/>
        <w:bidi w:val="0"/>
        <w:spacing w:before="0" w:after="0"/>
        <w:jc w:val="left"/>
        <w:rPr/>
      </w:pPr>
      <w:r>
        <w:rPr/>
        <w:t> </w:t>
      </w:r>
    </w:p>
    <w:tbl>
      <w:tblPr>
        <w:tblW w:w="8884" w:type="dxa"/>
        <w:jc w:val="left"/>
        <w:tblInd w:w="0" w:type="dxa"/>
        <w:tblLayout w:type="fixed"/>
        <w:tblCellMar>
          <w:top w:w="28" w:type="dxa"/>
          <w:left w:w="28" w:type="dxa"/>
          <w:bottom w:w="28" w:type="dxa"/>
          <w:right w:w="28" w:type="dxa"/>
        </w:tblCellMar>
      </w:tblPr>
      <w:tblGrid>
        <w:gridCol w:w="2686"/>
        <w:gridCol w:w="146"/>
        <w:gridCol w:w="211"/>
        <w:gridCol w:w="721"/>
        <w:gridCol w:w="146"/>
        <w:gridCol w:w="146"/>
        <w:gridCol w:w="211"/>
        <w:gridCol w:w="571"/>
        <w:gridCol w:w="146"/>
        <w:gridCol w:w="146"/>
        <w:gridCol w:w="211"/>
        <w:gridCol w:w="571"/>
        <w:gridCol w:w="146"/>
        <w:gridCol w:w="146"/>
        <w:gridCol w:w="211"/>
        <w:gridCol w:w="721"/>
        <w:gridCol w:w="146"/>
        <w:gridCol w:w="146"/>
        <w:gridCol w:w="403"/>
        <w:gridCol w:w="662"/>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661"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Payments Due by Period</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3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than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1-3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3-5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After 5 years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3"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68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Contractual Obligations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In addition to the contractual payment obligations in the tables above, we also have commitments to fund investments and to pledge assets as collateral under the terms of our derivatives agreements.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investment company taxable income (which is generally our ordinary income plus the excess of realized net short-term capital gains over realized net long-term capital losses), determined without regard to the deduction for dividends paid, for such taxable year;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net tax-exempt interest income (which is the excess of our gross tax exempt interest income over certain disallowed deductions) for such taxable year. </w:t>
      </w:r>
    </w:p>
    <w:p>
      <w:pPr>
        <w:pStyle w:val="TextBody"/>
        <w:bidi w:val="0"/>
        <w:spacing w:before="240" w:after="0"/>
        <w:jc w:val="left"/>
        <w:rPr>
          <w:rFonts w:ascii="Times New Roman" w:hAnsi="Times New Roman"/>
          <w:sz w:val="20"/>
        </w:rPr>
      </w:pPr>
      <w:r>
        <w:rPr>
          <w:rFonts w:ascii="Times New Roman;serif" w:hAnsi="Times New Roman;serif"/>
          <w:b w:val="false"/>
          <w:sz w:val="20"/>
        </w:rPr>
        <w:t>As a RIC, we (but not our stockholders) generally will not be subject to U.S. federal income tax on investment company taxable income and net capital gains that we distribute to our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98% of our net ordinary income excluding certain ordinary gains or losses for that calendar year;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98.2% of our capital gain net income, adjusted for certain ordinary gains and losses, recognized for the twelve-month period ending on October 31 of that calendar year;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100% of any income or gains recognized, but not distributed, in preceding years.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Related-Party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entered into a number of business relationships with affiliated or related parties,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Investment Advisory Agreement;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Administration Agreement;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 ongoing agreement with an affiliate of TPG Global, LLC governing, inter alia, the parties’ respective ownership of and rights to use the “Sixth Street” and “TPG” trademarks and certain variations thereof.</w:t>
      </w:r>
    </w:p>
    <w:p>
      <w:pPr>
        <w:pStyle w:val="TextBody"/>
        <w:bidi w:val="0"/>
        <w:spacing w:before="360" w:after="0"/>
        <w:jc w:val="left"/>
        <w:rPr>
          <w:rFonts w:ascii="Times New Roman" w:hAnsi="Times New Roman"/>
          <w:sz w:val="20"/>
        </w:rPr>
      </w:pPr>
      <w:r>
        <w:rPr>
          <w:rFonts w:ascii="Times New Roman;serif" w:hAnsi="Times New Roman;serif"/>
          <w:b/>
          <w:sz w:val="20"/>
        </w:rPr>
        <w:t>Critical Accounting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2022, filed with the SEC on February 16, 2023, and elsewhere in our filings with the SEC.</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1" w:name="item_3_quantitative_qualitative_disclosu"/>
      <w:bookmarkEnd w:id="11"/>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financial market risks, including valuation risk, interest rate risk and currency risk.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Valuation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99.2% of our debt investments based on fair value in our portfolio bore interest at floating rates, with 100.0% of these subject to interest rate floors. Our credit facilities also bear interest at floating rates, and in connection with our 2024 Notes and 2026 Notes, which bear interest at fixed rates, we entered into fixed-to-floating interest rate swaps in order to align the interest rates of our liabilities with our investment portfolio.</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Assuming that our consolidated balance sheet as of June 30, 2023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bidi w:val="0"/>
        <w:spacing w:before="0" w:after="0"/>
        <w:jc w:val="left"/>
        <w:rPr/>
      </w:pPr>
      <w:r>
        <w:rPr/>
        <w:t> </w:t>
      </w:r>
    </w:p>
    <w:tbl>
      <w:tblPr>
        <w:tblW w:w="6892" w:type="dxa"/>
        <w:jc w:val="left"/>
        <w:tblInd w:w="0" w:type="dxa"/>
        <w:tblLayout w:type="fixed"/>
        <w:tblCellMar>
          <w:top w:w="28" w:type="dxa"/>
          <w:left w:w="28" w:type="dxa"/>
          <w:bottom w:w="28" w:type="dxa"/>
          <w:right w:w="28" w:type="dxa"/>
        </w:tblCellMar>
      </w:tblPr>
      <w:tblGrid>
        <w:gridCol w:w="1861"/>
        <w:gridCol w:w="146"/>
        <w:gridCol w:w="352"/>
        <w:gridCol w:w="878"/>
        <w:gridCol w:w="166"/>
        <w:gridCol w:w="146"/>
        <w:gridCol w:w="401"/>
        <w:gridCol w:w="889"/>
        <w:gridCol w:w="166"/>
        <w:gridCol w:w="146"/>
        <w:gridCol w:w="477"/>
        <w:gridCol w:w="1053"/>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123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30"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Basis Point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 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 Expense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Interest Income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Up 300 basis points</w:t>
            </w:r>
          </w:p>
        </w:tc>
        <w:tc>
          <w:tcPr>
            <w:tcW w:w="146" w:type="dxa"/>
            <w:tcBorders/>
            <w:vAlign w:val="center"/>
          </w:tcPr>
          <w:p>
            <w:pPr>
              <w:pStyle w:val="TableContents"/>
              <w:bidi w:val="0"/>
              <w:spacing w:before="0" w:after="0"/>
              <w:ind w:left="0" w:right="0" w:hanging="0"/>
              <w:jc w:val="right"/>
              <w:rPr/>
            </w:pPr>
            <w:r>
              <w:rPr/>
              <w:t> </w:t>
            </w:r>
          </w:p>
        </w:tc>
        <w:tc>
          <w:tcPr>
            <w:tcW w:w="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211"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Up 200 basis points</w:t>
            </w:r>
          </w:p>
        </w:tc>
        <w:tc>
          <w:tcPr>
            <w:tcW w:w="146" w:type="dxa"/>
            <w:tcBorders/>
            <w:vAlign w:val="center"/>
          </w:tcPr>
          <w:p>
            <w:pPr>
              <w:pStyle w:val="TableContents"/>
              <w:bidi w:val="0"/>
              <w:spacing w:before="0" w:after="0"/>
              <w:ind w:left="0" w:right="0" w:hanging="0"/>
              <w:jc w:val="right"/>
              <w:rPr/>
            </w:pPr>
            <w:r>
              <w:rPr/>
              <w:t> </w:t>
            </w:r>
          </w:p>
        </w:tc>
        <w:tc>
          <w:tcPr>
            <w:tcW w:w="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211"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Up 100 basis points</w:t>
            </w:r>
          </w:p>
        </w:tc>
        <w:tc>
          <w:tcPr>
            <w:tcW w:w="146" w:type="dxa"/>
            <w:tcBorders/>
            <w:vAlign w:val="center"/>
          </w:tcPr>
          <w:p>
            <w:pPr>
              <w:pStyle w:val="TableContents"/>
              <w:bidi w:val="0"/>
              <w:spacing w:before="0" w:after="0"/>
              <w:ind w:left="0" w:right="0" w:hanging="0"/>
              <w:jc w:val="right"/>
              <w:rPr/>
            </w:pPr>
            <w:r>
              <w:rPr/>
              <w:t> </w:t>
            </w:r>
          </w:p>
        </w:tc>
        <w:tc>
          <w:tcPr>
            <w:tcW w:w="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211"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Down 25 basis points</w:t>
            </w:r>
          </w:p>
        </w:tc>
        <w:tc>
          <w:tcPr>
            <w:tcW w:w="146" w:type="dxa"/>
            <w:tcBorders/>
            <w:vAlign w:val="center"/>
          </w:tcPr>
          <w:p>
            <w:pPr>
              <w:pStyle w:val="TableContents"/>
              <w:bidi w:val="0"/>
              <w:spacing w:before="0" w:after="0"/>
              <w:ind w:left="0" w:right="0" w:hanging="0"/>
              <w:jc w:val="right"/>
              <w:rPr/>
            </w:pPr>
            <w:r>
              <w:rPr/>
              <w:t> </w:t>
            </w:r>
          </w:p>
        </w:tc>
        <w:tc>
          <w:tcPr>
            <w:tcW w:w="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Down 50 basis points</w:t>
            </w:r>
          </w:p>
        </w:tc>
        <w:tc>
          <w:tcPr>
            <w:tcW w:w="146" w:type="dxa"/>
            <w:tcBorders/>
            <w:vAlign w:val="center"/>
          </w:tcPr>
          <w:p>
            <w:pPr>
              <w:pStyle w:val="TableContents"/>
              <w:bidi w:val="0"/>
              <w:spacing w:before="0" w:after="0"/>
              <w:ind w:left="0" w:right="0" w:hanging="0"/>
              <w:jc w:val="right"/>
              <w:rPr/>
            </w:pPr>
            <w:r>
              <w:rPr/>
              <w:t> </w:t>
            </w:r>
          </w:p>
        </w:tc>
        <w:tc>
          <w:tcPr>
            <w:tcW w:w="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Currency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pStyle w:val="TextBody"/>
        <w:bidi w:val="0"/>
        <w:spacing w:before="360" w:after="0"/>
        <w:jc w:val="left"/>
        <w:rPr>
          <w:rFonts w:ascii="Times New Roman" w:hAnsi="Times New Roman"/>
          <w:sz w:val="20"/>
        </w:rPr>
      </w:pPr>
      <w:bookmarkStart w:id="12" w:name="item_4_controls_procedures"/>
      <w:bookmarkEnd w:id="12"/>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Evaluation of Disclosure Controls and Procedures.</w:t>
      </w:r>
      <w:r>
        <w:rPr>
          <w:rFonts w:ascii="Times New Roman" w:hAnsi="Times New Roman"/>
          <w:sz w:val="20"/>
        </w:rPr>
        <w:t xml:space="preserve"> </w:t>
      </w:r>
      <w:r>
        <w:rPr>
          <w:rFonts w:ascii="Times New Roman;serif" w:hAnsi="Times New Roman;serif"/>
          <w:b w:val="false"/>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Changes in Internal Control over Financial Reporting.</w:t>
      </w:r>
      <w:r>
        <w:rPr>
          <w:rFonts w:ascii="Times New Roman" w:hAnsi="Times New Roman"/>
          <w:sz w:val="20"/>
        </w:rPr>
        <w:t xml:space="preserve"> </w:t>
      </w:r>
      <w:r>
        <w:rPr>
          <w:rFonts w:ascii="Times New Roman;serif" w:hAnsi="Times New Roman;serif"/>
          <w:b w:val="false"/>
          <w:sz w:val="20"/>
        </w:rPr>
        <w:t>There have been no changes in our internal control over financial reporting that occurred during our most recently completed fiscal quarter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13" w:name="part_ii_or_information"/>
      <w:bookmarkEnd w:id="13"/>
      <w:r>
        <w:rPr>
          <w:rFonts w:ascii="Times New Roman;serif" w:hAnsi="Times New Roman;serif"/>
          <w:b/>
          <w:sz w:val="20"/>
        </w:rPr>
        <w:t>PART II – OTHER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bookmarkStart w:id="14" w:name="item_1_legal_proceedings"/>
      <w:bookmarkEnd w:id="14"/>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5" w:name="item_1a_risk_factors"/>
      <w:bookmarkEnd w:id="15"/>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the other information set forth in this report, you should carefully consider the risk factors discussed in Part I, “Item 1A. Risk Factors” in our Annual Report on Form 10-K for the fiscal year ended December 31, 2022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2022.</w:t>
      </w:r>
    </w:p>
    <w:p>
      <w:pPr>
        <w:pStyle w:val="TextBody"/>
        <w:bidi w:val="0"/>
        <w:spacing w:before="360" w:after="0"/>
        <w:jc w:val="left"/>
        <w:rPr>
          <w:rFonts w:ascii="Times New Roman" w:hAnsi="Times New Roman"/>
          <w:sz w:val="20"/>
        </w:rPr>
      </w:pPr>
      <w:r>
        <w:rPr>
          <w:rFonts w:ascii="Times New Roman;serif" w:hAnsi="Times New Roman;serif"/>
          <w:b/>
          <w:i/>
          <w:sz w:val="20"/>
        </w:rPr>
        <w:t>Legislation allows us to incur additional leverage.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pStyle w:val="TextBody"/>
        <w:bidi w:val="0"/>
        <w:spacing w:before="240" w:after="0"/>
        <w:jc w:val="left"/>
        <w:rPr>
          <w:rFonts w:ascii="Times New Roman" w:hAnsi="Times New Roman"/>
          <w:sz w:val="20"/>
        </w:rPr>
      </w:pPr>
      <w:r>
        <w:rPr>
          <w:rFonts w:ascii="Times New Roman;serif" w:hAnsi="Times New Roman;serif"/>
          <w:b w:val="false"/>
          <w:sz w:val="20"/>
        </w:rPr>
        <w:t>As a result, you may face increased investment risk. We may not be able to implement our strategy to utilize additional leverage successfully. Any impact on returns or equity or our business associated with additional leverage may not outweigh the additional risk. See “</w:t>
      </w:r>
      <w:r>
        <w:rPr>
          <w:rFonts w:ascii="Times New Roman" w:hAnsi="Times New Roman"/>
          <w:sz w:val="20"/>
        </w:rPr>
        <w:t>—</w:t>
      </w:r>
      <w:r>
        <w:rPr>
          <w:rFonts w:ascii="Times New Roman;serif" w:hAnsi="Times New Roman;serif"/>
          <w:b w:val="false"/>
          <w:i/>
          <w:sz w:val="20"/>
        </w:rPr>
        <w:t>We borrow money, which magnifies the potential for gain or loss and increases the risk of investing in us.</w:t>
      </w:r>
      <w:r>
        <w:rPr>
          <w:rFonts w:ascii="Times New Roman" w:hAnsi="Times New Roman"/>
          <w:sz w:val="20"/>
        </w:rPr>
        <w:t>”</w:t>
      </w:r>
    </w:p>
    <w:p>
      <w:pPr>
        <w:pStyle w:val="TextBody"/>
        <w:bidi w:val="0"/>
        <w:spacing w:before="360" w:after="0"/>
        <w:jc w:val="left"/>
        <w:rPr>
          <w:rFonts w:ascii="Times New Roman" w:hAnsi="Times New Roman"/>
          <w:sz w:val="20"/>
        </w:rPr>
      </w:pPr>
      <w:r>
        <w:rPr>
          <w:rFonts w:ascii="Times New Roman;serif" w:hAnsi="Times New Roman;serif"/>
          <w:b/>
          <w:i/>
          <w:sz w:val="20"/>
        </w:rPr>
        <w:t>Regulations governing our operation as a BDC affect our ability to, and the way in which we, raise additional capital.</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1940 Act imposes numerous constraints on the operations of BDCs. See “ITEM 1. BUSINESS—Regulation as a Business Development Company” in our Annual Report on Form 10-K for the year ended December 31, 2022, filed with the SEC on February 16, 2023,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pStyle w:val="TextBody"/>
        <w:bidi w:val="0"/>
        <w:spacing w:before="240" w:after="0"/>
        <w:jc w:val="left"/>
        <w:rPr>
          <w:rFonts w:ascii="Times New Roman" w:hAnsi="Times New Roman"/>
          <w:sz w:val="20"/>
        </w:rPr>
      </w:pPr>
      <w:r>
        <w:rPr>
          <w:rFonts w:ascii="Times New Roman;serif" w:hAnsi="Times New Roman;serif"/>
          <w:b w:val="false"/>
          <w:sz w:val="20"/>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borrow money, which magnifies the potential for gain or loss and increases the risk of investing in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Our credit facilities and indentures governing our indebtedness also impose financial and operating covenants that restrict our business activities, remedies on default and similar matters. As of June 30, 2023,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we had $1,698.3 million of outstanding indebtedness, which had an annualized interest cost of 7.13% under the terms of our debt, excluding fees (such as fees on undrawn amounts and amortization of upfront fees) and giving effect to the swap-adjusted interest rates on our 2024 Notes and 2026 Notes. As of June 30, 2023, as adjusted to give effect to the interest rate swaps, the interest rate on the 2024 Notes was three-month LIBOR plus 2.28% (on a weighted-average basis), and the interest rate on the 2026 Notes was three-month LIBOR plus 1.91%. On September 25, 2023, the swap-adjusted interest rate on the 2024 Notes and 2026 Notes will transition to three-month SOFR plus 2.54% (on a weighted average basis), and three-month SOFR plus 2.17%,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For us to cover these annualized interest payments on indebtedness, we must achieve annual returns on our investments of at least 3.9%.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r>
        <w:rPr>
          <w:rFonts w:ascii="Times New Roman" w:hAnsi="Times New Roman"/>
          <w:sz w:val="20"/>
        </w:rPr>
        <w:t xml:space="preserve"> </w:t>
      </w:r>
    </w:p>
    <w:p>
      <w:pPr>
        <w:pStyle w:val="TextBody"/>
        <w:bidi w:val="0"/>
        <w:spacing w:before="240" w:after="0"/>
        <w:jc w:val="center"/>
        <w:rPr>
          <w:rFonts w:ascii="Times New Roman;serif" w:hAnsi="Times New Roman;serif"/>
          <w:b/>
          <w:sz w:val="20"/>
        </w:rPr>
      </w:pPr>
      <w:r>
        <w:rPr>
          <w:rFonts w:ascii="Times New Roman;serif" w:hAnsi="Times New Roman;serif"/>
          <w:b/>
          <w:sz w:val="20"/>
        </w:rPr>
        <w:t>Effects of Leverage Based on Actual Amount of Borrowings Incurred by us as of June 30, 2023</w:t>
      </w:r>
    </w:p>
    <w:p>
      <w:pPr>
        <w:pStyle w:val="TextBody"/>
        <w:bidi w:val="0"/>
        <w:spacing w:before="0" w:after="0"/>
        <w:jc w:val="left"/>
        <w:rPr/>
      </w:pPr>
      <w:r>
        <w:rPr/>
        <w:t> </w:t>
      </w:r>
    </w:p>
    <w:tbl>
      <w:tblPr>
        <w:tblW w:w="8876" w:type="dxa"/>
        <w:jc w:val="left"/>
        <w:tblInd w:w="0" w:type="dxa"/>
        <w:tblLayout w:type="fixed"/>
        <w:tblCellMar>
          <w:top w:w="28" w:type="dxa"/>
          <w:left w:w="28" w:type="dxa"/>
          <w:bottom w:w="28" w:type="dxa"/>
          <w:right w:w="28" w:type="dxa"/>
        </w:tblCellMar>
      </w:tblPr>
      <w:tblGrid>
        <w:gridCol w:w="3226"/>
        <w:gridCol w:w="109"/>
        <w:gridCol w:w="136"/>
        <w:gridCol w:w="659"/>
        <w:gridCol w:w="316"/>
        <w:gridCol w:w="109"/>
        <w:gridCol w:w="121"/>
        <w:gridCol w:w="584"/>
        <w:gridCol w:w="316"/>
        <w:gridCol w:w="109"/>
        <w:gridCol w:w="132"/>
        <w:gridCol w:w="513"/>
        <w:gridCol w:w="316"/>
        <w:gridCol w:w="109"/>
        <w:gridCol w:w="149"/>
        <w:gridCol w:w="496"/>
        <w:gridCol w:w="316"/>
        <w:gridCol w:w="109"/>
        <w:gridCol w:w="139"/>
        <w:gridCol w:w="596"/>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225" w:type="dxa"/>
            <w:gridSpan w:val="18"/>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Assumed Return on Our Portfolio</w:t>
            </w:r>
          </w:p>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(net of expenses) </w:t>
            </w:r>
            <w:r>
              <w:rPr>
                <w:rFonts w:ascii="Times New Roman;serif" w:hAnsi="Times New Roman;serif"/>
                <w:b/>
                <w:sz w:val="11"/>
              </w:rPr>
              <w:t>(1)</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95"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sz w:val="16"/>
              </w:rPr>
              <w:t>-10%</w:t>
            </w:r>
            <w:r>
              <w:rPr>
                <w:rFonts w:ascii="Times New Roman" w:hAnsi="Times New Roman"/>
                <w:sz w:val="16"/>
              </w:rPr>
              <w:t xml:space="preserve"> </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05"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sz w:val="16"/>
              </w:rPr>
              <w:t>-5%</w:t>
            </w:r>
            <w:r>
              <w:rPr>
                <w:rFonts w:ascii="Times New Roman" w:hAnsi="Times New Roman"/>
                <w:sz w:val="16"/>
              </w:rPr>
              <w:t xml:space="preserve"> </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45"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sz w:val="16"/>
              </w:rPr>
              <w:t>0%</w:t>
            </w:r>
            <w:r>
              <w:rPr>
                <w:rFonts w:ascii="Times New Roman" w:hAnsi="Times New Roman"/>
                <w:sz w:val="16"/>
              </w:rPr>
              <w:t xml:space="preserve"> </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45"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sz w:val="16"/>
              </w:rPr>
              <w:t>5%</w:t>
            </w:r>
            <w:r>
              <w:rPr>
                <w:rFonts w:ascii="Times New Roman" w:hAnsi="Times New Roman"/>
                <w:sz w:val="16"/>
              </w:rPr>
              <w:t xml:space="preserve"> </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5"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sz w:val="16"/>
              </w:rPr>
              <w:t>10%</w:t>
            </w:r>
            <w:r>
              <w:rPr>
                <w:rFonts w:ascii="Times New Roman" w:hAnsi="Times New Roman"/>
                <w:sz w:val="16"/>
              </w:rPr>
              <w:t xml:space="preserve"> </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Corresponding return to stockholder </w:t>
            </w:r>
            <w:r>
              <w:rPr>
                <w:rFonts w:ascii="Times New Roman;serif" w:hAnsi="Times New Roman;serif"/>
                <w:b w:val="false"/>
                <w:sz w:val="9"/>
              </w:rPr>
              <w:t>(2)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6" w:type="dxa"/>
            <w:tcBorders/>
            <w:vAlign w:val="center"/>
          </w:tcPr>
          <w:p>
            <w:pPr>
              <w:pStyle w:val="TableContents"/>
              <w:bidi w:val="0"/>
              <w:spacing w:before="0" w:after="283"/>
              <w:ind w:left="0" w:right="0" w:hanging="0"/>
              <w:jc w:val="left"/>
              <w:rPr>
                <w:sz w:val="4"/>
                <w:szCs w:val="4"/>
              </w:rPr>
            </w:pPr>
            <w:r>
              <w:rPr>
                <w:sz w:val="4"/>
                <w:szCs w:val="4"/>
              </w:rPr>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21" w:type="dxa"/>
            <w:tcBorders/>
            <w:vAlign w:val="center"/>
          </w:tcPr>
          <w:p>
            <w:pPr>
              <w:pStyle w:val="TableContents"/>
              <w:bidi w:val="0"/>
              <w:spacing w:before="0" w:after="283"/>
              <w:ind w:left="0" w:right="0" w:hanging="0"/>
              <w:jc w:val="left"/>
              <w:rPr>
                <w:sz w:val="4"/>
                <w:szCs w:val="4"/>
              </w:rPr>
            </w:pPr>
            <w:r>
              <w:rPr>
                <w:sz w:val="4"/>
                <w:szCs w:val="4"/>
              </w:rPr>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2" w:type="dxa"/>
            <w:tcBorders/>
            <w:vAlign w:val="center"/>
          </w:tcPr>
          <w:p>
            <w:pPr>
              <w:pStyle w:val="TableContents"/>
              <w:bidi w:val="0"/>
              <w:spacing w:before="0" w:after="283"/>
              <w:ind w:left="0" w:right="0" w:hanging="0"/>
              <w:jc w:val="left"/>
              <w:rPr>
                <w:sz w:val="4"/>
                <w:szCs w:val="4"/>
              </w:rPr>
            </w:pPr>
            <w:r>
              <w:rPr>
                <w:sz w:val="4"/>
                <w:szCs w:val="4"/>
              </w:rPr>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9"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9" w:type="dxa"/>
            <w:tcBorders/>
            <w:vAlign w:val="center"/>
          </w:tcPr>
          <w:p>
            <w:pPr>
              <w:pStyle w:val="TableContents"/>
              <w:bidi w:val="0"/>
              <w:spacing w:before="0" w:after="283"/>
              <w:ind w:left="0" w:right="0" w:hanging="0"/>
              <w:jc w:val="left"/>
              <w:rPr>
                <w:sz w:val="4"/>
                <w:szCs w:val="4"/>
              </w:rPr>
            </w:pPr>
            <w:r>
              <w:rPr>
                <w:sz w:val="4"/>
                <w:szCs w:val="4"/>
              </w:rPr>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June 30, 2023. As a result, it has not been updated to take into account any changes in assets or leverage since June 30, 2023.</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sz w:val="20"/>
        </w:rPr>
      </w:pPr>
      <w:r>
        <w:rPr>
          <w:rFonts w:ascii="Times New Roman;serif" w:hAnsi="Times New Roman;serif"/>
          <w:b w:val="false"/>
          <w:sz w:val="20"/>
        </w:rPr>
        <w:t>In order to compute the “Corresponding return to stockholder,” the “Assumed Return on Our Portfolio” is multiplied by the total value of our assets at June 30, 2023 to obtain an assumed return to us. From this amount, the interest expense (calculated by multiplying the weighted average stated interest rate of 7.13% by the approximately $1,698.3 million of principal debt outstanding) is subtracted to determine the return available to stockholders. The return available to stockholders is then divided by the total value of our net assets at June 30, 2023</w:t>
      </w:r>
      <w:r>
        <w:rPr>
          <w:rFonts w:ascii="Times New Roman;serif" w:hAnsi="Times New Roman;serif"/>
          <w:sz w:val="20"/>
        </w:rPr>
        <w:t xml:space="preserve"> </w:t>
      </w:r>
      <w:r>
        <w:rPr>
          <w:rFonts w:ascii="Times New Roman;serif" w:hAnsi="Times New Roman;serif"/>
          <w:b w:val="false"/>
          <w:sz w:val="20"/>
        </w:rPr>
        <w:t>to determine the “Corresponding return to stockholder.”</w:t>
      </w:r>
    </w:p>
    <w:p>
      <w:pPr>
        <w:pStyle w:val="TextBody"/>
        <w:bidi w:val="0"/>
        <w:spacing w:before="360" w:after="0"/>
        <w:jc w:val="left"/>
        <w:rPr>
          <w:rFonts w:ascii="Times New Roman" w:hAnsi="Times New Roman"/>
          <w:sz w:val="20"/>
        </w:rPr>
      </w:pPr>
      <w:r>
        <w:rPr>
          <w:rFonts w:ascii="Times New Roman;serif" w:hAnsi="Times New Roman;serif"/>
          <w:b/>
          <w:i/>
          <w:sz w:val="20"/>
        </w:rPr>
        <w:t>Our indebtedness could adversely affect our business, financial conditions or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Even in the event the value of your investment declines, the Management Fee and, in certain circumstances, the Incentive Fee will still be payable to the Adviser.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pStyle w:val="TextBody"/>
        <w:bidi w:val="0"/>
        <w:spacing w:before="360" w:after="0"/>
        <w:jc w:val="left"/>
        <w:rPr>
          <w:rFonts w:ascii="Times New Roman;serif" w:hAnsi="Times New Roman;serif"/>
          <w:b/>
          <w:sz w:val="20"/>
        </w:rPr>
      </w:pPr>
      <w:bookmarkStart w:id="16" w:name="item_2_unregistered_sales_of_equity"/>
      <w:bookmarkEnd w:id="16"/>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8" w:name="item_4_mine_safety_disclosures"/>
      <w:bookmarkEnd w:id="18"/>
      <w:r>
        <w:rPr>
          <w:rFonts w:ascii="Times New Roman;serif" w:hAnsi="Times New Roman;serif"/>
          <w:b/>
          <w:sz w:val="20"/>
        </w:rPr>
        <w:t>Item 4. Mine Safety Disclosures.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9" w:name="item_5_or_information"/>
      <w:bookmarkEnd w:id="19"/>
      <w:r>
        <w:rPr>
          <w:rFonts w:ascii="Times New Roman;serif" w:hAnsi="Times New Roman;serif"/>
          <w:b/>
          <w:sz w:val="20"/>
        </w:rPr>
        <w:t>Item 5. Other Information.</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Rule 10b5-1 Trading Plans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June 30, 2023, none of our directors or officers (as defined in Rule 16a-1(f) under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20" w:name="item_6_exhibits"/>
      <w:bookmarkEnd w:id="20"/>
      <w:r>
        <w:rPr>
          <w:rFonts w:ascii="Times New Roman;serif" w:hAnsi="Times New Roman;serif"/>
          <w:b/>
          <w:sz w:val="20"/>
        </w:rPr>
        <w:t>Item 6. Exhibits.</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(a)</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Exhibits. </w:t>
      </w:r>
    </w:p>
    <w:tbl>
      <w:tblPr>
        <w:tblW w:w="10205" w:type="dxa"/>
        <w:jc w:val="left"/>
        <w:tblInd w:w="0" w:type="dxa"/>
        <w:tblLayout w:type="fixed"/>
        <w:tblCellMar>
          <w:top w:w="28" w:type="dxa"/>
          <w:left w:w="28" w:type="dxa"/>
          <w:bottom w:w="28" w:type="dxa"/>
          <w:right w:w="28" w:type="dxa"/>
        </w:tblCellMar>
      </w:tblPr>
      <w:tblGrid>
        <w:gridCol w:w="637"/>
        <w:gridCol w:w="146"/>
        <w:gridCol w:w="9422"/>
      </w:tblGrid>
      <w:tr>
        <w:trPr/>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22" w:type="dxa"/>
            <w:tcBorders/>
            <w:vAlign w:val="center"/>
          </w:tcPr>
          <w:p>
            <w:pPr>
              <w:pStyle w:val="TableContents"/>
              <w:bidi w:val="0"/>
              <w:spacing w:before="0" w:after="283"/>
              <w:jc w:val="left"/>
              <w:rPr>
                <w:sz w:val="4"/>
                <w:szCs w:val="4"/>
              </w:rPr>
            </w:pPr>
            <w:r>
              <w:rPr>
                <w:sz w:val="4"/>
                <w:szCs w:val="4"/>
              </w:rPr>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Second Amended and Restated Bylaws dated July 10, 2023 (incorporated by reference to Exhibit 3.1 to the Company’s</w:t>
              </w:r>
            </w:hyperlink>
          </w:p>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Current Report on Form 8-K/A filed on July 17, 2023)</w:t>
              </w:r>
            </w:hyperlink>
          </w:p>
          <w:p>
            <w:pPr>
              <w:pStyle w:val="TableContents"/>
              <w:bidi w:val="0"/>
              <w:spacing w:before="0" w:after="0"/>
              <w:ind w:left="0" w:right="0" w:hanging="0"/>
              <w:jc w:val="left"/>
              <w:rPr/>
            </w:pPr>
            <w:r>
              <w:rPr/>
              <w:t> </w:t>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pPr>
            <w:hyperlink w:anchor="tslx-ex10_1.htm">
              <w:r>
                <w:rPr>
                  <w:rStyle w:val="InternetLink"/>
                  <w:rFonts w:ascii="Times New Roman;serif" w:hAnsi="Times New Roman;serif"/>
                  <w:b w:val="false"/>
                  <w:sz w:val="20"/>
                  <w:u w:val="single"/>
                </w:rPr>
                <w:t>Fourteenth Amendment to Second Amended and Restated Senior Secured Revolving Credit Agreement, dated as of June 12, 2023, among Sixth Street Specialty Lending, Inc. as Borrower, the Lenders party thereto and Truist Bank (as successor by merger to SunTrust Bank), as Administrative Agent</w:t>
              </w:r>
            </w:hyperlink>
          </w:p>
          <w:p>
            <w:pPr>
              <w:pStyle w:val="TableContents"/>
              <w:bidi w:val="0"/>
              <w:spacing w:before="0" w:after="0"/>
              <w:ind w:left="0" w:right="0" w:hanging="0"/>
              <w:jc w:val="left"/>
              <w:rPr/>
            </w:pPr>
            <w:r>
              <w:rPr/>
              <w:t> </w:t>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pPr>
            <w:hyperlink w:anchor="tslx-ex31_1.htm">
              <w:r>
                <w:rPr>
                  <w:rStyle w:val="InternetLink"/>
                  <w:rFonts w:ascii="Times New Roman;serif" w:hAnsi="Times New Roman;serif"/>
                  <w:b w:val="false"/>
                  <w:sz w:val="20"/>
                  <w:u w:val="single"/>
                </w:rPr>
                <w:t>Certification of Chief Executive Officer Pursuant to 18 U.S.C. Section 1350, as Adopted Pursuant to Section 302 of the Sarbanes-Oxley Act of 2002</w:t>
              </w:r>
            </w:hyperlink>
          </w:p>
          <w:p>
            <w:pPr>
              <w:pStyle w:val="TableContents"/>
              <w:bidi w:val="0"/>
              <w:spacing w:before="0" w:after="0"/>
              <w:ind w:left="0" w:right="0" w:hanging="0"/>
              <w:jc w:val="left"/>
              <w:rPr/>
            </w:pPr>
            <w:r>
              <w:rPr/>
              <w:t> </w:t>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pPr>
            <w:hyperlink w:anchor="tslx-ex31_2.htm">
              <w:r>
                <w:rPr>
                  <w:rStyle w:val="InternetLink"/>
                  <w:rFonts w:ascii="Times New Roman;serif" w:hAnsi="Times New Roman;serif"/>
                  <w:b w:val="false"/>
                  <w:sz w:val="20"/>
                  <w:u w:val="single"/>
                </w:rPr>
                <w:t>Certification of Chief Financial Officer Pursuant to 18 U.S.C. Section 1350, as Adopted Pursuant to Section 302 of the Sarbanes-Oxley Act of 2002</w:t>
              </w:r>
            </w:hyperlink>
          </w:p>
          <w:p>
            <w:pPr>
              <w:pStyle w:val="TableContents"/>
              <w:bidi w:val="0"/>
              <w:spacing w:before="0" w:after="0"/>
              <w:ind w:left="0" w:right="0" w:hanging="0"/>
              <w:jc w:val="left"/>
              <w:rPr/>
            </w:pPr>
            <w:r>
              <w:rPr/>
              <w:t> </w:t>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pPr>
            <w:hyperlink w:anchor="tslx-ex32.htm">
              <w:r>
                <w:rPr>
                  <w:rStyle w:val="InternetLink"/>
                  <w:rFonts w:ascii="Times New Roman;serif" w:hAnsi="Times New Roman;serif"/>
                  <w:b w:val="false"/>
                  <w:sz w:val="20"/>
                  <w:u w:val="single"/>
                </w:rPr>
                <w:t>Certification of CEO and CFO Pursuant to 18 U.S.C. Section 1350, as Adopted Pursuant to Section 906 of the Sarbanes-Oxley Act of 2002</w:t>
              </w:r>
            </w:hyperlink>
          </w:p>
          <w:p>
            <w:pPr>
              <w:pStyle w:val="TableContents"/>
              <w:bidi w:val="0"/>
              <w:spacing w:before="0" w:after="0"/>
              <w:ind w:left="0" w:right="0" w:hanging="0"/>
              <w:jc w:val="left"/>
              <w:rPr/>
            </w:pPr>
            <w:r>
              <w:rPr/>
              <w:t> </w:t>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4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1" w:name="signatures"/>
      <w:bookmarkEnd w:id="21"/>
      <w:r>
        <w:rPr>
          <w:rFonts w:ascii="Times New Roman;serif" w:hAnsi="Times New Roman;serif"/>
          <w:b/>
          <w:caps/>
          <w:sz w:val="20"/>
        </w:rPr>
        <w:t>SIGNATURES</w:t>
      </w:r>
      <w:r>
        <w:rPr>
          <w:rFonts w:ascii="Times New Roman" w:hAnsi="Times New Roman"/>
          <w:caps/>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5892" w:type="dxa"/>
        <w:jc w:val="left"/>
        <w:tblInd w:w="0" w:type="dxa"/>
        <w:tblLayout w:type="fixed"/>
        <w:tblCellMar>
          <w:top w:w="28" w:type="dxa"/>
          <w:left w:w="28" w:type="dxa"/>
          <w:bottom w:w="28" w:type="dxa"/>
          <w:right w:w="28" w:type="dxa"/>
        </w:tblCellMar>
      </w:tblPr>
      <w:tblGrid>
        <w:gridCol w:w="1846"/>
        <w:gridCol w:w="146"/>
        <w:gridCol w:w="603"/>
        <w:gridCol w:w="217"/>
        <w:gridCol w:w="3080"/>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900"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SIXTH STREET SPECIALTY LENDING, INC.</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308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7" w:type="dxa"/>
            <w:tcBorders/>
            <w:vAlign w:val="center"/>
          </w:tcPr>
          <w:p>
            <w:pPr>
              <w:pStyle w:val="TableContents"/>
              <w:bidi w:val="0"/>
              <w:spacing w:before="0" w:after="0"/>
              <w:ind w:left="0" w:right="0" w:hanging="0"/>
              <w:jc w:val="left"/>
              <w:rPr/>
            </w:pPr>
            <w:r>
              <w:rPr/>
              <w:t> </w:t>
            </w:r>
          </w:p>
        </w:tc>
        <w:tc>
          <w:tcPr>
            <w:tcW w:w="30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Joshua Easterly</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Joshua Easterly</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308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7" w:type="dxa"/>
            <w:tcBorders/>
            <w:vAlign w:val="center"/>
          </w:tcPr>
          <w:p>
            <w:pPr>
              <w:pStyle w:val="TableContents"/>
              <w:bidi w:val="0"/>
              <w:spacing w:before="0" w:after="0"/>
              <w:ind w:left="0" w:right="0" w:hanging="0"/>
              <w:jc w:val="left"/>
              <w:rPr/>
            </w:pPr>
            <w:r>
              <w:rPr/>
              <w:t> </w:t>
            </w:r>
          </w:p>
        </w:tc>
        <w:tc>
          <w:tcPr>
            <w:tcW w:w="30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Ian Simmonds</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Ian Simmonds</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4"/>
        </w:rPr>
      </w:pPr>
      <w:bookmarkStart w:id="22" w:name="tslx-ex10_1.htm"/>
      <w:bookmarkStart w:id="23" w:name="kstslxex10_1"/>
      <w:bookmarkEnd w:id="22"/>
      <w:bookmarkEnd w:id="23"/>
      <w:r>
        <w:rPr>
          <w:rFonts w:ascii="Times New Roman;serif" w:hAnsi="Times New Roman;serif"/>
          <w:b/>
          <w:sz w:val="24"/>
        </w:rPr>
        <w:t>Exhibit 10.1</w:t>
      </w:r>
      <w:r>
        <w:br w:type="page"/>
      </w:r>
    </w:p>
    <w:p>
      <w:pPr>
        <w:pStyle w:val="TextBody"/>
        <w:bidi w:val="0"/>
        <w:spacing w:before="0" w:after="0"/>
        <w:jc w:val="right"/>
        <w:rPr>
          <w:rFonts w:ascii="Times New Roman;serif" w:hAnsi="Times New Roman;serif"/>
          <w:b/>
          <w:sz w:val="24"/>
        </w:rPr>
      </w:pPr>
      <w:r>
        <w:rPr>
          <w:rFonts w:ascii="Times New Roman;serif" w:hAnsi="Times New Roman;serif"/>
          <w:b/>
          <w:sz w:val="24"/>
        </w:rPr>
        <w:t>EXECUTION COPY</w:t>
      </w:r>
    </w:p>
    <w:p>
      <w:pPr>
        <w:pStyle w:val="TextBody"/>
        <w:bidi w:val="0"/>
        <w:spacing w:before="0" w:after="0"/>
        <w:jc w:val="right"/>
        <w:rPr/>
      </w:pPr>
      <w:r>
        <w:rPr/>
        <w:t> </w:t>
      </w:r>
    </w:p>
    <w:p>
      <w:pPr>
        <w:pStyle w:val="TextBody"/>
        <w:bidi w:val="0"/>
        <w:spacing w:before="0" w:after="0"/>
        <w:jc w:val="righ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FOURTEENTH AMENDMENT</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TO SECOND AMENDED AND RESTATED SENIOR SECURED REVOLVING CREDIT AGREEMENT</w:t>
      </w:r>
    </w:p>
    <w:p>
      <w:pPr>
        <w:pStyle w:val="TextBody"/>
        <w:bidi w:val="0"/>
        <w:spacing w:before="0" w:after="240"/>
        <w:jc w:val="both"/>
        <w:rPr>
          <w:rFonts w:ascii="Times New Roman" w:hAnsi="Times New Roman"/>
          <w:sz w:val="20"/>
        </w:rPr>
      </w:pPr>
      <w:r>
        <w:rPr>
          <w:rFonts w:ascii="Times New Roman;serif" w:hAnsi="Times New Roman;serif"/>
          <w:b w:val="false"/>
          <w:sz w:val="24"/>
        </w:rPr>
        <w:t>THIS FOURTEENTH AMENDMENT TO SECOND AMENDED AND RESTATED SENIOR SECURED REVOLVING CREDIT AGREEMENT, dated as of June 12, 2023 (this “</w:t>
      </w:r>
      <w:r>
        <w:rPr>
          <w:rFonts w:ascii="Times New Roman;serif" w:hAnsi="Times New Roman;serif"/>
          <w:b w:val="false"/>
          <w:sz w:val="24"/>
          <w:u w:val="single"/>
        </w:rPr>
        <w:t>Amendment</w:t>
      </w:r>
      <w:r>
        <w:rPr>
          <w:rFonts w:ascii="Times New Roman" w:hAnsi="Times New Roman"/>
          <w:sz w:val="20"/>
        </w:rPr>
        <w:t>”</w:t>
      </w:r>
      <w:r>
        <w:rPr>
          <w:rFonts w:ascii="Times New Roman;serif" w:hAnsi="Times New Roman;serif"/>
          <w:b w:val="false"/>
          <w:sz w:val="24"/>
        </w:rPr>
        <w:t xml:space="preserve">), to the Existing Credit Agreement (capitalized terms used herein and not otherwise defined shall have the meanings given to such terms in </w:t>
      </w:r>
      <w:r>
        <w:rPr>
          <w:rFonts w:ascii="Times New Roman;serif" w:hAnsi="Times New Roman;serif"/>
          <w:b w:val="false"/>
          <w:sz w:val="24"/>
          <w:u w:val="single"/>
        </w:rPr>
        <w:t>Article I</w:t>
      </w:r>
      <w:r>
        <w:rPr>
          <w:rFonts w:ascii="Times New Roman;serif" w:hAnsi="Times New Roman;serif"/>
          <w:b w:val="false"/>
          <w:sz w:val="24"/>
        </w:rPr>
        <w:t>) is among SIXTH STREET SPECIALTY LENDING, INC., a Delaware corporation (the “</w:t>
      </w:r>
      <w:r>
        <w:rPr>
          <w:rFonts w:ascii="Times New Roman;serif" w:hAnsi="Times New Roman;serif"/>
          <w:b w:val="false"/>
          <w:sz w:val="24"/>
          <w:u w:val="single"/>
        </w:rPr>
        <w:t>Borrower</w:t>
      </w:r>
      <w:r>
        <w:rPr>
          <w:rFonts w:ascii="Times New Roman" w:hAnsi="Times New Roman"/>
          <w:sz w:val="20"/>
        </w:rPr>
        <w:t>”</w:t>
      </w:r>
      <w:r>
        <w:rPr>
          <w:rFonts w:ascii="Times New Roman;serif" w:hAnsi="Times New Roman;serif"/>
          <w:b w:val="false"/>
          <w:sz w:val="24"/>
        </w:rPr>
        <w:t xml:space="preserve">), the LENDERS and ISSUING BANKS party hereto and </w:t>
      </w:r>
      <w:r>
        <w:rPr>
          <w:rFonts w:ascii="Times New Roman;serif" w:hAnsi="Times New Roman;serif"/>
          <w:b w:val="false"/>
          <w:caps/>
          <w:sz w:val="24"/>
        </w:rPr>
        <w:t>TRUIST BANK</w:t>
      </w:r>
      <w:r>
        <w:rPr>
          <w:rFonts w:ascii="Times New Roman;serif" w:hAnsi="Times New Roman;serif"/>
          <w:b w:val="false"/>
          <w:sz w:val="24"/>
        </w:rPr>
        <w:t>, as Administrative Agent (the “</w:t>
      </w:r>
      <w:r>
        <w:rPr>
          <w:rFonts w:ascii="Times New Roman;serif" w:hAnsi="Times New Roman;serif"/>
          <w:b w:val="false"/>
          <w:sz w:val="24"/>
          <w:u w:val="single"/>
        </w:rPr>
        <w:t>Administrative Agent</w:t>
      </w:r>
      <w:r>
        <w:rPr>
          <w:rFonts w:ascii="Times New Roman" w:hAnsi="Times New Roman"/>
          <w:sz w:val="20"/>
        </w:rPr>
        <w:t>”</w:t>
      </w:r>
      <w:r>
        <w:rPr>
          <w:rFonts w:ascii="Times New Roman;serif" w:hAnsi="Times New Roman;serif"/>
          <w:b w:val="false"/>
          <w:sz w:val="24"/>
        </w:rPr>
        <w:t>).</w:t>
      </w:r>
    </w:p>
    <w:p>
      <w:pPr>
        <w:pStyle w:val="TextBody"/>
        <w:bidi w:val="0"/>
        <w:spacing w:before="0" w:after="240"/>
        <w:jc w:val="center"/>
        <w:rPr>
          <w:rFonts w:ascii="Times New Roman" w:hAnsi="Times New Roman"/>
          <w:sz w:val="20"/>
        </w:rPr>
      </w:pPr>
      <w:r>
        <w:rPr>
          <w:rFonts w:ascii="Times New Roman;serif" w:hAnsi="Times New Roman;serif"/>
          <w:b w:val="false"/>
          <w:sz w:val="24"/>
          <w:u w:val="single"/>
        </w:rPr>
        <w:t>W I T N E S S E T H</w:t>
      </w:r>
      <w:r>
        <w:rPr>
          <w:rFonts w:ascii="Times New Roman;serif" w:hAnsi="Times New Roman;serif"/>
          <w:b w:val="false"/>
          <w:sz w:val="24"/>
        </w:rPr>
        <w:t>:</w:t>
      </w:r>
    </w:p>
    <w:p>
      <w:pPr>
        <w:pStyle w:val="TextBody"/>
        <w:bidi w:val="0"/>
        <w:spacing w:before="0" w:after="240"/>
        <w:jc w:val="both"/>
        <w:rPr>
          <w:rFonts w:ascii="Times New Roman" w:hAnsi="Times New Roman"/>
          <w:sz w:val="20"/>
        </w:rPr>
      </w:pPr>
      <w:r>
        <w:rPr>
          <w:rFonts w:ascii="Times New Roman;serif" w:hAnsi="Times New Roman;serif"/>
          <w:b w:val="false"/>
          <w:sz w:val="24"/>
        </w:rPr>
        <w:t>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the Twelfth Amendment to Second Amended and Restated Senior Secured Revolving Credit Agreement, dated as of April 25, 2022, and the Thirteenth Amendment to Second Amended and Restated Senior Secured Revolving Credit Agreement, dated as of May 19, 2022 (the “</w:t>
      </w:r>
      <w:r>
        <w:rPr>
          <w:rFonts w:ascii="Times New Roman;serif" w:hAnsi="Times New Roman;serif"/>
          <w:b w:val="false"/>
          <w:sz w:val="24"/>
          <w:u w:val="single"/>
        </w:rPr>
        <w:t>Existing Credit Agreement</w:t>
      </w:r>
      <w:r>
        <w:rPr>
          <w:rFonts w:ascii="Times New Roman" w:hAnsi="Times New Roman"/>
          <w:sz w:val="20"/>
        </w:rPr>
        <w:t>”</w:t>
      </w:r>
      <w:r>
        <w:rPr>
          <w:rFonts w:ascii="Times New Roman;serif" w:hAnsi="Times New Roman;serif"/>
          <w:b w:val="false"/>
          <w:sz w:val="24"/>
        </w:rPr>
        <w:t>), and by this Amendment and as the same may be further amended, supplemented, amended and restated or otherwise modified from time to time, the “</w:t>
      </w:r>
      <w:r>
        <w:rPr>
          <w:rFonts w:ascii="Times New Roman;serif" w:hAnsi="Times New Roman;serif"/>
          <w:b w:val="false"/>
          <w:sz w:val="24"/>
          <w:u w:val="single"/>
        </w:rPr>
        <w:t>Credit Agreement</w:t>
      </w:r>
      <w:r>
        <w:rPr>
          <w:rFonts w:ascii="Times New Roman" w:hAnsi="Times New Roman"/>
          <w:sz w:val="20"/>
        </w:rPr>
        <w:t>”</w:t>
      </w:r>
      <w:r>
        <w:rPr>
          <w:rFonts w:ascii="Times New Roman;serif" w:hAnsi="Times New Roman;serif"/>
          <w:b w:val="false"/>
          <w:sz w:val="24"/>
        </w:rPr>
        <w:t>); and</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NOW, THEREFORE, the parties hereto hereby covenant and agree as follows:</w:t>
      </w:r>
    </w:p>
    <w:p>
      <w:pPr>
        <w:pStyle w:val="TextBody"/>
        <w:pBdr>
          <w:top w:val="double" w:sz="6" w:space="1" w:color="000000"/>
        </w:pBdr>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240" w:after="240"/>
        <w:jc w:val="center"/>
        <w:rPr>
          <w:rFonts w:ascii="Times New Roman" w:hAnsi="Times New Roman"/>
          <w:b w:val="false"/>
          <w:caps/>
          <w:sz w:val="24"/>
        </w:rPr>
      </w:pPr>
      <w:r>
        <w:rPr>
          <w:rFonts w:ascii="Times New Roman" w:hAnsi="Times New Roman"/>
          <w:b w:val="false"/>
          <w:caps/>
          <w:sz w:val="24"/>
        </w:rPr>
        <w:t>ARTICLE I</w:t>
      </w:r>
    </w:p>
    <w:p>
      <w:pPr>
        <w:pStyle w:val="TextBody"/>
        <w:bidi w:val="0"/>
        <w:spacing w:before="240" w:after="240"/>
        <w:jc w:val="center"/>
        <w:rPr>
          <w:rFonts w:ascii="Times New Roman;serif" w:hAnsi="Times New Roman;serif"/>
          <w:b w:val="false"/>
          <w:caps/>
          <w:sz w:val="24"/>
          <w:u w:val="single"/>
        </w:rPr>
      </w:pPr>
      <w:r>
        <w:rPr>
          <w:rFonts w:ascii="Times New Roman;serif" w:hAnsi="Times New Roman;serif"/>
          <w:b w:val="false"/>
          <w:caps/>
          <w:sz w:val="24"/>
          <w:u w:val="single"/>
        </w:rPr>
        <w:br/>
        <w:br/>
        <w:t>DEFINITIONS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 xml:space="preserve">SECTION 1.1. </w:t>
      </w:r>
    </w:p>
    <w:p>
      <w:pPr>
        <w:pStyle w:val="TextBody"/>
        <w:bidi w:val="0"/>
        <w:spacing w:before="0" w:after="240"/>
        <w:jc w:val="both"/>
        <w:rPr/>
      </w:pPr>
      <w:r>
        <w:rPr>
          <w:rFonts w:ascii="Times New Roman;serif" w:hAnsi="Times New Roman;serif"/>
          <w:b w:val="false"/>
          <w:sz w:val="24"/>
          <w:u w:val="single"/>
        </w:rPr>
        <w:t>Certain Definitions</w:t>
      </w:r>
      <w:r>
        <w:rPr>
          <w:rFonts w:ascii="Times New Roman;serif" w:hAnsi="Times New Roman;serif"/>
          <w:b w:val="false"/>
          <w:sz w:val="24"/>
        </w:rPr>
        <w:t>. The following terms when used in this Amendment shall have the following meanings (such meanings to be equally applicable to the singular and plural forms thereof):</w:t>
      </w:r>
    </w:p>
    <w:p>
      <w:pPr>
        <w:pStyle w:val="TextBody"/>
        <w:bidi w:val="0"/>
        <w:spacing w:before="0" w:after="240"/>
        <w:jc w:val="both"/>
        <w:rPr/>
      </w:pPr>
      <w:r>
        <w:rPr/>
        <w:t>“</w:t>
      </w:r>
      <w:r>
        <w:rPr>
          <w:rFonts w:ascii="Times New Roman;serif" w:hAnsi="Times New Roman;serif"/>
          <w:b w:val="false"/>
          <w:sz w:val="24"/>
          <w:u w:val="single"/>
        </w:rPr>
        <w:t>Amendment</w:t>
      </w:r>
      <w:r>
        <w:rPr>
          <w:rFonts w:ascii="Times New Roman" w:hAnsi="Times New Roman"/>
          <w:sz w:val="20"/>
        </w:rPr>
        <w:t xml:space="preserve">” </w:t>
      </w:r>
      <w:r>
        <w:rPr>
          <w:rFonts w:ascii="Times New Roman;serif" w:hAnsi="Times New Roman;serif"/>
          <w:b w:val="false"/>
          <w:sz w:val="24"/>
        </w:rPr>
        <w:t xml:space="preserve">is defined in the </w:t>
      </w:r>
      <w:r>
        <w:rPr>
          <w:rFonts w:ascii="Times New Roman;serif" w:hAnsi="Times New Roman;serif"/>
          <w:b w:val="false"/>
          <w:sz w:val="24"/>
          <w:u w:val="single"/>
        </w:rPr>
        <w:t>preamble</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Borrower</w:t>
      </w:r>
      <w:r>
        <w:rPr>
          <w:rFonts w:ascii="Times New Roman" w:hAnsi="Times New Roman"/>
          <w:sz w:val="20"/>
        </w:rPr>
        <w:t xml:space="preserve">” </w:t>
      </w:r>
      <w:r>
        <w:rPr>
          <w:rFonts w:ascii="Times New Roman;serif" w:hAnsi="Times New Roman;serif"/>
          <w:b w:val="false"/>
          <w:sz w:val="24"/>
        </w:rPr>
        <w:t xml:space="preserve">is defined in the </w:t>
      </w:r>
      <w:r>
        <w:rPr>
          <w:rFonts w:ascii="Times New Roman;serif" w:hAnsi="Times New Roman;serif"/>
          <w:b w:val="false"/>
          <w:sz w:val="24"/>
          <w:u w:val="single"/>
        </w:rPr>
        <w:t>preamble</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Credit Agreement</w:t>
      </w:r>
      <w:r>
        <w:rPr>
          <w:rFonts w:ascii="Times New Roman" w:hAnsi="Times New Roman"/>
          <w:sz w:val="20"/>
        </w:rPr>
        <w:t xml:space="preserve">” </w:t>
      </w:r>
      <w:r>
        <w:rPr>
          <w:rFonts w:ascii="Times New Roman;serif" w:hAnsi="Times New Roman;serif"/>
          <w:b w:val="false"/>
          <w:sz w:val="24"/>
        </w:rPr>
        <w:t xml:space="preserve">is defined in the </w:t>
      </w:r>
      <w:r>
        <w:rPr>
          <w:rFonts w:ascii="Times New Roman;serif" w:hAnsi="Times New Roman;serif"/>
          <w:b w:val="false"/>
          <w:sz w:val="24"/>
          <w:u w:val="single"/>
        </w:rPr>
        <w:t>first recital</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Existing Credit Agreement</w:t>
      </w:r>
      <w:r>
        <w:rPr>
          <w:rFonts w:ascii="Times New Roman" w:hAnsi="Times New Roman"/>
          <w:sz w:val="20"/>
        </w:rPr>
        <w:t xml:space="preserve">” </w:t>
      </w:r>
      <w:r>
        <w:rPr>
          <w:rFonts w:ascii="Times New Roman;serif" w:hAnsi="Times New Roman;serif"/>
          <w:b w:val="false"/>
          <w:sz w:val="24"/>
        </w:rPr>
        <w:t xml:space="preserve">is defined in the </w:t>
      </w:r>
      <w:r>
        <w:rPr>
          <w:rFonts w:ascii="Times New Roman;serif" w:hAnsi="Times New Roman;serif"/>
          <w:b w:val="false"/>
          <w:sz w:val="24"/>
          <w:u w:val="single"/>
        </w:rPr>
        <w:t>first recital</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Fourteenth Amendment Effective Date</w:t>
      </w:r>
      <w:r>
        <w:rPr>
          <w:rFonts w:ascii="Times New Roman" w:hAnsi="Times New Roman"/>
          <w:sz w:val="20"/>
        </w:rPr>
        <w:t xml:space="preserve">” </w:t>
      </w:r>
      <w:r>
        <w:rPr>
          <w:rFonts w:ascii="Times New Roman;serif" w:hAnsi="Times New Roman;serif"/>
          <w:b w:val="false"/>
          <w:sz w:val="24"/>
        </w:rPr>
        <w:t xml:space="preserve">is defined in </w:t>
      </w:r>
      <w:r>
        <w:rPr>
          <w:rFonts w:ascii="Times New Roman;serif" w:hAnsi="Times New Roman;serif"/>
          <w:b w:val="false"/>
          <w:sz w:val="24"/>
          <w:u w:val="single"/>
        </w:rPr>
        <w:t>Article IV</w:t>
      </w:r>
      <w:r>
        <w:rPr>
          <w:rFonts w:ascii="Times New Roman;serif" w:hAnsi="Times New Roman;serif"/>
          <w:b w:val="false"/>
          <w:sz w:val="24"/>
        </w:rPr>
        <w: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 xml:space="preserve">SECTION 1.2. </w:t>
      </w:r>
    </w:p>
    <w:p>
      <w:pPr>
        <w:pStyle w:val="TextBody"/>
        <w:bidi w:val="0"/>
        <w:spacing w:before="0" w:after="240"/>
        <w:jc w:val="both"/>
        <w:rPr/>
      </w:pPr>
      <w:r>
        <w:rPr>
          <w:rFonts w:ascii="Times New Roman;serif" w:hAnsi="Times New Roman;serif"/>
          <w:b w:val="false"/>
          <w:sz w:val="24"/>
          <w:u w:val="single"/>
        </w:rPr>
        <w:t>Other Definitions</w:t>
      </w:r>
      <w:r>
        <w:rPr>
          <w:rFonts w:ascii="Times New Roman;serif" w:hAnsi="Times New Roman;serif"/>
          <w:b w:val="false"/>
          <w:sz w:val="24"/>
        </w:rPr>
        <w:t>. Capitalized terms for which meanings are provided in the Existing Credit Agreement are, unless otherwise defined herein or the context otherwise requires, used in this Amendment with such meanings.</w:t>
      </w:r>
    </w:p>
    <w:p>
      <w:pPr>
        <w:pStyle w:val="TextBody"/>
        <w:bidi w:val="0"/>
        <w:spacing w:before="240" w:after="240"/>
        <w:jc w:val="center"/>
        <w:rPr>
          <w:rFonts w:ascii="Times New Roman" w:hAnsi="Times New Roman"/>
          <w:b w:val="false"/>
          <w:caps/>
          <w:sz w:val="24"/>
        </w:rPr>
      </w:pPr>
      <w:r>
        <w:rPr>
          <w:rFonts w:ascii="Times New Roman" w:hAnsi="Times New Roman"/>
          <w:b w:val="false"/>
          <w:caps/>
          <w:sz w:val="24"/>
        </w:rPr>
        <w:t>ARTICLE II</w:t>
      </w:r>
    </w:p>
    <w:p>
      <w:pPr>
        <w:pStyle w:val="TextBody"/>
        <w:bidi w:val="0"/>
        <w:spacing w:before="0" w:after="240"/>
        <w:jc w:val="center"/>
        <w:rPr>
          <w:rFonts w:ascii="Times New Roman;serif" w:hAnsi="Times New Roman;serif"/>
          <w:b w:val="false"/>
          <w:caps/>
          <w:sz w:val="24"/>
          <w:u w:val="single"/>
        </w:rPr>
      </w:pPr>
      <w:r>
        <w:rPr>
          <w:rFonts w:ascii="Times New Roman;serif" w:hAnsi="Times New Roman;serif"/>
          <w:b w:val="false"/>
          <w:caps/>
          <w:sz w:val="24"/>
          <w:u w:val="single"/>
        </w:rPr>
        <w:t>JOINDER OF NEW LENDERS</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2.1. </w:t>
      </w:r>
    </w:p>
    <w:p>
      <w:pPr>
        <w:pStyle w:val="TextBody"/>
        <w:bidi w:val="0"/>
        <w:spacing w:before="240" w:after="240"/>
        <w:jc w:val="both"/>
        <w:rPr/>
      </w:pPr>
      <w:r>
        <w:rPr>
          <w:rFonts w:ascii="Times New Roman;serif" w:hAnsi="Times New Roman;serif"/>
          <w:b w:val="false"/>
          <w:sz w:val="24"/>
          <w:u w:val="single"/>
        </w:rPr>
        <w:t>New Lenders</w:t>
      </w:r>
      <w:r>
        <w:rPr>
          <w:rFonts w:ascii="Times New Roman;serif" w:hAnsi="Times New Roman;serif"/>
          <w:b w:val="false"/>
          <w:sz w:val="24"/>
        </w:rPr>
        <w:t>. Subject to the occurrence of the Second Amendment Effective Date (as hereinafter defined), each of the parties hereto hereby agrees that each of the Lenders listed on Schedule I hereto (each, a “</w:t>
      </w:r>
      <w:r>
        <w:rPr>
          <w:rFonts w:ascii="Times New Roman;serif" w:hAnsi="Times New Roman;serif"/>
          <w:b w:val="false"/>
          <w:sz w:val="24"/>
          <w:u w:val="single"/>
        </w:rPr>
        <w:t>New Lender</w:t>
      </w:r>
      <w:r>
        <w:rPr/>
        <w:t xml:space="preserve">” </w:t>
      </w:r>
      <w:r>
        <w:rPr>
          <w:rFonts w:ascii="Times New Roman;serif" w:hAnsi="Times New Roman;serif"/>
          <w:b w:val="false"/>
          <w:sz w:val="24"/>
        </w:rPr>
        <w:t>and, collectively, the “</w:t>
      </w:r>
      <w:r>
        <w:rPr>
          <w:rFonts w:ascii="Times New Roman;serif" w:hAnsi="Times New Roman;serif"/>
          <w:b w:val="false"/>
          <w:sz w:val="24"/>
          <w:u w:val="single"/>
        </w:rPr>
        <w:t>New Lenders</w:t>
      </w:r>
      <w:r>
        <w:rPr/>
        <w:t>”</w:t>
      </w:r>
      <w:r>
        <w:rPr>
          <w:rFonts w:ascii="Times New Roman;serif" w:hAnsi="Times New Roman;serif"/>
          <w:b w:val="false"/>
          <w:sz w:val="24"/>
        </w:rPr>
        <w:t>) will (and does hereby) become a “Lender” under and for all purposes of the Credit Agreement with Commitments as set forth on Schedule I hereto and hereby agrees to be bound by and comply with all of the terms and provisions of the Credit Agreement applicable to it as a “Lender” thereunder and that it will perform all of the obligations which by the terms of the Credit Agreement are required to be performed by it as a Lender. Each New Lender represents and warrants that it has full power and authority, and has taken all action necessary, to execute this Amendment and to consummate the transactions contemplated hereby and to become a Lender under the Credit Agreement.</w:t>
      </w:r>
    </w:p>
    <w:p>
      <w:pPr>
        <w:pStyle w:val="TextBody"/>
        <w:bidi w:val="0"/>
        <w:spacing w:before="240" w:after="240"/>
        <w:jc w:val="center"/>
        <w:rPr>
          <w:rFonts w:ascii="Times New Roman" w:hAnsi="Times New Roman"/>
          <w:b w:val="false"/>
          <w:caps/>
          <w:sz w:val="24"/>
        </w:rPr>
      </w:pPr>
      <w:r>
        <w:rPr>
          <w:rFonts w:ascii="Times New Roman" w:hAnsi="Times New Roman"/>
          <w:b w:val="false"/>
          <w:caps/>
          <w:sz w:val="24"/>
        </w:rPr>
        <w:t>ARTICLE III</w:t>
      </w:r>
    </w:p>
    <w:p>
      <w:pPr>
        <w:pStyle w:val="TextBody"/>
        <w:bidi w:val="0"/>
        <w:spacing w:before="0" w:after="240"/>
        <w:jc w:val="center"/>
        <w:rPr>
          <w:rFonts w:ascii="Times New Roman;serif" w:hAnsi="Times New Roman;serif"/>
          <w:b w:val="false"/>
          <w:caps/>
          <w:sz w:val="24"/>
          <w:u w:val="single"/>
        </w:rPr>
      </w:pPr>
      <w:r>
        <w:rPr>
          <w:rFonts w:ascii="Times New Roman;serif" w:hAnsi="Times New Roman;serif"/>
          <w:b w:val="false"/>
          <w:caps/>
          <w:sz w:val="24"/>
          <w:u w:val="single"/>
        </w:rPr>
        <w:t>AMENDMENTS TO EXISTING CREDIT AGREEMENT</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3.1. </w:t>
      </w:r>
    </w:p>
    <w:p>
      <w:pPr>
        <w:pStyle w:val="TextBody"/>
        <w:bidi w:val="0"/>
        <w:spacing w:before="240" w:after="240"/>
        <w:jc w:val="both"/>
        <w:rPr/>
      </w:pPr>
      <w:r>
        <w:rPr>
          <w:rFonts w:ascii="Times New Roman;serif" w:hAnsi="Times New Roman;serif"/>
          <w:b w:val="false"/>
          <w:sz w:val="24"/>
        </w:rPr>
        <w:t xml:space="preserve">The parties hereto hereby agree that the Existing Credit Agreement (including the Exhibits thereto but excluding the Schedules thereto) is amended to delete the stricken text (indicated textually in the same manner as the following example: </w:t>
      </w:r>
      <w:r>
        <w:rPr>
          <w:rFonts w:ascii="Times New Roman;serif" w:hAnsi="Times New Roman;serif"/>
          <w:b w:val="false"/>
          <w:strike/>
          <w:sz w:val="24"/>
        </w:rPr>
        <w:t>stricken text</w:t>
      </w:r>
      <w:r>
        <w:rPr>
          <w:rFonts w:ascii="Times New Roman;serif" w:hAnsi="Times New Roman;serif"/>
          <w:b w:val="false"/>
          <w:sz w:val="24"/>
        </w:rPr>
        <w:t xml:space="preserve">) and to add the double-underlined text (indicated textually in the same manner as the following example: </w:t>
      </w:r>
      <w:r>
        <w:rPr>
          <w:rFonts w:ascii="Times New Roman;serif" w:hAnsi="Times New Roman;serif"/>
          <w:b w:val="false"/>
          <w:sz w:val="22"/>
          <w:u w:val="single"/>
        </w:rPr>
        <w:t>double-underlined text</w:t>
      </w:r>
      <w:r>
        <w:rPr>
          <w:rFonts w:ascii="Times New Roman;serif" w:hAnsi="Times New Roman;serif"/>
          <w:b w:val="false"/>
          <w:sz w:val="24"/>
        </w:rPr>
        <w:t xml:space="preserve">) as set forth in the pages attached as </w:t>
      </w:r>
      <w:r>
        <w:rPr>
          <w:rFonts w:ascii="Times New Roman;serif" w:hAnsi="Times New Roman;serif"/>
          <w:b w:val="false"/>
          <w:sz w:val="24"/>
          <w:u w:val="single"/>
        </w:rPr>
        <w:t>Exhibit A</w:t>
      </w:r>
      <w:r>
        <w:rPr/>
        <w:t xml:space="preserve"> </w:t>
      </w:r>
      <w:r>
        <w:rPr>
          <w:rFonts w:ascii="Times New Roman;serif" w:hAnsi="Times New Roman;serif"/>
          <w:b w:val="false"/>
          <w:sz w:val="24"/>
        </w:rPr>
        <w:t>hereto.</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3.2. </w:t>
      </w:r>
    </w:p>
    <w:p>
      <w:pPr>
        <w:pStyle w:val="TextBody"/>
        <w:bidi w:val="0"/>
        <w:spacing w:before="240" w:after="240"/>
        <w:jc w:val="both"/>
        <w:rPr/>
      </w:pPr>
      <w:r>
        <w:rPr>
          <w:rFonts w:ascii="Times New Roman;serif" w:hAnsi="Times New Roman;serif"/>
          <w:b w:val="false"/>
          <w:sz w:val="24"/>
        </w:rPr>
        <w:t xml:space="preserve">The parties hereto hereby agree that Schedule 1.01(b) of the Existing Credit Agreement is amended in its entirety in the form of </w:t>
      </w:r>
      <w:r>
        <w:rPr>
          <w:rFonts w:ascii="Times New Roman;serif" w:hAnsi="Times New Roman;serif"/>
          <w:b w:val="false"/>
          <w:sz w:val="24"/>
          <w:u w:val="single"/>
        </w:rPr>
        <w:t>Exhibit B</w:t>
      </w:r>
      <w:r>
        <w:rPr/>
        <w:t xml:space="preserve"> </w:t>
      </w:r>
      <w:r>
        <w:rPr>
          <w:rFonts w:ascii="Times New Roman;serif" w:hAnsi="Times New Roman;serif"/>
          <w:b w:val="false"/>
          <w:sz w:val="24"/>
        </w:rPr>
        <w:t>attached hereto.</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3.3. </w:t>
      </w:r>
    </w:p>
    <w:p>
      <w:pPr>
        <w:pStyle w:val="TextBody"/>
        <w:bidi w:val="0"/>
        <w:spacing w:before="240" w:after="240"/>
        <w:jc w:val="both"/>
        <w:rPr/>
      </w:pPr>
      <w:r>
        <w:rPr>
          <w:rFonts w:ascii="Times New Roman;serif" w:hAnsi="Times New Roman;serif"/>
          <w:b w:val="false"/>
          <w:sz w:val="24"/>
        </w:rPr>
        <w:t xml:space="preserve">The parties hereto hereby agree that the Existing Credit Agreement is hereby amended to add a new Schedule 2.04 in the form of </w:t>
      </w:r>
      <w:r>
        <w:rPr>
          <w:rFonts w:ascii="Times New Roman;serif" w:hAnsi="Times New Roman;serif"/>
          <w:b w:val="false"/>
          <w:sz w:val="24"/>
          <w:u w:val="single"/>
        </w:rPr>
        <w:t>Exhibit C</w:t>
      </w:r>
      <w:r>
        <w:rPr/>
        <w:t xml:space="preserve"> </w:t>
      </w:r>
      <w:r>
        <w:rPr>
          <w:rFonts w:ascii="Times New Roman;serif" w:hAnsi="Times New Roman;serif"/>
          <w:b w:val="false"/>
          <w:sz w:val="24"/>
        </w:rPr>
        <w:t>attached hereto.</w:t>
      </w:r>
    </w:p>
    <w:p>
      <w:pPr>
        <w:pStyle w:val="TextBody"/>
        <w:bidi w:val="0"/>
        <w:spacing w:before="240" w:after="240"/>
        <w:jc w:val="center"/>
        <w:rPr>
          <w:rFonts w:ascii="Times New Roman" w:hAnsi="Times New Roman"/>
          <w:b w:val="false"/>
          <w:caps/>
          <w:sz w:val="24"/>
        </w:rPr>
      </w:pPr>
      <w:r>
        <w:rPr>
          <w:rFonts w:ascii="Times New Roman" w:hAnsi="Times New Roman"/>
          <w:b w:val="false"/>
          <w:caps/>
          <w:sz w:val="24"/>
        </w:rPr>
        <w:t>ARTICLE IV</w:t>
      </w:r>
    </w:p>
    <w:p>
      <w:pPr>
        <w:pStyle w:val="TextBody"/>
        <w:bidi w:val="0"/>
        <w:spacing w:before="240" w:after="240"/>
        <w:jc w:val="center"/>
        <w:rPr>
          <w:rFonts w:ascii="Times New Roman;serif" w:hAnsi="Times New Roman;serif"/>
          <w:b w:val="false"/>
          <w:caps/>
          <w:sz w:val="24"/>
          <w:u w:val="single"/>
        </w:rPr>
      </w:pPr>
      <w:r>
        <w:rPr>
          <w:rFonts w:ascii="Times New Roman;serif" w:hAnsi="Times New Roman;serif"/>
          <w:b w:val="false"/>
          <w:caps/>
          <w:sz w:val="24"/>
          <w:u w:val="single"/>
        </w:rPr>
        <w:br/>
        <w:br/>
        <w:t>CONDITIONS TO EFFECTIVENESS</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4.1. </w:t>
      </w:r>
    </w:p>
    <w:p>
      <w:pPr>
        <w:pStyle w:val="TextBody"/>
        <w:bidi w:val="0"/>
        <w:spacing w:before="240" w:after="240"/>
        <w:jc w:val="both"/>
        <w:rPr/>
      </w:pPr>
      <w:r>
        <w:rPr>
          <w:rFonts w:ascii="Times New Roman;serif" w:hAnsi="Times New Roman;serif"/>
          <w:b w:val="false"/>
          <w:sz w:val="24"/>
          <w:u w:val="single"/>
        </w:rPr>
        <w:t>Effective Date</w:t>
      </w:r>
      <w:r>
        <w:rPr>
          <w:rFonts w:ascii="Times New Roman;serif" w:hAnsi="Times New Roman;serif"/>
          <w:b w:val="false"/>
          <w:sz w:val="24"/>
        </w:rPr>
        <w:t>. This Amendment shall become effective on the date (the “</w:t>
      </w:r>
      <w:r>
        <w:rPr>
          <w:rFonts w:ascii="Times New Roman;serif" w:hAnsi="Times New Roman;serif"/>
          <w:b w:val="false"/>
          <w:sz w:val="24"/>
          <w:u w:val="single"/>
        </w:rPr>
        <w:t>Fourteenth Amendment Effective Date</w:t>
      </w:r>
      <w:r>
        <w:rPr/>
        <w:t>”</w:t>
      </w:r>
      <w:r>
        <w:rPr>
          <w:rFonts w:ascii="Times New Roman;serif" w:hAnsi="Times New Roman;serif"/>
          <w:b w:val="false"/>
          <w:sz w:val="24"/>
        </w:rPr>
        <w:t xml:space="preserve">) when the Administrative Agent shall have received (a) counterparts of this Amendment duly executed and delivered on behalf of the Borrower and each of the Lenders party hereto, (b) a favorable written opinion (addressed to the Administrative Agent and the Lenders party hereto and dated as of the date hereof) of (i) Cleary Gottlieb Steen &amp; Hamilton LLP, New York counsel for the Borrower, and (ii) Young Conaway Stargatt &amp; Taylor, LLP, Delaware counsel for the Borrower,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 </w:t>
      </w:r>
    </w:p>
    <w:p>
      <w:pPr>
        <w:pStyle w:val="TextBody"/>
        <w:bidi w:val="0"/>
        <w:spacing w:before="240" w:after="240"/>
        <w:jc w:val="center"/>
        <w:rPr>
          <w:rFonts w:ascii="Times New Roman" w:hAnsi="Times New Roman"/>
          <w:b w:val="false"/>
          <w:caps/>
          <w:sz w:val="24"/>
        </w:rPr>
      </w:pPr>
      <w:r>
        <w:rPr>
          <w:rFonts w:ascii="Times New Roman" w:hAnsi="Times New Roman"/>
          <w:b w:val="false"/>
          <w:caps/>
          <w:sz w:val="24"/>
        </w:rPr>
        <w:t>ARTICLE V</w:t>
      </w:r>
    </w:p>
    <w:p>
      <w:pPr>
        <w:pStyle w:val="TextBody"/>
        <w:bidi w:val="0"/>
        <w:spacing w:before="240" w:after="240"/>
        <w:jc w:val="center"/>
        <w:rPr>
          <w:rFonts w:ascii="Times New Roman;serif" w:hAnsi="Times New Roman;serif"/>
          <w:b w:val="false"/>
          <w:caps/>
          <w:sz w:val="24"/>
          <w:u w:val="single"/>
        </w:rPr>
      </w:pPr>
      <w:r>
        <w:rPr>
          <w:rFonts w:ascii="Times New Roman;serif" w:hAnsi="Times New Roman;serif"/>
          <w:b w:val="false"/>
          <w:caps/>
          <w:sz w:val="24"/>
          <w:u w:val="single"/>
        </w:rPr>
        <w:br/>
        <w:br/>
        <w:t>MISCELLANEOUS</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5.1. </w:t>
      </w:r>
    </w:p>
    <w:p>
      <w:pPr>
        <w:pStyle w:val="TextBody"/>
        <w:bidi w:val="0"/>
        <w:spacing w:before="240" w:after="240"/>
        <w:jc w:val="both"/>
        <w:rPr/>
      </w:pPr>
      <w:r>
        <w:rPr>
          <w:rFonts w:ascii="Times New Roman;serif" w:hAnsi="Times New Roman;serif"/>
          <w:b w:val="false"/>
          <w:sz w:val="24"/>
          <w:u w:val="single"/>
        </w:rPr>
        <w:t>Representations</w:t>
      </w:r>
      <w:r>
        <w:rPr>
          <w:rFonts w:ascii="Times New Roman;serif" w:hAnsi="Times New Roman;serif"/>
          <w:b w:val="false"/>
          <w:sz w:val="24"/>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5.2. </w:t>
      </w:r>
    </w:p>
    <w:p>
      <w:pPr>
        <w:pStyle w:val="TextBody"/>
        <w:bidi w:val="0"/>
        <w:spacing w:before="240" w:after="240"/>
        <w:jc w:val="both"/>
        <w:rPr/>
      </w:pPr>
      <w:r>
        <w:rPr>
          <w:rFonts w:ascii="Times New Roman;serif" w:hAnsi="Times New Roman;serif"/>
          <w:b w:val="false"/>
          <w:sz w:val="24"/>
          <w:u w:val="single"/>
        </w:rPr>
        <w:t>Cross-References</w:t>
      </w:r>
      <w:r>
        <w:rPr>
          <w:rFonts w:ascii="Times New Roman;serif" w:hAnsi="Times New Roman;serif"/>
          <w:b w:val="false"/>
          <w:sz w:val="24"/>
        </w:rPr>
        <w:t>. References in this Amendment to any Article or Section are, unless otherwise specified, to such Article or Section of this Amendment.</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5.3. </w:t>
      </w:r>
    </w:p>
    <w:p>
      <w:pPr>
        <w:pStyle w:val="TextBody"/>
        <w:bidi w:val="0"/>
        <w:spacing w:before="240" w:after="240"/>
        <w:jc w:val="both"/>
        <w:rPr/>
      </w:pPr>
      <w:r>
        <w:rPr>
          <w:rFonts w:ascii="Times New Roman;serif" w:hAnsi="Times New Roman;serif"/>
          <w:b w:val="false"/>
          <w:sz w:val="24"/>
          <w:u w:val="single"/>
        </w:rPr>
        <w:t>Loan Document Pursuant to Existing Credit Agreement</w:t>
      </w:r>
      <w:r>
        <w:rPr>
          <w:rFonts w:ascii="Times New Roman;serif" w:hAnsi="Times New Roman;serif"/>
          <w:b w:val="false"/>
          <w:sz w:val="24"/>
        </w:rPr>
        <w:t xml:space="preserve">. This Amendment is a Loan Document executed pursuant to the Existing Credit Agreement and shall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240" w:after="240"/>
        <w:jc w:val="both"/>
        <w:rPr>
          <w:rFonts w:ascii="Times New Roman;serif" w:hAnsi="Times New Roman;serif"/>
          <w:b w:val="false"/>
          <w:sz w:val="24"/>
        </w:rPr>
      </w:pPr>
      <w:r>
        <w:rPr>
          <w:rFonts w:ascii="Times New Roman;serif" w:hAnsi="Times New Roman;serif"/>
          <w:b w:val="false"/>
          <w:sz w:val="24"/>
        </w:rPr>
        <w:t>(unless otherwise expressly indicated therein) be construed, administered and applied in accordance with all of the terms and provisions of the Existing Credit Agreement, as amended hereby, including Article IX thereof.</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5.4. </w:t>
      </w:r>
    </w:p>
    <w:p>
      <w:pPr>
        <w:pStyle w:val="TextBody"/>
        <w:bidi w:val="0"/>
        <w:spacing w:before="240" w:after="240"/>
        <w:jc w:val="both"/>
        <w:rPr/>
      </w:pPr>
      <w:r>
        <w:rPr>
          <w:rFonts w:ascii="Times New Roman;serif" w:hAnsi="Times New Roman;serif"/>
          <w:b w:val="false"/>
          <w:sz w:val="24"/>
          <w:u w:val="single"/>
        </w:rPr>
        <w:t>Successors and Assigns</w:t>
      </w:r>
      <w:r>
        <w:rPr>
          <w:rFonts w:ascii="Times New Roman;serif" w:hAnsi="Times New Roman;serif"/>
          <w:b w:val="false"/>
          <w:sz w:val="24"/>
        </w:rPr>
        <w:t xml:space="preserve">. The provisions of this Amendment shall be binding upon and inure to the benefit of the parties hereto and their respective successors and assigns. </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5.5. </w:t>
      </w:r>
    </w:p>
    <w:p>
      <w:pPr>
        <w:pStyle w:val="TextBody"/>
        <w:bidi w:val="0"/>
        <w:spacing w:before="240" w:after="240"/>
        <w:jc w:val="both"/>
        <w:rPr/>
      </w:pPr>
      <w:r>
        <w:rPr>
          <w:rFonts w:ascii="Times New Roman;serif" w:hAnsi="Times New Roman;serif"/>
          <w:b w:val="false"/>
          <w:sz w:val="24"/>
          <w:u w:val="single"/>
        </w:rPr>
        <w:t>Counterparts</w:t>
      </w:r>
      <w:r>
        <w:rPr>
          <w:rFonts w:ascii="Times New Roman;serif" w:hAnsi="Times New Roman;serif"/>
          <w:b w:val="false"/>
          <w:sz w:val="24"/>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5.6. </w:t>
      </w:r>
    </w:p>
    <w:p>
      <w:pPr>
        <w:pStyle w:val="TextBody"/>
        <w:bidi w:val="0"/>
        <w:spacing w:before="240" w:after="240"/>
        <w:jc w:val="both"/>
        <w:rPr/>
      </w:pPr>
      <w:r>
        <w:rPr>
          <w:rFonts w:ascii="Times New Roman;serif" w:hAnsi="Times New Roman;serif"/>
          <w:b w:val="false"/>
          <w:sz w:val="24"/>
          <w:u w:val="single"/>
        </w:rPr>
        <w:t>Governing Law</w:t>
      </w:r>
      <w:r>
        <w:rPr>
          <w:rFonts w:ascii="Times New Roman;serif" w:hAnsi="Times New Roman;serif"/>
          <w:b w:val="false"/>
          <w:sz w:val="24"/>
        </w:rPr>
        <w:t>. This Amendment shall be governed by and construed in accordance with the laws of the State of New York.</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5.7. </w:t>
      </w:r>
    </w:p>
    <w:p>
      <w:pPr>
        <w:pStyle w:val="TextBody"/>
        <w:bidi w:val="0"/>
        <w:spacing w:before="240" w:after="240"/>
        <w:jc w:val="both"/>
        <w:rPr/>
      </w:pPr>
      <w:r>
        <w:rPr>
          <w:rFonts w:ascii="Times New Roman;serif" w:hAnsi="Times New Roman;serif"/>
          <w:b w:val="false"/>
          <w:sz w:val="24"/>
          <w:u w:val="single"/>
        </w:rPr>
        <w:t>Full Force and Effect; Limited Amendment</w:t>
      </w:r>
      <w:r>
        <w:rPr>
          <w:rFonts w:ascii="Times New Roman;serif" w:hAnsi="Times New Roman;serif"/>
          <w:b w:val="false"/>
          <w:sz w:val="24"/>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This Amendment does not constitute a novation or termination of the Credit Agreement Obligations (as defined in the Guarantee and Security Agreement) under the Credit Agreement as in effect immediately prior to the effectiveness of this Amendment and which remain outstanding.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5.8. </w:t>
      </w:r>
    </w:p>
    <w:p>
      <w:pPr>
        <w:pStyle w:val="TextBody"/>
        <w:bidi w:val="0"/>
        <w:spacing w:before="240" w:after="240"/>
        <w:jc w:val="both"/>
        <w:rPr/>
      </w:pPr>
      <w:r>
        <w:rPr>
          <w:rFonts w:ascii="Times New Roman;serif" w:hAnsi="Times New Roman;serif"/>
          <w:b w:val="false"/>
          <w:sz w:val="24"/>
          <w:u w:val="single"/>
        </w:rPr>
        <w:t>Reaffirmation</w:t>
      </w:r>
      <w:r>
        <w:rPr>
          <w:rFonts w:ascii="Times New Roman;serif" w:hAnsi="Times New Roman;serif"/>
          <w:b w:val="false"/>
          <w:sz w:val="24"/>
        </w:rPr>
        <w:t>. Each of Sixth Street SL Holding, LLC, TC Lending, LLC and Sixth Street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pStyle w:val="TextBody"/>
        <w:bidi w:val="0"/>
        <w:spacing w:before="240" w:after="240"/>
        <w:jc w:val="both"/>
        <w:rPr>
          <w:rFonts w:ascii="Times New Roman" w:hAnsi="Times New Roman"/>
          <w:b w:val="false"/>
          <w:caps/>
          <w:sz w:val="24"/>
        </w:rPr>
      </w:pPr>
      <w:r>
        <w:rPr>
          <w:rFonts w:ascii="Times New Roman" w:hAnsi="Times New Roman"/>
          <w:b w:val="false"/>
          <w:caps/>
          <w:sz w:val="24"/>
        </w:rPr>
        <w:t xml:space="preserve">SECTION 5.9. </w:t>
      </w:r>
    </w:p>
    <w:p>
      <w:pPr>
        <w:pStyle w:val="TextBody"/>
        <w:bidi w:val="0"/>
        <w:spacing w:before="240" w:after="240"/>
        <w:jc w:val="both"/>
        <w:rPr/>
      </w:pPr>
      <w:r>
        <w:rPr>
          <w:rFonts w:ascii="Times New Roman;serif" w:hAnsi="Times New Roman;serif"/>
          <w:b w:val="false"/>
          <w:sz w:val="24"/>
          <w:u w:val="single"/>
        </w:rPr>
        <w:t>Assignment and Reallocation of Existing Commitments and Existing Loans</w:t>
      </w:r>
      <w:r>
        <w:rPr>
          <w:rFonts w:ascii="Times New Roman;serif" w:hAnsi="Times New Roman;serif"/>
          <w:b w:val="false"/>
          <w:sz w:val="24"/>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(a) On the Fourteenth Amendment Effective Date, the Borrower shall (A) prepay the outstanding Loans and (B) simultaneously borrow new Loans in an amount equal to such prepayment; provided that with respect to subclauses (A) and (B), (x) the prepayment to, and borrowing from, any Lender shall be effected by book entry to the extent that any portion of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amount prepaid to such Lender will be subsequently borrowed from such Lender,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the Credit Agreement and each other Loan Document, will be as set forth opposite such Person’s name on Schedule 1.01(b) to the Credit Agreement and (z) each Lender party hereto hereby agrees that no amounts shall be required to be paid to such Lender under Section 2.15 of the Credit Agreement in connection with the reallocation described in this Section 5.9(a).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 Each of the Lenders hereby acknowledges and agrees that (i) no Lender nor the Administrative Agent has made any representations or warranties or assumed any responsibility with respect to (A) any statements, warranties or representations made by any Obligor in or in connection with this Amendment, the Credit Agreement or any other Loan Document or, with respect to any Obligor, the execution, legality, validity, enforceability, genuineness or sufficiency of this Amendment, the Credit Agreement or any other Loan Document or (B) the financial condition of any Obligor or the performance by any Obligor of its obligations hereunder or under the Credit Agreement or any other Loan Document; (ii) it has received such information as it has deemed appropriate to make its own credit analysis and decision to enter into this Amendment; and (iii) it has made and continues to make its own credit decisions in taking or not taking action under the Loan Documents, independently and without reliance upon the Administrative Agent or any other Lender.</w:t>
      </w:r>
    </w:p>
    <w:p>
      <w:pPr>
        <w:pStyle w:val="TextBody"/>
        <w:bidi w:val="0"/>
        <w:spacing w:before="0" w:after="240"/>
        <w:jc w:val="both"/>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[REMAINDER OF PAGE INTENTIONALLY LEFT BLANK]</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 WITNESS WHEREOF, the parties hereto have executed and delivered this Amendment as of the date first above written.</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u w:val="single"/>
        </w:rPr>
        <w:t>BORROWER</w:t>
      </w:r>
      <w:r>
        <w:rPr>
          <w:rFonts w:ascii="Times New Roman;serif" w:hAnsi="Times New Roman;serif"/>
          <w:b w:val="false"/>
          <w:sz w:val="24"/>
        </w:rPr>
        <w:t xml:space="preserve">: </w:t>
      </w:r>
      <w:r>
        <w:rPr>
          <w:rFonts w:ascii="Times New Roman;serif" w:hAnsi="Times New Roman;serif"/>
          <w:b/>
          <w:sz w:val="24"/>
        </w:rPr>
        <w:t xml:space="preserve">SIXTH STREET SPECIALTY LENDING, INC. </w:t>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Ian Simmonds </w:t>
        <w:br/>
      </w:r>
      <w:r>
        <w:rPr>
          <w:rFonts w:ascii="Times New Roman;serif" w:hAnsi="Times New Roman;serif"/>
          <w:b w:val="false"/>
          <w:sz w:val="24"/>
        </w:rPr>
        <w:t>Name: Ian Simmonds</w:t>
      </w:r>
      <w:r>
        <w:rPr>
          <w:rFonts w:ascii="Times New Roman;serif" w:hAnsi="Times New Roman;serif"/>
          <w:b w:val="false"/>
          <w:sz w:val="24"/>
          <w:u w:val="single"/>
        </w:rPr>
        <w:br/>
      </w:r>
      <w:r>
        <w:rPr>
          <w:rFonts w:ascii="Times New Roman;serif" w:hAnsi="Times New Roman;serif"/>
          <w:b w:val="false"/>
          <w:sz w:val="24"/>
        </w:rPr>
        <w:t>Title: Chief Financial Officer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u w:val="single"/>
        </w:rPr>
        <w:t>LENDERS</w:t>
      </w:r>
      <w:r>
        <w:rPr>
          <w:rFonts w:ascii="Times New Roman;serif" w:hAnsi="Times New Roman;serif"/>
          <w:b w:val="false"/>
          <w:sz w:val="24"/>
        </w:rPr>
        <w:t xml:space="preserve">: </w:t>
      </w:r>
      <w:r>
        <w:rPr>
          <w:rFonts w:ascii="Times New Roman;serif" w:hAnsi="Times New Roman;serif"/>
          <w:b/>
          <w:caps/>
          <w:sz w:val="24"/>
        </w:rPr>
        <w:t>TRUIST BANK</w:t>
      </w:r>
      <w:r>
        <w:rPr>
          <w:rFonts w:ascii="Times New Roman;serif" w:hAnsi="Times New Roman;serif"/>
          <w:b w:val="false"/>
          <w:sz w:val="24"/>
        </w:rPr>
        <w:t>,</w:t>
      </w:r>
      <w:r>
        <w:rPr>
          <w:rFonts w:ascii="Times New Roman;serif" w:hAnsi="Times New Roman;serif"/>
          <w:b/>
          <w:sz w:val="24"/>
        </w:rPr>
        <w:br/>
      </w:r>
      <w:r>
        <w:rPr>
          <w:rFonts w:ascii="Times New Roman;serif" w:hAnsi="Times New Roman;serif"/>
          <w:b w:val="false"/>
          <w:sz w:val="24"/>
        </w:rPr>
        <w:t xml:space="preserve">as Administrative Agent, Swingline Lender, Issuing Bank and as a Lender </w:t>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Hays Wood </w:t>
        <w:br/>
      </w:r>
      <w:r>
        <w:rPr>
          <w:rFonts w:ascii="Times New Roman;serif" w:hAnsi="Times New Roman;serif"/>
          <w:b w:val="false"/>
          <w:sz w:val="24"/>
        </w:rPr>
        <w:t>Name: Hays Wood</w:t>
      </w:r>
      <w:r>
        <w:rPr>
          <w:rFonts w:ascii="Times New Roman;serif" w:hAnsi="Times New Roman;serif"/>
          <w:b w:val="false"/>
          <w:sz w:val="24"/>
          <w:u w:val="single"/>
        </w:rPr>
        <w:br/>
      </w:r>
      <w:r>
        <w:rPr>
          <w:rFonts w:ascii="Times New Roman;serif" w:hAnsi="Times New Roman;serif"/>
          <w:b w:val="false"/>
          <w:sz w:val="24"/>
        </w:rPr>
        <w:t>Title: Director</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JPMORGAN CHASE BANK, N.A.</w:t>
      </w:r>
      <w:r>
        <w:rPr>
          <w:rFonts w:ascii="Times New Roman;serif" w:hAnsi="Times New Roman;serif"/>
          <w:b/>
          <w:sz w:val="24"/>
          <w:u w:val="single"/>
        </w:rPr>
        <w:t>,</w:t>
      </w:r>
      <w:r>
        <w:rPr>
          <w:rFonts w:ascii="Times New Roman" w:hAnsi="Times New Roman"/>
          <w:sz w:val="20"/>
          <w:u w:val="single"/>
        </w:rPr>
        <w:t xml:space="preserve"> </w:t>
      </w:r>
      <w:r>
        <w:rPr>
          <w:rFonts w:ascii="Times New Roman;serif" w:hAnsi="Times New Roman;serif"/>
          <w:b w:val="false"/>
          <w:sz w:val="24"/>
          <w:u w:val="single"/>
        </w:rPr>
        <w:br/>
        <w:t xml:space="preserve">as Issuing Bank and as a Lender </w:t>
        <w:br/>
      </w:r>
      <w:r>
        <w:rPr>
          <w:rFonts w:ascii="Times New Roman" w:hAnsi="Times New Roman"/>
          <w:sz w:val="20"/>
          <w:u w:val="single"/>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Alevtina Dudyreva </w:t>
        <w:br/>
      </w:r>
      <w:r>
        <w:rPr>
          <w:rFonts w:ascii="Times New Roman;serif" w:hAnsi="Times New Roman;serif"/>
          <w:b w:val="false"/>
          <w:sz w:val="24"/>
        </w:rPr>
        <w:t>Name: Alevtina Dudyreva</w:t>
      </w:r>
      <w:r>
        <w:rPr>
          <w:rFonts w:ascii="Times New Roman;serif" w:hAnsi="Times New Roman;serif"/>
          <w:b w:val="false"/>
          <w:sz w:val="24"/>
          <w:u w:val="single"/>
        </w:rPr>
        <w:br/>
      </w:r>
      <w:r>
        <w:rPr>
          <w:rFonts w:ascii="Times New Roman;serif" w:hAnsi="Times New Roman;serif"/>
          <w:b w:val="false"/>
          <w:sz w:val="24"/>
        </w:rPr>
        <w:t>Title: Vice President</w:t>
      </w:r>
    </w:p>
    <w:p>
      <w:pPr>
        <w:pStyle w:val="TextBody"/>
        <w:bidi w:val="0"/>
        <w:spacing w:before="0" w:after="2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MUFG BANK, LTD.</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Jorge Campos </w:t>
        <w:br/>
      </w:r>
      <w:r>
        <w:rPr>
          <w:rFonts w:ascii="Times New Roman;serif" w:hAnsi="Times New Roman;serif"/>
          <w:b w:val="false"/>
          <w:sz w:val="24"/>
        </w:rPr>
        <w:t>Name: Jorge Campos</w:t>
      </w:r>
      <w:r>
        <w:rPr>
          <w:rFonts w:ascii="Times New Roman;serif" w:hAnsi="Times New Roman;serif"/>
          <w:b w:val="false"/>
          <w:sz w:val="24"/>
          <w:u w:val="single"/>
        </w:rPr>
        <w:br/>
      </w:r>
      <w:r>
        <w:rPr>
          <w:rFonts w:ascii="Times New Roman;serif" w:hAnsi="Times New Roman;serif"/>
          <w:b w:val="false"/>
          <w:sz w:val="24"/>
        </w:rPr>
        <w:t>Title: Director</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STATE STREET BANK AND TRUST COMPANY</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John Doherty </w:t>
        <w:br/>
      </w:r>
      <w:r>
        <w:rPr>
          <w:rFonts w:ascii="Times New Roman;serif" w:hAnsi="Times New Roman;serif"/>
          <w:b w:val="false"/>
          <w:sz w:val="24"/>
        </w:rPr>
        <w:t>Name: John Doherty</w:t>
      </w:r>
      <w:r>
        <w:rPr>
          <w:rFonts w:ascii="Times New Roman;serif" w:hAnsi="Times New Roman;serif"/>
          <w:b w:val="false"/>
          <w:sz w:val="24"/>
          <w:u w:val="single"/>
        </w:rPr>
        <w:br/>
      </w:r>
      <w:r>
        <w:rPr>
          <w:rFonts w:ascii="Times New Roman;serif" w:hAnsi="Times New Roman;serif"/>
          <w:b w:val="false"/>
          <w:sz w:val="24"/>
        </w:rPr>
        <w:t>Title: Vice President</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SUMITOMO MITSUI BANKING CORPORATION</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Shane Klein </w:t>
        <w:br/>
      </w:r>
      <w:r>
        <w:rPr>
          <w:rFonts w:ascii="Times New Roman;serif" w:hAnsi="Times New Roman;serif"/>
          <w:b w:val="false"/>
          <w:sz w:val="24"/>
        </w:rPr>
        <w:t>Name: Shane Klein</w:t>
      </w:r>
      <w:r>
        <w:rPr>
          <w:rFonts w:ascii="Times New Roman;serif" w:hAnsi="Times New Roman;serif"/>
          <w:b w:val="false"/>
          <w:sz w:val="24"/>
          <w:u w:val="single"/>
        </w:rPr>
        <w:br/>
      </w:r>
      <w:r>
        <w:rPr>
          <w:rFonts w:ascii="Times New Roman;serif" w:hAnsi="Times New Roman;serif"/>
          <w:b w:val="false"/>
          <w:sz w:val="24"/>
        </w:rPr>
        <w:t>Title: Managing Director</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BANK OF AMERICA, N.A.</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Sidhima Daruka </w:t>
        <w:br/>
      </w:r>
      <w:r>
        <w:rPr>
          <w:rFonts w:ascii="Times New Roman;serif" w:hAnsi="Times New Roman;serif"/>
          <w:b w:val="false"/>
          <w:sz w:val="24"/>
        </w:rPr>
        <w:t>Name: Sidhima Daruka</w:t>
      </w:r>
      <w:r>
        <w:rPr>
          <w:rFonts w:ascii="Times New Roman;serif" w:hAnsi="Times New Roman;serif"/>
          <w:b w:val="false"/>
          <w:sz w:val="24"/>
          <w:u w:val="single"/>
        </w:rPr>
        <w:br/>
      </w:r>
      <w:r>
        <w:rPr>
          <w:rFonts w:ascii="Times New Roman;serif" w:hAnsi="Times New Roman;serif"/>
          <w:b w:val="false"/>
          <w:sz w:val="24"/>
        </w:rPr>
        <w:t>Title: Director</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INDUSTRIAL AND COMMERCIAL BANK OF CHINA LIMITED, NEW YORK BRANCH,</w:t>
      </w:r>
      <w:r>
        <w:rPr>
          <w:rFonts w:ascii="Times New Roman" w:hAnsi="Times New Roman"/>
          <w:caps/>
          <w:sz w:val="20"/>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Huacheng Lin </w:t>
        <w:br/>
      </w:r>
      <w:r>
        <w:rPr>
          <w:rFonts w:ascii="Times New Roman;serif" w:hAnsi="Times New Roman;serif"/>
          <w:b w:val="false"/>
          <w:sz w:val="24"/>
        </w:rPr>
        <w:t>Name: Huacheng Lin</w:t>
      </w:r>
      <w:r>
        <w:rPr>
          <w:rFonts w:ascii="Times New Roman;serif" w:hAnsi="Times New Roman;serif"/>
          <w:b w:val="false"/>
          <w:sz w:val="24"/>
          <w:u w:val="single"/>
        </w:rPr>
        <w:br/>
      </w:r>
      <w:r>
        <w:rPr>
          <w:rFonts w:ascii="Times New Roman;serif" w:hAnsi="Times New Roman;serif"/>
          <w:b w:val="false"/>
          <w:sz w:val="24"/>
        </w:rPr>
        <w:t>Title: AVP</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Charles Inkeles </w:t>
        <w:br/>
      </w:r>
      <w:r>
        <w:rPr>
          <w:rFonts w:ascii="Times New Roman;serif" w:hAnsi="Times New Roman;serif"/>
          <w:b w:val="false"/>
          <w:sz w:val="24"/>
        </w:rPr>
        <w:t>Name: Charles Inkeles</w:t>
      </w:r>
      <w:r>
        <w:rPr>
          <w:rFonts w:ascii="Times New Roman;serif" w:hAnsi="Times New Roman;serif"/>
          <w:b w:val="false"/>
          <w:sz w:val="24"/>
          <w:u w:val="single"/>
        </w:rPr>
        <w:br/>
      </w:r>
      <w:r>
        <w:rPr>
          <w:rFonts w:ascii="Times New Roman;serif" w:hAnsi="Times New Roman;serif"/>
          <w:b w:val="false"/>
          <w:sz w:val="24"/>
        </w:rPr>
        <w:t>Title: Executive Director</w:t>
      </w:r>
    </w:p>
    <w:p>
      <w:pPr>
        <w:pStyle w:val="TextBody"/>
        <w:bidi w:val="0"/>
        <w:spacing w:before="0" w:after="240"/>
        <w:jc w:val="left"/>
        <w:rPr/>
      </w:pPr>
      <w:r>
        <w:rPr/>
        <w:t>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MIZUHO BANK, LTD.</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Donna DeMagistris </w:t>
        <w:br/>
      </w:r>
      <w:r>
        <w:rPr>
          <w:rFonts w:ascii="Times New Roman;serif" w:hAnsi="Times New Roman;serif"/>
          <w:b w:val="false"/>
          <w:sz w:val="24"/>
        </w:rPr>
        <w:t>Name: Donna DeMagistris</w:t>
      </w:r>
      <w:r>
        <w:rPr>
          <w:rFonts w:ascii="Times New Roman;serif" w:hAnsi="Times New Roman;serif"/>
          <w:b w:val="false"/>
          <w:sz w:val="24"/>
          <w:u w:val="single"/>
        </w:rPr>
        <w:br/>
      </w:r>
      <w:r>
        <w:rPr>
          <w:rFonts w:ascii="Times New Roman;serif" w:hAnsi="Times New Roman;serif"/>
          <w:b w:val="false"/>
          <w:sz w:val="24"/>
        </w:rPr>
        <w:t>Title: Executive Director</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WELLS FARGO BANK, NATIONAL ASSOCIATION</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Michael Kusner </w:t>
        <w:br/>
      </w:r>
      <w:r>
        <w:rPr>
          <w:rFonts w:ascii="Times New Roman;serif" w:hAnsi="Times New Roman;serif"/>
          <w:b w:val="false"/>
          <w:sz w:val="24"/>
        </w:rPr>
        <w:t>Name: Michael Kusner</w:t>
      </w:r>
      <w:r>
        <w:rPr>
          <w:rFonts w:ascii="Times New Roman;serif" w:hAnsi="Times New Roman;serif"/>
          <w:b w:val="false"/>
          <w:sz w:val="24"/>
          <w:u w:val="single"/>
        </w:rPr>
        <w:br/>
      </w:r>
      <w:r>
        <w:rPr>
          <w:rFonts w:ascii="Times New Roman;serif" w:hAnsi="Times New Roman;serif"/>
          <w:b w:val="false"/>
          <w:sz w:val="24"/>
        </w:rPr>
        <w:t>Title: Managing Director</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HSBC BANK USA, N.A.</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Johann Matthai </w:t>
        <w:br/>
      </w:r>
      <w:r>
        <w:rPr>
          <w:rFonts w:ascii="Times New Roman;serif" w:hAnsi="Times New Roman;serif"/>
          <w:b w:val="false"/>
          <w:sz w:val="24"/>
        </w:rPr>
        <w:t>Name: Johann Matthai</w:t>
      </w:r>
      <w:r>
        <w:rPr>
          <w:rFonts w:ascii="Times New Roman;serif" w:hAnsi="Times New Roman;serif"/>
          <w:b w:val="false"/>
          <w:sz w:val="24"/>
          <w:u w:val="single"/>
        </w:rPr>
        <w:br/>
      </w:r>
      <w:r>
        <w:rPr>
          <w:rFonts w:ascii="Times New Roman;serif" w:hAnsi="Times New Roman;serif"/>
          <w:b w:val="false"/>
          <w:sz w:val="24"/>
        </w:rPr>
        <w:t>Title: Managing Director</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CITIBANK, N.A.</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Patrick Marsh </w:t>
        <w:br/>
      </w:r>
      <w:r>
        <w:rPr>
          <w:rFonts w:ascii="Times New Roman;serif" w:hAnsi="Times New Roman;serif"/>
          <w:b w:val="false"/>
          <w:sz w:val="24"/>
        </w:rPr>
        <w:t>Name: Patrick Marsh</w:t>
      </w:r>
      <w:r>
        <w:rPr>
          <w:rFonts w:ascii="Times New Roman;serif" w:hAnsi="Times New Roman;serif"/>
          <w:b w:val="false"/>
          <w:sz w:val="24"/>
          <w:u w:val="single"/>
        </w:rPr>
        <w:br/>
      </w:r>
      <w:r>
        <w:rPr>
          <w:rFonts w:ascii="Times New Roman;serif" w:hAnsi="Times New Roman;serif"/>
          <w:b w:val="false"/>
          <w:sz w:val="24"/>
        </w:rPr>
        <w:t>Title: Vice President</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CIT FINANCE LLC</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Robert L. Klein </w:t>
        <w:br/>
      </w:r>
      <w:r>
        <w:rPr>
          <w:rFonts w:ascii="Times New Roman;serif" w:hAnsi="Times New Roman;serif"/>
          <w:b w:val="false"/>
          <w:sz w:val="24"/>
        </w:rPr>
        <w:t>Name: Robert L. Klein</w:t>
      </w:r>
      <w:r>
        <w:rPr>
          <w:rFonts w:ascii="Times New Roman;serif" w:hAnsi="Times New Roman;serif"/>
          <w:b w:val="false"/>
          <w:sz w:val="24"/>
          <w:u w:val="single"/>
        </w:rPr>
        <w:br/>
      </w:r>
      <w:r>
        <w:rPr>
          <w:rFonts w:ascii="Times New Roman;serif" w:hAnsi="Times New Roman;serif"/>
          <w:b w:val="false"/>
          <w:sz w:val="24"/>
        </w:rPr>
        <w:t>Title: Managing Director</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GOLDMAN SACHS BANK USA</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William E. Briggs IV </w:t>
        <w:br/>
      </w:r>
      <w:r>
        <w:rPr>
          <w:rFonts w:ascii="Times New Roman;serif" w:hAnsi="Times New Roman;serif"/>
          <w:b w:val="false"/>
          <w:sz w:val="24"/>
        </w:rPr>
        <w:t>Name: William E. Briggs IV</w:t>
      </w:r>
      <w:r>
        <w:rPr>
          <w:rFonts w:ascii="Times New Roman;serif" w:hAnsi="Times New Roman;serif"/>
          <w:b w:val="false"/>
          <w:sz w:val="24"/>
          <w:u w:val="single"/>
        </w:rPr>
        <w:br/>
      </w:r>
      <w:r>
        <w:rPr>
          <w:rFonts w:ascii="Times New Roman;serif" w:hAnsi="Times New Roman;serif"/>
          <w:b w:val="false"/>
          <w:sz w:val="24"/>
        </w:rPr>
        <w:t>Title: Authorized Signatory</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MORGAN STANLEY BANK, N.A.</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Michael King </w:t>
        <w:br/>
      </w:r>
      <w:r>
        <w:rPr>
          <w:rFonts w:ascii="Times New Roman;serif" w:hAnsi="Times New Roman;serif"/>
          <w:b w:val="false"/>
          <w:sz w:val="24"/>
        </w:rPr>
        <w:t>Name: Michael King</w:t>
      </w:r>
      <w:r>
        <w:rPr>
          <w:rFonts w:ascii="Times New Roman;serif" w:hAnsi="Times New Roman;serif"/>
          <w:b w:val="false"/>
          <w:sz w:val="24"/>
          <w:u w:val="single"/>
        </w:rPr>
        <w:br/>
      </w:r>
      <w:r>
        <w:rPr>
          <w:rFonts w:ascii="Times New Roman;serif" w:hAnsi="Times New Roman;serif"/>
          <w:b w:val="false"/>
          <w:sz w:val="24"/>
        </w:rPr>
        <w:t>Title: Authorized Signatory</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APPLE BANK FOR SAVINGS</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Burt Feinberg </w:t>
        <w:br/>
      </w:r>
      <w:r>
        <w:rPr>
          <w:rFonts w:ascii="Times New Roman;serif" w:hAnsi="Times New Roman;serif"/>
          <w:b w:val="false"/>
          <w:sz w:val="24"/>
        </w:rPr>
        <w:t>Name: Burt Feinberg</w:t>
      </w:r>
      <w:r>
        <w:rPr>
          <w:rFonts w:ascii="Times New Roman;serif" w:hAnsi="Times New Roman;serif"/>
          <w:b w:val="false"/>
          <w:sz w:val="24"/>
          <w:u w:val="single"/>
        </w:rPr>
        <w:br/>
      </w:r>
      <w:r>
        <w:rPr>
          <w:rFonts w:ascii="Times New Roman;serif" w:hAnsi="Times New Roman;serif"/>
          <w:b w:val="false"/>
          <w:sz w:val="24"/>
        </w:rPr>
        <w:t>Title: Managing Director</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ROYAL BANK OF CANADA</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Alex Figueroa </w:t>
        <w:br/>
      </w:r>
      <w:r>
        <w:rPr>
          <w:rFonts w:ascii="Times New Roman;serif" w:hAnsi="Times New Roman;serif"/>
          <w:b w:val="false"/>
          <w:sz w:val="24"/>
        </w:rPr>
        <w:t>Name: Alex Figueroa</w:t>
      </w:r>
      <w:r>
        <w:rPr>
          <w:rFonts w:ascii="Times New Roman;serif" w:hAnsi="Times New Roman;serif"/>
          <w:b w:val="false"/>
          <w:sz w:val="24"/>
          <w:u w:val="single"/>
        </w:rPr>
        <w:br/>
      </w:r>
      <w:r>
        <w:rPr>
          <w:rFonts w:ascii="Times New Roman;serif" w:hAnsi="Times New Roman;serif"/>
          <w:b w:val="false"/>
          <w:sz w:val="24"/>
        </w:rPr>
        <w:t>Title: Authorized Signatory</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COMERICA BANK</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Robert Wilson </w:t>
        <w:br/>
      </w:r>
      <w:r>
        <w:rPr>
          <w:rFonts w:ascii="Times New Roman;serif" w:hAnsi="Times New Roman;serif"/>
          <w:b w:val="false"/>
          <w:sz w:val="24"/>
        </w:rPr>
        <w:t>Name: Robert Wilson</w:t>
      </w:r>
      <w:r>
        <w:rPr>
          <w:rFonts w:ascii="Times New Roman;serif" w:hAnsi="Times New Roman;serif"/>
          <w:b w:val="false"/>
          <w:sz w:val="24"/>
          <w:u w:val="single"/>
        </w:rPr>
        <w:br/>
      </w:r>
      <w:r>
        <w:rPr>
          <w:rFonts w:ascii="Times New Roman;serif" w:hAnsi="Times New Roman;serif"/>
          <w:b w:val="false"/>
          <w:sz w:val="24"/>
        </w:rPr>
        <w:t>Title: Senior Vice President</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STIFEL BANK &amp; TRUST</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Joseph L. Sooter, Jr. </w:t>
        <w:br/>
      </w:r>
      <w:r>
        <w:rPr>
          <w:rFonts w:ascii="Times New Roman;serif" w:hAnsi="Times New Roman;serif"/>
          <w:b w:val="false"/>
          <w:sz w:val="24"/>
        </w:rPr>
        <w:t>Name: Joseph L. Sooter, Jr.</w:t>
      </w:r>
      <w:r>
        <w:rPr>
          <w:rFonts w:ascii="Times New Roman;serif" w:hAnsi="Times New Roman;serif"/>
          <w:b w:val="false"/>
          <w:sz w:val="24"/>
          <w:u w:val="single"/>
        </w:rPr>
        <w:br/>
      </w:r>
      <w:r>
        <w:rPr>
          <w:rFonts w:ascii="Times New Roman;serif" w:hAnsi="Times New Roman;serif"/>
          <w:b w:val="false"/>
          <w:sz w:val="24"/>
        </w:rPr>
        <w:t>Title: Senior Vice President</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SANTANDER BANK, N.A.</w:t>
      </w:r>
      <w:r>
        <w:rPr>
          <w:rFonts w:ascii="Times New Roman;serif" w:hAnsi="Times New Roman;serif"/>
          <w:b w:val="false"/>
          <w:sz w:val="24"/>
        </w:rPr>
        <w:t>, 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Vikas Jhaveri </w:t>
        <w:br/>
      </w:r>
      <w:r>
        <w:rPr>
          <w:rFonts w:ascii="Times New Roman;serif" w:hAnsi="Times New Roman;serif"/>
          <w:b w:val="false"/>
          <w:sz w:val="24"/>
        </w:rPr>
        <w:t>Name: Vikas Jhaveri</w:t>
      </w:r>
      <w:r>
        <w:rPr>
          <w:rFonts w:ascii="Times New Roman;serif" w:hAnsi="Times New Roman;serif"/>
          <w:b w:val="false"/>
          <w:sz w:val="24"/>
          <w:u w:val="single"/>
        </w:rPr>
        <w:br/>
      </w:r>
      <w:r>
        <w:rPr>
          <w:rFonts w:ascii="Times New Roman;serif" w:hAnsi="Times New Roman;serif"/>
          <w:b w:val="false"/>
          <w:sz w:val="24"/>
        </w:rPr>
        <w:t>Title: Senior Vice President</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INVESTORS BANK</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John F. Carlin </w:t>
        <w:br/>
      </w:r>
      <w:r>
        <w:rPr>
          <w:rFonts w:ascii="Times New Roman;serif" w:hAnsi="Times New Roman;serif"/>
          <w:b w:val="false"/>
          <w:sz w:val="24"/>
        </w:rPr>
        <w:t>Name: John F. Carlin</w:t>
      </w:r>
      <w:r>
        <w:rPr>
          <w:rFonts w:ascii="Times New Roman;serif" w:hAnsi="Times New Roman;serif"/>
          <w:b w:val="false"/>
          <w:sz w:val="24"/>
          <w:u w:val="single"/>
        </w:rPr>
        <w:br/>
      </w:r>
      <w:r>
        <w:rPr>
          <w:rFonts w:ascii="Times New Roman;serif" w:hAnsi="Times New Roman;serif"/>
          <w:b w:val="false"/>
          <w:sz w:val="24"/>
        </w:rPr>
        <w:t>Title: Managing Director</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BANKUNITED, N.A.</w:t>
      </w:r>
      <w:r>
        <w:rPr>
          <w:rFonts w:ascii="Times New Roman;serif" w:hAnsi="Times New Roman;serif"/>
          <w:b w:val="false"/>
          <w:caps/>
          <w:sz w:val="24"/>
        </w:rPr>
        <w:t xml:space="preserve">, </w:t>
      </w:r>
      <w:r>
        <w:rPr>
          <w:rFonts w:ascii="Times New Roman;serif" w:hAnsi="Times New Roman;serif"/>
          <w:b w:val="false"/>
          <w:sz w:val="24"/>
        </w:rPr>
        <w:t>as a Lender</w:t>
      </w:r>
      <w:r>
        <w:rPr>
          <w:rFonts w:ascii="Times New Roman;serif" w:hAnsi="Times New Roman;serif"/>
          <w:b/>
          <w:sz w:val="24"/>
        </w:rPr>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Craig Kincade </w:t>
        <w:br/>
      </w:r>
      <w:r>
        <w:rPr>
          <w:rFonts w:ascii="Times New Roman;serif" w:hAnsi="Times New Roman;serif"/>
          <w:b w:val="false"/>
          <w:sz w:val="24"/>
        </w:rPr>
        <w:t>Name: Craig Kincade</w:t>
      </w:r>
      <w:r>
        <w:rPr>
          <w:rFonts w:ascii="Times New Roman;serif" w:hAnsi="Times New Roman;serif"/>
          <w:b w:val="false"/>
          <w:sz w:val="24"/>
          <w:u w:val="single"/>
        </w:rPr>
        <w:br/>
      </w:r>
      <w:r>
        <w:rPr>
          <w:rFonts w:ascii="Times New Roman;serif" w:hAnsi="Times New Roman;serif"/>
          <w:b w:val="false"/>
          <w:sz w:val="24"/>
        </w:rPr>
        <w:t>Title: Senior Vice President</w:t>
      </w:r>
      <w:r>
        <w:rPr>
          <w:rFonts w:ascii="Times New Roman" w:hAnsi="Times New Roman"/>
          <w:sz w:val="20"/>
        </w:rPr>
        <w:t xml:space="preserve">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Agreed and acknowledged solely with respect to </w:t>
      </w:r>
      <w:r>
        <w:rPr>
          <w:rFonts w:ascii="Times New Roman;serif" w:hAnsi="Times New Roman;serif"/>
          <w:b w:val="false"/>
          <w:sz w:val="24"/>
          <w:u w:val="single"/>
        </w:rPr>
        <w:t>Section 5.8</w:t>
      </w:r>
      <w:r>
        <w:rPr>
          <w:rFonts w:ascii="Times New Roman;serif" w:hAnsi="Times New Roman;serif"/>
          <w:b w:val="false"/>
          <w:sz w:val="24"/>
        </w:rPr>
        <w:t>.</w:t>
      </w:r>
    </w:p>
    <w:p>
      <w:pPr>
        <w:pStyle w:val="TextBody"/>
        <w:bidi w:val="0"/>
        <w:spacing w:before="0" w:after="240"/>
        <w:jc w:val="left"/>
        <w:rPr>
          <w:rFonts w:ascii="Times New Roman" w:hAnsi="Times New Roman"/>
          <w:sz w:val="20"/>
        </w:rPr>
      </w:pPr>
      <w:r>
        <w:rPr>
          <w:rFonts w:ascii="Times New Roman;serif" w:hAnsi="Times New Roman;serif"/>
          <w:b/>
          <w:sz w:val="24"/>
        </w:rPr>
        <w:t>TC LENDING, LLC</w:t>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Ian Simmonds </w:t>
        <w:br/>
      </w:r>
      <w:r>
        <w:rPr>
          <w:rFonts w:ascii="Times New Roman;serif" w:hAnsi="Times New Roman;serif"/>
          <w:b w:val="false"/>
          <w:sz w:val="24"/>
        </w:rPr>
        <w:t>Name: Ian Simmonds</w:t>
      </w:r>
      <w:r>
        <w:rPr>
          <w:rFonts w:ascii="Times New Roman;serif" w:hAnsi="Times New Roman;serif"/>
          <w:b w:val="false"/>
          <w:sz w:val="24"/>
          <w:u w:val="single"/>
        </w:rPr>
        <w:br/>
      </w:r>
      <w:r>
        <w:rPr>
          <w:rFonts w:ascii="Times New Roman;serif" w:hAnsi="Times New Roman;serif"/>
          <w:b w:val="false"/>
          <w:sz w:val="24"/>
        </w:rPr>
        <w:t>Title: Chief Financial Officer</w:t>
      </w:r>
      <w:r>
        <w:rPr>
          <w:rFonts w:ascii="Times New Roman;serif" w:hAnsi="Times New Roman;serif"/>
          <w:b w:val="false"/>
          <w:sz w:val="24"/>
          <w:u w:val="single"/>
        </w:rPr>
        <w:br/>
        <w:br/>
      </w:r>
      <w:r>
        <w:rPr>
          <w:rFonts w:ascii="Times New Roman" w:hAnsi="Times New Roman"/>
          <w:sz w:val="20"/>
          <w:u w:val="single"/>
        </w:rPr>
        <w:t> </w:t>
      </w:r>
    </w:p>
    <w:p>
      <w:pPr>
        <w:pStyle w:val="TextBody"/>
        <w:bidi w:val="0"/>
        <w:spacing w:before="0" w:after="240"/>
        <w:jc w:val="left"/>
        <w:rPr>
          <w:rFonts w:ascii="Times New Roman" w:hAnsi="Times New Roman"/>
          <w:sz w:val="20"/>
        </w:rPr>
      </w:pPr>
      <w:r>
        <w:rPr>
          <w:rFonts w:ascii="Times New Roman;serif" w:hAnsi="Times New Roman;serif"/>
          <w:b/>
          <w:sz w:val="24"/>
        </w:rPr>
        <w:t>SIXTH STREET SL HOLDING, LLC</w:t>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Ian Simmonds </w:t>
        <w:br/>
      </w:r>
      <w:r>
        <w:rPr>
          <w:rFonts w:ascii="Times New Roman;serif" w:hAnsi="Times New Roman;serif"/>
          <w:b w:val="false"/>
          <w:sz w:val="24"/>
        </w:rPr>
        <w:t>Name: Ian Simmonds</w:t>
      </w:r>
      <w:r>
        <w:rPr>
          <w:rFonts w:ascii="Times New Roman;serif" w:hAnsi="Times New Roman;serif"/>
          <w:b w:val="false"/>
          <w:sz w:val="24"/>
          <w:u w:val="single"/>
        </w:rPr>
        <w:br/>
      </w:r>
      <w:r>
        <w:rPr>
          <w:rFonts w:ascii="Times New Roman;serif" w:hAnsi="Times New Roman;serif"/>
          <w:b w:val="false"/>
          <w:sz w:val="24"/>
        </w:rPr>
        <w:t>Title: Chief Financial Officer</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SIXTH STREET SL SPV, LLC</w:t>
        <w:br/>
      </w:r>
      <w:r>
        <w:rPr>
          <w:rFonts w:ascii="Times New Roman" w:hAnsi="Times New Roman"/>
          <w:sz w:val="20"/>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Ian Simmonds </w:t>
        <w:br/>
      </w:r>
      <w:r>
        <w:rPr>
          <w:rFonts w:ascii="Times New Roman;serif" w:hAnsi="Times New Roman;serif"/>
          <w:b w:val="false"/>
          <w:sz w:val="24"/>
        </w:rPr>
        <w:t>Name: Ian Simmonds</w:t>
      </w:r>
      <w:r>
        <w:rPr>
          <w:rFonts w:ascii="Times New Roman;serif" w:hAnsi="Times New Roman;serif"/>
          <w:b w:val="false"/>
          <w:sz w:val="24"/>
          <w:u w:val="single"/>
        </w:rPr>
        <w:br/>
      </w:r>
      <w:r>
        <w:rPr>
          <w:rFonts w:ascii="Times New Roman;serif" w:hAnsi="Times New Roman;serif"/>
          <w:b w:val="false"/>
          <w:sz w:val="24"/>
        </w:rPr>
        <w:t>Title: Chief Financial Officer</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0"/>
        <w:jc w:val="right"/>
        <w:rPr>
          <w:rFonts w:ascii="Times New Roman" w:hAnsi="Times New Roman"/>
          <w:sz w:val="20"/>
        </w:rPr>
      </w:pPr>
      <w:r>
        <w:rPr>
          <w:rFonts w:ascii="Times New Roman;serif" w:hAnsi="Times New Roman;serif"/>
          <w:b w:val="false"/>
          <w:i/>
          <w:smallCaps/>
          <w:sz w:val="18"/>
        </w:rPr>
        <w:t xml:space="preserve">SIGNATURE PAGE TO </w:t>
      </w:r>
      <w:r>
        <w:rPr>
          <w:rFonts w:ascii="Times New Roman;serif" w:hAnsi="Times New Roman;serif"/>
          <w:b w:val="false"/>
          <w:i/>
          <w:sz w:val="18"/>
        </w:rPr>
        <w:t>FOURTEENTH</w:t>
      </w:r>
      <w:r>
        <w:rPr>
          <w:rFonts w:ascii="Times New Roman" w:hAnsi="Times New Roman"/>
          <w:smallCaps/>
          <w:sz w:val="20"/>
        </w:rPr>
        <w:t xml:space="preserve"> </w:t>
      </w:r>
      <w:r>
        <w:rPr>
          <w:rFonts w:ascii="Times New Roman;serif" w:hAnsi="Times New Roman;serif"/>
          <w:b w:val="false"/>
          <w:i/>
          <w:smallCaps/>
          <w:sz w:val="18"/>
        </w:rPr>
        <w:t>AMENDMENT</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center"/>
        <w:rPr>
          <w:rFonts w:ascii="Times New Roman;serif" w:hAnsi="Times New Roman;serif"/>
          <w:b/>
          <w:sz w:val="24"/>
        </w:rPr>
      </w:pPr>
      <w:r>
        <w:rPr>
          <w:rFonts w:ascii="Times New Roman;serif" w:hAnsi="Times New Roman;serif"/>
          <w:b/>
          <w:sz w:val="24"/>
        </w:rPr>
        <w:t>Exhibit A</w:t>
      </w:r>
    </w:p>
    <w:p>
      <w:pPr>
        <w:pStyle w:val="TextBody"/>
        <w:bidi w:val="0"/>
        <w:spacing w:before="0" w:after="240"/>
        <w:jc w:val="center"/>
        <w:rPr>
          <w:rFonts w:ascii="Times New Roman;serif" w:hAnsi="Times New Roman;serif"/>
          <w:b/>
          <w:sz w:val="24"/>
        </w:rPr>
      </w:pPr>
      <w:r>
        <w:rPr>
          <w:rFonts w:ascii="Times New Roman;serif" w:hAnsi="Times New Roman;serif"/>
          <w:b/>
          <w:sz w:val="24"/>
        </w:rPr>
        <w:t>[Attached.]</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0"/>
        <w:jc w:val="righ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center"/>
        <w:rPr>
          <w:rFonts w:ascii="Times New Roman;serif" w:hAnsi="Times New Roman;serif"/>
          <w:b/>
          <w:sz w:val="24"/>
        </w:rPr>
      </w:pPr>
      <w:r>
        <w:rPr>
          <w:rFonts w:ascii="Times New Roman;serif" w:hAnsi="Times New Roman;serif"/>
          <w:b/>
          <w:sz w:val="24"/>
        </w:rPr>
        <w:t>Exhibit B</w:t>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4"/>
        </w:rPr>
      </w:pPr>
      <w:r>
        <w:rPr>
          <w:rFonts w:ascii="Times New Roman;serif" w:hAnsi="Times New Roman;serif"/>
          <w:b/>
          <w:sz w:val="24"/>
        </w:rPr>
        <w:t>[Attached.]</w:t>
      </w:r>
    </w:p>
    <w:p>
      <w:pPr>
        <w:pStyle w:val="TextBody"/>
        <w:bidi w:val="0"/>
        <w:spacing w:before="0" w:after="240"/>
        <w:jc w:val="center"/>
        <w:rPr/>
      </w:pPr>
      <w:r>
        <w:rPr/>
        <w:t> </w:t>
      </w:r>
    </w:p>
    <w:p>
      <w:pPr>
        <w:pStyle w:val="TextBody"/>
        <w:bidi w:val="0"/>
        <w:spacing w:before="0" w:after="0"/>
        <w:jc w:val="left"/>
        <w:rPr/>
      </w:pPr>
      <w:r>
        <w:rPr/>
        <w:t> </w:t>
      </w:r>
    </w:p>
    <w:p>
      <w:pPr>
        <w:pStyle w:val="TextBody"/>
        <w:bidi w:val="0"/>
        <w:spacing w:before="0" w:after="0"/>
        <w:jc w:val="righ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right"/>
        <w:rPr>
          <w:rFonts w:ascii="Times New Roman;serif" w:hAnsi="Times New Roman;serif"/>
          <w:b/>
          <w:sz w:val="24"/>
        </w:rPr>
      </w:pPr>
      <w:r>
        <w:rPr>
          <w:rFonts w:ascii="Times New Roman;serif" w:hAnsi="Times New Roman;serif"/>
          <w:b/>
          <w:sz w:val="24"/>
        </w:rPr>
        <w:t>Exhibit A to Fourteenth Amendment, dated as of June 12, 2023</w:t>
      </w:r>
    </w:p>
    <w:p>
      <w:pPr>
        <w:pStyle w:val="TextBody"/>
        <w:bidi w:val="0"/>
        <w:spacing w:before="0" w:after="0"/>
        <w:jc w:val="right"/>
        <w:rPr/>
      </w:pPr>
      <w:r>
        <w:rPr/>
        <w:t> </w:t>
      </w:r>
    </w:p>
    <w:p>
      <w:pPr>
        <w:pStyle w:val="TextBody"/>
        <w:bidi w:val="0"/>
        <w:spacing w:before="0" w:after="240"/>
        <w:jc w:val="center"/>
        <w:rPr>
          <w:rFonts w:ascii="Times New Roman;serif" w:hAnsi="Times New Roman;serif"/>
          <w:b/>
          <w:sz w:val="24"/>
        </w:rPr>
      </w:pPr>
      <w:r>
        <w:rPr>
          <w:rFonts w:ascii="Times New Roman;serif" w:hAnsi="Times New Roman;serif"/>
          <w:b/>
          <w:sz w:val="24"/>
        </w:rPr>
        <w:t>Exhibit C</w:t>
      </w:r>
    </w:p>
    <w:p>
      <w:pPr>
        <w:pStyle w:val="TextBody"/>
        <w:bidi w:val="0"/>
        <w:spacing w:before="0" w:after="240"/>
        <w:jc w:val="center"/>
        <w:rPr>
          <w:rFonts w:ascii="Times New Roman;serif" w:hAnsi="Times New Roman;serif"/>
          <w:b/>
          <w:sz w:val="24"/>
        </w:rPr>
      </w:pPr>
      <w:r>
        <w:rPr>
          <w:rFonts w:ascii="Times New Roman;serif" w:hAnsi="Times New Roman;serif"/>
          <w:b/>
          <w:sz w:val="24"/>
        </w:rPr>
        <w:t>[Attached.]</w:t>
      </w:r>
    </w:p>
    <w:p>
      <w:pPr>
        <w:pStyle w:val="TextBody"/>
        <w:bidi w:val="0"/>
        <w:spacing w:before="0" w:after="240"/>
        <w:jc w:val="center"/>
        <w:rPr/>
      </w:pPr>
      <w:r>
        <w:rPr/>
        <w:t> </w:t>
      </w:r>
    </w:p>
    <w:p>
      <w:pPr>
        <w:pStyle w:val="TextBody"/>
        <w:pBdr>
          <w:top w:val="double" w:sz="6" w:space="1" w:color="000000"/>
        </w:pBdr>
        <w:bidi w:val="0"/>
        <w:spacing w:before="0" w:after="24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SECOND AMENDED AND RESTATED</w:t>
        <w:br/>
        <w:t>SENIOR SECURED</w:t>
        <w:br/>
        <w:t>REVOLVING CREDIT AGREEMENT</w:t>
      </w:r>
    </w:p>
    <w:p>
      <w:pPr>
        <w:pStyle w:val="TextBody"/>
        <w:bidi w:val="0"/>
        <w:spacing w:before="0" w:after="0"/>
        <w:jc w:val="center"/>
        <w:rPr>
          <w:rFonts w:ascii="Times New Roman" w:hAnsi="Times New Roman"/>
          <w:sz w:val="20"/>
        </w:rPr>
      </w:pPr>
      <w:r>
        <w:rPr>
          <w:rFonts w:ascii="Times New Roman;serif" w:hAnsi="Times New Roman;serif"/>
          <w:b w:val="false"/>
          <w:sz w:val="24"/>
        </w:rPr>
        <w:t>dated as of</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February 27, 2014</w:t>
      </w:r>
    </w:p>
    <w:p>
      <w:pPr>
        <w:pStyle w:val="TextBody"/>
        <w:bidi w:val="0"/>
        <w:spacing w:before="0" w:after="240"/>
        <w:jc w:val="center"/>
        <w:rPr>
          <w:rFonts w:ascii="Times New Roman" w:hAnsi="Times New Roman"/>
          <w:sz w:val="20"/>
        </w:rPr>
      </w:pPr>
      <w:r>
        <w:rPr>
          <w:rFonts w:ascii="Times New Roman;serif" w:hAnsi="Times New Roman;serif"/>
          <w:b w:val="false"/>
          <w:sz w:val="24"/>
        </w:rPr>
        <w:t>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the Twelfth Amendment to Second Amended and Restated Senior Secured Revolving Credit Agreement dated as of April 25, 2022, the Thirteenth Amendment to Second Amended and Restated Senior Secured Revolving Credit Agreement dated as of May 19, 2022, and the</w:t>
      </w:r>
      <w:r>
        <w:rPr>
          <w:rFonts w:ascii="Times New Roman" w:hAnsi="Times New Roman"/>
          <w:sz w:val="20"/>
        </w:rPr>
        <w:t xml:space="preserve"> </w:t>
      </w:r>
    </w:p>
    <w:p>
      <w:pPr>
        <w:pStyle w:val="TextBody"/>
        <w:pBdr>
          <w:top w:val="double" w:sz="6" w:space="1" w:color="000000"/>
        </w:pBdr>
        <w:bidi w:val="0"/>
        <w:spacing w:before="0" w:after="0"/>
        <w:jc w:val="left"/>
        <w:rPr>
          <w:rFonts w:ascii="Times New Roman;serif" w:hAnsi="Times New Roman;serif"/>
          <w:b w:val="false"/>
          <w:sz w:val="16"/>
        </w:rPr>
      </w:pPr>
      <w:r>
        <w:rPr>
          <w:rFonts w:ascii="Times New Roman;serif" w:hAnsi="Times New Roman;serif"/>
          <w:b w:val="false"/>
          <w:sz w:val="16"/>
        </w:rPr>
        <w:t>753176866 11299570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Fourteenth Amendment to Second Amended and Restated Senior Secured Revolving Credit Agreement dated as of June 12, 2023</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among</w:t>
      </w:r>
    </w:p>
    <w:p>
      <w:pPr>
        <w:pStyle w:val="TextBody"/>
        <w:bidi w:val="0"/>
        <w:spacing w:before="0" w:after="0"/>
        <w:jc w:val="center"/>
        <w:rPr>
          <w:rFonts w:ascii="Times New Roman" w:hAnsi="Times New Roman"/>
          <w:sz w:val="20"/>
        </w:rPr>
      </w:pPr>
      <w:r>
        <w:rPr>
          <w:rFonts w:ascii="Times New Roman;serif" w:hAnsi="Times New Roman;serif"/>
          <w:b w:val="false"/>
          <w:sz w:val="24"/>
        </w:rPr>
        <w:t>SIXTH STREET SPECIALTY LENDING, INC.</w:t>
      </w:r>
      <w:r>
        <w:rPr>
          <w:rFonts w:ascii="Times New Roman" w:hAnsi="Times New Roman"/>
          <w:sz w:val="20"/>
        </w:rPr>
        <w:t xml:space="preserve"> </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as Borrower</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The LENDERS Party Hereto</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and</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TRUIST BANK</w:t>
        <w:br/>
        <w:t>as Administrative Agent</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JPMORGAN CHASE BANK, N.A.</w:t>
        <w:br/>
        <w:t>as Syndication Agent</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$1,710,000,000</w:t>
        <w:br/>
        <w:t>__________________</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TRUIST SECURITIES, INC.</w:t>
      </w:r>
    </w:p>
    <w:p>
      <w:pPr>
        <w:pStyle w:val="TextBody"/>
        <w:bidi w:val="0"/>
        <w:spacing w:before="0" w:after="0"/>
        <w:jc w:val="center"/>
        <w:rPr>
          <w:rFonts w:ascii="Times New Roman" w:hAnsi="Times New Roman"/>
          <w:sz w:val="20"/>
        </w:rPr>
      </w:pPr>
      <w:r>
        <w:rPr>
          <w:rFonts w:ascii="Times New Roman;serif" w:hAnsi="Times New Roman;serif"/>
          <w:b w:val="false"/>
          <w:caps/>
          <w:sz w:val="24"/>
        </w:rPr>
        <w:t>JPMorgan Chase Bank, N.A.</w:t>
        <w:br/>
      </w:r>
      <w:r>
        <w:rPr>
          <w:rFonts w:ascii="Times New Roman;serif" w:hAnsi="Times New Roman;serif"/>
          <w:b w:val="false"/>
          <w:sz w:val="24"/>
        </w:rPr>
        <w:t>as Joint Lead Arrangers and Joint Book Runners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br/>
        <w:t>MUFG BANK, LTD.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SUMITOMO MITSUI BANKING CORPORATION</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STATE STREET BANK AND TRUST COMPANY</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as Joint Lead Arrangers</w:t>
      </w:r>
    </w:p>
    <w:p>
      <w:pPr>
        <w:pStyle w:val="TextBody"/>
        <w:pBdr>
          <w:bottom w:val="double" w:sz="6" w:space="1" w:color="000000"/>
        </w:pBdr>
        <w:bidi w:val="0"/>
        <w:spacing w:before="0" w:after="240"/>
        <w:jc w:val="left"/>
        <w:rPr>
          <w:rFonts w:ascii="Times New Roman" w:hAnsi="Times New Roman"/>
          <w:sz w:val="20"/>
        </w:rPr>
      </w:pPr>
      <w:r>
        <w:rPr>
          <w:rFonts w:ascii="Times New Roman;serif" w:hAnsi="Times New Roman;serif"/>
          <w:b w:val="false"/>
          <w:sz w:val="24"/>
        </w:rPr>
        <w:br/>
      </w:r>
      <w:r>
        <w:rPr>
          <w:rFonts w:ascii="Times New Roman" w:hAnsi="Times New Roman"/>
          <w:sz w:val="20"/>
        </w:rPr>
        <w:t> </w:t>
      </w:r>
    </w:p>
    <w:p>
      <w:pPr>
        <w:pStyle w:val="TextBody"/>
        <w:bidi w:val="0"/>
        <w:spacing w:before="0" w:after="0"/>
        <w:jc w:val="left"/>
        <w:rPr/>
      </w:pPr>
      <w:r>
        <w:rPr/>
        <w:t> </w:t>
      </w:r>
    </w:p>
    <w:p>
      <w:pPr>
        <w:pStyle w:val="TextBody"/>
        <w:pBdr>
          <w:top w:val="double" w:sz="6" w:space="1" w:color="000000"/>
        </w:pBdr>
        <w:bidi w:val="0"/>
        <w:spacing w:before="0" w:after="0"/>
        <w:jc w:val="left"/>
        <w:rPr>
          <w:rFonts w:ascii="Times New Roman;serif" w:hAnsi="Times New Roman;serif"/>
          <w:b w:val="false"/>
          <w:sz w:val="16"/>
        </w:rPr>
      </w:pPr>
      <w:r>
        <w:rPr>
          <w:rFonts w:ascii="Times New Roman;serif" w:hAnsi="Times New Roman;serif"/>
          <w:b w:val="false"/>
          <w:sz w:val="16"/>
        </w:rPr>
        <w:t xml:space="preserve">753176866 11299570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caps/>
          <w:sz w:val="24"/>
        </w:rPr>
      </w:pPr>
      <w:r>
        <w:rPr>
          <w:rFonts w:ascii="Times New Roman;serif" w:hAnsi="Times New Roman;serif"/>
          <w:b/>
          <w:caps/>
          <w:sz w:val="24"/>
        </w:rPr>
        <w:t>Table of Contents</w:t>
      </w:r>
    </w:p>
    <w:p>
      <w:pPr>
        <w:pStyle w:val="TextBody"/>
        <w:bidi w:val="0"/>
        <w:spacing w:before="0" w:after="0"/>
        <w:jc w:val="center"/>
        <w:rPr/>
      </w:pPr>
      <w:r>
        <w:rPr/>
        <w:t> </w:t>
      </w:r>
    </w:p>
    <w:p>
      <w:pPr>
        <w:pStyle w:val="TextBody"/>
        <w:bidi w:val="0"/>
        <w:spacing w:before="0" w:after="200"/>
        <w:jc w:val="right"/>
        <w:rPr>
          <w:rFonts w:ascii="Times New Roman;serif" w:hAnsi="Times New Roman;serif"/>
          <w:b/>
          <w:sz w:val="24"/>
        </w:rPr>
      </w:pPr>
      <w:r>
        <w:rPr>
          <w:rFonts w:ascii="Times New Roman;serif" w:hAnsi="Times New Roman;serif"/>
          <w:b/>
          <w:sz w:val="24"/>
        </w:rPr>
        <w:t>Page</w:t>
      </w:r>
    </w:p>
    <w:p>
      <w:pPr>
        <w:pStyle w:val="TextBody"/>
        <w:bidi w:val="0"/>
        <w:spacing w:before="0" w:after="0"/>
        <w:jc w:val="left"/>
        <w:rPr/>
      </w:pPr>
      <w:r>
        <w:rPr/>
        <w:t> </w:t>
      </w:r>
    </w:p>
    <w:p>
      <w:pPr>
        <w:pStyle w:val="TextBody"/>
        <w:bidi w:val="0"/>
        <w:spacing w:before="0" w:after="120"/>
        <w:jc w:val="left"/>
        <w:rPr>
          <w:rFonts w:ascii="Times New Roman;serif" w:hAnsi="Times New Roman;serif"/>
          <w:b w:val="false"/>
          <w:caps/>
          <w:sz w:val="24"/>
        </w:rPr>
      </w:pPr>
      <w:bookmarkStart w:id="24" w:name="mptableofcontents"/>
      <w:bookmarkEnd w:id="24"/>
      <w:r>
        <w:rPr>
          <w:rFonts w:ascii="Times New Roman;serif" w:hAnsi="Times New Roman;serif"/>
          <w:b w:val="false"/>
          <w:caps/>
          <w:sz w:val="24"/>
        </w:rPr>
        <w:t xml:space="preserve">ARTICLE I DEFINITIONS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1.01.</w:t>
      </w:r>
      <w:r>
        <w:rPr>
          <w:rFonts w:ascii="Times New Roman" w:hAnsi="Times New Roman"/>
          <w:sz w:val="20"/>
        </w:rPr>
        <w:t xml:space="preserve"> </w:t>
      </w:r>
      <w:r>
        <w:rPr>
          <w:rFonts w:ascii="Times New Roman;serif" w:hAnsi="Times New Roman;serif"/>
          <w:b w:val="false"/>
          <w:sz w:val="24"/>
        </w:rPr>
        <w:t>Defined Terms 2</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1.02.</w:t>
      </w:r>
      <w:r>
        <w:rPr>
          <w:rFonts w:ascii="Times New Roman" w:hAnsi="Times New Roman"/>
          <w:sz w:val="20"/>
        </w:rPr>
        <w:t xml:space="preserve"> </w:t>
      </w:r>
      <w:r>
        <w:rPr>
          <w:rFonts w:ascii="Times New Roman;serif" w:hAnsi="Times New Roman;serif"/>
          <w:b w:val="false"/>
          <w:sz w:val="24"/>
        </w:rPr>
        <w:t>Classification of Loans and Borrowings 48</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1.03.</w:t>
      </w:r>
      <w:r>
        <w:rPr>
          <w:rFonts w:ascii="Times New Roman" w:hAnsi="Times New Roman"/>
          <w:sz w:val="20"/>
        </w:rPr>
        <w:t xml:space="preserve"> </w:t>
      </w:r>
      <w:r>
        <w:rPr>
          <w:rFonts w:ascii="Times New Roman;serif" w:hAnsi="Times New Roman;serif"/>
          <w:b w:val="false"/>
          <w:sz w:val="24"/>
        </w:rPr>
        <w:t>Terms Generally 48</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1.04.</w:t>
      </w:r>
      <w:r>
        <w:rPr>
          <w:rFonts w:ascii="Times New Roman" w:hAnsi="Times New Roman"/>
          <w:sz w:val="20"/>
        </w:rPr>
        <w:t xml:space="preserve"> </w:t>
      </w:r>
      <w:r>
        <w:rPr>
          <w:rFonts w:ascii="Times New Roman;serif" w:hAnsi="Times New Roman;serif"/>
          <w:b w:val="false"/>
          <w:sz w:val="24"/>
        </w:rPr>
        <w:t>Accounting Terms; GAAP 49</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1.05.</w:t>
      </w:r>
      <w:r>
        <w:rPr>
          <w:rFonts w:ascii="Times New Roman" w:hAnsi="Times New Roman"/>
          <w:sz w:val="20"/>
        </w:rPr>
        <w:t xml:space="preserve"> </w:t>
      </w:r>
      <w:r>
        <w:rPr>
          <w:rFonts w:ascii="Times New Roman;serif" w:hAnsi="Times New Roman;serif"/>
          <w:b w:val="false"/>
          <w:sz w:val="24"/>
        </w:rPr>
        <w:t>Currencies; Currency Equivalents. 49</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1.06.</w:t>
      </w:r>
      <w:r>
        <w:rPr>
          <w:rFonts w:ascii="Times New Roman" w:hAnsi="Times New Roman"/>
          <w:sz w:val="20"/>
        </w:rPr>
        <w:t xml:space="preserve"> </w:t>
      </w:r>
      <w:r>
        <w:rPr>
          <w:rFonts w:ascii="Times New Roman;serif" w:hAnsi="Times New Roman;serif"/>
          <w:b w:val="false"/>
          <w:sz w:val="24"/>
        </w:rPr>
        <w:t>Rates 50</w:t>
      </w:r>
    </w:p>
    <w:p>
      <w:pPr>
        <w:pStyle w:val="TextBody"/>
        <w:bidi w:val="0"/>
        <w:spacing w:before="0" w:after="120"/>
        <w:jc w:val="left"/>
        <w:rPr>
          <w:rFonts w:ascii="Times New Roman" w:hAnsi="Times New Roman"/>
          <w:sz w:val="20"/>
        </w:rPr>
      </w:pPr>
      <w:r>
        <w:rPr>
          <w:rFonts w:ascii="Times New Roman;serif" w:hAnsi="Times New Roman;serif"/>
          <w:b w:val="false"/>
          <w:caps/>
          <w:sz w:val="24"/>
        </w:rPr>
        <w:t>ARTICLE II THE CREDITS</w:t>
      </w:r>
      <w:r>
        <w:rPr>
          <w:rFonts w:ascii="Times New Roman" w:hAnsi="Times New Roman"/>
          <w:caps/>
          <w:sz w:val="20"/>
        </w:rPr>
        <w:t xml:space="preserve">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2.01.</w:t>
      </w:r>
      <w:r>
        <w:rPr>
          <w:rFonts w:ascii="Times New Roman" w:hAnsi="Times New Roman"/>
          <w:sz w:val="20"/>
        </w:rPr>
        <w:t xml:space="preserve"> </w:t>
      </w:r>
      <w:r>
        <w:rPr>
          <w:rFonts w:ascii="Times New Roman;serif" w:hAnsi="Times New Roman;serif"/>
          <w:b w:val="false"/>
          <w:sz w:val="24"/>
        </w:rPr>
        <w:t>The Commitments 51</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2.02.</w:t>
      </w:r>
      <w:r>
        <w:rPr>
          <w:rFonts w:ascii="Times New Roman" w:hAnsi="Times New Roman"/>
          <w:sz w:val="20"/>
        </w:rPr>
        <w:t xml:space="preserve"> </w:t>
      </w:r>
      <w:r>
        <w:rPr>
          <w:rFonts w:ascii="Times New Roman;serif" w:hAnsi="Times New Roman;serif"/>
          <w:b w:val="false"/>
          <w:sz w:val="24"/>
        </w:rPr>
        <w:t>Loans and Borrowings. 51</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2.03.</w:t>
      </w:r>
      <w:r>
        <w:rPr>
          <w:rFonts w:ascii="Times New Roman" w:hAnsi="Times New Roman"/>
          <w:sz w:val="20"/>
        </w:rPr>
        <w:t xml:space="preserve"> </w:t>
      </w:r>
      <w:r>
        <w:rPr>
          <w:rFonts w:ascii="Times New Roman;serif" w:hAnsi="Times New Roman;serif"/>
          <w:b w:val="false"/>
          <w:sz w:val="24"/>
        </w:rPr>
        <w:t>Requests for Syndicated Borrowings. 52</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2.04.</w:t>
      </w:r>
      <w:r>
        <w:rPr>
          <w:rFonts w:ascii="Times New Roman" w:hAnsi="Times New Roman"/>
          <w:sz w:val="20"/>
        </w:rPr>
        <w:t xml:space="preserve"> </w:t>
      </w:r>
      <w:r>
        <w:rPr>
          <w:rFonts w:ascii="Times New Roman;serif" w:hAnsi="Times New Roman;serif"/>
          <w:b w:val="false"/>
          <w:sz w:val="24"/>
        </w:rPr>
        <w:t>Swingline Loans. 54</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2.05.</w:t>
      </w:r>
      <w:r>
        <w:rPr>
          <w:rFonts w:ascii="Times New Roman" w:hAnsi="Times New Roman"/>
          <w:sz w:val="20"/>
        </w:rPr>
        <w:t xml:space="preserve"> </w:t>
      </w:r>
      <w:r>
        <w:rPr>
          <w:rFonts w:ascii="Times New Roman;serif" w:hAnsi="Times New Roman;serif"/>
          <w:b w:val="false"/>
          <w:sz w:val="24"/>
        </w:rPr>
        <w:t>Letters of Credit. 56</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2.06.</w:t>
      </w:r>
      <w:r>
        <w:rPr>
          <w:rFonts w:ascii="Times New Roman" w:hAnsi="Times New Roman"/>
          <w:sz w:val="20"/>
        </w:rPr>
        <w:t xml:space="preserve"> </w:t>
      </w:r>
      <w:r>
        <w:rPr>
          <w:rFonts w:ascii="Times New Roman;serif" w:hAnsi="Times New Roman;serif"/>
          <w:b w:val="false"/>
          <w:sz w:val="24"/>
        </w:rPr>
        <w:t>Funding of Borrowings. 61</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2.07.</w:t>
      </w:r>
      <w:r>
        <w:rPr>
          <w:rFonts w:ascii="Times New Roman" w:hAnsi="Times New Roman"/>
          <w:sz w:val="20"/>
        </w:rPr>
        <w:t xml:space="preserve"> </w:t>
      </w:r>
      <w:r>
        <w:rPr>
          <w:rFonts w:ascii="Times New Roman;serif" w:hAnsi="Times New Roman;serif"/>
          <w:b w:val="false"/>
          <w:sz w:val="24"/>
        </w:rPr>
        <w:t>Interest Elections. 61</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2.08.</w:t>
      </w:r>
      <w:r>
        <w:rPr>
          <w:rFonts w:ascii="Times New Roman" w:hAnsi="Times New Roman"/>
          <w:sz w:val="20"/>
        </w:rPr>
        <w:t xml:space="preserve"> </w:t>
      </w:r>
      <w:r>
        <w:rPr>
          <w:rFonts w:ascii="Times New Roman;serif" w:hAnsi="Times New Roman;serif"/>
          <w:b w:val="false"/>
          <w:sz w:val="24"/>
        </w:rPr>
        <w:t>Termination, Reduction or Increase of the Commitments. 63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2.09.</w:t>
      </w:r>
      <w:r>
        <w:rPr>
          <w:rFonts w:ascii="Times New Roman" w:hAnsi="Times New Roman"/>
          <w:sz w:val="20"/>
        </w:rPr>
        <w:t xml:space="preserve"> </w:t>
      </w:r>
      <w:r>
        <w:rPr>
          <w:rFonts w:ascii="Times New Roman;serif" w:hAnsi="Times New Roman;serif"/>
          <w:b w:val="false"/>
          <w:sz w:val="24"/>
        </w:rPr>
        <w:t>Repayment of Loans; Evidence of Debt. 66</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2.10.</w:t>
      </w:r>
      <w:r>
        <w:rPr>
          <w:rFonts w:ascii="Times New Roman" w:hAnsi="Times New Roman"/>
          <w:sz w:val="20"/>
        </w:rPr>
        <w:t xml:space="preserve"> </w:t>
      </w:r>
      <w:r>
        <w:rPr>
          <w:rFonts w:ascii="Times New Roman;serif" w:hAnsi="Times New Roman;serif"/>
          <w:b w:val="false"/>
          <w:sz w:val="24"/>
        </w:rPr>
        <w:t>Prepayment of Loans. 68</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2.11.</w:t>
      </w:r>
      <w:r>
        <w:rPr>
          <w:rFonts w:ascii="Times New Roman" w:hAnsi="Times New Roman"/>
          <w:sz w:val="20"/>
        </w:rPr>
        <w:t xml:space="preserve"> </w:t>
      </w:r>
      <w:r>
        <w:rPr>
          <w:rFonts w:ascii="Times New Roman;serif" w:hAnsi="Times New Roman;serif"/>
          <w:b w:val="false"/>
          <w:sz w:val="24"/>
        </w:rPr>
        <w:t>Fees. 71</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2.12.</w:t>
      </w:r>
      <w:r>
        <w:rPr>
          <w:rFonts w:ascii="Times New Roman" w:hAnsi="Times New Roman"/>
          <w:sz w:val="20"/>
        </w:rPr>
        <w:t xml:space="preserve"> </w:t>
      </w:r>
      <w:r>
        <w:rPr>
          <w:rFonts w:ascii="Times New Roman;serif" w:hAnsi="Times New Roman;serif"/>
          <w:b w:val="false"/>
          <w:sz w:val="24"/>
        </w:rPr>
        <w:t>Interest. 73</w:t>
      </w:r>
    </w:p>
    <w:p>
      <w:pPr>
        <w:pStyle w:val="TextBody"/>
        <w:bidi w:val="0"/>
        <w:spacing w:before="0" w:after="0"/>
        <w:jc w:val="left"/>
        <w:rPr/>
      </w:pPr>
      <w:r>
        <w:rPr/>
        <w:t>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-i-</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caps/>
          <w:sz w:val="24"/>
        </w:rPr>
      </w:pPr>
      <w:r>
        <w:rPr>
          <w:rFonts w:ascii="Times New Roman;serif" w:hAnsi="Times New Roman;serif"/>
          <w:b/>
          <w:caps/>
          <w:sz w:val="24"/>
        </w:rPr>
        <w:t>Table of Contents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(continued)</w:t>
      </w:r>
    </w:p>
    <w:p>
      <w:pPr>
        <w:pStyle w:val="TextBody"/>
        <w:bidi w:val="0"/>
        <w:spacing w:before="0" w:after="200"/>
        <w:jc w:val="right"/>
        <w:rPr>
          <w:rFonts w:ascii="Times New Roman;serif" w:hAnsi="Times New Roman;serif"/>
          <w:b/>
          <w:sz w:val="24"/>
        </w:rPr>
      </w:pPr>
      <w:r>
        <w:rPr>
          <w:rFonts w:ascii="Times New Roman;serif" w:hAnsi="Times New Roman;serif"/>
          <w:b/>
          <w:sz w:val="24"/>
        </w:rPr>
        <w:t>Page</w:t>
      </w:r>
    </w:p>
    <w:p>
      <w:pPr>
        <w:pStyle w:val="TextBody"/>
        <w:bidi w:val="0"/>
        <w:spacing w:before="0" w:after="0"/>
        <w:jc w:val="left"/>
        <w:rPr/>
      </w:pPr>
      <w:r>
        <w:rPr/>
        <w:t>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2.13.</w:t>
      </w:r>
      <w:r>
        <w:rPr>
          <w:rFonts w:ascii="Times New Roman" w:hAnsi="Times New Roman"/>
          <w:sz w:val="20"/>
        </w:rPr>
        <w:t xml:space="preserve"> </w:t>
      </w:r>
      <w:r>
        <w:rPr>
          <w:rFonts w:ascii="Times New Roman;serif" w:hAnsi="Times New Roman;serif"/>
          <w:b w:val="false"/>
          <w:sz w:val="24"/>
        </w:rPr>
        <w:t>Inability to Determine Interest Rates. 74</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2.14.</w:t>
      </w:r>
      <w:r>
        <w:rPr>
          <w:rFonts w:ascii="Times New Roman" w:hAnsi="Times New Roman"/>
          <w:sz w:val="20"/>
        </w:rPr>
        <w:t xml:space="preserve"> </w:t>
      </w:r>
      <w:r>
        <w:rPr>
          <w:rFonts w:ascii="Times New Roman;serif" w:hAnsi="Times New Roman;serif"/>
          <w:b w:val="false"/>
          <w:sz w:val="24"/>
        </w:rPr>
        <w:t>Increased Costs. 75</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2.15.</w:t>
      </w:r>
      <w:r>
        <w:rPr>
          <w:rFonts w:ascii="Times New Roman" w:hAnsi="Times New Roman"/>
          <w:sz w:val="20"/>
        </w:rPr>
        <w:t xml:space="preserve"> </w:t>
      </w:r>
      <w:r>
        <w:rPr>
          <w:rFonts w:ascii="Times New Roman;serif" w:hAnsi="Times New Roman;serif"/>
          <w:b w:val="false"/>
          <w:sz w:val="24"/>
        </w:rPr>
        <w:t>Break Funding Payments 77</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2.16.</w:t>
      </w:r>
      <w:r>
        <w:rPr>
          <w:rFonts w:ascii="Times New Roman" w:hAnsi="Times New Roman"/>
          <w:sz w:val="20"/>
        </w:rPr>
        <w:t xml:space="preserve"> </w:t>
      </w:r>
      <w:r>
        <w:rPr>
          <w:rFonts w:ascii="Times New Roman;serif" w:hAnsi="Times New Roman;serif"/>
          <w:b w:val="false"/>
          <w:sz w:val="24"/>
        </w:rPr>
        <w:t>Taxes. 77</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2.17.</w:t>
      </w:r>
      <w:r>
        <w:rPr>
          <w:rFonts w:ascii="Times New Roman" w:hAnsi="Times New Roman"/>
          <w:sz w:val="20"/>
        </w:rPr>
        <w:t xml:space="preserve"> </w:t>
      </w:r>
      <w:r>
        <w:rPr>
          <w:rFonts w:ascii="Times New Roman;serif" w:hAnsi="Times New Roman;serif"/>
          <w:b w:val="false"/>
          <w:sz w:val="24"/>
        </w:rPr>
        <w:t>Payments Generally; Pro Rata Treatment: Sharing of Set-offs. 81</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2.18.</w:t>
      </w:r>
      <w:r>
        <w:rPr>
          <w:rFonts w:ascii="Times New Roman" w:hAnsi="Times New Roman"/>
          <w:sz w:val="20"/>
        </w:rPr>
        <w:t xml:space="preserve"> </w:t>
      </w:r>
      <w:r>
        <w:rPr>
          <w:rFonts w:ascii="Times New Roman;serif" w:hAnsi="Times New Roman;serif"/>
          <w:b w:val="false"/>
          <w:sz w:val="24"/>
        </w:rPr>
        <w:t>Mitigation Obligations; Replacement of Lenders. 83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2.19.</w:t>
      </w:r>
      <w:r>
        <w:rPr>
          <w:rFonts w:ascii="Times New Roman" w:hAnsi="Times New Roman"/>
          <w:sz w:val="20"/>
        </w:rPr>
        <w:t xml:space="preserve"> </w:t>
      </w:r>
      <w:r>
        <w:rPr>
          <w:rFonts w:ascii="Times New Roman;serif" w:hAnsi="Times New Roman;serif"/>
          <w:b w:val="false"/>
          <w:sz w:val="24"/>
        </w:rPr>
        <w:t>Defaulting Lenders. 84</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2.20.</w:t>
      </w:r>
      <w:r>
        <w:rPr>
          <w:rFonts w:ascii="Times New Roman" w:hAnsi="Times New Roman"/>
          <w:sz w:val="20"/>
        </w:rPr>
        <w:t xml:space="preserve"> </w:t>
      </w:r>
      <w:r>
        <w:rPr>
          <w:rFonts w:ascii="Times New Roman;serif" w:hAnsi="Times New Roman;serif"/>
          <w:b w:val="false"/>
          <w:sz w:val="24"/>
        </w:rPr>
        <w:t>Reallocation Following a Non-Extended Commitment Termination Date 88</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2.21.</w:t>
      </w:r>
      <w:r>
        <w:rPr>
          <w:rFonts w:ascii="Times New Roman" w:hAnsi="Times New Roman"/>
          <w:sz w:val="20"/>
        </w:rPr>
        <w:t xml:space="preserve"> </w:t>
      </w:r>
      <w:r>
        <w:rPr>
          <w:rFonts w:ascii="Times New Roman;serif" w:hAnsi="Times New Roman;serif"/>
          <w:b w:val="false"/>
          <w:sz w:val="24"/>
        </w:rPr>
        <w:t>Effect of Benchmark Transition Event 89</w:t>
      </w:r>
    </w:p>
    <w:p>
      <w:pPr>
        <w:pStyle w:val="TextBody"/>
        <w:bidi w:val="0"/>
        <w:spacing w:before="0" w:after="120"/>
        <w:jc w:val="left"/>
        <w:rPr>
          <w:rFonts w:ascii="Times New Roman" w:hAnsi="Times New Roman"/>
          <w:sz w:val="20"/>
        </w:rPr>
      </w:pPr>
      <w:r>
        <w:rPr>
          <w:rFonts w:ascii="Times New Roman;serif" w:hAnsi="Times New Roman;serif"/>
          <w:b w:val="false"/>
          <w:caps/>
          <w:sz w:val="24"/>
        </w:rPr>
        <w:t>ARTICLE III REPRESENTATIONS AND WARRANTIES</w:t>
      </w:r>
      <w:r>
        <w:rPr>
          <w:rFonts w:ascii="Times New Roman" w:hAnsi="Times New Roman"/>
          <w:caps/>
          <w:sz w:val="20"/>
        </w:rPr>
        <w:t xml:space="preserve">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3.01.</w:t>
      </w:r>
      <w:r>
        <w:rPr>
          <w:rFonts w:ascii="Times New Roman" w:hAnsi="Times New Roman"/>
          <w:sz w:val="20"/>
        </w:rPr>
        <w:t xml:space="preserve"> </w:t>
      </w:r>
      <w:r>
        <w:rPr>
          <w:rFonts w:ascii="Times New Roman;serif" w:hAnsi="Times New Roman;serif"/>
          <w:b w:val="false"/>
          <w:sz w:val="24"/>
        </w:rPr>
        <w:t>Organization; Powers 92</w:t>
      </w:r>
      <w:r>
        <w:rPr>
          <w:rFonts w:ascii="Times New Roman" w:hAnsi="Times New Roman"/>
          <w:sz w:val="20"/>
        </w:rPr>
        <w:t xml:space="preserve">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3.02.</w:t>
      </w:r>
      <w:r>
        <w:rPr>
          <w:rFonts w:ascii="Times New Roman" w:hAnsi="Times New Roman"/>
          <w:sz w:val="20"/>
        </w:rPr>
        <w:t xml:space="preserve"> </w:t>
      </w:r>
      <w:r>
        <w:rPr>
          <w:rFonts w:ascii="Times New Roman;serif" w:hAnsi="Times New Roman;serif"/>
          <w:b w:val="false"/>
          <w:sz w:val="24"/>
        </w:rPr>
        <w:t>Authorization; Enforceability 92</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3.03.</w:t>
      </w:r>
      <w:r>
        <w:rPr>
          <w:rFonts w:ascii="Times New Roman" w:hAnsi="Times New Roman"/>
          <w:sz w:val="20"/>
        </w:rPr>
        <w:t xml:space="preserve"> </w:t>
      </w:r>
      <w:r>
        <w:rPr>
          <w:rFonts w:ascii="Times New Roman;serif" w:hAnsi="Times New Roman;serif"/>
          <w:b w:val="false"/>
          <w:sz w:val="24"/>
        </w:rPr>
        <w:t>Governmental Approvals; No Conflicts 92</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3.04.</w:t>
      </w:r>
      <w:r>
        <w:rPr>
          <w:rFonts w:ascii="Times New Roman" w:hAnsi="Times New Roman"/>
          <w:sz w:val="20"/>
        </w:rPr>
        <w:t xml:space="preserve"> </w:t>
      </w:r>
      <w:r>
        <w:rPr>
          <w:rFonts w:ascii="Times New Roman;serif" w:hAnsi="Times New Roman;serif"/>
          <w:b w:val="false"/>
          <w:sz w:val="24"/>
        </w:rPr>
        <w:t>Financial Condition; No Material Adverse Change. 93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3.05.</w:t>
      </w:r>
      <w:r>
        <w:rPr>
          <w:rFonts w:ascii="Times New Roman" w:hAnsi="Times New Roman"/>
          <w:sz w:val="20"/>
        </w:rPr>
        <w:t xml:space="preserve"> </w:t>
      </w:r>
      <w:r>
        <w:rPr>
          <w:rFonts w:ascii="Times New Roman;serif" w:hAnsi="Times New Roman;serif"/>
          <w:b w:val="false"/>
          <w:sz w:val="24"/>
        </w:rPr>
        <w:t>Litigation 93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3.06.</w:t>
      </w:r>
      <w:r>
        <w:rPr>
          <w:rFonts w:ascii="Times New Roman" w:hAnsi="Times New Roman"/>
          <w:sz w:val="20"/>
        </w:rPr>
        <w:t xml:space="preserve"> </w:t>
      </w:r>
      <w:r>
        <w:rPr>
          <w:rFonts w:ascii="Times New Roman;serif" w:hAnsi="Times New Roman;serif"/>
          <w:b w:val="false"/>
          <w:sz w:val="24"/>
        </w:rPr>
        <w:t>Compliance with Laws and Agreements 93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3.07.</w:t>
      </w:r>
      <w:r>
        <w:rPr>
          <w:rFonts w:ascii="Times New Roman" w:hAnsi="Times New Roman"/>
          <w:sz w:val="20"/>
        </w:rPr>
        <w:t xml:space="preserve"> </w:t>
      </w:r>
      <w:r>
        <w:rPr>
          <w:rFonts w:ascii="Times New Roman;serif" w:hAnsi="Times New Roman;serif"/>
          <w:b w:val="false"/>
          <w:sz w:val="24"/>
        </w:rPr>
        <w:t>Taxes 93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3.08.</w:t>
      </w:r>
      <w:r>
        <w:rPr>
          <w:rFonts w:ascii="Times New Roman" w:hAnsi="Times New Roman"/>
          <w:sz w:val="20"/>
        </w:rPr>
        <w:t xml:space="preserve"> </w:t>
      </w:r>
      <w:r>
        <w:rPr>
          <w:rFonts w:ascii="Times New Roman;serif" w:hAnsi="Times New Roman;serif"/>
          <w:b w:val="false"/>
          <w:sz w:val="24"/>
        </w:rPr>
        <w:t>ERISA 94</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3.09.</w:t>
      </w:r>
      <w:r>
        <w:rPr>
          <w:rFonts w:ascii="Times New Roman" w:hAnsi="Times New Roman"/>
          <w:sz w:val="20"/>
        </w:rPr>
        <w:t xml:space="preserve"> </w:t>
      </w:r>
      <w:r>
        <w:rPr>
          <w:rFonts w:ascii="Times New Roman;serif" w:hAnsi="Times New Roman;serif"/>
          <w:b w:val="false"/>
          <w:sz w:val="24"/>
        </w:rPr>
        <w:t>Disclosure 94</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3.10.</w:t>
      </w:r>
      <w:r>
        <w:rPr>
          <w:rFonts w:ascii="Times New Roman" w:hAnsi="Times New Roman"/>
          <w:sz w:val="20"/>
        </w:rPr>
        <w:t xml:space="preserve"> </w:t>
      </w:r>
      <w:r>
        <w:rPr>
          <w:rFonts w:ascii="Times New Roman;serif" w:hAnsi="Times New Roman;serif"/>
          <w:b w:val="false"/>
          <w:sz w:val="24"/>
        </w:rPr>
        <w:t>Investment Company Act; Margin Regulations. 94</w:t>
      </w:r>
    </w:p>
    <w:p>
      <w:pPr>
        <w:pStyle w:val="TextBody"/>
        <w:bidi w:val="0"/>
        <w:spacing w:before="0" w:after="0"/>
        <w:jc w:val="left"/>
        <w:rPr/>
      </w:pPr>
      <w:r>
        <w:rPr/>
        <w: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-ii-</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caps/>
          <w:sz w:val="24"/>
        </w:rPr>
      </w:pPr>
      <w:r>
        <w:rPr>
          <w:rFonts w:ascii="Times New Roman;serif" w:hAnsi="Times New Roman;serif"/>
          <w:b/>
          <w:caps/>
          <w:sz w:val="24"/>
        </w:rPr>
        <w:t>Table of Contents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(continued)</w:t>
      </w:r>
    </w:p>
    <w:p>
      <w:pPr>
        <w:pStyle w:val="TextBody"/>
        <w:bidi w:val="0"/>
        <w:spacing w:before="0" w:after="200"/>
        <w:jc w:val="right"/>
        <w:rPr>
          <w:rFonts w:ascii="Times New Roman;serif" w:hAnsi="Times New Roman;serif"/>
          <w:b/>
          <w:sz w:val="24"/>
        </w:rPr>
      </w:pPr>
      <w:r>
        <w:rPr>
          <w:rFonts w:ascii="Times New Roman;serif" w:hAnsi="Times New Roman;serif"/>
          <w:b/>
          <w:sz w:val="24"/>
        </w:rPr>
        <w:t>Page</w:t>
      </w:r>
    </w:p>
    <w:p>
      <w:pPr>
        <w:pStyle w:val="TextBody"/>
        <w:bidi w:val="0"/>
        <w:spacing w:before="0" w:after="0"/>
        <w:jc w:val="left"/>
        <w:rPr/>
      </w:pPr>
      <w:r>
        <w:rPr/>
        <w:t>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3.11.</w:t>
      </w:r>
      <w:r>
        <w:rPr>
          <w:rFonts w:ascii="Times New Roman" w:hAnsi="Times New Roman"/>
          <w:sz w:val="20"/>
        </w:rPr>
        <w:t xml:space="preserve"> </w:t>
      </w:r>
      <w:r>
        <w:rPr>
          <w:rFonts w:ascii="Times New Roman;serif" w:hAnsi="Times New Roman;serif"/>
          <w:b w:val="false"/>
          <w:sz w:val="24"/>
        </w:rPr>
        <w:t>Material Agreements and Liens. 94</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3.12.</w:t>
      </w:r>
      <w:r>
        <w:rPr>
          <w:rFonts w:ascii="Times New Roman" w:hAnsi="Times New Roman"/>
          <w:sz w:val="20"/>
        </w:rPr>
        <w:t xml:space="preserve"> </w:t>
      </w:r>
      <w:r>
        <w:rPr>
          <w:rFonts w:ascii="Times New Roman;serif" w:hAnsi="Times New Roman;serif"/>
          <w:b w:val="false"/>
          <w:sz w:val="24"/>
        </w:rPr>
        <w:t>Subsidiaries and Investments. 95</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3.13.</w:t>
      </w:r>
      <w:r>
        <w:rPr>
          <w:rFonts w:ascii="Times New Roman" w:hAnsi="Times New Roman"/>
          <w:sz w:val="20"/>
        </w:rPr>
        <w:t xml:space="preserve"> </w:t>
      </w:r>
      <w:r>
        <w:rPr>
          <w:rFonts w:ascii="Times New Roman;serif" w:hAnsi="Times New Roman;serif"/>
          <w:b w:val="false"/>
          <w:sz w:val="24"/>
        </w:rPr>
        <w:t>Properties. 95</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3.14.</w:t>
      </w:r>
      <w:r>
        <w:rPr>
          <w:rFonts w:ascii="Times New Roman" w:hAnsi="Times New Roman"/>
          <w:sz w:val="20"/>
        </w:rPr>
        <w:t xml:space="preserve"> </w:t>
      </w:r>
      <w:r>
        <w:rPr>
          <w:rFonts w:ascii="Times New Roman;serif" w:hAnsi="Times New Roman;serif"/>
          <w:b w:val="false"/>
          <w:sz w:val="24"/>
        </w:rPr>
        <w:t>Affiliate Agreements 95</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3.15.</w:t>
      </w:r>
      <w:r>
        <w:rPr>
          <w:rFonts w:ascii="Times New Roman" w:hAnsi="Times New Roman"/>
          <w:sz w:val="20"/>
        </w:rPr>
        <w:t xml:space="preserve"> </w:t>
      </w:r>
      <w:r>
        <w:rPr>
          <w:rFonts w:ascii="Times New Roman;serif" w:hAnsi="Times New Roman;serif"/>
          <w:b w:val="false"/>
          <w:sz w:val="24"/>
        </w:rPr>
        <w:t>Sanctions 95</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3.16.</w:t>
      </w:r>
      <w:r>
        <w:rPr>
          <w:rFonts w:ascii="Times New Roman" w:hAnsi="Times New Roman"/>
          <w:sz w:val="20"/>
        </w:rPr>
        <w:t xml:space="preserve"> </w:t>
      </w:r>
      <w:r>
        <w:rPr>
          <w:rFonts w:ascii="Times New Roman;serif" w:hAnsi="Times New Roman;serif"/>
          <w:b w:val="false"/>
          <w:sz w:val="24"/>
        </w:rPr>
        <w:t>Patriot Act 96</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3.17.</w:t>
      </w:r>
      <w:r>
        <w:rPr>
          <w:rFonts w:ascii="Times New Roman" w:hAnsi="Times New Roman"/>
          <w:sz w:val="20"/>
        </w:rPr>
        <w:t xml:space="preserve"> </w:t>
      </w:r>
      <w:r>
        <w:rPr>
          <w:rFonts w:ascii="Times New Roman;serif" w:hAnsi="Times New Roman;serif"/>
          <w:b w:val="false"/>
          <w:sz w:val="24"/>
        </w:rPr>
        <w:t>Collateral Documents 96</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3.18.</w:t>
      </w:r>
      <w:r>
        <w:rPr>
          <w:rFonts w:ascii="Times New Roman" w:hAnsi="Times New Roman"/>
          <w:sz w:val="20"/>
        </w:rPr>
        <w:t xml:space="preserve"> </w:t>
      </w:r>
      <w:r>
        <w:rPr>
          <w:rFonts w:ascii="Times New Roman;serif" w:hAnsi="Times New Roman;serif"/>
          <w:b w:val="false"/>
          <w:sz w:val="24"/>
        </w:rPr>
        <w:t>EEA Financial Institutions 96</w:t>
      </w:r>
    </w:p>
    <w:p>
      <w:pPr>
        <w:pStyle w:val="TextBody"/>
        <w:bidi w:val="0"/>
        <w:spacing w:before="0" w:after="120"/>
        <w:jc w:val="left"/>
        <w:rPr>
          <w:rFonts w:ascii="Times New Roman" w:hAnsi="Times New Roman"/>
          <w:sz w:val="20"/>
        </w:rPr>
      </w:pPr>
      <w:r>
        <w:rPr>
          <w:rFonts w:ascii="Times New Roman;serif" w:hAnsi="Times New Roman;serif"/>
          <w:b w:val="false"/>
          <w:caps/>
          <w:sz w:val="24"/>
        </w:rPr>
        <w:t>ARTICLE IV CONDITIONS</w:t>
      </w:r>
      <w:r>
        <w:rPr>
          <w:rFonts w:ascii="Times New Roman" w:hAnsi="Times New Roman"/>
          <w:caps/>
          <w:sz w:val="20"/>
        </w:rPr>
        <w:t xml:space="preserve">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4.01.</w:t>
      </w:r>
      <w:r>
        <w:rPr>
          <w:rFonts w:ascii="Times New Roman" w:hAnsi="Times New Roman"/>
          <w:sz w:val="20"/>
        </w:rPr>
        <w:t xml:space="preserve"> </w:t>
      </w:r>
      <w:r>
        <w:rPr>
          <w:rFonts w:ascii="Times New Roman;serif" w:hAnsi="Times New Roman;serif"/>
          <w:b w:val="false"/>
          <w:sz w:val="24"/>
        </w:rPr>
        <w:t>Effective Date 97</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4.02.</w:t>
      </w:r>
      <w:r>
        <w:rPr>
          <w:rFonts w:ascii="Times New Roman" w:hAnsi="Times New Roman"/>
          <w:sz w:val="20"/>
        </w:rPr>
        <w:t xml:space="preserve"> </w:t>
      </w:r>
      <w:r>
        <w:rPr>
          <w:rFonts w:ascii="Times New Roman;serif" w:hAnsi="Times New Roman;serif"/>
          <w:b w:val="false"/>
          <w:sz w:val="24"/>
        </w:rPr>
        <w:t>Each Credit Event 97</w:t>
      </w:r>
    </w:p>
    <w:p>
      <w:pPr>
        <w:pStyle w:val="TextBody"/>
        <w:bidi w:val="0"/>
        <w:spacing w:before="0" w:after="120"/>
        <w:jc w:val="left"/>
        <w:rPr>
          <w:rFonts w:ascii="Times New Roman" w:hAnsi="Times New Roman"/>
          <w:sz w:val="20"/>
        </w:rPr>
      </w:pPr>
      <w:r>
        <w:rPr>
          <w:rFonts w:ascii="Times New Roman;serif" w:hAnsi="Times New Roman;serif"/>
          <w:b w:val="false"/>
          <w:caps/>
          <w:sz w:val="24"/>
        </w:rPr>
        <w:t>ARTICLE V AFFIRMATIVE COVENANTS</w:t>
      </w:r>
      <w:r>
        <w:rPr>
          <w:rFonts w:ascii="Times New Roman" w:hAnsi="Times New Roman"/>
          <w:caps/>
          <w:sz w:val="20"/>
        </w:rPr>
        <w:t xml:space="preserve">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5.01.</w:t>
      </w:r>
      <w:r>
        <w:rPr>
          <w:rFonts w:ascii="Times New Roman" w:hAnsi="Times New Roman"/>
          <w:sz w:val="20"/>
        </w:rPr>
        <w:t xml:space="preserve"> </w:t>
      </w:r>
      <w:r>
        <w:rPr>
          <w:rFonts w:ascii="Times New Roman;serif" w:hAnsi="Times New Roman;serif"/>
          <w:b w:val="false"/>
          <w:sz w:val="24"/>
        </w:rPr>
        <w:t>Financial Statements and Other Information 98</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5.02.</w:t>
      </w:r>
      <w:r>
        <w:rPr>
          <w:rFonts w:ascii="Times New Roman" w:hAnsi="Times New Roman"/>
          <w:sz w:val="20"/>
        </w:rPr>
        <w:t xml:space="preserve"> </w:t>
      </w:r>
      <w:r>
        <w:rPr>
          <w:rFonts w:ascii="Times New Roman;serif" w:hAnsi="Times New Roman;serif"/>
          <w:b w:val="false"/>
          <w:sz w:val="24"/>
        </w:rPr>
        <w:t>Notices of Material Events 100</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5.03.</w:t>
      </w:r>
      <w:r>
        <w:rPr>
          <w:rFonts w:ascii="Times New Roman" w:hAnsi="Times New Roman"/>
          <w:sz w:val="20"/>
        </w:rPr>
        <w:t xml:space="preserve"> </w:t>
      </w:r>
      <w:r>
        <w:rPr>
          <w:rFonts w:ascii="Times New Roman;serif" w:hAnsi="Times New Roman;serif"/>
          <w:b w:val="false"/>
          <w:sz w:val="24"/>
        </w:rPr>
        <w:t>Existence: Conduct of Business 101</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5.04.</w:t>
      </w:r>
      <w:r>
        <w:rPr>
          <w:rFonts w:ascii="Times New Roman" w:hAnsi="Times New Roman"/>
          <w:sz w:val="20"/>
        </w:rPr>
        <w:t xml:space="preserve"> </w:t>
      </w:r>
      <w:r>
        <w:rPr>
          <w:rFonts w:ascii="Times New Roman;serif" w:hAnsi="Times New Roman;serif"/>
          <w:b w:val="false"/>
          <w:sz w:val="24"/>
        </w:rPr>
        <w:t>Payment of Obligations 101</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5.05.</w:t>
      </w:r>
      <w:r>
        <w:rPr>
          <w:rFonts w:ascii="Times New Roman" w:hAnsi="Times New Roman"/>
          <w:sz w:val="20"/>
        </w:rPr>
        <w:t xml:space="preserve"> </w:t>
      </w:r>
      <w:r>
        <w:rPr>
          <w:rFonts w:ascii="Times New Roman;serif" w:hAnsi="Times New Roman;serif"/>
          <w:b w:val="false"/>
          <w:sz w:val="24"/>
        </w:rPr>
        <w:t>Maintenance of Properties; Insurance 101</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5.06.</w:t>
      </w:r>
      <w:r>
        <w:rPr>
          <w:rFonts w:ascii="Times New Roman" w:hAnsi="Times New Roman"/>
          <w:sz w:val="20"/>
        </w:rPr>
        <w:t xml:space="preserve"> </w:t>
      </w:r>
      <w:r>
        <w:rPr>
          <w:rFonts w:ascii="Times New Roman;serif" w:hAnsi="Times New Roman;serif"/>
          <w:b w:val="false"/>
          <w:sz w:val="24"/>
        </w:rPr>
        <w:t>Books and Records; Inspection and Audit Rights 101</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5.07.</w:t>
      </w:r>
      <w:r>
        <w:rPr>
          <w:rFonts w:ascii="Times New Roman" w:hAnsi="Times New Roman"/>
          <w:sz w:val="20"/>
        </w:rPr>
        <w:t xml:space="preserve"> </w:t>
      </w:r>
      <w:r>
        <w:rPr>
          <w:rFonts w:ascii="Times New Roman;serif" w:hAnsi="Times New Roman;serif"/>
          <w:b w:val="false"/>
          <w:sz w:val="24"/>
        </w:rPr>
        <w:t>Compliance with Laws 101</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5.08.</w:t>
      </w:r>
      <w:r>
        <w:rPr>
          <w:rFonts w:ascii="Times New Roman" w:hAnsi="Times New Roman"/>
          <w:sz w:val="20"/>
        </w:rPr>
        <w:t xml:space="preserve"> </w:t>
      </w:r>
      <w:r>
        <w:rPr>
          <w:rFonts w:ascii="Times New Roman;serif" w:hAnsi="Times New Roman;serif"/>
          <w:b w:val="false"/>
          <w:sz w:val="24"/>
        </w:rPr>
        <w:t>Certain Obligations Respecting Subsidiaries; Further Assurances. 102</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5.09.</w:t>
      </w:r>
      <w:r>
        <w:rPr>
          <w:rFonts w:ascii="Times New Roman" w:hAnsi="Times New Roman"/>
          <w:sz w:val="20"/>
        </w:rPr>
        <w:t xml:space="preserve"> </w:t>
      </w:r>
      <w:r>
        <w:rPr>
          <w:rFonts w:ascii="Times New Roman;serif" w:hAnsi="Times New Roman;serif"/>
          <w:b w:val="false"/>
          <w:sz w:val="24"/>
        </w:rPr>
        <w:t>Use of Proceeds 103</w:t>
      </w:r>
    </w:p>
    <w:p>
      <w:pPr>
        <w:pStyle w:val="TextBody"/>
        <w:bidi w:val="0"/>
        <w:spacing w:before="0" w:after="0"/>
        <w:jc w:val="left"/>
        <w:rPr/>
      </w:pPr>
      <w:r>
        <w:rPr/>
        <w:t> </w:t>
      </w:r>
    </w:p>
    <w:tbl>
      <w:tblPr>
        <w:tblW w:w="788" w:type="dxa"/>
        <w:jc w:val="left"/>
        <w:tblInd w:w="0" w:type="dxa"/>
        <w:tblLayout w:type="fixed"/>
        <w:tblCellMar>
          <w:top w:w="28" w:type="dxa"/>
          <w:left w:w="28" w:type="dxa"/>
          <w:bottom w:w="28" w:type="dxa"/>
          <w:right w:w="28" w:type="dxa"/>
        </w:tblCellMar>
      </w:tblPr>
      <w:tblGrid>
        <w:gridCol w:w="161"/>
        <w:gridCol w:w="43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-iii-</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caps/>
          <w:sz w:val="24"/>
        </w:rPr>
      </w:pPr>
      <w:r>
        <w:rPr>
          <w:rFonts w:ascii="Times New Roman;serif" w:hAnsi="Times New Roman;serif"/>
          <w:b/>
          <w:caps/>
          <w:sz w:val="24"/>
        </w:rPr>
        <w:t>Table of Contents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(continued)</w:t>
      </w:r>
    </w:p>
    <w:p>
      <w:pPr>
        <w:pStyle w:val="TextBody"/>
        <w:bidi w:val="0"/>
        <w:spacing w:before="0" w:after="200"/>
        <w:jc w:val="right"/>
        <w:rPr>
          <w:rFonts w:ascii="Times New Roman;serif" w:hAnsi="Times New Roman;serif"/>
          <w:b/>
          <w:sz w:val="24"/>
        </w:rPr>
      </w:pPr>
      <w:r>
        <w:rPr>
          <w:rFonts w:ascii="Times New Roman;serif" w:hAnsi="Times New Roman;serif"/>
          <w:b/>
          <w:sz w:val="24"/>
        </w:rPr>
        <w:t>Page</w:t>
      </w:r>
    </w:p>
    <w:p>
      <w:pPr>
        <w:pStyle w:val="TextBody"/>
        <w:bidi w:val="0"/>
        <w:spacing w:before="0" w:after="0"/>
        <w:jc w:val="left"/>
        <w:rPr/>
      </w:pPr>
      <w:r>
        <w:rPr/>
        <w:t>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5.10.</w:t>
      </w:r>
      <w:r>
        <w:rPr>
          <w:rFonts w:ascii="Times New Roman" w:hAnsi="Times New Roman"/>
          <w:sz w:val="20"/>
        </w:rPr>
        <w:t xml:space="preserve"> </w:t>
      </w:r>
      <w:r>
        <w:rPr>
          <w:rFonts w:ascii="Times New Roman;serif" w:hAnsi="Times New Roman;serif"/>
          <w:b w:val="false"/>
          <w:sz w:val="24"/>
        </w:rPr>
        <w:t>Status of RIC and BDC 103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5.11.</w:t>
      </w:r>
      <w:r>
        <w:rPr>
          <w:rFonts w:ascii="Times New Roman" w:hAnsi="Times New Roman"/>
          <w:sz w:val="20"/>
        </w:rPr>
        <w:t xml:space="preserve"> </w:t>
      </w:r>
      <w:r>
        <w:rPr>
          <w:rFonts w:ascii="Times New Roman;serif" w:hAnsi="Times New Roman;serif"/>
          <w:b w:val="false"/>
          <w:sz w:val="24"/>
        </w:rPr>
        <w:t>Investment Policies 103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5.12.</w:t>
      </w:r>
      <w:r>
        <w:rPr>
          <w:rFonts w:ascii="Times New Roman" w:hAnsi="Times New Roman"/>
          <w:sz w:val="20"/>
        </w:rPr>
        <w:t xml:space="preserve"> </w:t>
      </w:r>
      <w:r>
        <w:rPr>
          <w:rFonts w:ascii="Times New Roman;serif" w:hAnsi="Times New Roman;serif"/>
          <w:b w:val="false"/>
          <w:sz w:val="24"/>
        </w:rPr>
        <w:t>Portfolio Valuation and Diversification Etc. 103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5.13.</w:t>
      </w:r>
      <w:r>
        <w:rPr>
          <w:rFonts w:ascii="Times New Roman" w:hAnsi="Times New Roman"/>
          <w:sz w:val="20"/>
        </w:rPr>
        <w:t xml:space="preserve"> </w:t>
      </w:r>
      <w:r>
        <w:rPr>
          <w:rFonts w:ascii="Times New Roman;serif" w:hAnsi="Times New Roman;serif"/>
          <w:b w:val="false"/>
          <w:sz w:val="24"/>
        </w:rPr>
        <w:t>Calculation of Borrowing Base. 107</w:t>
      </w:r>
    </w:p>
    <w:p>
      <w:pPr>
        <w:pStyle w:val="TextBody"/>
        <w:bidi w:val="0"/>
        <w:spacing w:before="0" w:after="120"/>
        <w:jc w:val="left"/>
        <w:rPr>
          <w:rFonts w:ascii="Times New Roman" w:hAnsi="Times New Roman"/>
          <w:sz w:val="20"/>
        </w:rPr>
      </w:pPr>
      <w:r>
        <w:rPr>
          <w:rFonts w:ascii="Times New Roman;serif" w:hAnsi="Times New Roman;serif"/>
          <w:b w:val="false"/>
          <w:caps/>
          <w:sz w:val="24"/>
        </w:rPr>
        <w:t>ARTICLE VI NEGATIVE COVENANTS</w:t>
      </w:r>
      <w:r>
        <w:rPr>
          <w:rFonts w:ascii="Times New Roman" w:hAnsi="Times New Roman"/>
          <w:caps/>
          <w:sz w:val="20"/>
        </w:rPr>
        <w:t xml:space="preserve">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6.01.</w:t>
      </w:r>
      <w:r>
        <w:rPr>
          <w:rFonts w:ascii="Times New Roman" w:hAnsi="Times New Roman"/>
          <w:sz w:val="20"/>
        </w:rPr>
        <w:t xml:space="preserve"> </w:t>
      </w:r>
      <w:r>
        <w:rPr>
          <w:rFonts w:ascii="Times New Roman;serif" w:hAnsi="Times New Roman;serif"/>
          <w:b w:val="false"/>
          <w:sz w:val="24"/>
        </w:rPr>
        <w:t>Indebtedness 112</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6.02.</w:t>
      </w:r>
      <w:r>
        <w:rPr>
          <w:rFonts w:ascii="Times New Roman" w:hAnsi="Times New Roman"/>
          <w:sz w:val="20"/>
        </w:rPr>
        <w:t xml:space="preserve"> </w:t>
      </w:r>
      <w:r>
        <w:rPr>
          <w:rFonts w:ascii="Times New Roman;serif" w:hAnsi="Times New Roman;serif"/>
          <w:b w:val="false"/>
          <w:sz w:val="24"/>
        </w:rPr>
        <w:t>Liens 113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6.03.</w:t>
      </w:r>
      <w:r>
        <w:rPr>
          <w:rFonts w:ascii="Times New Roman" w:hAnsi="Times New Roman"/>
          <w:sz w:val="20"/>
        </w:rPr>
        <w:t xml:space="preserve"> </w:t>
      </w:r>
      <w:r>
        <w:rPr>
          <w:rFonts w:ascii="Times New Roman;serif" w:hAnsi="Times New Roman;serif"/>
          <w:b w:val="false"/>
          <w:sz w:val="24"/>
        </w:rPr>
        <w:t>Fundamental Changes 114</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6.04.</w:t>
      </w:r>
      <w:r>
        <w:rPr>
          <w:rFonts w:ascii="Times New Roman" w:hAnsi="Times New Roman"/>
          <w:sz w:val="20"/>
        </w:rPr>
        <w:t xml:space="preserve"> </w:t>
      </w:r>
      <w:r>
        <w:rPr>
          <w:rFonts w:ascii="Times New Roman;serif" w:hAnsi="Times New Roman;serif"/>
          <w:b w:val="false"/>
          <w:sz w:val="24"/>
        </w:rPr>
        <w:t>Investments 116</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6.05.</w:t>
      </w:r>
      <w:r>
        <w:rPr>
          <w:rFonts w:ascii="Times New Roman" w:hAnsi="Times New Roman"/>
          <w:sz w:val="20"/>
        </w:rPr>
        <w:t xml:space="preserve"> </w:t>
      </w:r>
      <w:r>
        <w:rPr>
          <w:rFonts w:ascii="Times New Roman;serif" w:hAnsi="Times New Roman;serif"/>
          <w:b w:val="false"/>
          <w:sz w:val="24"/>
        </w:rPr>
        <w:t>Restricted Payments 116</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6.06.</w:t>
      </w:r>
      <w:r>
        <w:rPr>
          <w:rFonts w:ascii="Times New Roman" w:hAnsi="Times New Roman"/>
          <w:sz w:val="20"/>
        </w:rPr>
        <w:t xml:space="preserve"> </w:t>
      </w:r>
      <w:r>
        <w:rPr>
          <w:rFonts w:ascii="Times New Roman;serif" w:hAnsi="Times New Roman;serif"/>
          <w:b w:val="false"/>
          <w:sz w:val="24"/>
        </w:rPr>
        <w:t>Certain Restrictions on Subsidiaries 117</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6.07.</w:t>
      </w:r>
      <w:r>
        <w:rPr>
          <w:rFonts w:ascii="Times New Roman" w:hAnsi="Times New Roman"/>
          <w:sz w:val="20"/>
        </w:rPr>
        <w:t xml:space="preserve"> </w:t>
      </w:r>
      <w:r>
        <w:rPr>
          <w:rFonts w:ascii="Times New Roman;serif" w:hAnsi="Times New Roman;serif"/>
          <w:b w:val="false"/>
          <w:sz w:val="24"/>
        </w:rPr>
        <w:t>Certain Financial Covenants 118</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6.08.</w:t>
      </w:r>
      <w:r>
        <w:rPr>
          <w:rFonts w:ascii="Times New Roman" w:hAnsi="Times New Roman"/>
          <w:sz w:val="20"/>
        </w:rPr>
        <w:t xml:space="preserve"> </w:t>
      </w:r>
      <w:r>
        <w:rPr>
          <w:rFonts w:ascii="Times New Roman;serif" w:hAnsi="Times New Roman;serif"/>
          <w:b w:val="false"/>
          <w:sz w:val="24"/>
        </w:rPr>
        <w:t>Transactions with Affiliates 118</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6.09.</w:t>
      </w:r>
      <w:r>
        <w:rPr>
          <w:rFonts w:ascii="Times New Roman" w:hAnsi="Times New Roman"/>
          <w:sz w:val="20"/>
        </w:rPr>
        <w:t xml:space="preserve"> </w:t>
      </w:r>
      <w:r>
        <w:rPr>
          <w:rFonts w:ascii="Times New Roman;serif" w:hAnsi="Times New Roman;serif"/>
          <w:b w:val="false"/>
          <w:sz w:val="24"/>
        </w:rPr>
        <w:t>Lines of Business 118</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6.10.</w:t>
      </w:r>
      <w:r>
        <w:rPr>
          <w:rFonts w:ascii="Times New Roman" w:hAnsi="Times New Roman"/>
          <w:sz w:val="20"/>
        </w:rPr>
        <w:t xml:space="preserve"> </w:t>
      </w:r>
      <w:r>
        <w:rPr>
          <w:rFonts w:ascii="Times New Roman;serif" w:hAnsi="Times New Roman;serif"/>
          <w:b w:val="false"/>
          <w:sz w:val="24"/>
        </w:rPr>
        <w:t>No Further Negative Pledge 118</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6.11.</w:t>
      </w:r>
      <w:r>
        <w:rPr>
          <w:rFonts w:ascii="Times New Roman" w:hAnsi="Times New Roman"/>
          <w:sz w:val="20"/>
        </w:rPr>
        <w:t xml:space="preserve"> </w:t>
      </w:r>
      <w:r>
        <w:rPr>
          <w:rFonts w:ascii="Times New Roman;serif" w:hAnsi="Times New Roman;serif"/>
          <w:b w:val="false"/>
          <w:sz w:val="24"/>
        </w:rPr>
        <w:t>Modifications of Longer-Term Indebtedness Documents 119</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6.12.</w:t>
      </w:r>
      <w:r>
        <w:rPr>
          <w:rFonts w:ascii="Times New Roman" w:hAnsi="Times New Roman"/>
          <w:sz w:val="20"/>
        </w:rPr>
        <w:t xml:space="preserve"> </w:t>
      </w:r>
      <w:r>
        <w:rPr>
          <w:rFonts w:ascii="Times New Roman;serif" w:hAnsi="Times New Roman;serif"/>
          <w:b w:val="false"/>
          <w:sz w:val="24"/>
        </w:rPr>
        <w:t>Payments of Longer-Term Indebtedness, the 2024 Notes and the 2026 Notes 119</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6.13.</w:t>
      </w:r>
      <w:r>
        <w:rPr>
          <w:rFonts w:ascii="Times New Roman" w:hAnsi="Times New Roman"/>
          <w:sz w:val="20"/>
        </w:rPr>
        <w:t xml:space="preserve"> </w:t>
      </w:r>
      <w:r>
        <w:rPr>
          <w:rFonts w:ascii="Times New Roman;serif" w:hAnsi="Times New Roman;serif"/>
          <w:b w:val="false"/>
          <w:sz w:val="24"/>
        </w:rPr>
        <w:t>Accounting Changes 120</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6.14.</w:t>
      </w:r>
      <w:r>
        <w:rPr>
          <w:rFonts w:ascii="Times New Roman" w:hAnsi="Times New Roman"/>
          <w:sz w:val="20"/>
        </w:rPr>
        <w:t xml:space="preserve"> </w:t>
      </w:r>
      <w:r>
        <w:rPr>
          <w:rFonts w:ascii="Times New Roman;serif" w:hAnsi="Times New Roman;serif"/>
          <w:b w:val="false"/>
          <w:sz w:val="24"/>
        </w:rPr>
        <w:t>SBIC Guarantee 120</w:t>
      </w:r>
    </w:p>
    <w:p>
      <w:pPr>
        <w:pStyle w:val="TextBody"/>
        <w:bidi w:val="0"/>
        <w:spacing w:before="0" w:after="120"/>
        <w:jc w:val="left"/>
        <w:rPr>
          <w:rFonts w:ascii="Times New Roman" w:hAnsi="Times New Roman"/>
          <w:sz w:val="20"/>
        </w:rPr>
      </w:pPr>
      <w:r>
        <w:rPr>
          <w:rFonts w:ascii="Times New Roman;serif" w:hAnsi="Times New Roman;serif"/>
          <w:b w:val="false"/>
          <w:caps/>
          <w:sz w:val="24"/>
        </w:rPr>
        <w:t>ARTICLE VII EVENTS OF DEFAULT</w:t>
      </w:r>
      <w:r>
        <w:rPr>
          <w:rFonts w:ascii="Times New Roman" w:hAnsi="Times New Roman"/>
          <w:caps/>
          <w:sz w:val="20"/>
        </w:rPr>
        <w:t xml:space="preserve"> </w:t>
      </w:r>
    </w:p>
    <w:p>
      <w:pPr>
        <w:pStyle w:val="TextBody"/>
        <w:bidi w:val="0"/>
        <w:spacing w:before="0" w:after="120"/>
        <w:jc w:val="left"/>
        <w:rPr>
          <w:rFonts w:ascii="Times New Roman" w:hAnsi="Times New Roman"/>
          <w:sz w:val="20"/>
        </w:rPr>
      </w:pPr>
      <w:r>
        <w:rPr>
          <w:rFonts w:ascii="Times New Roman;serif" w:hAnsi="Times New Roman;serif"/>
          <w:b w:val="false"/>
          <w:caps/>
          <w:sz w:val="24"/>
        </w:rPr>
        <w:t>ARTICLE VIII THE ADMINISTRATIVE AGENT</w:t>
      </w:r>
      <w:r>
        <w:rPr>
          <w:rFonts w:ascii="Times New Roman" w:hAnsi="Times New Roman"/>
          <w:caps/>
          <w:sz w:val="20"/>
        </w:rPr>
        <w:t xml:space="preserve">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8.01.</w:t>
      </w:r>
      <w:r>
        <w:rPr>
          <w:rFonts w:ascii="Times New Roman" w:hAnsi="Times New Roman"/>
          <w:sz w:val="20"/>
        </w:rPr>
        <w:t xml:space="preserve"> </w:t>
      </w:r>
      <w:r>
        <w:rPr>
          <w:rFonts w:ascii="Times New Roman;serif" w:hAnsi="Times New Roman;serif"/>
          <w:b w:val="false"/>
          <w:sz w:val="24"/>
        </w:rPr>
        <w:t>Appointment of the Administrative Agent 124</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8.02.</w:t>
      </w:r>
      <w:r>
        <w:rPr>
          <w:rFonts w:ascii="Times New Roman" w:hAnsi="Times New Roman"/>
          <w:sz w:val="20"/>
        </w:rPr>
        <w:t xml:space="preserve"> </w:t>
      </w:r>
      <w:r>
        <w:rPr>
          <w:rFonts w:ascii="Times New Roman;serif" w:hAnsi="Times New Roman;serif"/>
          <w:b w:val="false"/>
          <w:sz w:val="24"/>
        </w:rPr>
        <w:t>Capacity as Lender 125</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8.03.</w:t>
      </w:r>
      <w:r>
        <w:rPr>
          <w:rFonts w:ascii="Times New Roman" w:hAnsi="Times New Roman"/>
          <w:sz w:val="20"/>
        </w:rPr>
        <w:t xml:space="preserve"> </w:t>
      </w:r>
      <w:r>
        <w:rPr>
          <w:rFonts w:ascii="Times New Roman;serif" w:hAnsi="Times New Roman;serif"/>
          <w:b w:val="false"/>
          <w:sz w:val="24"/>
        </w:rPr>
        <w:t>Limitation of Duties; Exculpation 125</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8.04.</w:t>
      </w:r>
      <w:r>
        <w:rPr>
          <w:rFonts w:ascii="Times New Roman" w:hAnsi="Times New Roman"/>
          <w:sz w:val="20"/>
        </w:rPr>
        <w:t xml:space="preserve"> </w:t>
      </w:r>
      <w:r>
        <w:rPr>
          <w:rFonts w:ascii="Times New Roman;serif" w:hAnsi="Times New Roman;serif"/>
          <w:b w:val="false"/>
          <w:sz w:val="24"/>
        </w:rPr>
        <w:t>Reliance 125</w:t>
      </w:r>
    </w:p>
    <w:p>
      <w:pPr>
        <w:pStyle w:val="TextBody"/>
        <w:bidi w:val="0"/>
        <w:spacing w:before="0" w:after="0"/>
        <w:jc w:val="left"/>
        <w:rPr/>
      </w:pPr>
      <w:r>
        <w:rPr/>
        <w:t> </w:t>
      </w:r>
    </w:p>
    <w:tbl>
      <w:tblPr>
        <w:tblW w:w="788" w:type="dxa"/>
        <w:jc w:val="left"/>
        <w:tblInd w:w="0" w:type="dxa"/>
        <w:tblLayout w:type="fixed"/>
        <w:tblCellMar>
          <w:top w:w="28" w:type="dxa"/>
          <w:left w:w="28" w:type="dxa"/>
          <w:bottom w:w="28" w:type="dxa"/>
          <w:right w:w="28" w:type="dxa"/>
        </w:tblCellMar>
      </w:tblPr>
      <w:tblGrid>
        <w:gridCol w:w="161"/>
        <w:gridCol w:w="43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-iv-</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caps/>
          <w:sz w:val="24"/>
        </w:rPr>
      </w:pPr>
      <w:r>
        <w:rPr>
          <w:rFonts w:ascii="Times New Roman;serif" w:hAnsi="Times New Roman;serif"/>
          <w:b/>
          <w:caps/>
          <w:sz w:val="24"/>
        </w:rPr>
        <w:t>Table of Contents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(continued)</w:t>
      </w:r>
    </w:p>
    <w:p>
      <w:pPr>
        <w:pStyle w:val="TextBody"/>
        <w:bidi w:val="0"/>
        <w:spacing w:before="0" w:after="200"/>
        <w:jc w:val="right"/>
        <w:rPr>
          <w:rFonts w:ascii="Times New Roman;serif" w:hAnsi="Times New Roman;serif"/>
          <w:b/>
          <w:sz w:val="24"/>
        </w:rPr>
      </w:pPr>
      <w:r>
        <w:rPr>
          <w:rFonts w:ascii="Times New Roman;serif" w:hAnsi="Times New Roman;serif"/>
          <w:b/>
          <w:sz w:val="24"/>
        </w:rPr>
        <w:t>Page</w:t>
      </w:r>
    </w:p>
    <w:p>
      <w:pPr>
        <w:pStyle w:val="TextBody"/>
        <w:bidi w:val="0"/>
        <w:spacing w:before="0" w:after="0"/>
        <w:jc w:val="left"/>
        <w:rPr/>
      </w:pPr>
      <w:r>
        <w:rPr/>
        <w:t>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8.05.</w:t>
      </w:r>
      <w:r>
        <w:rPr>
          <w:rFonts w:ascii="Times New Roman" w:hAnsi="Times New Roman"/>
          <w:sz w:val="20"/>
        </w:rPr>
        <w:t xml:space="preserve"> </w:t>
      </w:r>
      <w:r>
        <w:rPr>
          <w:rFonts w:ascii="Times New Roman;serif" w:hAnsi="Times New Roman;serif"/>
          <w:b w:val="false"/>
          <w:sz w:val="24"/>
        </w:rPr>
        <w:t>Sub-Agents 125</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8.06.</w:t>
      </w:r>
      <w:r>
        <w:rPr>
          <w:rFonts w:ascii="Times New Roman" w:hAnsi="Times New Roman"/>
          <w:sz w:val="20"/>
        </w:rPr>
        <w:t xml:space="preserve"> </w:t>
      </w:r>
      <w:r>
        <w:rPr>
          <w:rFonts w:ascii="Times New Roman;serif" w:hAnsi="Times New Roman;serif"/>
          <w:b w:val="false"/>
          <w:sz w:val="24"/>
        </w:rPr>
        <w:t>Resignation; Successor Administrative Agent 126</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8.07.</w:t>
      </w:r>
      <w:r>
        <w:rPr>
          <w:rFonts w:ascii="Times New Roman" w:hAnsi="Times New Roman"/>
          <w:sz w:val="20"/>
        </w:rPr>
        <w:t xml:space="preserve"> </w:t>
      </w:r>
      <w:r>
        <w:rPr>
          <w:rFonts w:ascii="Times New Roman;serif" w:hAnsi="Times New Roman;serif"/>
          <w:b w:val="false"/>
          <w:sz w:val="24"/>
        </w:rPr>
        <w:t>Reliance by Lenders 126</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8.08.</w:t>
      </w:r>
      <w:r>
        <w:rPr>
          <w:rFonts w:ascii="Times New Roman" w:hAnsi="Times New Roman"/>
          <w:sz w:val="20"/>
        </w:rPr>
        <w:t xml:space="preserve"> </w:t>
      </w:r>
      <w:r>
        <w:rPr>
          <w:rFonts w:ascii="Times New Roman;serif" w:hAnsi="Times New Roman;serif"/>
          <w:b w:val="false"/>
          <w:sz w:val="24"/>
        </w:rPr>
        <w:t>Modifications to Loan Documents 127</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8.09.</w:t>
      </w:r>
      <w:r>
        <w:rPr>
          <w:rFonts w:ascii="Times New Roman" w:hAnsi="Times New Roman"/>
          <w:sz w:val="20"/>
        </w:rPr>
        <w:t xml:space="preserve"> </w:t>
      </w:r>
      <w:r>
        <w:rPr>
          <w:rFonts w:ascii="Times New Roman;serif" w:hAnsi="Times New Roman;serif"/>
          <w:b w:val="false"/>
          <w:sz w:val="24"/>
        </w:rPr>
        <w:t>Erroneous Payments. 127</w:t>
      </w:r>
    </w:p>
    <w:p>
      <w:pPr>
        <w:pStyle w:val="TextBody"/>
        <w:bidi w:val="0"/>
        <w:spacing w:before="0" w:after="120"/>
        <w:jc w:val="left"/>
        <w:rPr>
          <w:rFonts w:ascii="Times New Roman" w:hAnsi="Times New Roman"/>
          <w:sz w:val="20"/>
        </w:rPr>
      </w:pPr>
      <w:r>
        <w:rPr>
          <w:rFonts w:ascii="Times New Roman;serif" w:hAnsi="Times New Roman;serif"/>
          <w:b w:val="false"/>
          <w:caps/>
          <w:sz w:val="24"/>
        </w:rPr>
        <w:t>ARTICLE IX MISCELLANEOUS</w:t>
      </w:r>
      <w:r>
        <w:rPr>
          <w:rFonts w:ascii="Times New Roman" w:hAnsi="Times New Roman"/>
          <w:caps/>
          <w:sz w:val="20"/>
        </w:rPr>
        <w:t xml:space="preserve">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9.01.</w:t>
      </w:r>
      <w:r>
        <w:rPr>
          <w:rFonts w:ascii="Times New Roman" w:hAnsi="Times New Roman"/>
          <w:sz w:val="20"/>
        </w:rPr>
        <w:t xml:space="preserve"> </w:t>
      </w:r>
      <w:r>
        <w:rPr>
          <w:rFonts w:ascii="Times New Roman;serif" w:hAnsi="Times New Roman;serif"/>
          <w:b w:val="false"/>
          <w:sz w:val="24"/>
        </w:rPr>
        <w:t>Notices; Electronic Communications. 130</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9.02.</w:t>
      </w:r>
      <w:r>
        <w:rPr>
          <w:rFonts w:ascii="Times New Roman" w:hAnsi="Times New Roman"/>
          <w:sz w:val="20"/>
        </w:rPr>
        <w:t xml:space="preserve"> </w:t>
      </w:r>
      <w:r>
        <w:rPr>
          <w:rFonts w:ascii="Times New Roman;serif" w:hAnsi="Times New Roman;serif"/>
          <w:b w:val="false"/>
          <w:sz w:val="24"/>
        </w:rPr>
        <w:t>Waivers; Amendments. 133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9.03.</w:t>
      </w:r>
      <w:r>
        <w:rPr>
          <w:rFonts w:ascii="Times New Roman" w:hAnsi="Times New Roman"/>
          <w:sz w:val="20"/>
        </w:rPr>
        <w:t xml:space="preserve"> </w:t>
      </w:r>
      <w:r>
        <w:rPr>
          <w:rFonts w:ascii="Times New Roman;serif" w:hAnsi="Times New Roman;serif"/>
          <w:b w:val="false"/>
          <w:sz w:val="24"/>
        </w:rPr>
        <w:t>Expenses; Indemnity; Damage Waiver. 135</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9.04.</w:t>
      </w:r>
      <w:r>
        <w:rPr>
          <w:rFonts w:ascii="Times New Roman" w:hAnsi="Times New Roman"/>
          <w:sz w:val="20"/>
        </w:rPr>
        <w:t xml:space="preserve"> </w:t>
      </w:r>
      <w:r>
        <w:rPr>
          <w:rFonts w:ascii="Times New Roman;serif" w:hAnsi="Times New Roman;serif"/>
          <w:b w:val="false"/>
          <w:sz w:val="24"/>
        </w:rPr>
        <w:t>Successors and Assigns. 137</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9.05.</w:t>
      </w:r>
      <w:r>
        <w:rPr>
          <w:rFonts w:ascii="Times New Roman" w:hAnsi="Times New Roman"/>
          <w:sz w:val="20"/>
        </w:rPr>
        <w:t xml:space="preserve"> </w:t>
      </w:r>
      <w:r>
        <w:rPr>
          <w:rFonts w:ascii="Times New Roman;serif" w:hAnsi="Times New Roman;serif"/>
          <w:b w:val="false"/>
          <w:sz w:val="24"/>
        </w:rPr>
        <w:t>Survival 142</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9.06.</w:t>
      </w:r>
      <w:r>
        <w:rPr>
          <w:rFonts w:ascii="Times New Roman" w:hAnsi="Times New Roman"/>
          <w:sz w:val="20"/>
        </w:rPr>
        <w:t xml:space="preserve"> </w:t>
      </w:r>
      <w:r>
        <w:rPr>
          <w:rFonts w:ascii="Times New Roman;serif" w:hAnsi="Times New Roman;serif"/>
          <w:b w:val="false"/>
          <w:sz w:val="24"/>
        </w:rPr>
        <w:t>Counterparts; Integration; Effectiveness; Electronic Execution. 142</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9.07.</w:t>
      </w:r>
      <w:r>
        <w:rPr>
          <w:rFonts w:ascii="Times New Roman" w:hAnsi="Times New Roman"/>
          <w:sz w:val="20"/>
        </w:rPr>
        <w:t xml:space="preserve"> </w:t>
      </w:r>
      <w:r>
        <w:rPr>
          <w:rFonts w:ascii="Times New Roman;serif" w:hAnsi="Times New Roman;serif"/>
          <w:b w:val="false"/>
          <w:sz w:val="24"/>
        </w:rPr>
        <w:t>Severability 143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9.08.</w:t>
      </w:r>
      <w:r>
        <w:rPr>
          <w:rFonts w:ascii="Times New Roman" w:hAnsi="Times New Roman"/>
          <w:sz w:val="20"/>
        </w:rPr>
        <w:t xml:space="preserve"> </w:t>
      </w:r>
      <w:r>
        <w:rPr>
          <w:rFonts w:ascii="Times New Roman;serif" w:hAnsi="Times New Roman;serif"/>
          <w:b w:val="false"/>
          <w:sz w:val="24"/>
        </w:rPr>
        <w:t>Right of Setoff 143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9.09.</w:t>
      </w:r>
      <w:r>
        <w:rPr>
          <w:rFonts w:ascii="Times New Roman" w:hAnsi="Times New Roman"/>
          <w:sz w:val="20"/>
        </w:rPr>
        <w:t xml:space="preserve"> </w:t>
      </w:r>
      <w:r>
        <w:rPr>
          <w:rFonts w:ascii="Times New Roman;serif" w:hAnsi="Times New Roman;serif"/>
          <w:b w:val="false"/>
          <w:sz w:val="24"/>
        </w:rPr>
        <w:t>Governing Law; Jurisdiction; Etc. 143</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9.10.</w:t>
      </w:r>
      <w:r>
        <w:rPr>
          <w:rFonts w:ascii="Times New Roman" w:hAnsi="Times New Roman"/>
          <w:sz w:val="20"/>
        </w:rPr>
        <w:t xml:space="preserve"> </w:t>
      </w:r>
      <w:r>
        <w:rPr>
          <w:rFonts w:ascii="Times New Roman;serif" w:hAnsi="Times New Roman;serif"/>
          <w:b w:val="false"/>
          <w:sz w:val="24"/>
        </w:rPr>
        <w:t>WAIVER OF JURY TRIAL 144</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9.11.</w:t>
      </w:r>
      <w:r>
        <w:rPr>
          <w:rFonts w:ascii="Times New Roman" w:hAnsi="Times New Roman"/>
          <w:sz w:val="20"/>
        </w:rPr>
        <w:t xml:space="preserve"> </w:t>
      </w:r>
      <w:r>
        <w:rPr>
          <w:rFonts w:ascii="Times New Roman;serif" w:hAnsi="Times New Roman;serif"/>
          <w:b w:val="false"/>
          <w:sz w:val="24"/>
        </w:rPr>
        <w:t>Judgment Currency 144</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9.12.</w:t>
      </w:r>
      <w:r>
        <w:rPr>
          <w:rFonts w:ascii="Times New Roman" w:hAnsi="Times New Roman"/>
          <w:sz w:val="20"/>
        </w:rPr>
        <w:t xml:space="preserve"> </w:t>
      </w:r>
      <w:r>
        <w:rPr>
          <w:rFonts w:ascii="Times New Roman;serif" w:hAnsi="Times New Roman;serif"/>
          <w:b w:val="false"/>
          <w:sz w:val="24"/>
        </w:rPr>
        <w:t>Headings 145</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9.13.</w:t>
      </w:r>
      <w:r>
        <w:rPr>
          <w:rFonts w:ascii="Times New Roman" w:hAnsi="Times New Roman"/>
          <w:sz w:val="20"/>
        </w:rPr>
        <w:t xml:space="preserve"> </w:t>
      </w:r>
      <w:r>
        <w:rPr>
          <w:rFonts w:ascii="Times New Roman;serif" w:hAnsi="Times New Roman;serif"/>
          <w:b w:val="false"/>
          <w:sz w:val="24"/>
        </w:rPr>
        <w:t>Treatment of Certain Information; No Fiduciary Duty; Confidentiality. 145</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9.14.</w:t>
      </w:r>
      <w:r>
        <w:rPr>
          <w:rFonts w:ascii="Times New Roman" w:hAnsi="Times New Roman"/>
          <w:sz w:val="20"/>
        </w:rPr>
        <w:t xml:space="preserve"> </w:t>
      </w:r>
      <w:r>
        <w:rPr>
          <w:rFonts w:ascii="Times New Roman;serif" w:hAnsi="Times New Roman;serif"/>
          <w:b w:val="false"/>
          <w:sz w:val="24"/>
        </w:rPr>
        <w:t>USA PATRIOT Act 147</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9.15.</w:t>
      </w:r>
      <w:r>
        <w:rPr>
          <w:rFonts w:ascii="Times New Roman" w:hAnsi="Times New Roman"/>
          <w:sz w:val="20"/>
        </w:rPr>
        <w:t xml:space="preserve"> </w:t>
      </w:r>
      <w:r>
        <w:rPr>
          <w:rFonts w:ascii="Times New Roman;serif" w:hAnsi="Times New Roman;serif"/>
          <w:b w:val="false"/>
          <w:sz w:val="24"/>
        </w:rPr>
        <w:t>Effect of Amendment and Restatement of the Existing Credit Agreement 147</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9.16.</w:t>
      </w:r>
      <w:r>
        <w:rPr>
          <w:rFonts w:ascii="Times New Roman" w:hAnsi="Times New Roman"/>
          <w:sz w:val="20"/>
        </w:rPr>
        <w:t xml:space="preserve"> </w:t>
      </w:r>
      <w:r>
        <w:rPr>
          <w:rFonts w:ascii="Times New Roman;serif" w:hAnsi="Times New Roman;serif"/>
          <w:b w:val="false"/>
          <w:sz w:val="24"/>
        </w:rPr>
        <w:t>[Reserved] 147</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9.17.</w:t>
      </w:r>
      <w:r>
        <w:rPr>
          <w:rFonts w:ascii="Times New Roman" w:hAnsi="Times New Roman"/>
          <w:sz w:val="20"/>
        </w:rPr>
        <w:t xml:space="preserve"> </w:t>
      </w:r>
      <w:r>
        <w:rPr>
          <w:rFonts w:ascii="Times New Roman;serif" w:hAnsi="Times New Roman;serif"/>
          <w:b w:val="false"/>
          <w:sz w:val="24"/>
        </w:rPr>
        <w:t>Acknowledgement and Consent to Bail-In of Affected Financial Institutions 147</w:t>
      </w:r>
    </w:p>
    <w:p>
      <w:pPr>
        <w:pStyle w:val="TextBody"/>
        <w:bidi w:val="0"/>
        <w:spacing w:before="0" w:after="0"/>
        <w:jc w:val="left"/>
        <w:rPr/>
      </w:pPr>
      <w:r>
        <w:rPr/>
        <w: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-v-</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caps/>
          <w:sz w:val="24"/>
        </w:rPr>
      </w:pPr>
      <w:r>
        <w:rPr>
          <w:rFonts w:ascii="Times New Roman;serif" w:hAnsi="Times New Roman;serif"/>
          <w:b/>
          <w:caps/>
          <w:sz w:val="24"/>
        </w:rPr>
        <w:t>Table of Contents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(continued)</w:t>
      </w:r>
    </w:p>
    <w:p>
      <w:pPr>
        <w:pStyle w:val="TextBody"/>
        <w:bidi w:val="0"/>
        <w:spacing w:before="0" w:after="200"/>
        <w:jc w:val="right"/>
        <w:rPr>
          <w:rFonts w:ascii="Times New Roman;serif" w:hAnsi="Times New Roman;serif"/>
          <w:b/>
          <w:sz w:val="24"/>
        </w:rPr>
      </w:pPr>
      <w:r>
        <w:rPr>
          <w:rFonts w:ascii="Times New Roman;serif" w:hAnsi="Times New Roman;serif"/>
          <w:b/>
          <w:sz w:val="24"/>
        </w:rPr>
        <w:t>Page</w:t>
      </w:r>
    </w:p>
    <w:p>
      <w:pPr>
        <w:pStyle w:val="TextBody"/>
        <w:bidi w:val="0"/>
        <w:spacing w:before="0" w:after="0"/>
        <w:jc w:val="left"/>
        <w:rPr/>
      </w:pPr>
      <w:r>
        <w:rPr/>
        <w:t> </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9.18.</w:t>
      </w:r>
      <w:r>
        <w:rPr>
          <w:rFonts w:ascii="Times New Roman" w:hAnsi="Times New Roman"/>
          <w:sz w:val="20"/>
        </w:rPr>
        <w:t xml:space="preserve"> </w:t>
      </w:r>
      <w:r>
        <w:rPr>
          <w:rFonts w:ascii="Times New Roman;serif" w:hAnsi="Times New Roman;serif"/>
          <w:b w:val="false"/>
          <w:sz w:val="24"/>
        </w:rPr>
        <w:t>Certain ERISA Matters 148</w:t>
      </w:r>
    </w:p>
    <w:p>
      <w:pPr>
        <w:pStyle w:val="TextBody"/>
        <w:bidi w:val="0"/>
        <w:spacing w:before="0" w:after="120"/>
        <w:jc w:val="left"/>
        <w:rPr>
          <w:rFonts w:ascii="Times New Roman" w:hAnsi="Times New Roman"/>
          <w:sz w:val="20"/>
        </w:rPr>
      </w:pPr>
      <w:r>
        <w:rPr>
          <w:rFonts w:ascii="Times New Roman;serif" w:hAnsi="Times New Roman;serif"/>
          <w:b w:val="false"/>
          <w:caps/>
          <w:sz w:val="24"/>
        </w:rPr>
        <w:t>SECTION 9.19.</w:t>
      </w:r>
      <w:r>
        <w:rPr>
          <w:rFonts w:ascii="Times New Roman" w:hAnsi="Times New Roman"/>
          <w:sz w:val="20"/>
        </w:rPr>
        <w:t xml:space="preserve"> </w:t>
      </w:r>
      <w:r>
        <w:rPr>
          <w:rFonts w:ascii="Times New Roman;serif" w:hAnsi="Times New Roman;serif"/>
          <w:b w:val="false"/>
          <w:sz w:val="24"/>
        </w:rPr>
        <w:t>Acknowledgement Regarding Any Supported QFCs 149</w:t>
      </w:r>
    </w:p>
    <w:p>
      <w:pPr>
        <w:pStyle w:val="TextBody"/>
        <w:bidi w:val="0"/>
        <w:spacing w:before="0" w:after="0"/>
        <w:jc w:val="left"/>
        <w:rPr/>
      </w:pPr>
      <w:r>
        <w:rPr/>
        <w:t> </w:t>
      </w:r>
    </w:p>
    <w:p>
      <w:pPr>
        <w:pStyle w:val="TextBody"/>
        <w:bidi w:val="0"/>
        <w:spacing w:before="0" w:after="0"/>
        <w:jc w:val="left"/>
        <w:rPr/>
      </w:pPr>
      <w:r>
        <w:rPr/>
        <w:t> </w:t>
      </w:r>
    </w:p>
    <w:tbl>
      <w:tblPr>
        <w:tblW w:w="788" w:type="dxa"/>
        <w:jc w:val="left"/>
        <w:tblInd w:w="0" w:type="dxa"/>
        <w:tblLayout w:type="fixed"/>
        <w:tblCellMar>
          <w:top w:w="28" w:type="dxa"/>
          <w:left w:w="28" w:type="dxa"/>
          <w:bottom w:w="28" w:type="dxa"/>
          <w:right w:w="28" w:type="dxa"/>
        </w:tblCellMar>
      </w:tblPr>
      <w:tblGrid>
        <w:gridCol w:w="161"/>
        <w:gridCol w:w="43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-vi-</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SCHEDULE 1.01(a) - Approved Dealers and Approved Pricing Services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SCHEDULE 1.01(b) - Commitments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SCHEDULE 1.01(c) - Industry Classification Group List</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SCHEDULE 2.04 - Swingline Lender Swingline Sublimit</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SCHEDULE 2.05 - Issuing Bank LC Exposure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SCHEDULE 3.11 - Material Agreements and Liens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SCHEDULE 3.12(a) - Subsidiaries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SCHEDULE 3.12(b) - Investments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SCHEDULE 6.08 - Transactions with Affiliates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EXHIBIT A - Form of Assignment and Assumption</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EXHIBIT B - Form of Borrowing Base Certificate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EXHIBIT C - Form of Borrowing Request</w:t>
      </w:r>
    </w:p>
    <w:p>
      <w:pPr>
        <w:pStyle w:val="TextBody"/>
        <w:bidi w:val="0"/>
        <w:spacing w:before="0" w:after="0"/>
        <w:jc w:val="left"/>
        <w:rPr/>
      </w:pPr>
      <w:r>
        <w:rPr/>
        <w:t> </w:t>
      </w:r>
    </w:p>
    <w:p>
      <w:pPr>
        <w:pStyle w:val="TextBody"/>
        <w:bidi w:val="0"/>
        <w:spacing w:before="0" w:after="0"/>
        <w:jc w:val="left"/>
        <w:rPr/>
      </w:pPr>
      <w:r>
        <w:rPr/>
        <w:t> </w:t>
      </w:r>
    </w:p>
    <w:p>
      <w:pPr>
        <w:pStyle w:val="TextBody"/>
        <w:pBdr>
          <w:top w:val="double" w:sz="6" w:space="1" w:color="000000"/>
        </w:pBdr>
        <w:bidi w:val="0"/>
        <w:spacing w:before="0" w:after="0"/>
        <w:jc w:val="left"/>
        <w:rPr>
          <w:rFonts w:ascii="Times New Roman;serif" w:hAnsi="Times New Roman;serif"/>
          <w:b w:val="false"/>
          <w:sz w:val="16"/>
        </w:rPr>
      </w:pPr>
      <w:r>
        <w:rPr>
          <w:rFonts w:ascii="Times New Roman;serif" w:hAnsi="Times New Roman;serif"/>
          <w:b w:val="false"/>
          <w:sz w:val="16"/>
        </w:rPr>
        <w:t>753176866 11299570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SECOND AMENDED AND RESTATED SENIOR SECURED REVOLVING CREDIT AGREEMENT dated as of February 27, 2014, as amended as of June 3, 2014, as of June 27, 2014, as of October 17, 2014, as of October 2, 2015, as of December 22, 2016, as of February 20, 2018, as of November 5, 2018, as of February 14, 2019, as of January 31, 2020, February 5, 2021, December 14, 2021, April 25, 2022, May 19, 2022, and June 12, 2023 (this “</w:t>
      </w:r>
      <w:r>
        <w:rPr>
          <w:rFonts w:ascii="Times New Roman;serif" w:hAnsi="Times New Roman;serif"/>
          <w:b w:val="false"/>
          <w:sz w:val="24"/>
          <w:u w:val="single"/>
        </w:rPr>
        <w:t>Agreement</w:t>
      </w:r>
      <w:r>
        <w:rPr>
          <w:rFonts w:ascii="Times New Roman" w:hAnsi="Times New Roman"/>
          <w:sz w:val="20"/>
        </w:rPr>
        <w:t>”</w:t>
      </w:r>
      <w:r>
        <w:rPr>
          <w:rFonts w:ascii="Times New Roman;serif" w:hAnsi="Times New Roman;serif"/>
          <w:b w:val="false"/>
          <w:sz w:val="24"/>
        </w:rPr>
        <w:t>), among SIXTH STREET SPECIALTY LENDING, INC. (F/K/A TPG Specialty Lending, Inc.), a Delaware corporation (the “</w:t>
      </w:r>
      <w:r>
        <w:rPr>
          <w:rFonts w:ascii="Times New Roman;serif" w:hAnsi="Times New Roman;serif"/>
          <w:b w:val="false"/>
          <w:sz w:val="24"/>
          <w:u w:val="single"/>
        </w:rPr>
        <w:t>Borrower</w:t>
      </w:r>
      <w:r>
        <w:rPr>
          <w:rFonts w:ascii="Times New Roman" w:hAnsi="Times New Roman"/>
          <w:sz w:val="20"/>
        </w:rPr>
        <w:t>”</w:t>
      </w:r>
      <w:r>
        <w:rPr>
          <w:rFonts w:ascii="Times New Roman;serif" w:hAnsi="Times New Roman;serif"/>
          <w:b w:val="false"/>
          <w:sz w:val="24"/>
        </w:rPr>
        <w:t>), the LENDERS party hereto, and TRUIST BANK, as Administrative Agent.</w:t>
      </w:r>
    </w:p>
    <w:p>
      <w:pPr>
        <w:pStyle w:val="TextBody"/>
        <w:bidi w:val="0"/>
        <w:spacing w:before="0" w:after="240"/>
        <w:jc w:val="both"/>
        <w:rPr>
          <w:rFonts w:ascii="Times New Roman" w:hAnsi="Times New Roman"/>
          <w:sz w:val="20"/>
        </w:rPr>
      </w:pPr>
      <w:r>
        <w:rPr>
          <w:rFonts w:ascii="Times New Roman;serif" w:hAnsi="Times New Roman;serif"/>
          <w:b w:val="false"/>
          <w:sz w:val="24"/>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Times New Roman;serif" w:hAnsi="Times New Roman;serif"/>
          <w:b w:val="false"/>
          <w:sz w:val="24"/>
          <w:u w:val="single"/>
        </w:rPr>
        <w:t>Existing Credit Agreement</w:t>
      </w:r>
      <w:r>
        <w:rPr>
          <w:rFonts w:ascii="Times New Roman" w:hAnsi="Times New Roman"/>
          <w:sz w:val="20"/>
        </w:rPr>
        <w:t>”</w:t>
      </w:r>
      <w:r>
        <w:rPr>
          <w:rFonts w:ascii="Times New Roman;serif" w:hAnsi="Times New Roman;serif"/>
          <w:b w:val="false"/>
          <w:sz w:val="24"/>
        </w:rPr>
        <w:t>), among the Borrower, the lenders party thereto (collectively, the “</w:t>
      </w:r>
      <w:r>
        <w:rPr>
          <w:rFonts w:ascii="Times New Roman;serif" w:hAnsi="Times New Roman;serif"/>
          <w:b w:val="false"/>
          <w:sz w:val="24"/>
          <w:u w:val="single"/>
        </w:rPr>
        <w:t>Existing Lenders</w:t>
      </w:r>
      <w:r>
        <w:rPr>
          <w:rFonts w:ascii="Times New Roman" w:hAnsi="Times New Roman"/>
          <w:sz w:val="20"/>
        </w:rPr>
        <w:t>”</w:t>
      </w:r>
      <w:r>
        <w:rPr>
          <w:rFonts w:ascii="Times New Roman;serif" w:hAnsi="Times New Roman;serif"/>
          <w:b w:val="false"/>
          <w:sz w:val="24"/>
        </w:rPr>
        <w:t>) and the Administrative Agent, the Existing Lenders agreed to make extensions of credit to the Borrower on the terms and conditions set forth therein, including making loans (the “</w:t>
      </w:r>
      <w:r>
        <w:rPr>
          <w:rFonts w:ascii="Times New Roman;serif" w:hAnsi="Times New Roman;serif"/>
          <w:b w:val="false"/>
          <w:sz w:val="24"/>
          <w:u w:val="single"/>
        </w:rPr>
        <w:t>Existing Loans</w:t>
      </w:r>
      <w:r>
        <w:rPr>
          <w:rFonts w:ascii="Times New Roman" w:hAnsi="Times New Roman"/>
          <w:sz w:val="20"/>
        </w:rPr>
        <w:t>”</w:t>
      </w:r>
      <w:r>
        <w:rPr>
          <w:rFonts w:ascii="Times New Roman;serif" w:hAnsi="Times New Roman;serif"/>
          <w:b w:val="false"/>
          <w:sz w:val="24"/>
        </w:rPr>
        <w:t>) to the Borrower.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parties hereto hereby agree to amend and restate the Existing Credit Agreement, and the Existing Credit Agreement is hereby amended and restated in its entirety as follows:</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ARTICLE I</w:t>
      </w:r>
    </w:p>
    <w:p>
      <w:pPr>
        <w:pStyle w:val="TextBody"/>
        <w:bidi w:val="0"/>
        <w:spacing w:before="0" w:after="240"/>
        <w:jc w:val="center"/>
        <w:rPr/>
      </w:pPr>
      <w:r>
        <w:rPr>
          <w:rFonts w:ascii="Times New Roman;serif" w:hAnsi="Times New Roman;serif"/>
          <w:b w:val="false"/>
          <w:sz w:val="24"/>
        </w:rPr>
        <w:br/>
        <w:br/>
      </w:r>
      <w:r>
        <w:rPr>
          <w:rFonts w:ascii="Times New Roman;serif" w:hAnsi="Times New Roman;serif"/>
          <w:b w:val="false"/>
          <w:caps/>
          <w:sz w:val="24"/>
          <w:u w:val="single"/>
        </w:rPr>
        <w:t>DEFINITIONS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1.01.</w:t>
      </w:r>
    </w:p>
    <w:p>
      <w:pPr>
        <w:pStyle w:val="TextBody"/>
        <w:bidi w:val="0"/>
        <w:spacing w:before="0" w:after="240"/>
        <w:jc w:val="both"/>
        <w:rPr/>
      </w:pPr>
      <w:r>
        <w:rPr>
          <w:rFonts w:ascii="Times New Roman;serif" w:hAnsi="Times New Roman;serif"/>
          <w:b w:val="false"/>
          <w:sz w:val="24"/>
          <w:u w:val="single"/>
        </w:rPr>
        <w:t>Defined Terms</w:t>
      </w:r>
      <w:r>
        <w:rPr>
          <w:rFonts w:ascii="Times New Roman;serif" w:hAnsi="Times New Roman;serif"/>
          <w:b w:val="false"/>
          <w:sz w:val="24"/>
        </w:rPr>
        <w:t>. As used in this Agreement, the following terms have the meanings specified below:</w:t>
      </w:r>
    </w:p>
    <w:p>
      <w:pPr>
        <w:pStyle w:val="TextBody"/>
        <w:bidi w:val="0"/>
        <w:spacing w:before="0" w:after="240"/>
        <w:jc w:val="both"/>
        <w:rPr/>
      </w:pPr>
      <w:r>
        <w:rPr/>
        <w:t>“</w:t>
      </w:r>
      <w:r>
        <w:rPr>
          <w:rFonts w:ascii="Times New Roman;serif" w:hAnsi="Times New Roman;serif"/>
          <w:b w:val="false"/>
          <w:sz w:val="24"/>
          <w:u w:val="single"/>
        </w:rPr>
        <w:t>2024 Notes</w:t>
      </w:r>
      <w:r>
        <w:rPr>
          <w:rFonts w:ascii="Times New Roman" w:hAnsi="Times New Roman"/>
          <w:sz w:val="20"/>
        </w:rPr>
        <w:t xml:space="preserve">” </w:t>
      </w:r>
      <w:r>
        <w:rPr>
          <w:rFonts w:ascii="Times New Roman;serif" w:hAnsi="Times New Roman;serif"/>
          <w:b w:val="false"/>
          <w:sz w:val="24"/>
        </w:rPr>
        <w:t>means the Borrower’s $350,000,000 aggregate principal amount notes due November 2024.</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2026 Notes</w:t>
      </w:r>
      <w:r>
        <w:rPr>
          <w:rFonts w:ascii="Times New Roman" w:hAnsi="Times New Roman"/>
          <w:sz w:val="20"/>
        </w:rPr>
        <w:t xml:space="preserve">” </w:t>
      </w:r>
      <w:r>
        <w:rPr>
          <w:rFonts w:ascii="Times New Roman;serif" w:hAnsi="Times New Roman;serif"/>
          <w:b w:val="false"/>
          <w:sz w:val="24"/>
        </w:rPr>
        <w:t>means the Borrower’s $300,000,000 aggregate principal amount notes due August 2026.</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ABR</w:t>
      </w:r>
      <w:r>
        <w:rPr>
          <w:rFonts w:ascii="Times New Roman" w:hAnsi="Times New Roman"/>
          <w:sz w:val="20"/>
        </w:rPr>
        <w:t>”</w:t>
      </w:r>
      <w:r>
        <w:rPr>
          <w:rFonts w:ascii="Times New Roman;serif" w:hAnsi="Times New Roman;serif"/>
          <w:b w:val="false"/>
          <w:sz w:val="24"/>
        </w:rPr>
        <w:t>, when used in reference to any Loan or Borrowing, refers to whether such Loan is, or the Loans constituting such Borrowing are, denominated in Dollars and bearing interest at a rate determined by reference to the Alternate Base Rate.</w:t>
      </w:r>
    </w:p>
    <w:p>
      <w:pPr>
        <w:pStyle w:val="TextBody"/>
        <w:bidi w:val="0"/>
        <w:spacing w:before="0" w:after="240"/>
        <w:jc w:val="both"/>
        <w:rPr/>
      </w:pPr>
      <w:r>
        <w:rPr/>
        <w:t>“</w:t>
      </w:r>
      <w:r>
        <w:rPr>
          <w:rFonts w:ascii="Times New Roman;serif" w:hAnsi="Times New Roman;serif"/>
          <w:b w:val="false"/>
          <w:sz w:val="24"/>
          <w:u w:val="single"/>
        </w:rPr>
        <w:t>Adjusted Covered Debt Balance</w:t>
      </w:r>
      <w:r>
        <w:rPr>
          <w:rFonts w:ascii="Times New Roman" w:hAnsi="Times New Roman"/>
          <w:sz w:val="20"/>
        </w:rPr>
        <w:t xml:space="preserve">” </w:t>
      </w:r>
      <w:r>
        <w:rPr>
          <w:rFonts w:ascii="Times New Roman;serif" w:hAnsi="Times New Roman;serif"/>
          <w:b w:val="false"/>
          <w:sz w:val="24"/>
        </w:rPr>
        <w:t xml:space="preserve">means, on any date, the aggregate Covered Debt Amount on such date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the aggregate amount of Cash and Cash Equivalents included in the Portfolio Investments held by the Obligors (provided that Cash Collateral for outstanding Letters of Credit shall not be treated as a portion of the Portfolio Investments).</w:t>
      </w:r>
    </w:p>
    <w:p>
      <w:pPr>
        <w:pStyle w:val="TextBody"/>
        <w:bidi w:val="0"/>
        <w:spacing w:before="0" w:after="240"/>
        <w:jc w:val="both"/>
        <w:rPr/>
      </w:pPr>
      <w:r>
        <w:rPr/>
        <w:t>“</w:t>
      </w:r>
      <w:r>
        <w:rPr>
          <w:rFonts w:ascii="Times New Roman;serif" w:hAnsi="Times New Roman;serif"/>
          <w:b w:val="false"/>
          <w:sz w:val="24"/>
          <w:u w:val="single"/>
        </w:rPr>
        <w:t>Adjusted Term Benchmark Rate</w:t>
      </w:r>
      <w:r>
        <w:rPr>
          <w:rFonts w:ascii="Times New Roman" w:hAnsi="Times New Roman"/>
          <w:sz w:val="20"/>
        </w:rPr>
        <w:t xml:space="preserve">” </w:t>
      </w:r>
      <w:r>
        <w:rPr>
          <w:rFonts w:ascii="Times New Roman;serif" w:hAnsi="Times New Roman;serif"/>
          <w:b w:val="false"/>
          <w:sz w:val="24"/>
        </w:rPr>
        <w:t>means an interest rate per annum (rounded upwards, if necessary, to the next 1/100 of 1%) equal to the Term Benchmark Rate for such Interest Period for such Currency.</w:t>
      </w:r>
    </w:p>
    <w:p>
      <w:pPr>
        <w:pStyle w:val="TextBody"/>
        <w:bidi w:val="0"/>
        <w:spacing w:before="0" w:after="240"/>
        <w:jc w:val="both"/>
        <w:rPr/>
      </w:pPr>
      <w:r>
        <w:rPr/>
        <w:t>“</w:t>
      </w:r>
      <w:r>
        <w:rPr>
          <w:rFonts w:ascii="Times New Roman;serif" w:hAnsi="Times New Roman;serif"/>
          <w:b w:val="false"/>
          <w:sz w:val="24"/>
          <w:u w:val="single"/>
        </w:rPr>
        <w:t>Administrative Agent</w:t>
      </w:r>
      <w:r>
        <w:rPr>
          <w:rFonts w:ascii="Times New Roman" w:hAnsi="Times New Roman"/>
          <w:sz w:val="20"/>
        </w:rPr>
        <w:t xml:space="preserve">” </w:t>
      </w:r>
      <w:r>
        <w:rPr>
          <w:rFonts w:ascii="Times New Roman;serif" w:hAnsi="Times New Roman;serif"/>
          <w:b w:val="false"/>
          <w:sz w:val="24"/>
        </w:rPr>
        <w:t>means Truist, in its capacity as administrative agent for the Lenders hereunder.</w:t>
      </w:r>
    </w:p>
    <w:p>
      <w:pPr>
        <w:pStyle w:val="TextBody"/>
        <w:bidi w:val="0"/>
        <w:spacing w:before="0" w:after="240"/>
        <w:jc w:val="both"/>
        <w:rPr/>
      </w:pPr>
      <w:r>
        <w:rPr/>
        <w:t>“</w:t>
      </w:r>
      <w:r>
        <w:rPr>
          <w:rFonts w:ascii="Times New Roman;serif" w:hAnsi="Times New Roman;serif"/>
          <w:b w:val="false"/>
          <w:sz w:val="24"/>
          <w:u w:val="single"/>
        </w:rPr>
        <w:t>Administrative Agent’s Account</w:t>
      </w:r>
      <w:r>
        <w:rPr>
          <w:rFonts w:ascii="Times New Roman" w:hAnsi="Times New Roman"/>
          <w:sz w:val="20"/>
        </w:rPr>
        <w:t xml:space="preserve">” </w:t>
      </w:r>
      <w:r>
        <w:rPr>
          <w:rFonts w:ascii="Times New Roman;serif" w:hAnsi="Times New Roman;serif"/>
          <w:b w:val="false"/>
          <w:sz w:val="24"/>
        </w:rPr>
        <w:t>means, for each Currency, an account in respect of such Currency designated by the Administrative Agent in a notice to the Borrower and the Lenders.</w:t>
      </w:r>
    </w:p>
    <w:p>
      <w:pPr>
        <w:pStyle w:val="TextBody"/>
        <w:bidi w:val="0"/>
        <w:spacing w:before="0" w:after="240"/>
        <w:jc w:val="both"/>
        <w:rPr/>
      </w:pPr>
      <w:r>
        <w:rPr/>
        <w:t>“</w:t>
      </w:r>
      <w:r>
        <w:rPr>
          <w:rFonts w:ascii="Times New Roman;serif" w:hAnsi="Times New Roman;serif"/>
          <w:b w:val="false"/>
          <w:sz w:val="24"/>
          <w:u w:val="single"/>
        </w:rPr>
        <w:t>Administrative Agent Appraisal Testing Period</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5.12(b)(ii)(E)(y)</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Administrative Questionnaire</w:t>
      </w:r>
      <w:r>
        <w:rPr>
          <w:rFonts w:ascii="Times New Roman" w:hAnsi="Times New Roman"/>
          <w:sz w:val="20"/>
        </w:rPr>
        <w:t xml:space="preserve">” </w:t>
      </w:r>
      <w:r>
        <w:rPr>
          <w:rFonts w:ascii="Times New Roman;serif" w:hAnsi="Times New Roman;serif"/>
          <w:b w:val="false"/>
          <w:sz w:val="24"/>
        </w:rPr>
        <w:t>means an administrative questionnaire in a form supplied by the Administrative Agent.</w:t>
      </w:r>
    </w:p>
    <w:p>
      <w:pPr>
        <w:pStyle w:val="TextBody"/>
        <w:bidi w:val="0"/>
        <w:spacing w:before="0" w:after="240"/>
        <w:jc w:val="both"/>
        <w:rPr/>
      </w:pPr>
      <w:r>
        <w:rPr/>
        <w:t>“</w:t>
      </w:r>
      <w:r>
        <w:rPr>
          <w:rFonts w:ascii="Times New Roman;serif" w:hAnsi="Times New Roman;serif"/>
          <w:b w:val="false"/>
          <w:sz w:val="24"/>
          <w:u w:val="single"/>
        </w:rPr>
        <w:t>Advance Rate</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5.13</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Affected Currency</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2.13</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Affected Financial Institution</w:t>
      </w:r>
      <w:r>
        <w:rPr>
          <w:rFonts w:ascii="Times New Roman" w:hAnsi="Times New Roman"/>
          <w:sz w:val="20"/>
        </w:rPr>
        <w:t xml:space="preserve">” </w:t>
      </w:r>
      <w:r>
        <w:rPr>
          <w:rFonts w:ascii="Times New Roman;serif" w:hAnsi="Times New Roman;serif"/>
          <w:b w:val="false"/>
          <w:sz w:val="24"/>
        </w:rPr>
        <w:t>means (a) any EEA Financial Institution or (b) any UK Financial Institution.</w:t>
      </w:r>
    </w:p>
    <w:p>
      <w:pPr>
        <w:pStyle w:val="TextBody"/>
        <w:bidi w:val="0"/>
        <w:spacing w:before="0" w:after="240"/>
        <w:jc w:val="both"/>
        <w:rPr/>
      </w:pPr>
      <w:r>
        <w:rPr/>
        <w:t>“</w:t>
      </w:r>
      <w:r>
        <w:rPr>
          <w:rFonts w:ascii="Times New Roman;serif" w:hAnsi="Times New Roman;serif"/>
          <w:b w:val="false"/>
          <w:sz w:val="24"/>
          <w:u w:val="single"/>
        </w:rPr>
        <w:t>Affiliate</w:t>
      </w:r>
      <w:r>
        <w:rPr>
          <w:rFonts w:ascii="Times New Roman" w:hAnsi="Times New Roman"/>
          <w:sz w:val="20"/>
        </w:rPr>
        <w:t xml:space="preserve">” </w:t>
      </w:r>
      <w:r>
        <w:rPr>
          <w:rFonts w:ascii="Times New Roman;serif" w:hAnsi="Times New Roman;serif"/>
          <w:b w:val="false"/>
          <w:sz w:val="24"/>
        </w:rPr>
        <w:t>means, with respect to a specified Person at any time, another Person that directly, or indirectly through one or more intermediaries, Controls or is Controlled by or is under common Control with the Person specified at such time.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pStyle w:val="TextBody"/>
        <w:bidi w:val="0"/>
        <w:spacing w:before="0" w:after="240"/>
        <w:jc w:val="both"/>
        <w:rPr/>
      </w:pPr>
      <w:r>
        <w:rPr/>
        <w:t>“</w:t>
      </w:r>
      <w:r>
        <w:rPr>
          <w:rFonts w:ascii="Times New Roman;serif" w:hAnsi="Times New Roman;serif"/>
          <w:b w:val="false"/>
          <w:sz w:val="24"/>
          <w:u w:val="single"/>
        </w:rPr>
        <w:t>Affiliate Agreements</w:t>
      </w:r>
      <w:r>
        <w:rPr>
          <w:rFonts w:ascii="Times New Roman" w:hAnsi="Times New Roman"/>
          <w:sz w:val="20"/>
        </w:rPr>
        <w:t xml:space="preserve">” </w:t>
      </w:r>
      <w:r>
        <w:rPr>
          <w:rFonts w:ascii="Times New Roman;serif" w:hAnsi="Times New Roman;serif"/>
          <w:b w:val="false"/>
          <w:sz w:val="24"/>
        </w:rPr>
        <w:t>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Agreed Foreign Currency</w:t>
      </w:r>
      <w:r>
        <w:rPr>
          <w:rFonts w:ascii="Times New Roman" w:hAnsi="Times New Roman"/>
          <w:sz w:val="20"/>
        </w:rPr>
        <w:t xml:space="preserve">” </w:t>
      </w:r>
      <w:r>
        <w:rPr>
          <w:rFonts w:ascii="Times New Roman;serif" w:hAnsi="Times New Roman;serif"/>
          <w:b w:val="false"/>
          <w:sz w:val="24"/>
        </w:rPr>
        <w:t>means, at any time, (i) any of Canadian Dollars, Sterling, Euros, Japanese Yen, Australian Dollars, Swiss Francs, Swedish Krona and New Zealand Dollars, and (ii) with the agreement of each Multicurrency Lender, any other Foreign Currency, so long as, in respect of any such specified Foreign Currency or other Foreign Currency, at such time (a) such Foreign Currency is freely transferable and convertible into Dollars in the relevant local market, and (b)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pStyle w:val="TextBody"/>
        <w:bidi w:val="0"/>
        <w:spacing w:before="0" w:after="240"/>
        <w:jc w:val="both"/>
        <w:rPr/>
      </w:pPr>
      <w:r>
        <w:rPr/>
        <w:t>“</w:t>
      </w:r>
      <w:r>
        <w:rPr>
          <w:rFonts w:ascii="Times New Roman;serif" w:hAnsi="Times New Roman;serif"/>
          <w:b w:val="false"/>
          <w:sz w:val="24"/>
          <w:u w:val="single"/>
        </w:rPr>
        <w:t>Agreement</w:t>
      </w:r>
      <w:r>
        <w:rPr>
          <w:rFonts w:ascii="Times New Roman" w:hAnsi="Times New Roman"/>
          <w:sz w:val="20"/>
        </w:rPr>
        <w:t xml:space="preserve">” </w:t>
      </w:r>
      <w:r>
        <w:rPr>
          <w:rFonts w:ascii="Times New Roman;serif" w:hAnsi="Times New Roman;serif"/>
          <w:b w:val="false"/>
          <w:sz w:val="24"/>
        </w:rPr>
        <w:t xml:space="preserve">has the meaning assigned to such term in the </w:t>
      </w:r>
      <w:r>
        <w:rPr>
          <w:rFonts w:ascii="Times New Roman;serif" w:hAnsi="Times New Roman;serif"/>
          <w:b w:val="false"/>
          <w:sz w:val="24"/>
          <w:u w:val="single"/>
        </w:rPr>
        <w:t>preamble</w:t>
      </w:r>
      <w:r>
        <w:rPr>
          <w:rFonts w:ascii="Times New Roman" w:hAnsi="Times New Roman"/>
          <w:sz w:val="20"/>
        </w:rPr>
        <w:t xml:space="preserve"> </w:t>
      </w:r>
      <w:r>
        <w:rPr>
          <w:rFonts w:ascii="Times New Roman;serif" w:hAnsi="Times New Roman;serif"/>
          <w:b w:val="false"/>
          <w:sz w:val="24"/>
        </w:rPr>
        <w:t>to this Agreement.</w:t>
      </w:r>
    </w:p>
    <w:p>
      <w:pPr>
        <w:pStyle w:val="TextBody"/>
        <w:bidi w:val="0"/>
        <w:spacing w:before="0" w:after="240"/>
        <w:jc w:val="both"/>
        <w:rPr/>
      </w:pPr>
      <w:r>
        <w:rPr/>
        <w:t>“</w:t>
      </w:r>
      <w:r>
        <w:rPr>
          <w:rFonts w:ascii="Times New Roman;serif" w:hAnsi="Times New Roman;serif"/>
          <w:b w:val="false"/>
          <w:sz w:val="24"/>
          <w:u w:val="single"/>
        </w:rPr>
        <w:t>Alternate Base Rate</w:t>
      </w:r>
      <w:r>
        <w:rPr>
          <w:rFonts w:ascii="Times New Roman" w:hAnsi="Times New Roman"/>
          <w:sz w:val="20"/>
        </w:rPr>
        <w:t xml:space="preserve">” </w:t>
      </w:r>
      <w:r>
        <w:rPr>
          <w:rFonts w:ascii="Times New Roman;serif" w:hAnsi="Times New Roman;serif"/>
          <w:b w:val="false"/>
          <w:sz w:val="24"/>
        </w:rPr>
        <w:t xml:space="preserve">means, for any day, a rate per annum equal to the greater of (a) zero and (b) the highest of (i) the Prime Rate in effect on such day, (ii) the Federal Funds Effective Rate for such day </w:t>
      </w:r>
      <w:r>
        <w:rPr>
          <w:rFonts w:ascii="Times New Roman;serif" w:hAnsi="Times New Roman;serif"/>
          <w:b w:val="false"/>
          <w:sz w:val="24"/>
          <w:u w:val="single"/>
        </w:rPr>
        <w:t>plus</w:t>
      </w:r>
      <w:r>
        <w:rPr>
          <w:rFonts w:ascii="Times New Roman" w:hAnsi="Times New Roman"/>
          <w:sz w:val="20"/>
        </w:rPr>
        <w:t xml:space="preserve"> </w:t>
      </w:r>
      <w:r>
        <w:rPr>
          <w:rFonts w:ascii="Times New Roman;serif" w:hAnsi="Times New Roman;serif"/>
          <w:b w:val="false"/>
          <w:sz w:val="24"/>
        </w:rPr>
        <w:t xml:space="preserve">1/2 of 1% and (iii) the rate per annum equal to 1% </w:t>
      </w:r>
      <w:r>
        <w:rPr>
          <w:rFonts w:ascii="Times New Roman;serif" w:hAnsi="Times New Roman;serif"/>
          <w:b w:val="false"/>
          <w:sz w:val="24"/>
          <w:u w:val="single"/>
        </w:rPr>
        <w:t>plus</w:t>
      </w:r>
      <w:r>
        <w:rPr>
          <w:rFonts w:ascii="Times New Roman" w:hAnsi="Times New Roman"/>
          <w:sz w:val="20"/>
        </w:rPr>
        <w:t xml:space="preserve"> </w:t>
      </w:r>
      <w:r>
        <w:rPr>
          <w:rFonts w:ascii="Times New Roman;serif" w:hAnsi="Times New Roman;serif"/>
          <w:b w:val="false"/>
          <w:sz w:val="24"/>
        </w:rPr>
        <w:t>Term SOFR for an interest period of one (1) month for such day.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thereof), respectively.</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Applicable Dollar Percentage</w:t>
      </w:r>
      <w:r>
        <w:rPr>
          <w:rFonts w:ascii="Times New Roman" w:hAnsi="Times New Roman"/>
          <w:sz w:val="20"/>
        </w:rPr>
        <w:t xml:space="preserve">” </w:t>
      </w:r>
      <w:r>
        <w:rPr>
          <w:rFonts w:ascii="Times New Roman;serif" w:hAnsi="Times New Roman;serif"/>
          <w:b w:val="false"/>
          <w:sz w:val="24"/>
        </w:rPr>
        <w:t xml:space="preserve">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for the avoidance of doubt, on and after the Non-Extended Commitment Termination Date for any Non-Extending Lender, the Applicable Dollar Percentage of such Non-Extending Lender that is a Dollar Lender shall be 0%.</w:t>
      </w:r>
    </w:p>
    <w:p>
      <w:pPr>
        <w:pStyle w:val="TextBody"/>
        <w:bidi w:val="0"/>
        <w:spacing w:before="0" w:after="240"/>
        <w:jc w:val="both"/>
        <w:rPr/>
      </w:pPr>
      <w:r>
        <w:rPr/>
        <w:t>“</w:t>
      </w:r>
      <w:r>
        <w:rPr>
          <w:rFonts w:ascii="Times New Roman;serif" w:hAnsi="Times New Roman;serif"/>
          <w:b w:val="false"/>
          <w:sz w:val="24"/>
          <w:u w:val="single"/>
        </w:rPr>
        <w:t>Applicable Financial Statements</w:t>
      </w:r>
      <w:r>
        <w:rPr>
          <w:rFonts w:ascii="Times New Roman" w:hAnsi="Times New Roman"/>
          <w:sz w:val="20"/>
        </w:rPr>
        <w:t xml:space="preserve">” </w:t>
      </w:r>
      <w:r>
        <w:rPr>
          <w:rFonts w:ascii="Times New Roman;serif" w:hAnsi="Times New Roman;serif"/>
          <w:b w:val="false"/>
          <w:sz w:val="24"/>
        </w:rPr>
        <w:t xml:space="preserve">means, as at any date, the most-recent audited financial statements of the Borrower delivered to the Lenders;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if immediately prior to the delivery to the Lenders of new audited financial statements of the Borrower a Material Adverse Change (the “</w:t>
      </w:r>
      <w:r>
        <w:rPr>
          <w:rFonts w:ascii="Times New Roman;serif" w:hAnsi="Times New Roman;serif"/>
          <w:b w:val="false"/>
          <w:sz w:val="24"/>
          <w:u w:val="single"/>
        </w:rPr>
        <w:t>Pre-existing MAC</w:t>
      </w:r>
      <w:r>
        <w:rPr>
          <w:rFonts w:ascii="Times New Roman" w:hAnsi="Times New Roman"/>
          <w:sz w:val="20"/>
        </w:rPr>
        <w:t>”</w:t>
      </w:r>
      <w:r>
        <w:rPr>
          <w:rFonts w:ascii="Times New Roman;serif" w:hAnsi="Times New Roman;serif"/>
          <w:b w:val="false"/>
          <w:sz w:val="24"/>
        </w:rPr>
        <w:t>) shall exist (regardless of when it occurred), then the “Applicable Financial Statements” as at said date means the Applicable Financial Statements in effect immediately prior to such delivery until such time as the Pre-existing MAC shall no longer exist.</w:t>
      </w:r>
    </w:p>
    <w:p>
      <w:pPr>
        <w:pStyle w:val="TextBody"/>
        <w:bidi w:val="0"/>
        <w:spacing w:before="0" w:after="240"/>
        <w:jc w:val="both"/>
        <w:rPr/>
      </w:pPr>
      <w:r>
        <w:rPr/>
        <w:t>“</w:t>
      </w:r>
      <w:r>
        <w:rPr>
          <w:rFonts w:ascii="Times New Roman;serif" w:hAnsi="Times New Roman;serif"/>
          <w:b w:val="false"/>
          <w:sz w:val="24"/>
          <w:u w:val="single"/>
        </w:rPr>
        <w:t>Applicable Multicurrency Percentage</w:t>
      </w:r>
      <w:r>
        <w:rPr>
          <w:rFonts w:ascii="Times New Roman" w:hAnsi="Times New Roman"/>
          <w:sz w:val="20"/>
        </w:rPr>
        <w:t xml:space="preserve">” </w:t>
      </w:r>
      <w:r>
        <w:rPr>
          <w:rFonts w:ascii="Times New Roman;serif" w:hAnsi="Times New Roman;serif"/>
          <w:b w:val="false"/>
          <w:sz w:val="24"/>
        </w:rPr>
        <w:t xml:space="preserve">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for the avoidance of doubt, on and after the Non-Extended Commitment</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Termination Date for any Non-Extending Lender, the Applicable Multicurrency Percentage of such Non-Extending Lender that is a Multicurrency Lender shall be 0%.</w:t>
      </w:r>
    </w:p>
    <w:p>
      <w:pPr>
        <w:pStyle w:val="TextBody"/>
        <w:bidi w:val="0"/>
        <w:spacing w:before="0" w:after="240"/>
        <w:jc w:val="both"/>
        <w:rPr/>
      </w:pPr>
      <w:r>
        <w:rPr/>
        <w:t>“</w:t>
      </w:r>
      <w:r>
        <w:rPr>
          <w:rFonts w:ascii="Times New Roman;serif" w:hAnsi="Times New Roman;serif"/>
          <w:b w:val="false"/>
          <w:sz w:val="24"/>
          <w:u w:val="single"/>
        </w:rPr>
        <w:t>Applicable Percentage</w:t>
      </w:r>
      <w:r>
        <w:rPr>
          <w:rFonts w:ascii="Times New Roman" w:hAnsi="Times New Roman"/>
          <w:sz w:val="20"/>
        </w:rPr>
        <w:t xml:space="preserve">” </w:t>
      </w:r>
      <w:r>
        <w:rPr>
          <w:rFonts w:ascii="Times New Roman;serif" w:hAnsi="Times New Roman;serif"/>
          <w:b w:val="false"/>
          <w:sz w:val="24"/>
        </w:rPr>
        <w:t xml:space="preserve">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for the avoidance of doubt, on and after the Non-Extended Commitment Termination Date for any Non-Extending Lender, the Applicable Percentage of such Non-Extending Lender shall be 0%.</w:t>
      </w:r>
    </w:p>
    <w:p>
      <w:pPr>
        <w:pStyle w:val="TextBody"/>
        <w:bidi w:val="0"/>
        <w:spacing w:before="0" w:after="240"/>
        <w:jc w:val="both"/>
        <w:rPr/>
      </w:pPr>
      <w:r>
        <w:rPr/>
        <w:t>“</w:t>
      </w:r>
      <w:r>
        <w:rPr>
          <w:rFonts w:ascii="Times New Roman;serif" w:hAnsi="Times New Roman;serif"/>
          <w:b w:val="false"/>
          <w:sz w:val="24"/>
          <w:u w:val="single"/>
        </w:rPr>
        <w:t>Approved Dealer</w:t>
      </w:r>
      <w:r>
        <w:rPr>
          <w:rFonts w:ascii="Times New Roman" w:hAnsi="Times New Roman"/>
          <w:sz w:val="20"/>
        </w:rPr>
        <w:t xml:space="preserve">” </w:t>
      </w:r>
      <w:r>
        <w:rPr>
          <w:rFonts w:ascii="Times New Roman;serif" w:hAnsi="Times New Roman;serif"/>
          <w:b w:val="false"/>
          <w:sz w:val="24"/>
        </w:rPr>
        <w:t xml:space="preserve">means (a) in the case of any Portfolio Investment that is not a U.S. Government Security, a bank or a broker-dealer registered under the Securities Exchange Act of 1934, as amended, of nationally recognized standing or an Affiliate thereof, (b) in the case of a U.S. Government Security, any primary dealer in U.S. Government Securities, and (c) in the case of any foreign Portfolio Investment, any foreign bank or broker-dealer of internationally recognized standing or an Affiliate thereof, in the case of each of </w:t>
      </w:r>
      <w:r>
        <w:rPr>
          <w:rFonts w:ascii="Times New Roman;serif" w:hAnsi="Times New Roman;serif"/>
          <w:b w:val="false"/>
          <w:sz w:val="24"/>
          <w:u w:val="single"/>
        </w:rPr>
        <w:t>clauses (a)</w:t>
      </w:r>
      <w:r>
        <w:rPr>
          <w:rFonts w:ascii="Times New Roman;serif" w:hAnsi="Times New Roman;serif"/>
          <w:b w:val="false"/>
          <w:sz w:val="24"/>
        </w:rPr>
        <w:t xml:space="preserve">, </w:t>
      </w:r>
      <w:r>
        <w:rPr>
          <w:rFonts w:ascii="Times New Roman;serif" w:hAnsi="Times New Roman;serif"/>
          <w:b w:val="false"/>
          <w:sz w:val="24"/>
          <w:u w:val="single"/>
        </w:rPr>
        <w:t>(b)</w:t>
      </w:r>
      <w:r>
        <w:rPr>
          <w:rFonts w:ascii="Times New Roman" w:hAnsi="Times New Roman"/>
          <w:sz w:val="20"/>
        </w:rPr>
        <w:t xml:space="preserve"> </w:t>
      </w:r>
      <w:r>
        <w:rPr>
          <w:rFonts w:ascii="Times New Roman;serif" w:hAnsi="Times New Roman;serif"/>
          <w:b w:val="false"/>
          <w:sz w:val="24"/>
        </w:rPr>
        <w:t xml:space="preserve">and </w:t>
      </w:r>
      <w:r>
        <w:rPr>
          <w:rFonts w:ascii="Times New Roman;serif" w:hAnsi="Times New Roman;serif"/>
          <w:b w:val="false"/>
          <w:sz w:val="24"/>
          <w:u w:val="single"/>
        </w:rPr>
        <w:t>(c)</w:t>
      </w:r>
      <w:r>
        <w:rPr>
          <w:rFonts w:ascii="Times New Roman" w:hAnsi="Times New Roman"/>
          <w:sz w:val="20"/>
        </w:rPr>
        <w:t xml:space="preserve"> </w:t>
      </w:r>
      <w:r>
        <w:rPr>
          <w:rFonts w:ascii="Times New Roman;serif" w:hAnsi="Times New Roman;serif"/>
          <w:b w:val="false"/>
          <w:sz w:val="24"/>
        </w:rPr>
        <w:t xml:space="preserve">above, as set forth on </w:t>
      </w:r>
      <w:r>
        <w:rPr>
          <w:rFonts w:ascii="Times New Roman;serif" w:hAnsi="Times New Roman;serif"/>
          <w:b w:val="false"/>
          <w:sz w:val="24"/>
          <w:u w:val="single"/>
        </w:rPr>
        <w:t>Schedule 1.01(a)</w:t>
      </w:r>
      <w:r>
        <w:rPr>
          <w:rFonts w:ascii="Times New Roman" w:hAnsi="Times New Roman"/>
          <w:sz w:val="20"/>
        </w:rPr>
        <w:t xml:space="preserve"> </w:t>
      </w:r>
      <w:r>
        <w:rPr>
          <w:rFonts w:ascii="Times New Roman;serif" w:hAnsi="Times New Roman;serif"/>
          <w:b w:val="false"/>
          <w:sz w:val="24"/>
        </w:rPr>
        <w:t>or any other bank or broker-dealer or Affiliate thereof acceptable to the Administrative Agent in its reasonable determination.</w:t>
      </w:r>
    </w:p>
    <w:p>
      <w:pPr>
        <w:pStyle w:val="TextBody"/>
        <w:bidi w:val="0"/>
        <w:spacing w:before="0" w:after="240"/>
        <w:jc w:val="both"/>
        <w:rPr/>
      </w:pPr>
      <w:r>
        <w:rPr/>
        <w:t>“</w:t>
      </w:r>
      <w:r>
        <w:rPr>
          <w:rFonts w:ascii="Times New Roman;serif" w:hAnsi="Times New Roman;serif"/>
          <w:b w:val="false"/>
          <w:sz w:val="24"/>
          <w:u w:val="single"/>
        </w:rPr>
        <w:t>Approved Pricing Service</w:t>
      </w:r>
      <w:r>
        <w:rPr>
          <w:rFonts w:ascii="Times New Roman" w:hAnsi="Times New Roman"/>
          <w:sz w:val="20"/>
        </w:rPr>
        <w:t xml:space="preserve">” </w:t>
      </w:r>
      <w:r>
        <w:rPr>
          <w:rFonts w:ascii="Times New Roman;serif" w:hAnsi="Times New Roman;serif"/>
          <w:b w:val="false"/>
          <w:sz w:val="24"/>
        </w:rPr>
        <w:t xml:space="preserve">means a pricing or quotation service as set forth in </w:t>
      </w:r>
      <w:r>
        <w:rPr>
          <w:rFonts w:ascii="Times New Roman;serif" w:hAnsi="Times New Roman;serif"/>
          <w:b w:val="false"/>
          <w:sz w:val="24"/>
          <w:u w:val="single"/>
        </w:rPr>
        <w:t>Schedule 1.01(a)</w:t>
      </w:r>
      <w:r>
        <w:rPr>
          <w:rFonts w:ascii="Times New Roman" w:hAnsi="Times New Roman"/>
          <w:sz w:val="20"/>
        </w:rPr>
        <w:t xml:space="preserve"> </w:t>
      </w:r>
      <w:r>
        <w:rPr>
          <w:rFonts w:ascii="Times New Roman;serif" w:hAnsi="Times New Roman;serif"/>
          <w:b w:val="false"/>
          <w:sz w:val="24"/>
        </w:rPr>
        <w:t>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pStyle w:val="TextBody"/>
        <w:bidi w:val="0"/>
        <w:spacing w:before="0" w:after="240"/>
        <w:jc w:val="both"/>
        <w:rPr/>
      </w:pPr>
      <w:r>
        <w:rPr/>
        <w:t>“</w:t>
      </w:r>
      <w:r>
        <w:rPr>
          <w:rFonts w:ascii="Times New Roman;serif" w:hAnsi="Times New Roman;serif"/>
          <w:b w:val="false"/>
          <w:sz w:val="24"/>
          <w:u w:val="single"/>
        </w:rPr>
        <w:t>Approved Third-Party Appraiser</w:t>
      </w:r>
      <w:r>
        <w:rPr>
          <w:rFonts w:ascii="Times New Roman" w:hAnsi="Times New Roman"/>
          <w:sz w:val="20"/>
        </w:rPr>
        <w:t xml:space="preserve">” </w:t>
      </w:r>
      <w:r>
        <w:rPr>
          <w:rFonts w:ascii="Times New Roman;serif" w:hAnsi="Times New Roman;serif"/>
          <w:b w:val="false"/>
          <w:sz w:val="24"/>
        </w:rPr>
        <w:t xml:space="preserve">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Times New Roman;serif" w:hAnsi="Times New Roman;serif"/>
          <w:b w:val="false"/>
          <w:sz w:val="24"/>
          <w:u w:val="single"/>
        </w:rPr>
        <w:t>Section 5.12</w:t>
      </w:r>
      <w:r>
        <w:rPr>
          <w:rFonts w:ascii="Times New Roman" w:hAnsi="Times New Roman"/>
          <w:sz w:val="20"/>
        </w:rPr>
        <w:t xml:space="preserve"> </w:t>
      </w:r>
      <w:r>
        <w:rPr>
          <w:rFonts w:ascii="Times New Roman;serif" w:hAnsi="Times New Roman;serif"/>
          <w:b w:val="false"/>
          <w:sz w:val="24"/>
        </w:rPr>
        <w:t>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pStyle w:val="TextBody"/>
        <w:bidi w:val="0"/>
        <w:spacing w:before="0" w:after="240"/>
        <w:jc w:val="both"/>
        <w:rPr/>
      </w:pPr>
      <w:r>
        <w:rPr/>
        <w:t>“</w:t>
      </w:r>
      <w:r>
        <w:rPr>
          <w:rFonts w:ascii="Times New Roman;serif" w:hAnsi="Times New Roman;serif"/>
          <w:b w:val="false"/>
          <w:sz w:val="24"/>
          <w:u w:val="single"/>
        </w:rPr>
        <w:t>Assignment and Assumption</w:t>
      </w:r>
      <w:r>
        <w:rPr>
          <w:rFonts w:ascii="Times New Roman" w:hAnsi="Times New Roman"/>
          <w:sz w:val="20"/>
        </w:rPr>
        <w:t xml:space="preserve">” </w:t>
      </w:r>
      <w:r>
        <w:rPr>
          <w:rFonts w:ascii="Times New Roman;serif" w:hAnsi="Times New Roman;serif"/>
          <w:b w:val="false"/>
          <w:sz w:val="24"/>
        </w:rPr>
        <w:t xml:space="preserve">means an Assignment and Assumption entered into by a Lender and an assignee (with the consent of any party whose consent is required by </w:t>
      </w:r>
      <w:r>
        <w:rPr>
          <w:rFonts w:ascii="Times New Roman;serif" w:hAnsi="Times New Roman;serif"/>
          <w:b w:val="false"/>
          <w:sz w:val="24"/>
          <w:u w:val="single"/>
        </w:rPr>
        <w:t>Section 9.04</w:t>
      </w:r>
      <w:r>
        <w:rPr>
          <w:rFonts w:ascii="Times New Roman;serif" w:hAnsi="Times New Roman;serif"/>
          <w:b w:val="false"/>
          <w:sz w:val="24"/>
        </w:rPr>
        <w:t xml:space="preserve">), and accepted by the Administrative Agent, in the form of </w:t>
      </w:r>
      <w:r>
        <w:rPr>
          <w:rFonts w:ascii="Times New Roman;serif" w:hAnsi="Times New Roman;serif"/>
          <w:b w:val="false"/>
          <w:sz w:val="24"/>
          <w:u w:val="single"/>
        </w:rPr>
        <w:t>Exhibit A</w:t>
      </w:r>
      <w:r>
        <w:rPr>
          <w:rFonts w:ascii="Times New Roman" w:hAnsi="Times New Roman"/>
          <w:sz w:val="20"/>
        </w:rPr>
        <w:t xml:space="preserve"> </w:t>
      </w:r>
      <w:r>
        <w:rPr>
          <w:rFonts w:ascii="Times New Roman;serif" w:hAnsi="Times New Roman;serif"/>
          <w:b w:val="false"/>
          <w:sz w:val="24"/>
        </w:rPr>
        <w:t>(with adjustments thereto to reflect the Classes of Commitments and/or Loans being assigned or outstanding at the time of the respective assignment) or any other form approved by the Administrative Agent and, so long as no Event of Default has occurred and is continuing, the Borrower.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Assuming Lender</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2.08(e)(i)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ASU</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1.04.</w:t>
      </w:r>
    </w:p>
    <w:p>
      <w:pPr>
        <w:pStyle w:val="TextBody"/>
        <w:bidi w:val="0"/>
        <w:spacing w:before="0" w:after="240"/>
        <w:jc w:val="both"/>
        <w:rPr/>
      </w:pPr>
      <w:r>
        <w:rPr/>
        <w:t>“</w:t>
      </w:r>
      <w:r>
        <w:rPr>
          <w:rFonts w:ascii="Times New Roman;serif" w:hAnsi="Times New Roman;serif"/>
          <w:b w:val="false"/>
          <w:sz w:val="24"/>
          <w:u w:val="single"/>
        </w:rPr>
        <w:t>Australian Dollars</w:t>
      </w:r>
      <w:r>
        <w:rPr>
          <w:rFonts w:ascii="Times New Roman" w:hAnsi="Times New Roman"/>
          <w:sz w:val="20"/>
        </w:rPr>
        <w:t xml:space="preserve">” </w:t>
      </w:r>
      <w:r>
        <w:rPr>
          <w:rFonts w:ascii="Times New Roman;serif" w:hAnsi="Times New Roman;serif"/>
          <w:b w:val="false"/>
          <w:sz w:val="24"/>
        </w:rPr>
        <w:t>means the lawful currency of The Commonwealth of Australia.</w:t>
      </w:r>
    </w:p>
    <w:p>
      <w:pPr>
        <w:pStyle w:val="TextBody"/>
        <w:bidi w:val="0"/>
        <w:spacing w:before="0" w:after="240"/>
        <w:jc w:val="both"/>
        <w:rPr/>
      </w:pPr>
      <w:r>
        <w:rPr/>
        <w:t>“</w:t>
      </w:r>
      <w:r>
        <w:rPr>
          <w:rFonts w:ascii="Times New Roman;serif" w:hAnsi="Times New Roman;serif"/>
          <w:b w:val="false"/>
          <w:sz w:val="24"/>
          <w:u w:val="single"/>
        </w:rPr>
        <w:t>Availability Period</w:t>
      </w:r>
      <w:r>
        <w:rPr>
          <w:rFonts w:ascii="Times New Roman" w:hAnsi="Times New Roman"/>
          <w:sz w:val="20"/>
        </w:rPr>
        <w:t xml:space="preserve">” </w:t>
      </w:r>
      <w:r>
        <w:rPr>
          <w:rFonts w:ascii="Times New Roman;serif" w:hAnsi="Times New Roman;serif"/>
          <w:b w:val="false"/>
          <w:sz w:val="24"/>
        </w:rPr>
        <w:t>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 as applicable.</w:t>
      </w:r>
    </w:p>
    <w:p>
      <w:pPr>
        <w:pStyle w:val="TextBody"/>
        <w:bidi w:val="0"/>
        <w:spacing w:before="0" w:after="240"/>
        <w:jc w:val="both"/>
        <w:rPr/>
      </w:pPr>
      <w:r>
        <w:rPr/>
        <w:t>“</w:t>
      </w:r>
      <w:r>
        <w:rPr>
          <w:rFonts w:ascii="Times New Roman;serif" w:hAnsi="Times New Roman;serif"/>
          <w:b w:val="false"/>
          <w:sz w:val="24"/>
          <w:u w:val="single"/>
        </w:rPr>
        <w:t>Available Tenor</w:t>
      </w:r>
      <w:r>
        <w:rPr>
          <w:rFonts w:ascii="Times New Roman" w:hAnsi="Times New Roman"/>
          <w:sz w:val="20"/>
        </w:rPr>
        <w:t xml:space="preserve">” </w:t>
      </w:r>
      <w:r>
        <w:rPr>
          <w:rFonts w:ascii="Times New Roman;serif" w:hAnsi="Times New Roman;serif"/>
          <w:b w:val="false"/>
          <w:sz w:val="24"/>
        </w:rPr>
        <w:t xml:space="preserve">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serif" w:hAnsi="Times New Roman;serif"/>
          <w:b w:val="false"/>
          <w:sz w:val="24"/>
          <w:u w:val="single"/>
        </w:rPr>
        <w:t>Section 2.21(d)</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Bail-In Action</w:t>
      </w:r>
      <w:r>
        <w:rPr>
          <w:rFonts w:ascii="Times New Roman" w:hAnsi="Times New Roman"/>
          <w:sz w:val="20"/>
        </w:rPr>
        <w:t xml:space="preserve">” </w:t>
      </w:r>
      <w:r>
        <w:rPr>
          <w:rFonts w:ascii="Times New Roman;serif" w:hAnsi="Times New Roman;serif"/>
          <w:b w:val="false"/>
          <w:sz w:val="24"/>
        </w:rPr>
        <w:t>means the exercise of any Write-Down and Conversion Powers by the applicable Resolution Authority in respect of any liability of an Affected Financial Institution.</w:t>
      </w:r>
    </w:p>
    <w:p>
      <w:pPr>
        <w:pStyle w:val="TextBody"/>
        <w:bidi w:val="0"/>
        <w:spacing w:before="0" w:after="240"/>
        <w:jc w:val="both"/>
        <w:rPr/>
      </w:pPr>
      <w:r>
        <w:rPr/>
        <w:t>“</w:t>
      </w:r>
      <w:r>
        <w:rPr>
          <w:rFonts w:ascii="Times New Roman;serif" w:hAnsi="Times New Roman;serif"/>
          <w:b w:val="false"/>
          <w:sz w:val="24"/>
          <w:u w:val="single"/>
        </w:rPr>
        <w:t>Bail-In Legislation</w:t>
      </w:r>
      <w:r>
        <w:rPr>
          <w:rFonts w:ascii="Times New Roman" w:hAnsi="Times New Roman"/>
          <w:sz w:val="20"/>
        </w:rPr>
        <w:t xml:space="preserve">” </w:t>
      </w:r>
      <w:r>
        <w:rPr>
          <w:rFonts w:ascii="Times New Roman;serif" w:hAnsi="Times New Roman;serif"/>
          <w:b w:val="false"/>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t>“</w:t>
      </w:r>
      <w:r>
        <w:rPr>
          <w:rFonts w:ascii="Times New Roman;serif" w:hAnsi="Times New Roman;serif"/>
          <w:b w:val="false"/>
          <w:sz w:val="24"/>
          <w:u w:val="single"/>
        </w:rPr>
        <w:t>Base Rate Term SOFR Determination Day</w:t>
      </w:r>
      <w:r>
        <w:rPr>
          <w:rFonts w:ascii="Times New Roman" w:hAnsi="Times New Roman"/>
          <w:sz w:val="20"/>
        </w:rPr>
        <w:t xml:space="preserve">” </w:t>
      </w:r>
      <w:r>
        <w:rPr>
          <w:rFonts w:ascii="Times New Roman;serif" w:hAnsi="Times New Roman;serif"/>
          <w:b w:val="false"/>
          <w:sz w:val="24"/>
        </w:rPr>
        <w:t>has the meaning set forth in the definition of “Term SOFR”.</w:t>
      </w:r>
    </w:p>
    <w:p>
      <w:pPr>
        <w:pStyle w:val="TextBody"/>
        <w:bidi w:val="0"/>
        <w:spacing w:before="0" w:after="240"/>
        <w:jc w:val="both"/>
        <w:rPr/>
      </w:pPr>
      <w:r>
        <w:rPr/>
        <w:t>“</w:t>
      </w:r>
      <w:r>
        <w:rPr>
          <w:rFonts w:ascii="Times New Roman;serif" w:hAnsi="Times New Roman;serif"/>
          <w:b w:val="false"/>
          <w:sz w:val="24"/>
          <w:u w:val="single"/>
        </w:rPr>
        <w:t>Benchmark</w:t>
      </w:r>
      <w:r>
        <w:rPr>
          <w:rFonts w:ascii="Times New Roman" w:hAnsi="Times New Roman"/>
          <w:sz w:val="20"/>
        </w:rPr>
        <w:t xml:space="preserve">” </w:t>
      </w:r>
      <w:r>
        <w:rPr>
          <w:rFonts w:ascii="Times New Roman;serif" w:hAnsi="Times New Roman;serif"/>
          <w:b w:val="false"/>
          <w:sz w:val="24"/>
        </w:rPr>
        <w:t xml:space="preserve">means, initially, with respect to any Loans denominated in (a) Dollars, the Term SOFR Reference Rate, (b) Sterling or Swiss Francs, the Daily Simple RFR for such Currency, and (c) any other Agreed Foreign Currency, the Adjusted Term Benchmark Rate for such Currency;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if a Benchmark Transition Event or an Other Benchmark Rate Election and its related Benchmark Replacement Date have occurred with respect to the Term SOFR Reference Rate, the Daily Simple RFR or the Adjusted Term Benchmark Rate for such Currency or the then current Benchmark, as applicable, then “Benchmark” shall mean the applicable Benchmark Replacement for such Currency to the extent that such Benchmark Replacement has replaced such prior benchmark rate pursuant to clause (a) of </w:t>
      </w:r>
      <w:r>
        <w:rPr>
          <w:rFonts w:ascii="Times New Roman;serif" w:hAnsi="Times New Roman;serif"/>
          <w:b w:val="false"/>
          <w:sz w:val="24"/>
          <w:u w:val="single"/>
        </w:rPr>
        <w:t>Section 2.21</w:t>
      </w:r>
      <w:r>
        <w:rPr>
          <w:rFonts w:ascii="Times New Roman;serif" w:hAnsi="Times New Roman;serif"/>
          <w:b w:val="false"/>
          <w:sz w:val="24"/>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Benchmark Replacement</w:t>
      </w:r>
      <w:r>
        <w:rPr>
          <w:rFonts w:ascii="Times New Roman" w:hAnsi="Times New Roman"/>
          <w:sz w:val="20"/>
        </w:rPr>
        <w:t xml:space="preserve">” </w:t>
      </w:r>
      <w:r>
        <w:rPr>
          <w:rFonts w:ascii="Times New Roman;serif" w:hAnsi="Times New Roman;serif"/>
          <w:b w:val="false"/>
          <w:sz w:val="24"/>
        </w:rPr>
        <w:t>means, with respect to any Benchmark Transition Event for any then-current Benchmark or Other Benchmark Rate Election, the first alternative set forth in the order below that can be determined by the Administrative Agent for the applicable Benchmark Replacement Date; provided that, other than in the case of the replacement of the Term SOFR Reference Rate, but including in connection with any Other Benchmark Rate Election, such alternative shall be the alternative set forth in clause (2) below:</w:t>
      </w:r>
    </w:p>
    <w:p>
      <w:pPr>
        <w:pStyle w:val="TextBody"/>
        <w:bidi w:val="0"/>
        <w:spacing w:before="0" w:after="240"/>
        <w:jc w:val="both"/>
        <w:rPr>
          <w:rFonts w:ascii="Times New Roman" w:hAnsi="Times New Roman"/>
          <w:sz w:val="20"/>
        </w:rPr>
      </w:pPr>
      <w:r>
        <w:rPr>
          <w:rFonts w:ascii="Times New Roman;serif" w:hAnsi="Times New Roman;serif"/>
          <w:b w:val="false"/>
          <w:sz w:val="24"/>
        </w:rPr>
        <w:t>(1) the sum of (i) Daily Simple SOFR and (ii) 0.10%; and</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(2) 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and (b) the related Benchmark Replacement Adjustment.</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the Benchmark Replacement as determined pursuant to clause (1) or (2) of this definition would be less than the Floor, the Benchmark Replacement will be deemed to be the Floor for the purposes of this Agreement and the other Loan Documents.</w:t>
      </w:r>
    </w:p>
    <w:p>
      <w:pPr>
        <w:pStyle w:val="TextBody"/>
        <w:bidi w:val="0"/>
        <w:spacing w:before="0" w:after="240"/>
        <w:jc w:val="both"/>
        <w:rPr/>
      </w:pPr>
      <w:r>
        <w:rPr/>
        <w:t>“</w:t>
      </w:r>
      <w:r>
        <w:rPr>
          <w:rFonts w:ascii="Times New Roman;serif" w:hAnsi="Times New Roman;serif"/>
          <w:b w:val="false"/>
          <w:sz w:val="24"/>
          <w:u w:val="single"/>
        </w:rPr>
        <w:t>Benchmark Replacement Adjustment</w:t>
      </w:r>
      <w:r>
        <w:rPr>
          <w:rFonts w:ascii="Times New Roman" w:hAnsi="Times New Roman"/>
          <w:sz w:val="20"/>
        </w:rPr>
        <w:t xml:space="preserve">” </w:t>
      </w:r>
      <w:r>
        <w:rPr>
          <w:rFonts w:ascii="Times New Roman;serif" w:hAnsi="Times New Roman;serif"/>
          <w:b w:val="false"/>
          <w:sz w:val="24"/>
        </w:rPr>
        <w:t>means, with respect to any replacement of the then-current Benchmark for a Currency with an Unadjusted Benchmark Replacement for any applicable Interest Period and Available Tenor for any such setting of such Unadjusted Benchmark Replacement (excluding, for the avoidance of doubt, Daily Simple SOFR), the spread adjustment, or method for calculating or determining such spread adjustment (which may be a positive or negative value or zero) that has been selected by the Administrative Agent and the Borrower for such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pStyle w:val="TextBody"/>
        <w:bidi w:val="0"/>
        <w:spacing w:before="0" w:after="240"/>
        <w:jc w:val="both"/>
        <w:rPr/>
      </w:pPr>
      <w:r>
        <w:rPr/>
        <w:t>“</w:t>
      </w:r>
      <w:r>
        <w:rPr>
          <w:rFonts w:ascii="Times New Roman;serif" w:hAnsi="Times New Roman;serif"/>
          <w:b w:val="false"/>
          <w:sz w:val="24"/>
          <w:u w:val="single"/>
        </w:rPr>
        <w:t>Benchmark Replacement Date</w:t>
      </w:r>
      <w:r>
        <w:rPr>
          <w:rFonts w:ascii="Times New Roman" w:hAnsi="Times New Roman"/>
          <w:sz w:val="20"/>
        </w:rPr>
        <w:t xml:space="preserve">” </w:t>
      </w:r>
      <w:r>
        <w:rPr>
          <w:rFonts w:ascii="Times New Roman;serif" w:hAnsi="Times New Roman;serif"/>
          <w:b w:val="false"/>
          <w:sz w:val="24"/>
        </w:rPr>
        <w:t>means a date and time determined by the Administrative Agent, which date shall be no later than the earliest to occur of the following events with respect to the then-current Benchmark:</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(1) in the case of clause (1) or (2) of the definition of “Benchmark Transition Event,” the later of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the date of the public statement or publication of information referenced therein; and</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(b) the date on which the administrator of such Benchmark (or the published component used in the calculation thereof) permanently or indefinitely ceases to provide all Available Tenors of such Benchmark (or such component thereof);</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(2) 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such non-representativeness will be determined by reference to the most recent statement or publication referenced in such clause (3) and even if any Available Tenor of such Benchmark (or such component thereof) continues to be provided on such date; or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(3) in the case of an Other Benchmark Rate Election, the fifth (5th) Business Day after the date notice of such Other Benchmark Rate Election is provided to the Lenders, so long as the Administrative Agent has not received, by such time, written notice of objection to such Other Benchmark Rate Election, as applicable, from Lenders comprising the Required Lenders.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For the avoidance of doubt, the “Benchmark Replacement Date” will be deemed to have occurred in the case of clause (1) or (2) of this definition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t>“</w:t>
      </w:r>
      <w:r>
        <w:rPr>
          <w:rFonts w:ascii="Times New Roman;serif" w:hAnsi="Times New Roman;serif"/>
          <w:b w:val="false"/>
          <w:sz w:val="24"/>
          <w:u w:val="single"/>
        </w:rPr>
        <w:t>Benchmark Transition Event</w:t>
      </w:r>
      <w:r>
        <w:rPr>
          <w:rFonts w:ascii="Times New Roman" w:hAnsi="Times New Roman"/>
          <w:sz w:val="20"/>
        </w:rPr>
        <w:t xml:space="preserve">” </w:t>
      </w:r>
      <w:r>
        <w:rPr>
          <w:rFonts w:ascii="Times New Roman;serif" w:hAnsi="Times New Roman;serif"/>
          <w:b w:val="false"/>
          <w:sz w:val="24"/>
        </w:rPr>
        <w:t>means, with respect to any then-current Benchmark, the occurrence of one or more of the following events with respect to such Benchmark:</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(2) a public statement or publication of information by the regulatory supervisor for the administrator of such Benchmark (or the published component used in the calculation thereof), the Board or the Federal Reserve Bank of New York, as applicable, the central bank for the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at the time of such statement or publication, there is no successor administrator that will continue to provide any Available Tenor of such Benchmark (or such component thereof); or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(3) 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t>“</w:t>
      </w:r>
      <w:r>
        <w:rPr>
          <w:rFonts w:ascii="Times New Roman;serif" w:hAnsi="Times New Roman;serif"/>
          <w:b w:val="false"/>
          <w:sz w:val="24"/>
          <w:u w:val="single"/>
        </w:rPr>
        <w:t>Benchmark Unavailability Period</w:t>
      </w:r>
      <w:r>
        <w:rPr>
          <w:rFonts w:ascii="Times New Roman" w:hAnsi="Times New Roman"/>
          <w:sz w:val="20"/>
        </w:rPr>
        <w:t xml:space="preserve">” </w:t>
      </w:r>
      <w:r>
        <w:rPr>
          <w:rFonts w:ascii="Times New Roman;serif" w:hAnsi="Times New Roman;serif"/>
          <w:b w:val="false"/>
          <w:sz w:val="24"/>
        </w:rPr>
        <w:t xml:space="preserve">means, with respect to any then-current Benchmark, the period (if any) (x) beginning at the time that a Benchmark Replacement Date has occurred with respect to such Benchmark if, at such time, no Benchmark Replacement has replaced such then-current Benchmark for all purposes hereunder and under any other Loan Document in accordance with </w:t>
      </w:r>
      <w:r>
        <w:rPr>
          <w:rFonts w:ascii="Times New Roman;serif" w:hAnsi="Times New Roman;serif"/>
          <w:b w:val="false"/>
          <w:sz w:val="24"/>
          <w:u w:val="single"/>
        </w:rPr>
        <w:t>Section 2.21</w:t>
      </w:r>
      <w:r>
        <w:rPr>
          <w:rFonts w:ascii="Times New Roman" w:hAnsi="Times New Roman"/>
          <w:sz w:val="20"/>
        </w:rPr>
        <w:t xml:space="preserve"> </w:t>
      </w:r>
      <w:r>
        <w:rPr>
          <w:rFonts w:ascii="Times New Roman;serif" w:hAnsi="Times New Roman;serif"/>
          <w:b w:val="false"/>
          <w:sz w:val="24"/>
        </w:rPr>
        <w:t xml:space="preserve">and (y) ending at the time that a Benchmark Replacement has replaced such then-current Benchmark for all purposes hereunder and under any other Loan Document in accordance with </w:t>
      </w:r>
      <w:r>
        <w:rPr>
          <w:rFonts w:ascii="Times New Roman;serif" w:hAnsi="Times New Roman;serif"/>
          <w:b w:val="false"/>
          <w:sz w:val="24"/>
          <w:u w:val="single"/>
        </w:rPr>
        <w:t>Section 2.21</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Benefit Plan</w:t>
      </w:r>
      <w:r>
        <w:rPr>
          <w:rFonts w:ascii="Times New Roman" w:hAnsi="Times New Roman"/>
          <w:sz w:val="20"/>
        </w:rPr>
        <w:t xml:space="preserve">” </w:t>
      </w:r>
      <w:r>
        <w:rPr>
          <w:rFonts w:ascii="Times New Roman;serif" w:hAnsi="Times New Roman;serif"/>
          <w:b w:val="false"/>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both"/>
        <w:rPr/>
      </w:pPr>
      <w:r>
        <w:rPr/>
        <w:t>“</w:t>
      </w:r>
      <w:r>
        <w:rPr>
          <w:rFonts w:ascii="Times New Roman;serif" w:hAnsi="Times New Roman;serif"/>
          <w:b w:val="false"/>
          <w:sz w:val="24"/>
          <w:u w:val="single"/>
        </w:rPr>
        <w:t>Board</w:t>
      </w:r>
      <w:r>
        <w:rPr>
          <w:rFonts w:ascii="Times New Roman" w:hAnsi="Times New Roman"/>
          <w:sz w:val="20"/>
        </w:rPr>
        <w:t xml:space="preserve">” </w:t>
      </w:r>
      <w:r>
        <w:rPr>
          <w:rFonts w:ascii="Times New Roman;serif" w:hAnsi="Times New Roman;serif"/>
          <w:b w:val="false"/>
          <w:sz w:val="24"/>
        </w:rPr>
        <w:t>means the Board of Governors of the Federal Reserve System of the United States of America (or any successor thereof).</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Borrower</w:t>
      </w:r>
      <w:r>
        <w:rPr>
          <w:rFonts w:ascii="Times New Roman" w:hAnsi="Times New Roman"/>
          <w:sz w:val="20"/>
        </w:rPr>
        <w:t xml:space="preserve">” </w:t>
      </w:r>
      <w:r>
        <w:rPr>
          <w:rFonts w:ascii="Times New Roman;serif" w:hAnsi="Times New Roman;serif"/>
          <w:b w:val="false"/>
          <w:sz w:val="24"/>
        </w:rPr>
        <w:t>has the meaning assigned to such term in the preamble to this Agreement.</w:t>
      </w:r>
    </w:p>
    <w:p>
      <w:pPr>
        <w:pStyle w:val="TextBody"/>
        <w:bidi w:val="0"/>
        <w:spacing w:before="0" w:after="240"/>
        <w:jc w:val="both"/>
        <w:rPr/>
      </w:pPr>
      <w:r>
        <w:rPr/>
        <w:t>“</w:t>
      </w:r>
      <w:r>
        <w:rPr>
          <w:rFonts w:ascii="Times New Roman;serif" w:hAnsi="Times New Roman;serif"/>
          <w:b w:val="false"/>
          <w:sz w:val="24"/>
          <w:u w:val="single"/>
        </w:rPr>
        <w:t>Borrower Asset Coverage Ratio</w:t>
      </w:r>
      <w:r>
        <w:rPr>
          <w:rFonts w:ascii="Times New Roman" w:hAnsi="Times New Roman"/>
          <w:sz w:val="20"/>
        </w:rPr>
        <w:t xml:space="preserve">” </w:t>
      </w:r>
      <w:r>
        <w:rPr>
          <w:rFonts w:ascii="Times New Roman;serif" w:hAnsi="Times New Roman;serif"/>
          <w:b w:val="false"/>
          <w:sz w:val="24"/>
        </w:rPr>
        <w:t>means the ratio, determined for the Obligors, without duplication, of (a) (i) Total Assets minus (ii) Total Assets Concentration Limitation to (b) Total Secured Debt.</w:t>
      </w:r>
    </w:p>
    <w:p>
      <w:pPr>
        <w:pStyle w:val="TextBody"/>
        <w:bidi w:val="0"/>
        <w:spacing w:before="0" w:after="240"/>
        <w:jc w:val="both"/>
        <w:rPr/>
      </w:pPr>
      <w:r>
        <w:rPr/>
        <w:t>“</w:t>
      </w:r>
      <w:r>
        <w:rPr>
          <w:rFonts w:ascii="Times New Roman;serif" w:hAnsi="Times New Roman;serif"/>
          <w:b w:val="false"/>
          <w:sz w:val="24"/>
          <w:u w:val="single"/>
        </w:rPr>
        <w:t>Borrowing</w:t>
      </w:r>
      <w:r>
        <w:rPr>
          <w:rFonts w:ascii="Times New Roman" w:hAnsi="Times New Roman"/>
          <w:sz w:val="20"/>
        </w:rPr>
        <w:t xml:space="preserve">” </w:t>
      </w:r>
      <w:r>
        <w:rPr>
          <w:rFonts w:ascii="Times New Roman;serif" w:hAnsi="Times New Roman;serif"/>
          <w:b w:val="false"/>
          <w:sz w:val="24"/>
        </w:rPr>
        <w:t>means (a) all Syndicated ABR Loans of the same Class made, converted or continued on the same date, (b) all Term Benchmark Loans of the same Class denominated in the same Currency that have the same Interest Period, (c) all RFR Loans of the same Class and Type denominated in the same Currency that have the same Interest Period or (d) a Swingline Loan.</w:t>
      </w:r>
    </w:p>
    <w:p>
      <w:pPr>
        <w:pStyle w:val="TextBody"/>
        <w:bidi w:val="0"/>
        <w:spacing w:before="0" w:after="240"/>
        <w:jc w:val="both"/>
        <w:rPr/>
      </w:pPr>
      <w:r>
        <w:rPr/>
        <w:t>“</w:t>
      </w:r>
      <w:r>
        <w:rPr>
          <w:rFonts w:ascii="Times New Roman;serif" w:hAnsi="Times New Roman;serif"/>
          <w:b w:val="false"/>
          <w:sz w:val="24"/>
          <w:u w:val="single"/>
        </w:rPr>
        <w:t>Borrowing Base</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5.13</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Borrowing Base Certificate</w:t>
      </w:r>
      <w:r>
        <w:rPr>
          <w:rFonts w:ascii="Times New Roman" w:hAnsi="Times New Roman"/>
          <w:sz w:val="20"/>
        </w:rPr>
        <w:t xml:space="preserve">” </w:t>
      </w:r>
      <w:r>
        <w:rPr>
          <w:rFonts w:ascii="Times New Roman;serif" w:hAnsi="Times New Roman;serif"/>
          <w:b w:val="false"/>
          <w:sz w:val="24"/>
        </w:rPr>
        <w:t xml:space="preserve">means a certificate of a Financial Officer of the Borrower, substantially in the form of </w:t>
      </w:r>
      <w:r>
        <w:rPr>
          <w:rFonts w:ascii="Times New Roman;serif" w:hAnsi="Times New Roman;serif"/>
          <w:b w:val="false"/>
          <w:sz w:val="24"/>
          <w:u w:val="single"/>
        </w:rPr>
        <w:t>Exhibit B</w:t>
      </w:r>
      <w:r>
        <w:rPr>
          <w:rFonts w:ascii="Times New Roman" w:hAnsi="Times New Roman"/>
          <w:sz w:val="20"/>
        </w:rPr>
        <w:t xml:space="preserve"> </w:t>
      </w:r>
      <w:r>
        <w:rPr>
          <w:rFonts w:ascii="Times New Roman;serif" w:hAnsi="Times New Roman;serif"/>
          <w:b w:val="false"/>
          <w:sz w:val="24"/>
        </w:rPr>
        <w:t>(or such other form as shall be reasonably satisfactory to the Administrative Agent) and appropriately completed.</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Borrowing Base Deficiency</w:t>
      </w:r>
      <w:r>
        <w:rPr>
          <w:rFonts w:ascii="Times New Roman" w:hAnsi="Times New Roman"/>
          <w:sz w:val="20"/>
        </w:rPr>
        <w:t xml:space="preserve">” </w:t>
      </w:r>
      <w:r>
        <w:rPr>
          <w:rFonts w:ascii="Times New Roman;serif" w:hAnsi="Times New Roman;serif"/>
          <w:b w:val="false"/>
          <w:sz w:val="24"/>
        </w:rPr>
        <w:t>means, at any date on which the same is determined, the amount, if any, that (a) the aggregate Covered Debt Amount as of such date exceeds (b) the Borrowing Base as of such date.</w:t>
      </w:r>
    </w:p>
    <w:p>
      <w:pPr>
        <w:pStyle w:val="TextBody"/>
        <w:bidi w:val="0"/>
        <w:spacing w:before="0" w:after="240"/>
        <w:jc w:val="both"/>
        <w:rPr/>
      </w:pPr>
      <w:r>
        <w:rPr/>
        <w:t>“</w:t>
      </w:r>
      <w:r>
        <w:rPr>
          <w:rFonts w:ascii="Times New Roman;serif" w:hAnsi="Times New Roman;serif"/>
          <w:b w:val="false"/>
          <w:sz w:val="24"/>
          <w:u w:val="single"/>
        </w:rPr>
        <w:t>Borrowing Request</w:t>
      </w:r>
      <w:r>
        <w:rPr>
          <w:rFonts w:ascii="Times New Roman" w:hAnsi="Times New Roman"/>
          <w:sz w:val="20"/>
        </w:rPr>
        <w:t xml:space="preserve">” </w:t>
      </w:r>
      <w:r>
        <w:rPr>
          <w:rFonts w:ascii="Times New Roman;serif" w:hAnsi="Times New Roman;serif"/>
          <w:b w:val="false"/>
          <w:sz w:val="24"/>
        </w:rPr>
        <w:t xml:space="preserve">means a request by the Borrower for a Syndicated Borrowing in accordance with </w:t>
      </w:r>
      <w:r>
        <w:rPr>
          <w:rFonts w:ascii="Times New Roman;serif" w:hAnsi="Times New Roman;serif"/>
          <w:b w:val="false"/>
          <w:sz w:val="24"/>
          <w:u w:val="single"/>
        </w:rPr>
        <w:t>Section 2.03</w:t>
      </w:r>
      <w:r>
        <w:rPr>
          <w:rFonts w:ascii="Times New Roman;serif" w:hAnsi="Times New Roman;serif"/>
          <w:b w:val="false"/>
          <w:sz w:val="24"/>
        </w:rPr>
        <w:t xml:space="preserve">, which, if in writing, shall be substantially in the form of </w:t>
      </w:r>
      <w:r>
        <w:rPr>
          <w:rFonts w:ascii="Times New Roman;serif" w:hAnsi="Times New Roman;serif"/>
          <w:b w:val="false"/>
          <w:sz w:val="24"/>
          <w:u w:val="single"/>
        </w:rPr>
        <w:t>Exhibit C</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Business Day</w:t>
      </w:r>
      <w:r>
        <w:rPr>
          <w:rFonts w:ascii="Times New Roman" w:hAnsi="Times New Roman"/>
          <w:sz w:val="20"/>
        </w:rPr>
        <w:t xml:space="preserve">” </w:t>
      </w:r>
      <w:r>
        <w:rPr>
          <w:rFonts w:ascii="Times New Roman;serif" w:hAnsi="Times New Roman;serif"/>
          <w:b w:val="false"/>
          <w:sz w:val="24"/>
        </w:rPr>
        <w:t>means any day that is not a Saturday, Sunday or other day on which commercial banks in New York City are authorized or required by law to remain closed, provided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 RFR Business Day for such Currency.</w:t>
      </w:r>
    </w:p>
    <w:p>
      <w:pPr>
        <w:pStyle w:val="TextBody"/>
        <w:bidi w:val="0"/>
        <w:spacing w:before="0" w:after="240"/>
        <w:jc w:val="both"/>
        <w:rPr/>
      </w:pPr>
      <w:r>
        <w:rPr/>
        <w:t>“</w:t>
      </w:r>
      <w:r>
        <w:rPr>
          <w:rFonts w:ascii="Times New Roman;serif" w:hAnsi="Times New Roman;serif"/>
          <w:b w:val="false"/>
          <w:sz w:val="24"/>
          <w:u w:val="single"/>
        </w:rPr>
        <w:t>Calculation Amount</w:t>
      </w:r>
      <w:r>
        <w:rPr>
          <w:rFonts w:ascii="Times New Roman" w:hAnsi="Times New Roman"/>
          <w:sz w:val="20"/>
        </w:rPr>
        <w:t xml:space="preserve">” </w:t>
      </w:r>
      <w:r>
        <w:rPr>
          <w:rFonts w:ascii="Times New Roman;serif" w:hAnsi="Times New Roman;serif"/>
          <w:b w:val="false"/>
          <w:sz w:val="24"/>
        </w:rPr>
        <w:t xml:space="preserve">shall mean, as of the end of any Testing Period, an amount equal to the greater of: (a) (i) 125% of the Adjusted Covered Debt Balance (as of the end of such Testing Period)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 xml:space="preserve">(ii) the aggregate Value of all Quoted Investments included in the Borrowing Base (as of the end of such Testing Period) and (b) 10% of the aggregate Value of all Unquoted Investments included in the Borrowing Base (as of the end of such Testing Period);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in no event shall more than 25% (or, if </w:t>
      </w:r>
      <w:r>
        <w:rPr>
          <w:rFonts w:ascii="Times New Roman;serif" w:hAnsi="Times New Roman;serif"/>
          <w:b w:val="false"/>
          <w:sz w:val="24"/>
          <w:u w:val="single"/>
        </w:rPr>
        <w:t>clause (b)</w:t>
      </w:r>
      <w:r>
        <w:rPr>
          <w:rFonts w:ascii="Times New Roman" w:hAnsi="Times New Roman"/>
          <w:sz w:val="20"/>
        </w:rPr>
        <w:t xml:space="preserve"> </w:t>
      </w:r>
      <w:r>
        <w:rPr>
          <w:rFonts w:ascii="Times New Roman;serif" w:hAnsi="Times New Roman;serif"/>
          <w:b w:val="false"/>
          <w:sz w:val="24"/>
        </w:rPr>
        <w:t>applies, 10%, or as near thereto as reasonably practicable) of the aggregate Value of the Unquoted Investments in the Borrowing Base be tested in respect of any applicable Testing Period.</w:t>
      </w:r>
    </w:p>
    <w:p>
      <w:pPr>
        <w:pStyle w:val="TextBody"/>
        <w:bidi w:val="0"/>
        <w:spacing w:before="0" w:after="240"/>
        <w:jc w:val="both"/>
        <w:rPr/>
      </w:pPr>
      <w:r>
        <w:rPr/>
        <w:t>“</w:t>
      </w:r>
      <w:r>
        <w:rPr>
          <w:rFonts w:ascii="Times New Roman;serif" w:hAnsi="Times New Roman;serif"/>
          <w:b w:val="false"/>
          <w:sz w:val="24"/>
          <w:u w:val="single"/>
        </w:rPr>
        <w:t>CAM Exchange</w:t>
      </w:r>
      <w:r>
        <w:rPr>
          <w:rFonts w:ascii="Times New Roman" w:hAnsi="Times New Roman"/>
          <w:sz w:val="20"/>
        </w:rPr>
        <w:t xml:space="preserve">” </w:t>
      </w:r>
      <w:r>
        <w:rPr>
          <w:rFonts w:ascii="Times New Roman;serif" w:hAnsi="Times New Roman;serif"/>
          <w:b w:val="false"/>
          <w:sz w:val="24"/>
        </w:rPr>
        <w:t xml:space="preserve">means the exchange of the Lenders’ interests provided for in </w:t>
      </w:r>
      <w:r>
        <w:rPr>
          <w:rFonts w:ascii="Times New Roman;serif" w:hAnsi="Times New Roman;serif"/>
          <w:b w:val="false"/>
          <w:sz w:val="24"/>
          <w:u w:val="single"/>
        </w:rPr>
        <w:t>Article VII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CAM Exchange Date</w:t>
      </w:r>
      <w:r>
        <w:rPr>
          <w:rFonts w:ascii="Times New Roman" w:hAnsi="Times New Roman"/>
          <w:sz w:val="20"/>
        </w:rPr>
        <w:t xml:space="preserve">” </w:t>
      </w:r>
      <w:r>
        <w:rPr>
          <w:rFonts w:ascii="Times New Roman;serif" w:hAnsi="Times New Roman;serif"/>
          <w:b w:val="false"/>
          <w:sz w:val="24"/>
        </w:rPr>
        <w:t xml:space="preserve">means the date on which any Event of Default referred to in </w:t>
      </w:r>
      <w:r>
        <w:rPr>
          <w:rFonts w:ascii="Times New Roman;serif" w:hAnsi="Times New Roman;serif"/>
          <w:b w:val="false"/>
          <w:sz w:val="24"/>
          <w:u w:val="single"/>
        </w:rPr>
        <w:t>clause (j)</w:t>
      </w:r>
      <w:r>
        <w:rPr>
          <w:rFonts w:ascii="Times New Roman" w:hAnsi="Times New Roman"/>
          <w:sz w:val="20"/>
        </w:rPr>
        <w:t xml:space="preserve"> </w:t>
      </w:r>
      <w:r>
        <w:rPr>
          <w:rFonts w:ascii="Times New Roman;serif" w:hAnsi="Times New Roman;serif"/>
          <w:b w:val="false"/>
          <w:sz w:val="24"/>
        </w:rPr>
        <w:t xml:space="preserve">of </w:t>
      </w:r>
      <w:r>
        <w:rPr>
          <w:rFonts w:ascii="Times New Roman;serif" w:hAnsi="Times New Roman;serif"/>
          <w:b w:val="false"/>
          <w:sz w:val="24"/>
          <w:u w:val="single"/>
        </w:rPr>
        <w:t>Article VII</w:t>
      </w:r>
      <w:r>
        <w:rPr>
          <w:rFonts w:ascii="Times New Roman" w:hAnsi="Times New Roman"/>
          <w:sz w:val="20"/>
        </w:rPr>
        <w:t xml:space="preserve"> </w:t>
      </w:r>
      <w:r>
        <w:rPr>
          <w:rFonts w:ascii="Times New Roman;serif" w:hAnsi="Times New Roman;serif"/>
          <w:b w:val="false"/>
          <w:sz w:val="24"/>
        </w:rPr>
        <w:t xml:space="preserve">shall occur or the date on which the Borrower receives written notice from the Administrative Agent that any Event of Default referred to in </w:t>
      </w:r>
      <w:r>
        <w:rPr>
          <w:rFonts w:ascii="Times New Roman;serif" w:hAnsi="Times New Roman;serif"/>
          <w:b w:val="false"/>
          <w:sz w:val="24"/>
          <w:u w:val="single"/>
        </w:rPr>
        <w:t>clause (i)</w:t>
      </w:r>
      <w:r>
        <w:rPr>
          <w:rFonts w:ascii="Times New Roman" w:hAnsi="Times New Roman"/>
          <w:sz w:val="20"/>
        </w:rPr>
        <w:t xml:space="preserve"> </w:t>
      </w:r>
      <w:r>
        <w:rPr>
          <w:rFonts w:ascii="Times New Roman;serif" w:hAnsi="Times New Roman;serif"/>
          <w:b w:val="false"/>
          <w:sz w:val="24"/>
        </w:rPr>
        <w:t xml:space="preserve">of </w:t>
      </w:r>
      <w:r>
        <w:rPr>
          <w:rFonts w:ascii="Times New Roman;serif" w:hAnsi="Times New Roman;serif"/>
          <w:b w:val="false"/>
          <w:sz w:val="24"/>
          <w:u w:val="single"/>
        </w:rPr>
        <w:t>Article VII</w:t>
      </w:r>
      <w:r>
        <w:rPr>
          <w:rFonts w:ascii="Times New Roman" w:hAnsi="Times New Roman"/>
          <w:sz w:val="20"/>
        </w:rPr>
        <w:t xml:space="preserve"> </w:t>
      </w:r>
      <w:r>
        <w:rPr>
          <w:rFonts w:ascii="Times New Roman;serif" w:hAnsi="Times New Roman;serif"/>
          <w:b w:val="false"/>
          <w:sz w:val="24"/>
        </w:rPr>
        <w:t>has occurred.</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CAM Percentage</w:t>
      </w:r>
      <w:r>
        <w:rPr>
          <w:rFonts w:ascii="Times New Roman" w:hAnsi="Times New Roman"/>
          <w:sz w:val="20"/>
        </w:rPr>
        <w:t xml:space="preserve">” </w:t>
      </w:r>
      <w:r>
        <w:rPr>
          <w:rFonts w:ascii="Times New Roman;serif" w:hAnsi="Times New Roman;serif"/>
          <w:b w:val="false"/>
          <w:sz w:val="24"/>
        </w:rPr>
        <w:t>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pStyle w:val="TextBody"/>
        <w:bidi w:val="0"/>
        <w:spacing w:before="0" w:after="240"/>
        <w:jc w:val="both"/>
        <w:rPr/>
      </w:pPr>
      <w:r>
        <w:rPr/>
        <w:t>“</w:t>
      </w:r>
      <w:r>
        <w:rPr>
          <w:rFonts w:ascii="Times New Roman;serif" w:hAnsi="Times New Roman;serif"/>
          <w:b w:val="false"/>
          <w:sz w:val="24"/>
          <w:u w:val="single"/>
        </w:rPr>
        <w:t>Canadian Dollars</w:t>
      </w:r>
      <w:r>
        <w:rPr>
          <w:rFonts w:ascii="Times New Roman" w:hAnsi="Times New Roman"/>
          <w:sz w:val="20"/>
        </w:rPr>
        <w:t xml:space="preserve">” </w:t>
      </w:r>
      <w:r>
        <w:rPr>
          <w:rFonts w:ascii="Times New Roman;serif" w:hAnsi="Times New Roman;serif"/>
          <w:b w:val="false"/>
          <w:sz w:val="24"/>
        </w:rPr>
        <w:t>means the single currency of Canada.</w:t>
      </w:r>
    </w:p>
    <w:p>
      <w:pPr>
        <w:pStyle w:val="TextBody"/>
        <w:bidi w:val="0"/>
        <w:spacing w:before="0" w:after="240"/>
        <w:jc w:val="both"/>
        <w:rPr/>
      </w:pPr>
      <w:r>
        <w:rPr/>
        <w:t>“</w:t>
      </w:r>
      <w:r>
        <w:rPr>
          <w:rFonts w:ascii="Times New Roman;serif" w:hAnsi="Times New Roman;serif"/>
          <w:b w:val="false"/>
          <w:sz w:val="24"/>
          <w:u w:val="single"/>
        </w:rPr>
        <w:t>Capital Lease Obligations</w:t>
      </w:r>
      <w:r>
        <w:rPr>
          <w:rFonts w:ascii="Times New Roman" w:hAnsi="Times New Roman"/>
          <w:sz w:val="20"/>
        </w:rPr>
        <w:t xml:space="preserve">” </w:t>
      </w:r>
      <w:r>
        <w:rPr>
          <w:rFonts w:ascii="Times New Roman;serif" w:hAnsi="Times New Roman;serif"/>
          <w:b w:val="false"/>
          <w:sz w:val="24"/>
        </w:rPr>
        <w:t>of any Person means the obligations of such Person to pay rent or other amounts under any lease of (or other arrangement conveying the right to use) real or personal property, or a combination thereof, which obligations are required to be classified and</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accounted for as capital leases on a balance sheet of such Person under GAAP, and the amount of such obligations shall be the capitalized amount thereof determined in accordance with GAAP.</w:t>
      </w:r>
    </w:p>
    <w:p>
      <w:pPr>
        <w:pStyle w:val="TextBody"/>
        <w:bidi w:val="0"/>
        <w:spacing w:before="0" w:after="240"/>
        <w:jc w:val="both"/>
        <w:rPr/>
      </w:pPr>
      <w:r>
        <w:rPr/>
        <w:t>“</w:t>
      </w:r>
      <w:r>
        <w:rPr>
          <w:rFonts w:ascii="Times New Roman;serif" w:hAnsi="Times New Roman;serif"/>
          <w:b w:val="false"/>
          <w:sz w:val="24"/>
          <w:u w:val="single"/>
        </w:rPr>
        <w:t>Cash</w:t>
      </w:r>
      <w:r>
        <w:rPr>
          <w:rFonts w:ascii="Times New Roman" w:hAnsi="Times New Roman"/>
          <w:sz w:val="20"/>
        </w:rPr>
        <w:t xml:space="preserve">” </w:t>
      </w:r>
      <w:r>
        <w:rPr>
          <w:rFonts w:ascii="Times New Roman;serif" w:hAnsi="Times New Roman;serif"/>
          <w:b w:val="false"/>
          <w:sz w:val="24"/>
        </w:rPr>
        <w:t>means any immediately available funds in Dollars or in any currency other than Dollars (measured in terms of the Dollar Equivalent thereof) which is a freely convertible currency.</w:t>
      </w:r>
    </w:p>
    <w:p>
      <w:pPr>
        <w:pStyle w:val="TextBody"/>
        <w:bidi w:val="0"/>
        <w:spacing w:before="0" w:after="240"/>
        <w:jc w:val="both"/>
        <w:rPr/>
      </w:pPr>
      <w:r>
        <w:rPr/>
        <w:t>“</w:t>
      </w:r>
      <w:r>
        <w:rPr>
          <w:rFonts w:ascii="Times New Roman;serif" w:hAnsi="Times New Roman;serif"/>
          <w:b w:val="false"/>
          <w:sz w:val="24"/>
          <w:u w:val="single"/>
        </w:rPr>
        <w:t>Cash Collateralize</w:t>
      </w:r>
      <w:r>
        <w:rPr>
          <w:rFonts w:ascii="Times New Roman" w:hAnsi="Times New Roman"/>
          <w:sz w:val="20"/>
        </w:rPr>
        <w:t xml:space="preserve">” </w:t>
      </w:r>
      <w:r>
        <w:rPr>
          <w:rFonts w:ascii="Times New Roman;serif" w:hAnsi="Times New Roman;serif"/>
          <w:b w:val="false"/>
          <w:sz w:val="24"/>
        </w:rPr>
        <w:t xml:space="preserve">means, in respect of a Letter of Credit or any obligation hereunder, to provide and pledge cash collateral pursuant to </w:t>
      </w:r>
      <w:r>
        <w:rPr>
          <w:rFonts w:ascii="Times New Roman;serif" w:hAnsi="Times New Roman;serif"/>
          <w:b w:val="false"/>
          <w:sz w:val="24"/>
          <w:u w:val="single"/>
        </w:rPr>
        <w:t>Section 2.05(k)</w:t>
      </w:r>
      <w:r>
        <w:rPr>
          <w:rFonts w:ascii="Times New Roman;serif" w:hAnsi="Times New Roman;serif"/>
          <w:b w:val="false"/>
          <w:sz w:val="24"/>
        </w:rPr>
        <w:t>, at a location and pursuant to documentation in form and substance reasonably satisfactory to Administrative Agent and each Issuing Bank. “</w:t>
      </w:r>
      <w:r>
        <w:rPr>
          <w:rFonts w:ascii="Times New Roman;serif" w:hAnsi="Times New Roman;serif"/>
          <w:b w:val="false"/>
          <w:sz w:val="24"/>
          <w:u w:val="single"/>
        </w:rPr>
        <w:t>Cash Collateral</w:t>
      </w:r>
      <w:r>
        <w:rPr>
          <w:rFonts w:ascii="Times New Roman" w:hAnsi="Times New Roman"/>
          <w:sz w:val="20"/>
        </w:rPr>
        <w:t>”</w:t>
      </w:r>
      <w:r>
        <w:rPr>
          <w:rFonts w:ascii="Times New Roman;serif" w:hAnsi="Times New Roman;serif"/>
          <w:b w:val="false"/>
          <w:sz w:val="24"/>
        </w:rPr>
        <w:t>, “</w:t>
      </w:r>
      <w:r>
        <w:rPr>
          <w:rFonts w:ascii="Times New Roman;serif" w:hAnsi="Times New Roman;serif"/>
          <w:b w:val="false"/>
          <w:sz w:val="24"/>
          <w:u w:val="single"/>
        </w:rPr>
        <w:t>Cash Collateralized</w:t>
      </w:r>
      <w:r>
        <w:rPr>
          <w:rFonts w:ascii="Times New Roman" w:hAnsi="Times New Roman"/>
          <w:sz w:val="20"/>
        </w:rPr>
        <w:t xml:space="preserve">” </w:t>
      </w:r>
      <w:r>
        <w:rPr>
          <w:rFonts w:ascii="Times New Roman;serif" w:hAnsi="Times New Roman;serif"/>
          <w:b w:val="false"/>
          <w:sz w:val="24"/>
        </w:rPr>
        <w:t>and “</w:t>
      </w:r>
      <w:r>
        <w:rPr>
          <w:rFonts w:ascii="Times New Roman;serif" w:hAnsi="Times New Roman;serif"/>
          <w:b w:val="false"/>
          <w:sz w:val="24"/>
          <w:u w:val="single"/>
        </w:rPr>
        <w:t>Cash Collateralization</w:t>
      </w:r>
      <w:r>
        <w:rPr>
          <w:rFonts w:ascii="Times New Roman" w:hAnsi="Times New Roman"/>
          <w:sz w:val="20"/>
        </w:rPr>
        <w:t xml:space="preserve">” </w:t>
      </w:r>
      <w:r>
        <w:rPr>
          <w:rFonts w:ascii="Times New Roman;serif" w:hAnsi="Times New Roman;serif"/>
          <w:b w:val="false"/>
          <w:sz w:val="24"/>
        </w:rPr>
        <w:t>shall have meanings correlative to the foregoing and shall include the proceeds of such cash collateral and other credit support.</w:t>
      </w:r>
    </w:p>
    <w:p>
      <w:pPr>
        <w:pStyle w:val="TextBody"/>
        <w:bidi w:val="0"/>
        <w:spacing w:before="0" w:after="240"/>
        <w:jc w:val="both"/>
        <w:rPr/>
      </w:pPr>
      <w:r>
        <w:rPr/>
        <w:t>“</w:t>
      </w:r>
      <w:r>
        <w:rPr>
          <w:rFonts w:ascii="Times New Roman;serif" w:hAnsi="Times New Roman;serif"/>
          <w:b w:val="false"/>
          <w:sz w:val="24"/>
          <w:u w:val="single"/>
        </w:rPr>
        <w:t>Cash Equivalents</w:t>
      </w:r>
      <w:r>
        <w:rPr>
          <w:rFonts w:ascii="Times New Roman" w:hAnsi="Times New Roman"/>
          <w:sz w:val="20"/>
        </w:rPr>
        <w:t xml:space="preserve">” </w:t>
      </w:r>
      <w:r>
        <w:rPr>
          <w:rFonts w:ascii="Times New Roman;serif" w:hAnsi="Times New Roman;serif"/>
          <w:b w:val="false"/>
          <w:sz w:val="24"/>
        </w:rPr>
        <w:t>means investments (other than Cash) that are one or more of the following obligations: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U.S. Government Securities, in each case maturing within one year from the date of acquisition thereof;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 investments in commercial paper or other short-term corporate obligations maturing within 270 days from the date of acquisition thereof and having, at such date of acquisition, a credit rating of at least A</w:t>
        <w:noBreakHyphen/>
        <w:t>1 from S&amp;P and at least P</w:t>
        <w:noBreakHyphen/>
        <w:t>1 from Moody’s (or if only one of S&amp;P or Moody’s provides such rating, such investment shall also have an equivalent credit rating from any other rating agency);</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(c) 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noBreakHyphen/>
        <w:t>1 from S&amp;P and at least P</w:t>
        <w:noBreakHyphen/>
        <w:t>1 from Moody’s (or if only one of S&amp;P or Moody’s provides such rating, such investment shall also have an equivalent credit rating from any other rating agency);</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(d) fully collateralized repurchase agreements with a term of not more than 30 days from the date of acquisition thereof for U.S. Government Securities and entered into with (i) a financial institution satisfying the criteria described in </w:t>
      </w:r>
      <w:r>
        <w:rPr>
          <w:rFonts w:ascii="Times New Roman;serif" w:hAnsi="Times New Roman;serif"/>
          <w:b w:val="false"/>
          <w:sz w:val="24"/>
          <w:u w:val="single"/>
        </w:rPr>
        <w:t>clause (c)</w:t>
      </w:r>
      <w:r>
        <w:rPr>
          <w:rFonts w:ascii="Times New Roman" w:hAnsi="Times New Roman"/>
          <w:sz w:val="20"/>
        </w:rPr>
        <w:t xml:space="preserve"> </w:t>
      </w:r>
      <w:r>
        <w:rPr>
          <w:rFonts w:ascii="Times New Roman;serif" w:hAnsi="Times New Roman;serif"/>
          <w:b w:val="false"/>
          <w:sz w:val="24"/>
        </w:rPr>
        <w:t>of this definition or (ii) an Approved Dealer having (or being a member of a consolidated group having) at such date of acquisition, a credit rating of at least A</w:t>
        <w:noBreakHyphen/>
        <w:t>1 from S&amp;P and at least P</w:t>
        <w:noBreakHyphen/>
        <w:t>1 from Moody’s (or if only one of S&amp;P or Moody’s provides such rating, such investment shall also have an equivalent credit rating from any other rating agency);</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(e) investments in money market funds that invest solely, and which are restricted by their respective charters to invest solely, in investments of the type described in the immediately preceding </w:t>
      </w:r>
      <w:r>
        <w:rPr>
          <w:rFonts w:ascii="Times New Roman;serif" w:hAnsi="Times New Roman;serif"/>
          <w:b w:val="false"/>
          <w:sz w:val="24"/>
          <w:u w:val="single"/>
        </w:rPr>
        <w:t>clauses (a)</w:t>
      </w:r>
      <w:r>
        <w:rPr>
          <w:rFonts w:ascii="Times New Roman" w:hAnsi="Times New Roman"/>
          <w:sz w:val="20"/>
        </w:rPr>
        <w:t xml:space="preserve"> </w:t>
      </w:r>
      <w:r>
        <w:rPr>
          <w:rFonts w:ascii="Times New Roman;serif" w:hAnsi="Times New Roman;serif"/>
          <w:b w:val="false"/>
          <w:sz w:val="24"/>
        </w:rPr>
        <w:t xml:space="preserve">through </w:t>
      </w:r>
      <w:r>
        <w:rPr>
          <w:rFonts w:ascii="Times New Roman;serif" w:hAnsi="Times New Roman;serif"/>
          <w:b w:val="false"/>
          <w:sz w:val="24"/>
          <w:u w:val="single"/>
        </w:rPr>
        <w:t>(d)</w:t>
      </w:r>
      <w:r>
        <w:rPr>
          <w:rFonts w:ascii="Times New Roman" w:hAnsi="Times New Roman"/>
          <w:sz w:val="20"/>
        </w:rPr>
        <w:t xml:space="preserve"> </w:t>
      </w:r>
      <w:r>
        <w:rPr>
          <w:rFonts w:ascii="Times New Roman;serif" w:hAnsi="Times New Roman;serif"/>
          <w:b w:val="false"/>
          <w:sz w:val="24"/>
        </w:rPr>
        <w:t>above (including as to credit quality and maturity);</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 money market funds that have, at all times, credit ratings of “Aaa” and “MR1+” by Moody’s and “AAAm” or “Aam-G” by S&amp;P, respectively; and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(g) any of the following offered by State Street Bank and Trust Company (or any successor custodian or other entity acting in a similar capacity with respect to the Borrower) (I) money market deposit accounts, (II) eurodollar time deposits, (III) commercial eurodollar sweep services or (IV) open commercial paper services, in each case having, at such date of acquisition, a credit rating at least A-1 from S&amp;P and at least P-1 from Moody’s and maturing not later than 270 days from the date of acquisition thereof;</w:t>
      </w:r>
    </w:p>
    <w:p>
      <w:pPr>
        <w:pStyle w:val="TextBody"/>
        <w:bidi w:val="0"/>
        <w:spacing w:before="0" w:after="240"/>
        <w:jc w:val="both"/>
        <w:rPr>
          <w:rFonts w:ascii="Times New Roman" w:hAnsi="Times New Roman"/>
          <w:sz w:val="20"/>
        </w:rPr>
      </w:pP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pStyle w:val="TextBody"/>
        <w:bidi w:val="0"/>
        <w:spacing w:before="0" w:after="240"/>
        <w:jc w:val="both"/>
        <w:rPr/>
      </w:pPr>
      <w:r>
        <w:rPr/>
        <w:t>“</w:t>
      </w:r>
      <w:r>
        <w:rPr>
          <w:rFonts w:ascii="Times New Roman;serif" w:hAnsi="Times New Roman;serif"/>
          <w:b w:val="false"/>
          <w:sz w:val="24"/>
          <w:u w:val="single"/>
        </w:rPr>
        <w:t>Change in Control</w:t>
      </w:r>
      <w:r>
        <w:rPr>
          <w:rFonts w:ascii="Times New Roman" w:hAnsi="Times New Roman"/>
          <w:sz w:val="20"/>
        </w:rPr>
        <w:t xml:space="preserve">” </w:t>
      </w:r>
      <w:r>
        <w:rPr>
          <w:rFonts w:ascii="Times New Roman;serif" w:hAnsi="Times New Roman;serif"/>
          <w:b w:val="false"/>
          <w:sz w:val="24"/>
        </w:rPr>
        <w:t>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 (or any of its Affiliates).</w:t>
      </w:r>
    </w:p>
    <w:p>
      <w:pPr>
        <w:pStyle w:val="TextBody"/>
        <w:bidi w:val="0"/>
        <w:spacing w:before="0" w:after="240"/>
        <w:jc w:val="both"/>
        <w:rPr/>
      </w:pPr>
      <w:r>
        <w:rPr/>
        <w:t>“</w:t>
      </w:r>
      <w:r>
        <w:rPr>
          <w:rFonts w:ascii="Times New Roman;serif" w:hAnsi="Times New Roman;serif"/>
          <w:b w:val="false"/>
          <w:sz w:val="24"/>
          <w:u w:val="single"/>
        </w:rPr>
        <w:t>Change in Law</w:t>
      </w:r>
      <w:r>
        <w:rPr>
          <w:rFonts w:ascii="Times New Roman" w:hAnsi="Times New Roman"/>
          <w:sz w:val="20"/>
        </w:rPr>
        <w:t xml:space="preserve">” </w:t>
      </w:r>
      <w:r>
        <w:rPr>
          <w:rFonts w:ascii="Times New Roman;serif" w:hAnsi="Times New Roman;serif"/>
          <w:b w:val="false"/>
          <w:sz w:val="24"/>
        </w:rPr>
        <w:t>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(or with respect to a Person becoming a Lender by assignment or joinder after the date of this Agreement, the effective date thereof)), but excluding proposals thereof, or any determination of a court or Governmental</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pStyle w:val="TextBody"/>
        <w:bidi w:val="0"/>
        <w:spacing w:before="0" w:after="240"/>
        <w:jc w:val="both"/>
        <w:rPr/>
      </w:pPr>
      <w:r>
        <w:rPr/>
        <w:t>“</w:t>
      </w:r>
      <w:r>
        <w:rPr>
          <w:rFonts w:ascii="Times New Roman;serif" w:hAnsi="Times New Roman;serif"/>
          <w:b w:val="false"/>
          <w:sz w:val="24"/>
          <w:u w:val="single"/>
        </w:rPr>
        <w:t>Class</w:t>
      </w:r>
      <w:r>
        <w:rPr>
          <w:rFonts w:ascii="Times New Roman" w:hAnsi="Times New Roman"/>
          <w:sz w:val="20"/>
        </w:rPr>
        <w:t>”</w:t>
      </w:r>
      <w:r>
        <w:rPr>
          <w:rFonts w:ascii="Times New Roman;serif" w:hAnsi="Times New Roman;serif"/>
          <w:b w:val="false"/>
          <w:sz w:val="24"/>
        </w:rPr>
        <w:t>, when used in reference to any Loan or Borrowing, refers to whether such Loan is,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Non-Extending Lender; and, when used in reference to any Commitment, refers to whether such Commitment is a Dollar Commitment or a Multicurrency Commitment. The “</w:t>
      </w:r>
      <w:r>
        <w:rPr>
          <w:rFonts w:ascii="Times New Roman;serif" w:hAnsi="Times New Roman;serif"/>
          <w:b w:val="false"/>
          <w:sz w:val="24"/>
          <w:u w:val="single"/>
        </w:rPr>
        <w:t>Class</w:t>
      </w:r>
      <w:r>
        <w:rPr>
          <w:rFonts w:ascii="Times New Roman" w:hAnsi="Times New Roman"/>
          <w:sz w:val="20"/>
        </w:rPr>
        <w:t xml:space="preserve">” </w:t>
      </w:r>
      <w:r>
        <w:rPr>
          <w:rFonts w:ascii="Times New Roman;serif" w:hAnsi="Times New Roman;serif"/>
          <w:b w:val="false"/>
          <w:sz w:val="24"/>
        </w:rPr>
        <w:t>of a Letter of Credit refers to whether such Letter of Credit is a Dollar Letter of Credit or a Multicurrency Letter of Credit.</w:t>
      </w:r>
    </w:p>
    <w:p>
      <w:pPr>
        <w:pStyle w:val="TextBody"/>
        <w:bidi w:val="0"/>
        <w:spacing w:before="0" w:after="240"/>
        <w:jc w:val="both"/>
        <w:rPr/>
      </w:pPr>
      <w:r>
        <w:rPr/>
        <w:t>“</w:t>
      </w:r>
      <w:r>
        <w:rPr>
          <w:rFonts w:ascii="Times New Roman;serif" w:hAnsi="Times New Roman;serif"/>
          <w:b w:val="false"/>
          <w:sz w:val="24"/>
          <w:u w:val="single"/>
        </w:rPr>
        <w:t>Code</w:t>
      </w:r>
      <w:r>
        <w:rPr>
          <w:rFonts w:ascii="Times New Roman" w:hAnsi="Times New Roman"/>
          <w:sz w:val="20"/>
        </w:rPr>
        <w:t xml:space="preserve">” </w:t>
      </w:r>
      <w:r>
        <w:rPr>
          <w:rFonts w:ascii="Times New Roman;serif" w:hAnsi="Times New Roman;serif"/>
          <w:b w:val="false"/>
          <w:sz w:val="24"/>
        </w:rPr>
        <w:t>means the Internal Revenue Code of 1986, as amended from time to time.</w:t>
      </w:r>
    </w:p>
    <w:p>
      <w:pPr>
        <w:pStyle w:val="TextBody"/>
        <w:bidi w:val="0"/>
        <w:spacing w:before="0" w:after="240"/>
        <w:jc w:val="both"/>
        <w:rPr/>
      </w:pPr>
      <w:r>
        <w:rPr/>
        <w:t>“</w:t>
      </w:r>
      <w:r>
        <w:rPr>
          <w:rFonts w:ascii="Times New Roman;serif" w:hAnsi="Times New Roman;serif"/>
          <w:b w:val="false"/>
          <w:sz w:val="24"/>
          <w:u w:val="single"/>
        </w:rPr>
        <w:t>Collateral</w:t>
      </w:r>
      <w:r>
        <w:rPr>
          <w:rFonts w:ascii="Times New Roman" w:hAnsi="Times New Roman"/>
          <w:sz w:val="20"/>
        </w:rPr>
        <w:t xml:space="preserve">” </w:t>
      </w:r>
      <w:r>
        <w:rPr>
          <w:rFonts w:ascii="Times New Roman;serif" w:hAnsi="Times New Roman;serif"/>
          <w:b w:val="false"/>
          <w:sz w:val="24"/>
        </w:rPr>
        <w:t>has the meaning assigned to such term in the Guarantee and Security Agreement.</w:t>
      </w:r>
    </w:p>
    <w:p>
      <w:pPr>
        <w:pStyle w:val="TextBody"/>
        <w:bidi w:val="0"/>
        <w:spacing w:before="0" w:after="240"/>
        <w:jc w:val="both"/>
        <w:rPr/>
      </w:pPr>
      <w:r>
        <w:rPr/>
        <w:t>“</w:t>
      </w:r>
      <w:r>
        <w:rPr>
          <w:rFonts w:ascii="Times New Roman;serif" w:hAnsi="Times New Roman;serif"/>
          <w:b w:val="false"/>
          <w:sz w:val="24"/>
          <w:u w:val="single"/>
        </w:rPr>
        <w:t>Collateral Agent</w:t>
      </w:r>
      <w:r>
        <w:rPr>
          <w:rFonts w:ascii="Times New Roman" w:hAnsi="Times New Roman"/>
          <w:sz w:val="20"/>
        </w:rPr>
        <w:t xml:space="preserve">” </w:t>
      </w:r>
      <w:r>
        <w:rPr>
          <w:rFonts w:ascii="Times New Roman;serif" w:hAnsi="Times New Roman;serif"/>
          <w:b w:val="false"/>
          <w:sz w:val="24"/>
        </w:rPr>
        <w:t>means Truist in its capacity as Collateral Agent under the Guarantee and Security Agreement, and includes any successor Collateral Agent thereunder.</w:t>
      </w:r>
    </w:p>
    <w:p>
      <w:pPr>
        <w:pStyle w:val="TextBody"/>
        <w:bidi w:val="0"/>
        <w:spacing w:before="0" w:after="240"/>
        <w:jc w:val="both"/>
        <w:rPr/>
      </w:pPr>
      <w:r>
        <w:rPr/>
        <w:t>“</w:t>
      </w:r>
      <w:r>
        <w:rPr>
          <w:rFonts w:ascii="Times New Roman;serif" w:hAnsi="Times New Roman;serif"/>
          <w:b w:val="false"/>
          <w:sz w:val="24"/>
          <w:u w:val="single"/>
        </w:rPr>
        <w:t>Collateral Pool</w:t>
      </w:r>
      <w:r>
        <w:rPr>
          <w:rFonts w:ascii="Times New Roman" w:hAnsi="Times New Roman"/>
          <w:sz w:val="20"/>
        </w:rPr>
        <w:t xml:space="preserve">” </w:t>
      </w:r>
      <w:r>
        <w:rPr>
          <w:rFonts w:ascii="Times New Roman;serif" w:hAnsi="Times New Roman;serif"/>
          <w:b w:val="false"/>
          <w:sz w:val="24"/>
        </w:rPr>
        <w:t xml:space="preserve">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Times New Roman;serif" w:hAnsi="Times New Roman;serif"/>
          <w:b w:val="false"/>
          <w:sz w:val="24"/>
          <w:u w:val="single"/>
        </w:rPr>
        <w:t>Section 6.02</w:t>
      </w:r>
      <w:r>
        <w:rPr>
          <w:rFonts w:ascii="Times New Roman" w:hAnsi="Times New Roman"/>
          <w:sz w:val="20"/>
        </w:rPr>
        <w:t xml:space="preserve"> </w:t>
      </w:r>
      <w:r>
        <w:rPr>
          <w:rFonts w:ascii="Times New Roman;serif" w:hAnsi="Times New Roman;serif"/>
          <w:b w:val="false"/>
          <w:sz w:val="24"/>
        </w:rPr>
        <w:t>hereof);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seven (7) days of such inclusion.</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Combined Debt Amount</w:t>
      </w:r>
      <w:r>
        <w:rPr>
          <w:rFonts w:ascii="Times New Roman" w:hAnsi="Times New Roman"/>
          <w:sz w:val="20"/>
        </w:rPr>
        <w:t xml:space="preserve">” </w:t>
      </w:r>
      <w:r>
        <w:rPr>
          <w:rFonts w:ascii="Times New Roman;serif" w:hAnsi="Times New Roman;serif"/>
          <w:b w:val="false"/>
          <w:sz w:val="24"/>
        </w:rPr>
        <w:t>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pStyle w:val="TextBody"/>
        <w:bidi w:val="0"/>
        <w:spacing w:before="0" w:after="240"/>
        <w:jc w:val="both"/>
        <w:rPr/>
      </w:pPr>
      <w:r>
        <w:rPr/>
        <w:t>“</w:t>
      </w:r>
      <w:r>
        <w:rPr>
          <w:rFonts w:ascii="Times New Roman;serif" w:hAnsi="Times New Roman;serif"/>
          <w:b w:val="false"/>
          <w:sz w:val="24"/>
          <w:u w:val="single"/>
        </w:rPr>
        <w:t>Commitment Increase</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2.08(e)(i)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Commitment Increase Date</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2.08(e)(i)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Commitment Termination Date</w:t>
      </w:r>
      <w:r>
        <w:rPr>
          <w:rFonts w:ascii="Times New Roman" w:hAnsi="Times New Roman"/>
          <w:sz w:val="20"/>
        </w:rPr>
        <w:t xml:space="preserve">” </w:t>
      </w:r>
      <w:r>
        <w:rPr>
          <w:rFonts w:ascii="Times New Roman;serif" w:hAnsi="Times New Roman;serif"/>
          <w:b w:val="false"/>
          <w:sz w:val="24"/>
        </w:rPr>
        <w:t>means the Extended Commitment Termination Date or the relevant Non-Extended Commitment Termination Date, as applicable.</w:t>
      </w:r>
    </w:p>
    <w:p>
      <w:pPr>
        <w:pStyle w:val="TextBody"/>
        <w:bidi w:val="0"/>
        <w:spacing w:before="0" w:after="240"/>
        <w:jc w:val="both"/>
        <w:rPr/>
      </w:pPr>
      <w:r>
        <w:rPr/>
        <w:t>“</w:t>
      </w:r>
      <w:r>
        <w:rPr>
          <w:rFonts w:ascii="Times New Roman;serif" w:hAnsi="Times New Roman;serif"/>
          <w:b w:val="false"/>
          <w:sz w:val="24"/>
          <w:u w:val="single"/>
        </w:rPr>
        <w:t>Commitments</w:t>
      </w:r>
      <w:r>
        <w:rPr>
          <w:rFonts w:ascii="Times New Roman" w:hAnsi="Times New Roman"/>
          <w:sz w:val="20"/>
        </w:rPr>
        <w:t xml:space="preserve">” </w:t>
      </w:r>
      <w:r>
        <w:rPr>
          <w:rFonts w:ascii="Times New Roman;serif" w:hAnsi="Times New Roman;serif"/>
          <w:b w:val="false"/>
          <w:sz w:val="24"/>
        </w:rPr>
        <w:t>means, collectively, the Dollar Commitments and the Multicurrency Commitments.</w:t>
      </w:r>
    </w:p>
    <w:p>
      <w:pPr>
        <w:pStyle w:val="TextBody"/>
        <w:bidi w:val="0"/>
        <w:spacing w:before="0" w:after="240"/>
        <w:jc w:val="both"/>
        <w:rPr/>
      </w:pPr>
      <w:r>
        <w:rPr/>
        <w:t>“</w:t>
      </w:r>
      <w:r>
        <w:rPr>
          <w:rFonts w:ascii="Times New Roman;serif" w:hAnsi="Times New Roman;serif"/>
          <w:b w:val="false"/>
          <w:sz w:val="24"/>
          <w:u w:val="single"/>
        </w:rPr>
        <w:t>Conforming Changes</w:t>
      </w:r>
      <w:r>
        <w:rPr>
          <w:rFonts w:ascii="Times New Roman" w:hAnsi="Times New Roman"/>
          <w:sz w:val="20"/>
        </w:rPr>
        <w:t xml:space="preserve">” </w:t>
      </w:r>
      <w:r>
        <w:rPr>
          <w:rFonts w:ascii="Times New Roman;serif" w:hAnsi="Times New Roman;serif"/>
          <w:b w:val="false"/>
          <w:sz w:val="24"/>
        </w:rPr>
        <w:t>means with respect to either the use or administration of Term SOFR or the use, administration, adoption or implementation of any Benchmark Replacement, any technical, administrative or operational changes (including changes to the definition of “Term Benchmark Rate”, the definition of “Alternate Base Rate”, the definition of “Business Day”, the definition of “Term Benchmark Banking Day”, the definition of “U.S. Government Securities Business Day”, the definition of “Daily Simple RFR”, the definition of “RFR”, the definition of “RFR Business Day”, the definition of “RFR Interest Day”, the definition of “RFR Reference Day”, the definition of “Interest Period” or any similar or analogous definition, timing and frequency of determining rates and making payments of interest, timing of borrowing requests or prepayment, conversion or continuation notices, the applicability and length of lookback periods, the applicability of Section 2.15 and other technical, administrative or operational matters) that the Administrative Agent, after consultation with the Borrower,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(after consultation with the Borrower) decides is reasonably necessary in connection with the administration of this Agreement and the other Loan Documents).</w:t>
      </w:r>
    </w:p>
    <w:p>
      <w:pPr>
        <w:pStyle w:val="TextBody"/>
        <w:bidi w:val="0"/>
        <w:spacing w:before="0" w:after="240"/>
        <w:jc w:val="both"/>
        <w:rPr/>
      </w:pPr>
      <w:r>
        <w:rPr/>
        <w:t>“</w:t>
      </w:r>
      <w:r>
        <w:rPr>
          <w:rFonts w:ascii="Times New Roman;serif" w:hAnsi="Times New Roman;serif"/>
          <w:b w:val="false"/>
          <w:sz w:val="24"/>
          <w:u w:val="single"/>
        </w:rPr>
        <w:t>Consolidated Asset Coverage Ratio</w:t>
      </w:r>
      <w:r>
        <w:rPr>
          <w:rFonts w:ascii="Times New Roman" w:hAnsi="Times New Roman"/>
          <w:sz w:val="20"/>
        </w:rPr>
        <w:t xml:space="preserve">” </w:t>
      </w:r>
      <w:r>
        <w:rPr>
          <w:rFonts w:ascii="Times New Roman;serif" w:hAnsi="Times New Roman;serif"/>
          <w:b w:val="false"/>
          <w:sz w:val="24"/>
        </w:rPr>
        <w:t>means the ratio, determined on a consolidated basis for Borrower and its Subsidiaries, without duplication, of (a) the value of total assets of the Borrower and its Subsidiaries, less all liabilities and indebtedness not represented by senior securities to (b) the aggregate amount of senior securities representing indebtedness of Borrower and its Subsidiaries (including this Agreement), in each case as determined pursuant to the Investment Company Act and any orders of the Securities and Exchange Commission issued</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or with respect to Borrower thereunder, including any exemptive relief granted by the Securities and Exchange Commission with respect to the indebtedness of any SBIC Subsidiary.</w:t>
      </w:r>
    </w:p>
    <w:p>
      <w:pPr>
        <w:pStyle w:val="TextBody"/>
        <w:bidi w:val="0"/>
        <w:spacing w:before="0" w:after="240"/>
        <w:jc w:val="both"/>
        <w:rPr/>
      </w:pPr>
      <w:r>
        <w:rPr/>
        <w:t>“</w:t>
      </w:r>
      <w:r>
        <w:rPr>
          <w:rFonts w:ascii="Times New Roman;serif" w:hAnsi="Times New Roman;serif"/>
          <w:b w:val="false"/>
          <w:sz w:val="24"/>
          <w:u w:val="single"/>
        </w:rPr>
        <w:t>Consolidated Group</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5.13(a)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Control</w:t>
      </w:r>
      <w:r>
        <w:rPr>
          <w:rFonts w:ascii="Times New Roman" w:hAnsi="Times New Roman"/>
          <w:sz w:val="20"/>
        </w:rPr>
        <w:t xml:space="preserve">” </w:t>
      </w:r>
      <w:r>
        <w:rPr>
          <w:rFonts w:ascii="Times New Roman;serif" w:hAnsi="Times New Roman;serif"/>
          <w:b w:val="false"/>
          <w:sz w:val="24"/>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sz w:val="24"/>
          <w:u w:val="single"/>
        </w:rPr>
        <w:t>Controlled</w:t>
      </w:r>
      <w:r>
        <w:rPr>
          <w:rFonts w:ascii="Times New Roman" w:hAnsi="Times New Roman"/>
          <w:sz w:val="20"/>
        </w:rPr>
        <w:t xml:space="preserve">” </w:t>
      </w:r>
      <w:r>
        <w:rPr>
          <w:rFonts w:ascii="Times New Roman;serif" w:hAnsi="Times New Roman;serif"/>
          <w:b w:val="false"/>
          <w:sz w:val="24"/>
        </w:rPr>
        <w:t xml:space="preserve">has a meaning correlative thereto;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however</w:t>
      </w:r>
      <w:r>
        <w:rPr>
          <w:rFonts w:ascii="Times New Roman;serif" w:hAnsi="Times New Roman;serif"/>
          <w:b w:val="false"/>
          <w:sz w:val="24"/>
        </w:rPr>
        <w:t>, “Control” shall not include “negative” control or “blocking” rights whereby action cannot be taken without the vote or consent of any Person.</w:t>
      </w:r>
    </w:p>
    <w:p>
      <w:pPr>
        <w:pStyle w:val="TextBody"/>
        <w:bidi w:val="0"/>
        <w:spacing w:before="0" w:after="240"/>
        <w:jc w:val="both"/>
        <w:rPr/>
      </w:pPr>
      <w:r>
        <w:rPr/>
        <w:t>“</w:t>
      </w:r>
      <w:r>
        <w:rPr>
          <w:rFonts w:ascii="Times New Roman;serif" w:hAnsi="Times New Roman;serif"/>
          <w:b w:val="false"/>
          <w:sz w:val="24"/>
          <w:u w:val="single"/>
        </w:rPr>
        <w:t>Covered Debt Amount</w:t>
      </w:r>
      <w:r>
        <w:rPr>
          <w:rFonts w:ascii="Times New Roman" w:hAnsi="Times New Roman"/>
          <w:sz w:val="20"/>
        </w:rPr>
        <w:t xml:space="preserve">” </w:t>
      </w:r>
      <w:r>
        <w:rPr>
          <w:rFonts w:ascii="Times New Roman;serif" w:hAnsi="Times New Roman;serif"/>
          <w:b w:val="false"/>
          <w:sz w:val="24"/>
        </w:rPr>
        <w:t xml:space="preserve">means, on any date, the sum of (x) all of the Revolving Credit Exposures of all Lenders on such date </w:t>
      </w:r>
      <w:r>
        <w:rPr>
          <w:rFonts w:ascii="Times New Roman;serif" w:hAnsi="Times New Roman;serif"/>
          <w:b w:val="false"/>
          <w:sz w:val="24"/>
          <w:u w:val="single"/>
        </w:rPr>
        <w:t>plus</w:t>
      </w:r>
      <w:r>
        <w:rPr>
          <w:rFonts w:ascii="Times New Roman" w:hAnsi="Times New Roman"/>
          <w:sz w:val="20"/>
        </w:rPr>
        <w:t xml:space="preserve"> </w:t>
      </w:r>
      <w:r>
        <w:rPr>
          <w:rFonts w:ascii="Times New Roman;serif" w:hAnsi="Times New Roman;serif"/>
          <w:b w:val="false"/>
          <w:sz w:val="24"/>
        </w:rPr>
        <w:t xml:space="preserve">(y) the aggregate amount of Other Covered Indebtedness, the 2024 Notes, the 2026 Notes, Special Unsecured Indebtedness and Unsecured Longer-Term Indebtedness on such date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 xml:space="preserve">(z) the LC Exposures fully Cash Collateralized on such date pursuant to </w:t>
      </w:r>
      <w:r>
        <w:rPr>
          <w:rFonts w:ascii="Times New Roman;serif" w:hAnsi="Times New Roman;serif"/>
          <w:b w:val="false"/>
          <w:sz w:val="24"/>
          <w:u w:val="single"/>
        </w:rPr>
        <w:t>Section 2.05(k)</w:t>
      </w:r>
      <w:r>
        <w:rPr>
          <w:rFonts w:ascii="Times New Roman" w:hAnsi="Times New Roman"/>
          <w:sz w:val="20"/>
        </w:rPr>
        <w:t xml:space="preserve"> </w:t>
      </w:r>
      <w:r>
        <w:rPr>
          <w:rFonts w:ascii="Times New Roman;serif" w:hAnsi="Times New Roman;serif"/>
          <w:b w:val="false"/>
          <w:sz w:val="24"/>
        </w:rPr>
        <w:t xml:space="preserve">and the last paragraph of </w:t>
      </w:r>
      <w:r>
        <w:rPr>
          <w:rFonts w:ascii="Times New Roman;serif" w:hAnsi="Times New Roman;serif"/>
          <w:b w:val="false"/>
          <w:sz w:val="24"/>
          <w:u w:val="single"/>
        </w:rPr>
        <w:t>Section 2.09(a)</w:t>
      </w:r>
      <w:r>
        <w:rPr>
          <w:rFonts w:ascii="Times New Roman;serif" w:hAnsi="Times New Roman;serif"/>
          <w:b w:val="false"/>
          <w:sz w:val="24"/>
        </w:rPr>
        <w:t xml:space="preserve">;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the 2024 Notes, the 2026 Notes, Special Unsecured Indebtedness and Unsecured Longer-Term Indebtedness shall be excluded from the calculation of the Covered Debt Amount, in each case, until the date that is nine (9) months prior to the scheduled maturity date of the 2024 Notes, the 2026 Notes, Special Unsecured Indebtedness or such Unsecured Longer-Term Indebtedness, as applicable (provided that, to the extent, but only to the extent, any portion of the 2024 Notes, the 2026 Notes, Special Unsecured Indebtedness or Unsecured Longer-Term Indebtedness is subject to a contractually scheduled amortization payment or other principal payment or mandatory redemption earlier than six (6) months after the Final Maturity Date (in the case of the 2024 Notes, the 2026 Notes and Unsecured Longer-Term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Currency</w:t>
      </w:r>
      <w:r>
        <w:rPr>
          <w:rFonts w:ascii="Times New Roman" w:hAnsi="Times New Roman"/>
          <w:sz w:val="20"/>
        </w:rPr>
        <w:t xml:space="preserve">” </w:t>
      </w:r>
      <w:r>
        <w:rPr>
          <w:rFonts w:ascii="Times New Roman;serif" w:hAnsi="Times New Roman;serif"/>
          <w:b w:val="false"/>
          <w:sz w:val="24"/>
        </w:rPr>
        <w:t>means Dollars or any Foreign Currency.</w:t>
      </w:r>
    </w:p>
    <w:p>
      <w:pPr>
        <w:pStyle w:val="TextBody"/>
        <w:bidi w:val="0"/>
        <w:spacing w:before="0" w:after="240"/>
        <w:jc w:val="both"/>
        <w:rPr/>
      </w:pPr>
      <w:r>
        <w:rPr/>
        <w:t>“</w:t>
      </w:r>
      <w:r>
        <w:rPr>
          <w:rFonts w:ascii="Times New Roman;serif" w:hAnsi="Times New Roman;serif"/>
          <w:b w:val="false"/>
          <w:sz w:val="24"/>
          <w:u w:val="single"/>
        </w:rPr>
        <w:t>Daily Simple RFR</w:t>
      </w:r>
      <w:r>
        <w:rPr>
          <w:rFonts w:ascii="Times New Roman" w:hAnsi="Times New Roman"/>
          <w:sz w:val="20"/>
        </w:rPr>
        <w:t xml:space="preserve">” </w:t>
      </w:r>
      <w:r>
        <w:rPr>
          <w:rFonts w:ascii="Times New Roman;serif" w:hAnsi="Times New Roman;serif"/>
          <w:b w:val="false"/>
          <w:sz w:val="24"/>
        </w:rPr>
        <w:t>means, for any day (an “</w:t>
      </w:r>
      <w:r>
        <w:rPr>
          <w:rFonts w:ascii="Times New Roman;serif" w:hAnsi="Times New Roman;serif"/>
          <w:b w:val="false"/>
          <w:sz w:val="24"/>
          <w:u w:val="single"/>
        </w:rPr>
        <w:t>RFR Interest Day</w:t>
      </w:r>
      <w:r>
        <w:rPr>
          <w:rFonts w:ascii="Times New Roman" w:hAnsi="Times New Roman"/>
          <w:sz w:val="20"/>
        </w:rPr>
        <w:t>”</w:t>
      </w:r>
      <w:r>
        <w:rPr>
          <w:rFonts w:ascii="Times New Roman;serif" w:hAnsi="Times New Roman;serif"/>
          <w:b w:val="false"/>
          <w:sz w:val="24"/>
        </w:rPr>
        <w:t>), an interest rate per annum equal to (a) for any RFR Loan denominated in Sterling, the greater of (i) SONIA for the day (the “</w:t>
      </w:r>
      <w:r>
        <w:rPr>
          <w:rFonts w:ascii="Times New Roman;serif" w:hAnsi="Times New Roman;serif"/>
          <w:b w:val="false"/>
          <w:sz w:val="24"/>
          <w:u w:val="single"/>
        </w:rPr>
        <w:t>RFR Reference Day</w:t>
      </w:r>
      <w:r>
        <w:rPr>
          <w:rFonts w:ascii="Times New Roman" w:hAnsi="Times New Roman"/>
          <w:sz w:val="20"/>
        </w:rPr>
        <w:t>”</w:t>
      </w:r>
      <w:r>
        <w:rPr>
          <w:rFonts w:ascii="Times New Roman;serif" w:hAnsi="Times New Roman;serif"/>
          <w:b w:val="false"/>
          <w:sz w:val="24"/>
        </w:rPr>
        <w:t>) that is five (5) RFR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and (b) for any RFR Loan denominated in Swiss Francs, the greater of (i) SARON for the RFR Reference Day that is five (5)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If by 5:00 pm (local time for the applicable RFR), on the second RFR Business Day immediately following any RFR Reference Day, the applicable RFR Rate in respect of such RFR Reference Day has not</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any RFR Rate as determined pursuant to this sentence shall be utilized for purposes of calculating the Daily Simple RFR for no more than three (3) consecutive RFR Interest Days. Any change in Daily Simple RFR due to a change in the applicable RFR Rate shall be effective from and including the effective date of such change in such RFR Rate without notice to the Borrower.</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Daily Simple SOFR</w:t>
      </w:r>
      <w:r>
        <w:rPr>
          <w:rFonts w:ascii="Times New Roman" w:hAnsi="Times New Roman"/>
          <w:sz w:val="20"/>
        </w:rPr>
        <w:t xml:space="preserve">” </w:t>
      </w:r>
      <w:r>
        <w:rPr>
          <w:rFonts w:ascii="Times New Roman;serif" w:hAnsi="Times New Roman;serif"/>
          <w:b w:val="false"/>
          <w:sz w:val="24"/>
        </w:rPr>
        <w:t>means, for any day (a “</w:t>
      </w:r>
      <w:r>
        <w:rPr>
          <w:rFonts w:ascii="Times New Roman;serif" w:hAnsi="Times New Roman;serif"/>
          <w:b w:val="false"/>
          <w:sz w:val="24"/>
          <w:u w:val="single"/>
        </w:rPr>
        <w:t>Daily Simple SOFR Interest Day</w:t>
      </w:r>
      <w:r>
        <w:rPr>
          <w:rFonts w:ascii="Times New Roman" w:hAnsi="Times New Roman"/>
          <w:sz w:val="20"/>
        </w:rPr>
        <w:t>”</w:t>
      </w:r>
      <w:r>
        <w:rPr>
          <w:rFonts w:ascii="Times New Roman;serif" w:hAnsi="Times New Roman;serif"/>
          <w:b w:val="false"/>
          <w:sz w:val="24"/>
        </w:rPr>
        <w:t>) the greater of (i) SOFR for the day that is five (5) Business Days prior to (A) if such Daily Simple SOFR Interest Day is a Business Day, such Daily Simple SOFR Interest Day, (B) if such Daily Simple SOFR Interest Day is not a Business Day, the Business Day immediately preceding such Daily Simple SOFR Interest Day and (ii) 0.00%.</w:t>
      </w:r>
    </w:p>
    <w:p>
      <w:pPr>
        <w:pStyle w:val="TextBody"/>
        <w:bidi w:val="0"/>
        <w:spacing w:before="0" w:after="240"/>
        <w:jc w:val="both"/>
        <w:rPr/>
      </w:pPr>
      <w:r>
        <w:rPr/>
        <w:t>“</w:t>
      </w:r>
      <w:r>
        <w:rPr>
          <w:rFonts w:ascii="Times New Roman;serif" w:hAnsi="Times New Roman;serif"/>
          <w:b w:val="false"/>
          <w:sz w:val="24"/>
          <w:u w:val="single"/>
        </w:rPr>
        <w:t>Default</w:t>
      </w:r>
      <w:r>
        <w:rPr>
          <w:rFonts w:ascii="Times New Roman" w:hAnsi="Times New Roman"/>
          <w:sz w:val="20"/>
        </w:rPr>
        <w:t xml:space="preserve">” </w:t>
      </w:r>
      <w:r>
        <w:rPr>
          <w:rFonts w:ascii="Times New Roman;serif" w:hAnsi="Times New Roman;serif"/>
          <w:b w:val="false"/>
          <w:sz w:val="24"/>
        </w:rPr>
        <w:t>means any event or condition which constitutes an Event of Default or which upon notice, lapse of time or both would, unless cured or waived, become an Event of Default.</w:t>
      </w:r>
    </w:p>
    <w:p>
      <w:pPr>
        <w:pStyle w:val="TextBody"/>
        <w:bidi w:val="0"/>
        <w:spacing w:before="0" w:after="240"/>
        <w:jc w:val="both"/>
        <w:rPr/>
      </w:pPr>
      <w:r>
        <w:rPr/>
        <w:t>“</w:t>
      </w:r>
      <w:r>
        <w:rPr>
          <w:rFonts w:ascii="Times New Roman;serif" w:hAnsi="Times New Roman;serif"/>
          <w:b w:val="false"/>
          <w:sz w:val="24"/>
          <w:u w:val="single"/>
        </w:rPr>
        <w:t>Defaulting Lender</w:t>
      </w:r>
      <w:r>
        <w:rPr>
          <w:rFonts w:ascii="Times New Roman" w:hAnsi="Times New Roman"/>
          <w:sz w:val="20"/>
        </w:rPr>
        <w:t xml:space="preserve">” </w:t>
      </w:r>
      <w:r>
        <w:rPr>
          <w:rFonts w:ascii="Times New Roman;serif" w:hAnsi="Times New Roman;serif"/>
          <w:b w:val="false"/>
          <w:sz w:val="24"/>
        </w:rPr>
        <w:t xml:space="preserve">means, subject to </w:t>
      </w:r>
      <w:r>
        <w:rPr>
          <w:rFonts w:ascii="Times New Roman;serif" w:hAnsi="Times New Roman;serif"/>
          <w:b w:val="false"/>
          <w:sz w:val="24"/>
          <w:u w:val="single"/>
        </w:rPr>
        <w:t>Section 2.19(b)</w:t>
      </w:r>
      <w:r>
        <w:rPr>
          <w:rFonts w:ascii="Times New Roman;serif" w:hAnsi="Times New Roman;serif"/>
          <w:b w:val="false"/>
          <w:sz w:val="24"/>
        </w:rPr>
        <w:t xml:space="preserve">, any Lender that (a) has failed to (i) fund all or any portion of its Loans or participations in Letters of Credit or Swingline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has not otherwise been waived in accordance with the terms of this Agreement, or (ii) pay to the Administrative Agent, any Issuing Bank, any Swingline Lender or any Lender any other amount required to be paid by it hereunder (including in respect of its participation in Letters of Credit or Swingline Loans) within two (2)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serif" w:hAnsi="Times New Roman;serif"/>
          <w:b w:val="false"/>
          <w:sz w:val="24"/>
          <w:u w:val="single"/>
        </w:rPr>
        <w:t>clause (c)</w:t>
      </w:r>
      <w:r>
        <w:rPr>
          <w:rFonts w:ascii="Times New Roman" w:hAnsi="Times New Roman"/>
          <w:sz w:val="20"/>
        </w:rPr>
        <w:t xml:space="preserve"> </w:t>
      </w:r>
      <w:r>
        <w:rPr>
          <w:rFonts w:ascii="Times New Roman;serif" w:hAnsi="Times New Roman;serif"/>
          <w:b w:val="false"/>
          <w:sz w:val="24"/>
        </w:rPr>
        <w:t>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Times New Roman;serif" w:hAnsi="Times New Roman;serif"/>
          <w:b w:val="false"/>
          <w:sz w:val="24"/>
          <w:u w:val="single"/>
        </w:rPr>
        <w:t>clauses (a)</w:t>
      </w:r>
      <w:r>
        <w:rPr>
          <w:rFonts w:ascii="Times New Roman" w:hAnsi="Times New Roman"/>
          <w:sz w:val="20"/>
        </w:rPr>
        <w:t xml:space="preserve"> </w:t>
      </w:r>
      <w:r>
        <w:rPr>
          <w:rFonts w:ascii="Times New Roman;serif" w:hAnsi="Times New Roman;serif"/>
          <w:b w:val="false"/>
          <w:sz w:val="24"/>
        </w:rPr>
        <w:t xml:space="preserve">through </w:t>
      </w:r>
      <w:r>
        <w:rPr>
          <w:rFonts w:ascii="Times New Roman;serif" w:hAnsi="Times New Roman;serif"/>
          <w:b w:val="false"/>
          <w:sz w:val="24"/>
          <w:u w:val="single"/>
        </w:rPr>
        <w:t>(d)</w:t>
      </w:r>
      <w:r>
        <w:rPr>
          <w:rFonts w:ascii="Times New Roman" w:hAnsi="Times New Roman"/>
          <w:sz w:val="20"/>
        </w:rPr>
        <w:t xml:space="preserve"> </w:t>
      </w:r>
      <w:r>
        <w:rPr>
          <w:rFonts w:ascii="Times New Roman;serif" w:hAnsi="Times New Roman;serif"/>
          <w:b w:val="false"/>
          <w:sz w:val="24"/>
        </w:rPr>
        <w:t xml:space="preserve">above shall be conclusive and binding absent manifest error, and such Lender shall be deemed to be a Defaulting Lender (subject to </w:t>
      </w:r>
      <w:r>
        <w:rPr>
          <w:rFonts w:ascii="Times New Roman;serif" w:hAnsi="Times New Roman;serif"/>
          <w:b w:val="false"/>
          <w:sz w:val="24"/>
          <w:u w:val="single"/>
        </w:rPr>
        <w:t>Section 2.19(b)</w:t>
      </w:r>
      <w:r>
        <w:rPr>
          <w:rFonts w:ascii="Times New Roman;serif" w:hAnsi="Times New Roman;serif"/>
          <w:b w:val="false"/>
          <w:sz w:val="24"/>
        </w:rPr>
        <w:t>) upon such determination (and the Administrative Agent shall deliver written notice of such determination to the Borrower, each Issuing Bank and each Lender and each Swingline Lender).</w:t>
      </w:r>
    </w:p>
    <w:p>
      <w:pPr>
        <w:pStyle w:val="TextBody"/>
        <w:bidi w:val="0"/>
        <w:spacing w:before="0" w:after="240"/>
        <w:jc w:val="both"/>
        <w:rPr/>
      </w:pPr>
      <w:r>
        <w:rPr/>
        <w:t>“</w:t>
      </w:r>
      <w:r>
        <w:rPr>
          <w:rFonts w:ascii="Times New Roman;serif" w:hAnsi="Times New Roman;serif"/>
          <w:b w:val="false"/>
          <w:sz w:val="24"/>
          <w:u w:val="single"/>
        </w:rPr>
        <w:t>Designated Obligations</w:t>
      </w:r>
      <w:r>
        <w:rPr>
          <w:rFonts w:ascii="Times New Roman" w:hAnsi="Times New Roman"/>
          <w:sz w:val="20"/>
        </w:rPr>
        <w:t xml:space="preserve">” </w:t>
      </w:r>
      <w:r>
        <w:rPr>
          <w:rFonts w:ascii="Times New Roman;serif" w:hAnsi="Times New Roman;serif"/>
          <w:b w:val="false"/>
          <w:sz w:val="24"/>
        </w:rPr>
        <w:t>means all obligations of the Borrower with respect to (a) principal of and interest on the Loans and (b) accrued and unpaid fees under the Loan Documents.</w:t>
      </w:r>
    </w:p>
    <w:p>
      <w:pPr>
        <w:pStyle w:val="TextBody"/>
        <w:bidi w:val="0"/>
        <w:spacing w:before="0" w:after="240"/>
        <w:jc w:val="both"/>
        <w:rPr/>
      </w:pPr>
      <w:r>
        <w:rPr/>
        <w:t>“</w:t>
      </w:r>
      <w:r>
        <w:rPr>
          <w:rFonts w:ascii="Times New Roman;serif" w:hAnsi="Times New Roman;serif"/>
          <w:b w:val="false"/>
          <w:sz w:val="24"/>
          <w:u w:val="single"/>
        </w:rPr>
        <w:t>Disposition</w:t>
      </w:r>
      <w:r>
        <w:rPr>
          <w:rFonts w:ascii="Times New Roman" w:hAnsi="Times New Roman"/>
          <w:sz w:val="20"/>
        </w:rPr>
        <w:t xml:space="preserve">” </w:t>
      </w:r>
      <w:r>
        <w:rPr>
          <w:rFonts w:ascii="Times New Roman;serif" w:hAnsi="Times New Roman;serif"/>
          <w:b w:val="false"/>
          <w:sz w:val="24"/>
        </w:rPr>
        <w:t>or “</w:t>
      </w:r>
      <w:r>
        <w:rPr>
          <w:rFonts w:ascii="Times New Roman;serif" w:hAnsi="Times New Roman;serif"/>
          <w:b w:val="false"/>
          <w:sz w:val="24"/>
          <w:u w:val="single"/>
        </w:rPr>
        <w:t>Dispose</w:t>
      </w:r>
      <w:r>
        <w:rPr>
          <w:rFonts w:ascii="Times New Roman" w:hAnsi="Times New Roman"/>
          <w:sz w:val="20"/>
        </w:rPr>
        <w:t xml:space="preserve">” </w:t>
      </w:r>
      <w:r>
        <w:rPr>
          <w:rFonts w:ascii="Times New Roman;serif" w:hAnsi="Times New Roman;serif"/>
          <w:b w:val="false"/>
          <w:sz w:val="24"/>
        </w:rPr>
        <w:t xml:space="preserve">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the term “Disposition” or “Dispose” shall not include the disposition of Investments originated by the Borrower and immediately transferred to a Financing Subsidiary pursuant to a transaction not prohibited hereunder.</w:t>
      </w:r>
    </w:p>
    <w:p>
      <w:pPr>
        <w:pStyle w:val="TextBody"/>
        <w:bidi w:val="0"/>
        <w:spacing w:before="0" w:after="240"/>
        <w:jc w:val="both"/>
        <w:rPr/>
      </w:pPr>
      <w:r>
        <w:rPr/>
        <w:t>“</w:t>
      </w:r>
      <w:r>
        <w:rPr>
          <w:rFonts w:ascii="Times New Roman;serif" w:hAnsi="Times New Roman;serif"/>
          <w:b w:val="false"/>
          <w:sz w:val="24"/>
          <w:u w:val="single"/>
        </w:rPr>
        <w:t>Dollar Commitment</w:t>
      </w:r>
      <w:r>
        <w:rPr>
          <w:rFonts w:ascii="Times New Roman" w:hAnsi="Times New Roman"/>
          <w:sz w:val="20"/>
        </w:rPr>
        <w:t xml:space="preserve">” </w:t>
      </w:r>
      <w:r>
        <w:rPr>
          <w:rFonts w:ascii="Times New Roman;serif" w:hAnsi="Times New Roman;serif"/>
          <w:b w:val="false"/>
          <w:sz w:val="24"/>
        </w:rPr>
        <w:t xml:space="preserve">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Times New Roman;serif" w:hAnsi="Times New Roman;serif"/>
          <w:b w:val="false"/>
          <w:sz w:val="24"/>
          <w:u w:val="single"/>
        </w:rPr>
        <w:t>Section 2.08</w:t>
      </w:r>
      <w:r>
        <w:rPr>
          <w:rFonts w:ascii="Times New Roman" w:hAnsi="Times New Roman"/>
          <w:sz w:val="20"/>
        </w:rPr>
        <w:t xml:space="preserve"> </w:t>
      </w:r>
      <w:r>
        <w:rPr>
          <w:rFonts w:ascii="Times New Roman;serif" w:hAnsi="Times New Roman;serif"/>
          <w:b w:val="false"/>
          <w:sz w:val="24"/>
        </w:rPr>
        <w:t xml:space="preserve">and (b) reduced or increased from time to time pursuant to assignments by or to such Lender pursuant to </w:t>
      </w:r>
      <w:r>
        <w:rPr>
          <w:rFonts w:ascii="Times New Roman;serif" w:hAnsi="Times New Roman;serif"/>
          <w:b w:val="false"/>
          <w:sz w:val="24"/>
          <w:u w:val="single"/>
        </w:rPr>
        <w:t>Section 9.04</w:t>
      </w:r>
      <w:r>
        <w:rPr>
          <w:rFonts w:ascii="Times New Roman;serif" w:hAnsi="Times New Roman;serif"/>
          <w:b w:val="false"/>
          <w:sz w:val="24"/>
        </w:rPr>
        <w:t xml:space="preserve">. The amount of each Lender’s Dollar Commitment is, as of the Fourteenth Amendment Effective Date, set forth on </w:t>
      </w:r>
      <w:r>
        <w:rPr>
          <w:rFonts w:ascii="Times New Roman;serif" w:hAnsi="Times New Roman;serif"/>
          <w:b w:val="false"/>
          <w:sz w:val="24"/>
          <w:u w:val="single"/>
        </w:rPr>
        <w:t>Schedule 1.01(b)</w:t>
      </w:r>
      <w:r>
        <w:rPr>
          <w:rFonts w:ascii="Times New Roman;serif" w:hAnsi="Times New Roman;serif"/>
          <w:b w:val="false"/>
          <w:sz w:val="24"/>
        </w:rPr>
        <w:t>, or in the Assignment and Assumption pursuant to which such Lender shall have assumed its Dollar Commitment, as applicable. The aggregate amount of the Lenders’ Dollar Commitments as of the Fourteenth Amendment Effective Date is $560,000,000.</w:t>
      </w:r>
    </w:p>
    <w:p>
      <w:pPr>
        <w:pStyle w:val="TextBody"/>
        <w:bidi w:val="0"/>
        <w:spacing w:before="0" w:after="240"/>
        <w:jc w:val="both"/>
        <w:rPr/>
      </w:pPr>
      <w:r>
        <w:rPr/>
        <w:t>“</w:t>
      </w:r>
      <w:r>
        <w:rPr>
          <w:rFonts w:ascii="Times New Roman;serif" w:hAnsi="Times New Roman;serif"/>
          <w:b w:val="false"/>
          <w:sz w:val="24"/>
          <w:u w:val="single"/>
        </w:rPr>
        <w:t>Dollar Equivalent</w:t>
      </w:r>
      <w:r>
        <w:rPr>
          <w:rFonts w:ascii="Times New Roman" w:hAnsi="Times New Roman"/>
          <w:sz w:val="20"/>
        </w:rPr>
        <w:t xml:space="preserve">” </w:t>
      </w:r>
      <w:r>
        <w:rPr>
          <w:rFonts w:ascii="Times New Roman;serif" w:hAnsi="Times New Roman;serif"/>
          <w:b w:val="false"/>
          <w:sz w:val="24"/>
        </w:rPr>
        <w:t>means, on any date of determination, with respect to an amount denominated in any Foreign Currency, the amount of Dollars that would be required to purchase such amount of such Foreign Currency on the date two (2) Business Days prior to such date, based upon the spot selling rate at which the Administrative Agent offers to sell such Foreign Currency for Dollars in the Principal Financial Center for such Foreign Currency at approximately 11:00 a.m., local time in such Principal Financial Center, for delivery two (2) Business Days later.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Dollar LC Exposure</w:t>
      </w:r>
      <w:r>
        <w:rPr>
          <w:rFonts w:ascii="Times New Roman" w:hAnsi="Times New Roman"/>
          <w:sz w:val="20"/>
        </w:rPr>
        <w:t xml:space="preserve">” </w:t>
      </w:r>
      <w:r>
        <w:rPr>
          <w:rFonts w:ascii="Times New Roman;serif" w:hAnsi="Times New Roman;serif"/>
          <w:b w:val="false"/>
          <w:sz w:val="24"/>
        </w:rPr>
        <w:t xml:space="preserve">means, at any time, the sum of (a) the aggregate undrawn amount of all outstanding Dollar Letters of Credit at such time </w:t>
      </w:r>
      <w:r>
        <w:rPr>
          <w:rFonts w:ascii="Times New Roman;serif" w:hAnsi="Times New Roman;serif"/>
          <w:b w:val="false"/>
          <w:sz w:val="24"/>
          <w:u w:val="single"/>
        </w:rPr>
        <w:t>plus</w:t>
      </w:r>
      <w:r>
        <w:rPr>
          <w:rFonts w:ascii="Times New Roman" w:hAnsi="Times New Roman"/>
          <w:sz w:val="20"/>
        </w:rPr>
        <w:t xml:space="preserve"> </w:t>
      </w:r>
      <w:r>
        <w:rPr>
          <w:rFonts w:ascii="Times New Roman;serif" w:hAnsi="Times New Roman;serif"/>
          <w:b w:val="false"/>
          <w:sz w:val="24"/>
        </w:rPr>
        <w:t>(b)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pStyle w:val="TextBody"/>
        <w:bidi w:val="0"/>
        <w:spacing w:before="0" w:after="240"/>
        <w:jc w:val="both"/>
        <w:rPr/>
      </w:pPr>
      <w:r>
        <w:rPr/>
        <w:t>“</w:t>
      </w:r>
      <w:r>
        <w:rPr>
          <w:rFonts w:ascii="Times New Roman;serif" w:hAnsi="Times New Roman;serif"/>
          <w:b w:val="false"/>
          <w:sz w:val="24"/>
          <w:u w:val="single"/>
        </w:rPr>
        <w:t>Dollar Lender</w:t>
      </w:r>
      <w:r>
        <w:rPr>
          <w:rFonts w:ascii="Times New Roman" w:hAnsi="Times New Roman"/>
          <w:sz w:val="20"/>
        </w:rPr>
        <w:t xml:space="preserve">” </w:t>
      </w:r>
      <w:r>
        <w:rPr>
          <w:rFonts w:ascii="Times New Roman;serif" w:hAnsi="Times New Roman;serif"/>
          <w:b w:val="false"/>
          <w:sz w:val="24"/>
        </w:rPr>
        <w:t xml:space="preserve">means the Persons listed on </w:t>
      </w:r>
      <w:r>
        <w:rPr>
          <w:rFonts w:ascii="Times New Roman;serif" w:hAnsi="Times New Roman;serif"/>
          <w:b w:val="false"/>
          <w:sz w:val="24"/>
          <w:u w:val="single"/>
        </w:rPr>
        <w:t>Schedule 1.01(b)</w:t>
      </w:r>
      <w:r>
        <w:rPr>
          <w:rFonts w:ascii="Times New Roman" w:hAnsi="Times New Roman"/>
          <w:sz w:val="20"/>
        </w:rPr>
        <w:t xml:space="preserve"> </w:t>
      </w:r>
      <w:r>
        <w:rPr>
          <w:rFonts w:ascii="Times New Roman;serif" w:hAnsi="Times New Roman;serif"/>
          <w:b w:val="false"/>
          <w:sz w:val="24"/>
        </w:rPr>
        <w:t>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pStyle w:val="TextBody"/>
        <w:bidi w:val="0"/>
        <w:spacing w:before="0" w:after="240"/>
        <w:jc w:val="both"/>
        <w:rPr/>
      </w:pPr>
      <w:r>
        <w:rPr/>
        <w:t>“</w:t>
      </w:r>
      <w:r>
        <w:rPr>
          <w:rFonts w:ascii="Times New Roman;serif" w:hAnsi="Times New Roman;serif"/>
          <w:b w:val="false"/>
          <w:sz w:val="24"/>
          <w:u w:val="single"/>
        </w:rPr>
        <w:t>Dollar Letters of Credit</w:t>
      </w:r>
      <w:r>
        <w:rPr>
          <w:rFonts w:ascii="Times New Roman" w:hAnsi="Times New Roman"/>
          <w:sz w:val="20"/>
        </w:rPr>
        <w:t xml:space="preserve">” </w:t>
      </w:r>
      <w:r>
        <w:rPr>
          <w:rFonts w:ascii="Times New Roman;serif" w:hAnsi="Times New Roman;serif"/>
          <w:b w:val="false"/>
          <w:sz w:val="24"/>
        </w:rPr>
        <w:t>means Letters of Credit that utilize the Dollar Commitments.</w:t>
      </w:r>
    </w:p>
    <w:p>
      <w:pPr>
        <w:pStyle w:val="TextBody"/>
        <w:bidi w:val="0"/>
        <w:spacing w:before="0" w:after="240"/>
        <w:jc w:val="both"/>
        <w:rPr/>
      </w:pPr>
      <w:r>
        <w:rPr/>
        <w:t>“</w:t>
      </w:r>
      <w:r>
        <w:rPr>
          <w:rFonts w:ascii="Times New Roman;serif" w:hAnsi="Times New Roman;serif"/>
          <w:b w:val="false"/>
          <w:sz w:val="24"/>
          <w:u w:val="single"/>
        </w:rPr>
        <w:t>Dollar Loan</w:t>
      </w:r>
      <w:r>
        <w:rPr>
          <w:rFonts w:ascii="Times New Roman" w:hAnsi="Times New Roman"/>
          <w:sz w:val="20"/>
        </w:rPr>
        <w:t xml:space="preserve">” </w:t>
      </w:r>
      <w:r>
        <w:rPr>
          <w:rFonts w:ascii="Times New Roman;serif" w:hAnsi="Times New Roman;serif"/>
          <w:b w:val="false"/>
          <w:sz w:val="24"/>
        </w:rPr>
        <w:t>means a Loan denominated in Dollars.</w:t>
      </w:r>
    </w:p>
    <w:p>
      <w:pPr>
        <w:pStyle w:val="TextBody"/>
        <w:bidi w:val="0"/>
        <w:spacing w:before="0" w:after="240"/>
        <w:jc w:val="both"/>
        <w:rPr/>
      </w:pPr>
      <w:r>
        <w:rPr/>
        <w:t>“</w:t>
      </w:r>
      <w:r>
        <w:rPr>
          <w:rFonts w:ascii="Times New Roman;serif" w:hAnsi="Times New Roman;serif"/>
          <w:b w:val="false"/>
          <w:sz w:val="24"/>
          <w:u w:val="single"/>
        </w:rPr>
        <w:t>Dollars</w:t>
      </w:r>
      <w:r>
        <w:rPr>
          <w:rFonts w:ascii="Times New Roman" w:hAnsi="Times New Roman"/>
          <w:sz w:val="20"/>
        </w:rPr>
        <w:t xml:space="preserve">” </w:t>
      </w:r>
      <w:r>
        <w:rPr>
          <w:rFonts w:ascii="Times New Roman;serif" w:hAnsi="Times New Roman;serif"/>
          <w:b w:val="false"/>
          <w:sz w:val="24"/>
        </w:rPr>
        <w:t>or “</w:t>
      </w:r>
      <w:r>
        <w:rPr>
          <w:rFonts w:ascii="Times New Roman;serif" w:hAnsi="Times New Roman;serif"/>
          <w:b w:val="false"/>
          <w:sz w:val="24"/>
          <w:u w:val="single"/>
        </w:rPr>
        <w:t>$</w:t>
      </w:r>
      <w:r>
        <w:rPr>
          <w:rFonts w:ascii="Times New Roman" w:hAnsi="Times New Roman"/>
          <w:sz w:val="20"/>
        </w:rPr>
        <w:t xml:space="preserve">” </w:t>
      </w:r>
      <w:r>
        <w:rPr>
          <w:rFonts w:ascii="Times New Roman;serif" w:hAnsi="Times New Roman;serif"/>
          <w:b w:val="false"/>
          <w:sz w:val="24"/>
        </w:rPr>
        <w:t>refers to lawful money of the United States of America.</w:t>
      </w:r>
    </w:p>
    <w:p>
      <w:pPr>
        <w:pStyle w:val="TextBody"/>
        <w:bidi w:val="0"/>
        <w:spacing w:before="0" w:after="240"/>
        <w:jc w:val="both"/>
        <w:rPr/>
      </w:pPr>
      <w:r>
        <w:rPr/>
        <w:t>“</w:t>
      </w:r>
      <w:r>
        <w:rPr>
          <w:rFonts w:ascii="Times New Roman;serif" w:hAnsi="Times New Roman;serif"/>
          <w:b w:val="false"/>
          <w:sz w:val="24"/>
          <w:u w:val="single"/>
        </w:rPr>
        <w:t>EEA Financial Institution</w:t>
      </w:r>
      <w:r>
        <w:rPr>
          <w:rFonts w:ascii="Times New Roman" w:hAnsi="Times New Roman"/>
          <w:sz w:val="20"/>
        </w:rPr>
        <w:t xml:space="preserve">” </w:t>
      </w:r>
      <w:r>
        <w:rPr>
          <w:rFonts w:ascii="Times New Roman;serif" w:hAnsi="Times New Roman;serif"/>
          <w:b w:val="false"/>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t>“</w:t>
      </w:r>
      <w:r>
        <w:rPr>
          <w:rFonts w:ascii="Times New Roman;serif" w:hAnsi="Times New Roman;serif"/>
          <w:b w:val="false"/>
          <w:sz w:val="24"/>
          <w:u w:val="single"/>
        </w:rPr>
        <w:t>EEA Member Country</w:t>
      </w:r>
      <w:r>
        <w:rPr>
          <w:rFonts w:ascii="Times New Roman" w:hAnsi="Times New Roman"/>
          <w:sz w:val="20"/>
        </w:rPr>
        <w:t xml:space="preserve">” </w:t>
      </w:r>
      <w:r>
        <w:rPr>
          <w:rFonts w:ascii="Times New Roman;serif" w:hAnsi="Times New Roman;serif"/>
          <w:b w:val="false"/>
          <w:sz w:val="24"/>
        </w:rPr>
        <w:t>means any of the member states of the European Union, Iceland, Liechtenstein and Norway.</w:t>
      </w:r>
    </w:p>
    <w:p>
      <w:pPr>
        <w:pStyle w:val="TextBody"/>
        <w:bidi w:val="0"/>
        <w:spacing w:before="0" w:after="240"/>
        <w:jc w:val="both"/>
        <w:rPr/>
      </w:pPr>
      <w:r>
        <w:rPr/>
        <w:t>“</w:t>
      </w:r>
      <w:r>
        <w:rPr>
          <w:rFonts w:ascii="Times New Roman;serif" w:hAnsi="Times New Roman;serif"/>
          <w:b w:val="false"/>
          <w:sz w:val="24"/>
          <w:u w:val="single"/>
        </w:rPr>
        <w:t>EEA Resolution Authority</w:t>
      </w:r>
      <w:r>
        <w:rPr>
          <w:rFonts w:ascii="Times New Roman" w:hAnsi="Times New Roman"/>
          <w:sz w:val="20"/>
        </w:rPr>
        <w:t xml:space="preserve">” </w:t>
      </w:r>
      <w:r>
        <w:rPr>
          <w:rFonts w:ascii="Times New Roman;serif" w:hAnsi="Times New Roman;serif"/>
          <w:b w:val="false"/>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t>“</w:t>
      </w:r>
      <w:r>
        <w:rPr>
          <w:rFonts w:ascii="Times New Roman;serif" w:hAnsi="Times New Roman;serif"/>
          <w:b w:val="false"/>
          <w:sz w:val="24"/>
          <w:u w:val="single"/>
        </w:rPr>
        <w:t>Effective Date</w:t>
      </w:r>
      <w:r>
        <w:rPr>
          <w:rFonts w:ascii="Times New Roman" w:hAnsi="Times New Roman"/>
          <w:sz w:val="20"/>
        </w:rPr>
        <w:t xml:space="preserve">” </w:t>
      </w:r>
      <w:r>
        <w:rPr>
          <w:rFonts w:ascii="Times New Roman;serif" w:hAnsi="Times New Roman;serif"/>
          <w:b w:val="false"/>
          <w:sz w:val="24"/>
        </w:rPr>
        <w:t xml:space="preserve">means the date on which the conditions specified in </w:t>
      </w:r>
      <w:r>
        <w:rPr>
          <w:rFonts w:ascii="Times New Roman;serif" w:hAnsi="Times New Roman;serif"/>
          <w:b w:val="false"/>
          <w:sz w:val="24"/>
          <w:u w:val="single"/>
        </w:rPr>
        <w:t>Section 4.01</w:t>
      </w:r>
      <w:r>
        <w:rPr>
          <w:rFonts w:ascii="Times New Roman" w:hAnsi="Times New Roman"/>
          <w:sz w:val="20"/>
        </w:rPr>
        <w:t xml:space="preserve"> </w:t>
      </w:r>
      <w:r>
        <w:rPr>
          <w:rFonts w:ascii="Times New Roman;serif" w:hAnsi="Times New Roman;serif"/>
          <w:b w:val="false"/>
          <w:sz w:val="24"/>
        </w:rPr>
        <w:t xml:space="preserve">are satisfied (or waived in accordance with </w:t>
      </w:r>
      <w:r>
        <w:rPr>
          <w:rFonts w:ascii="Times New Roman;serif" w:hAnsi="Times New Roman;serif"/>
          <w:b w:val="false"/>
          <w:sz w:val="24"/>
          <w:u w:val="single"/>
        </w:rPr>
        <w:t>Section 9.02</w:t>
      </w:r>
      <w:r>
        <w:rPr>
          <w:rFonts w:ascii="Times New Roman;serif" w:hAnsi="Times New Roman;serif"/>
          <w:b w:val="false"/>
          <w:sz w:val="24"/>
        </w:rPr>
        <w:t>), which date is February 27, 2014.</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Equity Interests</w:t>
      </w:r>
      <w:r>
        <w:rPr>
          <w:rFonts w:ascii="Times New Roman" w:hAnsi="Times New Roman"/>
          <w:sz w:val="20"/>
        </w:rPr>
        <w:t xml:space="preserve">” </w:t>
      </w:r>
      <w:r>
        <w:rPr>
          <w:rFonts w:ascii="Times New Roman;serif" w:hAnsi="Times New Roman;serif"/>
          <w:b w:val="false"/>
          <w:sz w:val="24"/>
        </w:rPr>
        <w:t>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pStyle w:val="TextBody"/>
        <w:bidi w:val="0"/>
        <w:spacing w:before="0" w:after="240"/>
        <w:jc w:val="both"/>
        <w:rPr/>
      </w:pPr>
      <w:r>
        <w:rPr/>
        <w:t>“</w:t>
      </w:r>
      <w:r>
        <w:rPr>
          <w:rFonts w:ascii="Times New Roman;serif" w:hAnsi="Times New Roman;serif"/>
          <w:b w:val="false"/>
          <w:sz w:val="24"/>
          <w:u w:val="single"/>
        </w:rPr>
        <w:t>ERISA</w:t>
      </w:r>
      <w:r>
        <w:rPr>
          <w:rFonts w:ascii="Times New Roman" w:hAnsi="Times New Roman"/>
          <w:sz w:val="20"/>
        </w:rPr>
        <w:t xml:space="preserve">” </w:t>
      </w:r>
      <w:r>
        <w:rPr>
          <w:rFonts w:ascii="Times New Roman;serif" w:hAnsi="Times New Roman;serif"/>
          <w:b w:val="false"/>
          <w:sz w:val="24"/>
        </w:rPr>
        <w:t>means the Employee Retirement Income Security Act of 1974, as amended from time to time.</w:t>
      </w:r>
    </w:p>
    <w:p>
      <w:pPr>
        <w:pStyle w:val="TextBody"/>
        <w:bidi w:val="0"/>
        <w:spacing w:before="0" w:after="240"/>
        <w:jc w:val="both"/>
        <w:rPr/>
      </w:pPr>
      <w:r>
        <w:rPr/>
        <w:t>“</w:t>
      </w:r>
      <w:r>
        <w:rPr>
          <w:rFonts w:ascii="Times New Roman;serif" w:hAnsi="Times New Roman;serif"/>
          <w:b w:val="false"/>
          <w:sz w:val="24"/>
          <w:u w:val="single"/>
        </w:rPr>
        <w:t>ERISA Affiliate</w:t>
      </w:r>
      <w:r>
        <w:rPr>
          <w:rFonts w:ascii="Times New Roman" w:hAnsi="Times New Roman"/>
          <w:sz w:val="20"/>
        </w:rPr>
        <w:t xml:space="preserve">” </w:t>
      </w:r>
      <w:r>
        <w:rPr>
          <w:rFonts w:ascii="Times New Roman;serif" w:hAnsi="Times New Roman;serif"/>
          <w:b w:val="false"/>
          <w:sz w:val="24"/>
        </w:rPr>
        <w:t>means any trade or business (whether or not incorporated) that, together with the Borrower, is treated as a single employer under Section 414(b) or (c) of the Code,</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or, solely for purposes of Section 302 of ERISA and Section 412 of the Code, is treated as a single employer under Section 414 of the Code.</w:t>
      </w:r>
    </w:p>
    <w:p>
      <w:pPr>
        <w:pStyle w:val="TextBody"/>
        <w:bidi w:val="0"/>
        <w:spacing w:before="0" w:after="240"/>
        <w:jc w:val="both"/>
        <w:rPr/>
      </w:pPr>
      <w:r>
        <w:rPr/>
        <w:t>“</w:t>
      </w:r>
      <w:r>
        <w:rPr>
          <w:rFonts w:ascii="Times New Roman;serif" w:hAnsi="Times New Roman;serif"/>
          <w:b w:val="false"/>
          <w:sz w:val="24"/>
          <w:u w:val="single"/>
        </w:rPr>
        <w:t>ERISA Event</w:t>
      </w:r>
      <w:r>
        <w:rPr>
          <w:rFonts w:ascii="Times New Roman" w:hAnsi="Times New Roman"/>
          <w:sz w:val="20"/>
        </w:rPr>
        <w:t xml:space="preserve">” </w:t>
      </w:r>
      <w:r>
        <w:rPr>
          <w:rFonts w:ascii="Times New Roman;serif" w:hAnsi="Times New Roman;serif"/>
          <w:b w:val="false"/>
          <w:sz w:val="24"/>
        </w:rPr>
        <w:t>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pStyle w:val="TextBody"/>
        <w:bidi w:val="0"/>
        <w:spacing w:before="0" w:after="220"/>
        <w:jc w:val="left"/>
        <w:rPr/>
      </w:pPr>
      <w:r>
        <w:rPr/>
        <w:t>“</w:t>
      </w:r>
      <w:r>
        <w:rPr>
          <w:rFonts w:ascii="Times New Roman;serif" w:hAnsi="Times New Roman;serif"/>
          <w:b w:val="false"/>
          <w:sz w:val="24"/>
          <w:u w:val="single"/>
        </w:rPr>
        <w:t>Erroneous Payment</w:t>
      </w:r>
      <w:r>
        <w:rPr>
          <w:rFonts w:ascii="Times New Roman" w:hAnsi="Times New Roman"/>
          <w:sz w:val="20"/>
        </w:rPr>
        <w:t xml:space="preserve">” </w:t>
      </w:r>
      <w:r>
        <w:rPr>
          <w:rFonts w:ascii="Times New Roman;serif" w:hAnsi="Times New Roman;serif"/>
          <w:b w:val="false"/>
          <w:sz w:val="24"/>
        </w:rPr>
        <w:t xml:space="preserve">has the meaning assigned to it in </w:t>
      </w:r>
      <w:r>
        <w:rPr>
          <w:rFonts w:ascii="Times New Roman;serif" w:hAnsi="Times New Roman;serif"/>
          <w:b w:val="false"/>
          <w:sz w:val="24"/>
          <w:u w:val="single"/>
        </w:rPr>
        <w:t>Section 8.09(a)</w:t>
      </w:r>
      <w:r>
        <w:rPr>
          <w:rFonts w:ascii="Times New Roman;serif" w:hAnsi="Times New Roman;serif"/>
          <w:b w:val="false"/>
          <w:sz w:val="24"/>
        </w:rPr>
        <w:t>.</w:t>
      </w:r>
    </w:p>
    <w:p>
      <w:pPr>
        <w:pStyle w:val="TextBody"/>
        <w:bidi w:val="0"/>
        <w:spacing w:before="0" w:after="220"/>
        <w:jc w:val="left"/>
        <w:rPr/>
      </w:pPr>
      <w:r>
        <w:rPr/>
        <w:t>“</w:t>
      </w:r>
      <w:r>
        <w:rPr>
          <w:rFonts w:ascii="Times New Roman;serif" w:hAnsi="Times New Roman;serif"/>
          <w:b w:val="false"/>
          <w:sz w:val="24"/>
          <w:u w:val="single"/>
        </w:rPr>
        <w:t>Erroneous Payment Deficiency Assignment</w:t>
      </w:r>
      <w:r>
        <w:rPr>
          <w:rFonts w:ascii="Times New Roman" w:hAnsi="Times New Roman"/>
          <w:sz w:val="20"/>
        </w:rPr>
        <w:t xml:space="preserve">” </w:t>
      </w:r>
      <w:r>
        <w:rPr>
          <w:rFonts w:ascii="Times New Roman;serif" w:hAnsi="Times New Roman;serif"/>
          <w:b w:val="false"/>
          <w:sz w:val="24"/>
        </w:rPr>
        <w:t xml:space="preserve">has the meaning assigned to it in </w:t>
      </w:r>
      <w:r>
        <w:rPr>
          <w:rFonts w:ascii="Times New Roman;serif" w:hAnsi="Times New Roman;serif"/>
          <w:b w:val="false"/>
          <w:sz w:val="24"/>
          <w:u w:val="single"/>
        </w:rPr>
        <w:t>Section 8.09(d)</w:t>
      </w:r>
      <w:r>
        <w:rPr>
          <w:rFonts w:ascii="Times New Roman;serif" w:hAnsi="Times New Roman;serif"/>
          <w:b w:val="false"/>
          <w:sz w:val="24"/>
        </w:rPr>
        <w:t>.</w:t>
      </w:r>
    </w:p>
    <w:p>
      <w:pPr>
        <w:pStyle w:val="TextBody"/>
        <w:bidi w:val="0"/>
        <w:spacing w:before="0" w:after="220"/>
        <w:jc w:val="left"/>
        <w:rPr/>
      </w:pPr>
      <w:r>
        <w:rPr/>
        <w:t>“</w:t>
      </w:r>
      <w:r>
        <w:rPr>
          <w:rFonts w:ascii="Times New Roman;serif" w:hAnsi="Times New Roman;serif"/>
          <w:b w:val="false"/>
          <w:sz w:val="24"/>
          <w:u w:val="single"/>
        </w:rPr>
        <w:t>Erroneous Payment Impacted Class</w:t>
      </w:r>
      <w:r>
        <w:rPr>
          <w:rFonts w:ascii="Times New Roman" w:hAnsi="Times New Roman"/>
          <w:sz w:val="20"/>
        </w:rPr>
        <w:t xml:space="preserve">” </w:t>
      </w:r>
      <w:r>
        <w:rPr>
          <w:rFonts w:ascii="Times New Roman;serif" w:hAnsi="Times New Roman;serif"/>
          <w:b w:val="false"/>
          <w:sz w:val="24"/>
        </w:rPr>
        <w:t xml:space="preserve">has the meaning assigned to it in </w:t>
      </w:r>
      <w:r>
        <w:rPr>
          <w:rFonts w:ascii="Times New Roman;serif" w:hAnsi="Times New Roman;serif"/>
          <w:b w:val="false"/>
          <w:sz w:val="24"/>
          <w:u w:val="single"/>
        </w:rPr>
        <w:t>Section 8.09(d)</w:t>
      </w:r>
      <w:r>
        <w:rPr>
          <w:rFonts w:ascii="Times New Roman;serif" w:hAnsi="Times New Roman;serif"/>
          <w:b w:val="false"/>
          <w:sz w:val="24"/>
        </w:rPr>
        <w:t>.</w:t>
      </w:r>
    </w:p>
    <w:p>
      <w:pPr>
        <w:pStyle w:val="TextBody"/>
        <w:bidi w:val="0"/>
        <w:spacing w:before="0" w:after="220"/>
        <w:jc w:val="left"/>
        <w:rPr/>
      </w:pPr>
      <w:r>
        <w:rPr/>
        <w:t>“</w:t>
      </w:r>
      <w:r>
        <w:rPr>
          <w:rFonts w:ascii="Times New Roman;serif" w:hAnsi="Times New Roman;serif"/>
          <w:b w:val="false"/>
          <w:sz w:val="24"/>
          <w:u w:val="single"/>
        </w:rPr>
        <w:t>Erroneous Payment Return Deficiency</w:t>
      </w:r>
      <w:r>
        <w:rPr>
          <w:rFonts w:ascii="Times New Roman" w:hAnsi="Times New Roman"/>
          <w:sz w:val="20"/>
        </w:rPr>
        <w:t xml:space="preserve">” </w:t>
      </w:r>
      <w:r>
        <w:rPr>
          <w:rFonts w:ascii="Times New Roman;serif" w:hAnsi="Times New Roman;serif"/>
          <w:b w:val="false"/>
          <w:sz w:val="24"/>
        </w:rPr>
        <w:t xml:space="preserve">has the meaning assigned to it in </w:t>
      </w:r>
      <w:r>
        <w:rPr>
          <w:rFonts w:ascii="Times New Roman;serif" w:hAnsi="Times New Roman;serif"/>
          <w:b w:val="false"/>
          <w:sz w:val="24"/>
          <w:u w:val="single"/>
        </w:rPr>
        <w:t>Section 8.09(d)</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Erroneous Payment Subrogation Rights</w:t>
      </w:r>
      <w:r>
        <w:rPr>
          <w:rFonts w:ascii="Times New Roman" w:hAnsi="Times New Roman"/>
          <w:sz w:val="20"/>
        </w:rPr>
        <w:t xml:space="preserve">” </w:t>
      </w:r>
      <w:r>
        <w:rPr>
          <w:rFonts w:ascii="Times New Roman;serif" w:hAnsi="Times New Roman;serif"/>
          <w:b w:val="false"/>
          <w:sz w:val="24"/>
        </w:rPr>
        <w:t xml:space="preserve">has the meaning assigned to it in </w:t>
      </w:r>
      <w:r>
        <w:rPr>
          <w:rFonts w:ascii="Times New Roman;serif" w:hAnsi="Times New Roman;serif"/>
          <w:b w:val="false"/>
          <w:sz w:val="24"/>
          <w:u w:val="single"/>
        </w:rPr>
        <w:t>Section 8.09(d)</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EU Bail-In Legislation Schedule</w:t>
      </w:r>
      <w:r>
        <w:rPr>
          <w:rFonts w:ascii="Times New Roman" w:hAnsi="Times New Roman"/>
          <w:sz w:val="20"/>
        </w:rPr>
        <w:t xml:space="preserve">” </w:t>
      </w:r>
      <w:r>
        <w:rPr>
          <w:rFonts w:ascii="Times New Roman;serif" w:hAnsi="Times New Roman;serif"/>
          <w:b w:val="false"/>
          <w:sz w:val="24"/>
        </w:rPr>
        <w:t>means the EU Bail-In Legislation Schedule published by the Loan Market Association (or any successor person), as in effect from time to time.</w:t>
      </w:r>
    </w:p>
    <w:p>
      <w:pPr>
        <w:pStyle w:val="TextBody"/>
        <w:bidi w:val="0"/>
        <w:spacing w:before="0" w:after="240"/>
        <w:jc w:val="both"/>
        <w:rPr/>
      </w:pPr>
      <w:r>
        <w:rPr/>
        <w:t>“</w:t>
      </w:r>
      <w:r>
        <w:rPr>
          <w:rFonts w:ascii="Times New Roman;serif" w:hAnsi="Times New Roman;serif"/>
          <w:b w:val="false"/>
          <w:sz w:val="24"/>
          <w:u w:val="single"/>
        </w:rPr>
        <w:t>EURIBOR Screen Rate</w:t>
      </w:r>
      <w:r>
        <w:rPr>
          <w:rFonts w:ascii="Times New Roman" w:hAnsi="Times New Roman"/>
          <w:sz w:val="20"/>
        </w:rPr>
        <w:t xml:space="preserve">” </w:t>
      </w:r>
      <w:r>
        <w:rPr>
          <w:rFonts w:ascii="Times New Roman;serif" w:hAnsi="Times New Roman;serif"/>
          <w:b w:val="false"/>
          <w:sz w:val="24"/>
        </w:rPr>
        <w:t>has the meaning set forth in the definition of “Term Benchmark Rate”.</w:t>
      </w:r>
    </w:p>
    <w:p>
      <w:pPr>
        <w:pStyle w:val="TextBody"/>
        <w:bidi w:val="0"/>
        <w:spacing w:before="0" w:after="240"/>
        <w:jc w:val="both"/>
        <w:rPr/>
      </w:pPr>
      <w:r>
        <w:rPr/>
        <w:t>“</w:t>
      </w:r>
      <w:r>
        <w:rPr>
          <w:rFonts w:ascii="Times New Roman;serif" w:hAnsi="Times New Roman;serif"/>
          <w:b w:val="false"/>
          <w:sz w:val="24"/>
          <w:u w:val="single"/>
        </w:rPr>
        <w:t>Euro</w:t>
      </w:r>
      <w:r>
        <w:rPr>
          <w:rFonts w:ascii="Times New Roman" w:hAnsi="Times New Roman"/>
          <w:sz w:val="20"/>
        </w:rPr>
        <w:t xml:space="preserve">” </w:t>
      </w:r>
      <w:r>
        <w:rPr>
          <w:rFonts w:ascii="Times New Roman;serif" w:hAnsi="Times New Roman;serif"/>
          <w:b w:val="false"/>
          <w:sz w:val="24"/>
        </w:rPr>
        <w:t>means a single currency of the Participating Member States.</w:t>
      </w:r>
    </w:p>
    <w:p>
      <w:pPr>
        <w:pStyle w:val="TextBody"/>
        <w:bidi w:val="0"/>
        <w:spacing w:before="0" w:after="240"/>
        <w:jc w:val="both"/>
        <w:rPr/>
      </w:pPr>
      <w:r>
        <w:rPr/>
        <w:t>“</w:t>
      </w:r>
      <w:r>
        <w:rPr>
          <w:rFonts w:ascii="Times New Roman;serif" w:hAnsi="Times New Roman;serif"/>
          <w:b w:val="false"/>
          <w:sz w:val="24"/>
          <w:u w:val="single"/>
        </w:rPr>
        <w:t>Event of Default</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Article VII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Excluded Taxes</w:t>
      </w:r>
      <w:r>
        <w:rPr>
          <w:rFonts w:ascii="Times New Roman" w:hAnsi="Times New Roman"/>
          <w:sz w:val="20"/>
        </w:rPr>
        <w:t xml:space="preserve">” </w:t>
      </w:r>
      <w:r>
        <w:rPr>
          <w:rFonts w:ascii="Times New Roman;serif" w:hAnsi="Times New Roman;serif"/>
          <w:b w:val="false"/>
          <w:sz w:val="24"/>
        </w:rPr>
        <w:t>means, with respect to the Administrative Agent, any Lender, any Issuing Bank or any other recipient of any payment to be made by or on account of any obligation of the Borrower hereunder, (a) Taxes imposed on (or measured by) its net income</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Times New Roman;serif" w:hAnsi="Times New Roman;serif"/>
          <w:b w:val="false"/>
          <w:sz w:val="24"/>
          <w:u w:val="single"/>
        </w:rPr>
        <w:t>Section 2.18(b)</w:t>
      </w:r>
      <w:r>
        <w:rPr>
          <w:rFonts w:ascii="Times New Roman;serif" w:hAnsi="Times New Roman;serif"/>
          <w:b w:val="false"/>
          <w:sz w:val="24"/>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Times New Roman;serif" w:hAnsi="Times New Roman;serif"/>
          <w:b w:val="false"/>
          <w:sz w:val="24"/>
          <w:u w:val="single"/>
        </w:rPr>
        <w:t>Section 2.16</w:t>
      </w:r>
      <w:r>
        <w:rPr>
          <w:rFonts w:ascii="Times New Roman;serif" w:hAnsi="Times New Roman;serif"/>
          <w:b w:val="false"/>
          <w:sz w:val="24"/>
        </w:rPr>
        <w:t xml:space="preserve">, at the time of such assignment or designation (other than to the extent such withholding is as a result of a CAM Exchange), or (ii) that is attributable to such Lender’s failure or inability to comply with </w:t>
      </w:r>
      <w:r>
        <w:rPr>
          <w:rFonts w:ascii="Times New Roman;serif" w:hAnsi="Times New Roman;serif"/>
          <w:b w:val="false"/>
          <w:sz w:val="24"/>
          <w:u w:val="single"/>
        </w:rPr>
        <w:t>Section 2.16(f)</w:t>
      </w:r>
      <w:r>
        <w:rPr>
          <w:rFonts w:ascii="Times New Roman;serif" w:hAnsi="Times New Roman;serif"/>
          <w:b w:val="false"/>
          <w:sz w:val="24"/>
        </w:rPr>
        <w:t>, (c) any U.S. federal, state or local backup withholding Taxes imposed on payments made under any Loan Document, and (d) any Taxes that are imposed under FATCA.</w:t>
      </w:r>
    </w:p>
    <w:p>
      <w:pPr>
        <w:pStyle w:val="TextBody"/>
        <w:bidi w:val="0"/>
        <w:spacing w:before="0" w:after="240"/>
        <w:jc w:val="both"/>
        <w:rPr/>
      </w:pPr>
      <w:r>
        <w:rPr/>
        <w:t>“</w:t>
      </w:r>
      <w:r>
        <w:rPr>
          <w:rFonts w:ascii="Times New Roman;serif" w:hAnsi="Times New Roman;serif"/>
          <w:b w:val="false"/>
          <w:sz w:val="24"/>
          <w:u w:val="single"/>
        </w:rPr>
        <w:t>Existing Credit Agreement</w:t>
      </w:r>
      <w:r>
        <w:rPr>
          <w:rFonts w:ascii="Times New Roman" w:hAnsi="Times New Roman"/>
          <w:sz w:val="20"/>
        </w:rPr>
        <w:t xml:space="preserve">” </w:t>
      </w:r>
      <w:r>
        <w:rPr>
          <w:rFonts w:ascii="Times New Roman;serif" w:hAnsi="Times New Roman;serif"/>
          <w:b w:val="false"/>
          <w:sz w:val="24"/>
        </w:rPr>
        <w:t xml:space="preserve">has the meaning assigned to such term in the </w:t>
      </w:r>
      <w:r>
        <w:rPr>
          <w:rFonts w:ascii="Times New Roman;serif" w:hAnsi="Times New Roman;serif"/>
          <w:b w:val="false"/>
          <w:sz w:val="24"/>
          <w:u w:val="single"/>
        </w:rPr>
        <w:t>recitals</w:t>
      </w:r>
      <w:r>
        <w:rPr>
          <w:rFonts w:ascii="Times New Roman" w:hAnsi="Times New Roman"/>
          <w:sz w:val="20"/>
        </w:rPr>
        <w:t xml:space="preserve"> </w:t>
      </w:r>
      <w:r>
        <w:rPr>
          <w:rFonts w:ascii="Times New Roman;serif" w:hAnsi="Times New Roman;serif"/>
          <w:b w:val="false"/>
          <w:sz w:val="24"/>
        </w:rPr>
        <w:t>to this Agreement.</w:t>
      </w:r>
    </w:p>
    <w:p>
      <w:pPr>
        <w:pStyle w:val="TextBody"/>
        <w:bidi w:val="0"/>
        <w:spacing w:before="0" w:after="240"/>
        <w:jc w:val="both"/>
        <w:rPr/>
      </w:pPr>
      <w:r>
        <w:rPr/>
        <w:t>“</w:t>
      </w:r>
      <w:r>
        <w:rPr>
          <w:rFonts w:ascii="Times New Roman;serif" w:hAnsi="Times New Roman;serif"/>
          <w:b w:val="false"/>
          <w:sz w:val="24"/>
          <w:u w:val="single"/>
        </w:rPr>
        <w:t>Existing Lenders</w:t>
      </w:r>
      <w:r>
        <w:rPr>
          <w:rFonts w:ascii="Times New Roman" w:hAnsi="Times New Roman"/>
          <w:sz w:val="20"/>
        </w:rPr>
        <w:t xml:space="preserve">” </w:t>
      </w:r>
      <w:r>
        <w:rPr>
          <w:rFonts w:ascii="Times New Roman;serif" w:hAnsi="Times New Roman;serif"/>
          <w:b w:val="false"/>
          <w:sz w:val="24"/>
        </w:rPr>
        <w:t xml:space="preserve">has the meaning assigned to such term in the </w:t>
      </w:r>
      <w:r>
        <w:rPr>
          <w:rFonts w:ascii="Times New Roman;serif" w:hAnsi="Times New Roman;serif"/>
          <w:b w:val="false"/>
          <w:sz w:val="24"/>
          <w:u w:val="single"/>
        </w:rPr>
        <w:t>recitals</w:t>
      </w:r>
      <w:r>
        <w:rPr>
          <w:rFonts w:ascii="Times New Roman" w:hAnsi="Times New Roman"/>
          <w:sz w:val="20"/>
        </w:rPr>
        <w:t xml:space="preserve"> </w:t>
      </w:r>
      <w:r>
        <w:rPr>
          <w:rFonts w:ascii="Times New Roman;serif" w:hAnsi="Times New Roman;serif"/>
          <w:b w:val="false"/>
          <w:sz w:val="24"/>
        </w:rPr>
        <w:t>to this Agreement.</w:t>
      </w:r>
    </w:p>
    <w:p>
      <w:pPr>
        <w:pStyle w:val="TextBody"/>
        <w:bidi w:val="0"/>
        <w:spacing w:before="0" w:after="240"/>
        <w:jc w:val="both"/>
        <w:rPr/>
      </w:pPr>
      <w:r>
        <w:rPr/>
        <w:t>“</w:t>
      </w:r>
      <w:r>
        <w:rPr>
          <w:rFonts w:ascii="Times New Roman;serif" w:hAnsi="Times New Roman;serif"/>
          <w:b w:val="false"/>
          <w:sz w:val="24"/>
          <w:u w:val="single"/>
        </w:rPr>
        <w:t>Existing Loans</w:t>
      </w:r>
      <w:r>
        <w:rPr>
          <w:rFonts w:ascii="Times New Roman" w:hAnsi="Times New Roman"/>
          <w:sz w:val="20"/>
        </w:rPr>
        <w:t xml:space="preserve">” </w:t>
      </w:r>
      <w:r>
        <w:rPr>
          <w:rFonts w:ascii="Times New Roman;serif" w:hAnsi="Times New Roman;serif"/>
          <w:b w:val="false"/>
          <w:sz w:val="24"/>
        </w:rPr>
        <w:t xml:space="preserve">has the meaning assigned to such term in the </w:t>
      </w:r>
      <w:r>
        <w:rPr>
          <w:rFonts w:ascii="Times New Roman;serif" w:hAnsi="Times New Roman;serif"/>
          <w:b w:val="false"/>
          <w:sz w:val="24"/>
          <w:u w:val="single"/>
        </w:rPr>
        <w:t>recitals</w:t>
      </w:r>
      <w:r>
        <w:rPr>
          <w:rFonts w:ascii="Times New Roman" w:hAnsi="Times New Roman"/>
          <w:sz w:val="20"/>
        </w:rPr>
        <w:t xml:space="preserve"> </w:t>
      </w:r>
      <w:r>
        <w:rPr>
          <w:rFonts w:ascii="Times New Roman;serif" w:hAnsi="Times New Roman;serif"/>
          <w:b w:val="false"/>
          <w:sz w:val="24"/>
        </w:rPr>
        <w:t>to this Agreement.</w:t>
      </w:r>
    </w:p>
    <w:p>
      <w:pPr>
        <w:pStyle w:val="TextBody"/>
        <w:bidi w:val="0"/>
        <w:spacing w:before="0" w:after="240"/>
        <w:jc w:val="both"/>
        <w:rPr/>
      </w:pPr>
      <w:r>
        <w:rPr/>
        <w:t>“</w:t>
      </w:r>
      <w:r>
        <w:rPr>
          <w:rFonts w:ascii="Times New Roman;serif" w:hAnsi="Times New Roman;serif"/>
          <w:b w:val="false"/>
          <w:sz w:val="24"/>
          <w:u w:val="single"/>
        </w:rPr>
        <w:t>Extended Applicable Margin</w:t>
      </w:r>
      <w:r>
        <w:rPr>
          <w:rFonts w:ascii="Times New Roman" w:hAnsi="Times New Roman"/>
          <w:sz w:val="20"/>
        </w:rPr>
        <w:t xml:space="preserve">” </w:t>
      </w:r>
      <w:r>
        <w:rPr>
          <w:rFonts w:ascii="Times New Roman;serif" w:hAnsi="Times New Roman;serif"/>
          <w:b w:val="false"/>
          <w:sz w:val="24"/>
        </w:rPr>
        <w:t xml:space="preserve">means, with respect to any Extending Lender: (a) if the Borrowing Base (as of the most recently delivered Borrowing Base Certificate) is equal to or greater than 1.60 times the Combined Debt Amount, (i) with respect to any ABR Loan, 0.75% per annum; (ii) with respect to any Term Benchmark Loan, 1.75% per annum; and (iii) with respect to any RFR Loan 1.75% per annum; and (b) if the Borrowing Base (as of the most recently delivered Borrowing Base Certificate) is less than 1.60 times the Combined Debt Amount (i) with respect to any ABR Loan, 0.875% per annum; (ii) with respect to any Term Benchmark Loan, 1.875% per annum; and (iii) with respect to any RFR Loan 1.875% per annum. Any change in the 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if any Borrowing Base Certificate has not been delivered in accordance with </w:t>
      </w:r>
      <w:r>
        <w:rPr>
          <w:rFonts w:ascii="Times New Roman;serif" w:hAnsi="Times New Roman;serif"/>
          <w:b w:val="false"/>
          <w:sz w:val="24"/>
          <w:u w:val="single"/>
        </w:rPr>
        <w:t>Section 5.01(d)</w:t>
      </w:r>
      <w:r>
        <w:rPr>
          <w:rFonts w:ascii="Times New Roman;serif" w:hAnsi="Times New Roman;serif"/>
          <w:b w:val="false"/>
          <w:sz w:val="24"/>
        </w:rPr>
        <w:t xml:space="preserve">, then from and including the day immediately succeeding the date on which such Borrowing Base Certificate was required to be delivered, the Extended Applicable Margin shall be the Extended Applicable Margin set forth in </w:t>
      </w:r>
      <w:r>
        <w:rPr>
          <w:rFonts w:ascii="Times New Roman;serif" w:hAnsi="Times New Roman;serif"/>
          <w:b w:val="false"/>
          <w:sz w:val="24"/>
          <w:u w:val="single"/>
        </w:rPr>
        <w:t>clause (b)</w:t>
      </w:r>
      <w:r>
        <w:rPr>
          <w:rFonts w:ascii="Times New Roman" w:hAnsi="Times New Roman"/>
          <w:sz w:val="20"/>
        </w:rPr>
        <w:t xml:space="preserve"> </w:t>
      </w:r>
      <w:r>
        <w:rPr>
          <w:rFonts w:ascii="Times New Roman;serif" w:hAnsi="Times New Roman;serif"/>
          <w:b w:val="false"/>
          <w:sz w:val="24"/>
        </w:rPr>
        <w:t>above to and including the date on which the required Borrowing Base Certificate is delivered.</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Extended Availability Period</w:t>
      </w:r>
      <w:r>
        <w:rPr>
          <w:rFonts w:ascii="Times New Roman" w:hAnsi="Times New Roman"/>
          <w:sz w:val="20"/>
        </w:rPr>
        <w:t xml:space="preserve">” </w:t>
      </w:r>
      <w:r>
        <w:rPr>
          <w:rFonts w:ascii="Times New Roman;serif" w:hAnsi="Times New Roman;serif"/>
          <w:b w:val="false"/>
          <w:sz w:val="24"/>
        </w:rPr>
        <w:t>means, with respect to any Extending Lender, the period from and including the Effective Date to but excluding the earlier of the Extended Commitment Termination Date and the date of termination of the Commitments.</w:t>
      </w:r>
    </w:p>
    <w:p>
      <w:pPr>
        <w:pStyle w:val="TextBody"/>
        <w:bidi w:val="0"/>
        <w:spacing w:before="0" w:after="240"/>
        <w:jc w:val="both"/>
        <w:rPr/>
      </w:pPr>
      <w:r>
        <w:rPr/>
        <w:t>“</w:t>
      </w:r>
      <w:r>
        <w:rPr>
          <w:rFonts w:ascii="Times New Roman;serif" w:hAnsi="Times New Roman;serif"/>
          <w:b w:val="false"/>
          <w:sz w:val="24"/>
          <w:u w:val="single"/>
        </w:rPr>
        <w:t>Extended Commitment Termination Date</w:t>
      </w:r>
      <w:r>
        <w:rPr>
          <w:rFonts w:ascii="Times New Roman" w:hAnsi="Times New Roman"/>
          <w:sz w:val="20"/>
        </w:rPr>
        <w:t xml:space="preserve">” </w:t>
      </w:r>
      <w:r>
        <w:rPr>
          <w:rFonts w:ascii="Times New Roman;serif" w:hAnsi="Times New Roman;serif"/>
          <w:b w:val="false"/>
          <w:sz w:val="24"/>
        </w:rPr>
        <w:t>means, with respect to each Extending Lender, June 11, 2027.</w:t>
      </w:r>
    </w:p>
    <w:p>
      <w:pPr>
        <w:pStyle w:val="TextBody"/>
        <w:bidi w:val="0"/>
        <w:spacing w:before="0" w:after="240"/>
        <w:jc w:val="both"/>
        <w:rPr/>
      </w:pPr>
      <w:r>
        <w:rPr/>
        <w:t>“</w:t>
      </w:r>
      <w:r>
        <w:rPr>
          <w:rFonts w:ascii="Times New Roman;serif" w:hAnsi="Times New Roman;serif"/>
          <w:b w:val="false"/>
          <w:sz w:val="24"/>
          <w:u w:val="single"/>
        </w:rPr>
        <w:t>Extended Final Maturity Date</w:t>
      </w:r>
      <w:r>
        <w:rPr>
          <w:rFonts w:ascii="Times New Roman" w:hAnsi="Times New Roman"/>
          <w:sz w:val="20"/>
        </w:rPr>
        <w:t xml:space="preserve">” </w:t>
      </w:r>
      <w:r>
        <w:rPr>
          <w:rFonts w:ascii="Times New Roman;serif" w:hAnsi="Times New Roman;serif"/>
          <w:b w:val="false"/>
          <w:sz w:val="24"/>
        </w:rPr>
        <w:t>means, with respect to each Extending Lender, June 12, 2028.</w:t>
      </w:r>
    </w:p>
    <w:p>
      <w:pPr>
        <w:pStyle w:val="TextBody"/>
        <w:bidi w:val="0"/>
        <w:spacing w:before="0" w:after="240"/>
        <w:jc w:val="both"/>
        <w:rPr/>
      </w:pPr>
      <w:r>
        <w:rPr/>
        <w:t>“</w:t>
      </w:r>
      <w:r>
        <w:rPr>
          <w:rFonts w:ascii="Times New Roman;serif" w:hAnsi="Times New Roman;serif"/>
          <w:b w:val="false"/>
          <w:sz w:val="24"/>
          <w:u w:val="single"/>
        </w:rPr>
        <w:t>Extended Loans</w:t>
      </w:r>
      <w:r>
        <w:rPr>
          <w:rFonts w:ascii="Times New Roman" w:hAnsi="Times New Roman"/>
          <w:sz w:val="20"/>
        </w:rPr>
        <w:t xml:space="preserve">” </w:t>
      </w:r>
      <w:r>
        <w:rPr>
          <w:rFonts w:ascii="Times New Roman;serif" w:hAnsi="Times New Roman;serif"/>
          <w:b w:val="false"/>
          <w:sz w:val="24"/>
        </w:rPr>
        <w:t>means Loans or Borrowings of any Extending Lender maturing on the Extended Final Maturity Date.</w:t>
      </w:r>
    </w:p>
    <w:p>
      <w:pPr>
        <w:pStyle w:val="TextBody"/>
        <w:bidi w:val="0"/>
        <w:spacing w:before="0" w:after="240"/>
        <w:jc w:val="both"/>
        <w:rPr/>
      </w:pPr>
      <w:r>
        <w:rPr/>
        <w:t>“</w:t>
      </w:r>
      <w:r>
        <w:rPr>
          <w:rFonts w:ascii="Times New Roman;serif" w:hAnsi="Times New Roman;serif"/>
          <w:b w:val="false"/>
          <w:sz w:val="24"/>
          <w:u w:val="single"/>
        </w:rPr>
        <w:t>Extending Lender</w:t>
      </w:r>
      <w:r>
        <w:rPr>
          <w:rFonts w:ascii="Times New Roman" w:hAnsi="Times New Roman"/>
          <w:sz w:val="20"/>
        </w:rPr>
        <w:t xml:space="preserve">” </w:t>
      </w:r>
      <w:r>
        <w:rPr>
          <w:rFonts w:ascii="Times New Roman;serif" w:hAnsi="Times New Roman;serif"/>
          <w:b w:val="false"/>
          <w:sz w:val="24"/>
        </w:rPr>
        <w:t xml:space="preserve">means each Lender designated as an “Extending Lender” on </w:t>
      </w:r>
      <w:r>
        <w:rPr>
          <w:rFonts w:ascii="Times New Roman;serif" w:hAnsi="Times New Roman;serif"/>
          <w:b w:val="false"/>
          <w:sz w:val="24"/>
          <w:u w:val="single"/>
        </w:rPr>
        <w:t>Schedule 1.01(b)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External Manager</w:t>
      </w:r>
      <w:r>
        <w:rPr>
          <w:rFonts w:ascii="Times New Roman" w:hAnsi="Times New Roman"/>
          <w:sz w:val="20"/>
        </w:rPr>
        <w:t xml:space="preserve">” </w:t>
      </w:r>
      <w:r>
        <w:rPr>
          <w:rFonts w:ascii="Times New Roman;serif" w:hAnsi="Times New Roman;serif"/>
          <w:b w:val="false"/>
          <w:sz w:val="24"/>
        </w:rPr>
        <w:t>means Sixth Street Specialty Lending Advisers, LLC.</w:t>
      </w:r>
    </w:p>
    <w:p>
      <w:pPr>
        <w:pStyle w:val="TextBody"/>
        <w:bidi w:val="0"/>
        <w:spacing w:before="0" w:after="240"/>
        <w:jc w:val="both"/>
        <w:rPr/>
      </w:pPr>
      <w:r>
        <w:rPr/>
        <w:t>“</w:t>
      </w:r>
      <w:r>
        <w:rPr>
          <w:rFonts w:ascii="Times New Roman;serif" w:hAnsi="Times New Roman;serif"/>
          <w:b w:val="false"/>
          <w:sz w:val="24"/>
          <w:u w:val="single"/>
        </w:rPr>
        <w:t>Extraordinary Receipts</w:t>
      </w:r>
      <w:r>
        <w:rPr>
          <w:rFonts w:ascii="Times New Roman" w:hAnsi="Times New Roman"/>
          <w:sz w:val="20"/>
        </w:rPr>
        <w:t xml:space="preserve">” </w:t>
      </w:r>
      <w:r>
        <w:rPr>
          <w:rFonts w:ascii="Times New Roman;serif" w:hAnsi="Times New Roman;serif"/>
          <w:b w:val="false"/>
          <w:sz w:val="24"/>
        </w:rPr>
        <w:t xml:space="preserve">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Extraordinary Receipts shall not include any (x) amounts that the Borrower receives from the Administrative Agent or any Lender pursuant to </w:t>
      </w:r>
      <w:r>
        <w:rPr>
          <w:rFonts w:ascii="Times New Roman;serif" w:hAnsi="Times New Roman;serif"/>
          <w:b w:val="false"/>
          <w:sz w:val="24"/>
          <w:u w:val="single"/>
        </w:rPr>
        <w:t>Section 2.16(f)</w:t>
      </w:r>
      <w:r>
        <w:rPr>
          <w:rFonts w:ascii="Times New Roman;serif" w:hAnsi="Times New Roman;serif"/>
          <w:b w:val="false"/>
          <w:sz w:val="24"/>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pStyle w:val="TextBody"/>
        <w:bidi w:val="0"/>
        <w:spacing w:before="0" w:after="240"/>
        <w:jc w:val="both"/>
        <w:rPr/>
      </w:pPr>
      <w:r>
        <w:rPr/>
        <w:t>“</w:t>
      </w:r>
      <w:r>
        <w:rPr>
          <w:rFonts w:ascii="Times New Roman;serif" w:hAnsi="Times New Roman;serif"/>
          <w:b w:val="false"/>
          <w:sz w:val="24"/>
          <w:u w:val="single"/>
        </w:rPr>
        <w:t>FATCA</w:t>
      </w:r>
      <w:r>
        <w:rPr>
          <w:rFonts w:ascii="Times New Roman" w:hAnsi="Times New Roman"/>
          <w:sz w:val="20"/>
        </w:rPr>
        <w:t xml:space="preserve">” </w:t>
      </w:r>
      <w:r>
        <w:rPr>
          <w:rFonts w:ascii="Times New Roman;serif" w:hAnsi="Times New Roman;serif"/>
          <w:b w:val="false"/>
          <w:sz w:val="24"/>
        </w:rPr>
        <w:t>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pStyle w:val="TextBody"/>
        <w:bidi w:val="0"/>
        <w:spacing w:before="0" w:after="240"/>
        <w:jc w:val="both"/>
        <w:rPr/>
      </w:pPr>
      <w:r>
        <w:rPr/>
        <w:t>“</w:t>
      </w:r>
      <w:r>
        <w:rPr>
          <w:rFonts w:ascii="Times New Roman;serif" w:hAnsi="Times New Roman;serif"/>
          <w:b w:val="false"/>
          <w:sz w:val="24"/>
          <w:u w:val="single"/>
        </w:rPr>
        <w:t>Federal Funds Effective Rate</w:t>
      </w:r>
      <w:r>
        <w:rPr>
          <w:rFonts w:ascii="Times New Roman" w:hAnsi="Times New Roman"/>
          <w:sz w:val="20"/>
        </w:rPr>
        <w:t xml:space="preserve">” </w:t>
      </w:r>
      <w:r>
        <w:rPr>
          <w:rFonts w:ascii="Times New Roman;serif" w:hAnsi="Times New Roman;serif"/>
          <w:b w:val="false"/>
          <w:sz w:val="24"/>
        </w:rPr>
        <w:t>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Final Maturity Date</w:t>
      </w:r>
      <w:r>
        <w:rPr>
          <w:rFonts w:ascii="Times New Roman" w:hAnsi="Times New Roman"/>
          <w:sz w:val="20"/>
        </w:rPr>
        <w:t xml:space="preserve">” </w:t>
      </w:r>
      <w:r>
        <w:rPr>
          <w:rFonts w:ascii="Times New Roman;serif" w:hAnsi="Times New Roman;serif"/>
          <w:b w:val="false"/>
          <w:sz w:val="24"/>
        </w:rPr>
        <w:t>means (i) in the case of any Extending Lender (with respect to such Extending Lender’s Extended Loans), the Extended Final Maturity Date or (ii) in the case of any Non-Extending Lender (with respect to such Non-Extending Lender’s Non-Extended Loans), such Non-Extending Lender’s Non-Extended Final Maturity Date, as applicable.</w:t>
      </w:r>
    </w:p>
    <w:p>
      <w:pPr>
        <w:pStyle w:val="TextBody"/>
        <w:bidi w:val="0"/>
        <w:spacing w:before="0" w:after="240"/>
        <w:jc w:val="both"/>
        <w:rPr/>
      </w:pPr>
      <w:r>
        <w:rPr/>
        <w:t>“</w:t>
      </w:r>
      <w:r>
        <w:rPr>
          <w:rFonts w:ascii="Times New Roman;serif" w:hAnsi="Times New Roman;serif"/>
          <w:b w:val="false"/>
          <w:sz w:val="24"/>
          <w:u w:val="single"/>
        </w:rPr>
        <w:t>Financial Officer</w:t>
      </w:r>
      <w:r>
        <w:rPr>
          <w:rFonts w:ascii="Times New Roman" w:hAnsi="Times New Roman"/>
          <w:sz w:val="20"/>
        </w:rPr>
        <w:t xml:space="preserve">” </w:t>
      </w:r>
      <w:r>
        <w:rPr>
          <w:rFonts w:ascii="Times New Roman;serif" w:hAnsi="Times New Roman;serif"/>
          <w:b w:val="false"/>
          <w:sz w:val="24"/>
        </w:rPr>
        <w:t>means the chief financial officer, principal accounting officer, treasurer or controller of the Borrower.</w:t>
      </w:r>
    </w:p>
    <w:p>
      <w:pPr>
        <w:pStyle w:val="TextBody"/>
        <w:bidi w:val="0"/>
        <w:spacing w:before="0" w:after="240"/>
        <w:jc w:val="both"/>
        <w:rPr/>
      </w:pPr>
      <w:r>
        <w:rPr/>
        <w:t>“</w:t>
      </w:r>
      <w:r>
        <w:rPr>
          <w:rFonts w:ascii="Times New Roman;serif" w:hAnsi="Times New Roman;serif"/>
          <w:b w:val="false"/>
          <w:sz w:val="24"/>
          <w:u w:val="single"/>
        </w:rPr>
        <w:t>Financing Subsidiary</w:t>
      </w:r>
      <w:r>
        <w:rPr>
          <w:rFonts w:ascii="Times New Roman" w:hAnsi="Times New Roman"/>
          <w:sz w:val="20"/>
        </w:rPr>
        <w:t xml:space="preserve">” </w:t>
      </w:r>
      <w:r>
        <w:rPr>
          <w:rFonts w:ascii="Times New Roman;serif" w:hAnsi="Times New Roman;serif"/>
          <w:b w:val="false"/>
          <w:sz w:val="24"/>
        </w:rPr>
        <w:t>means an SPE Subsidiary or an SBIC Subsidiary.</w:t>
      </w:r>
    </w:p>
    <w:p>
      <w:pPr>
        <w:pStyle w:val="TextBody"/>
        <w:bidi w:val="0"/>
        <w:spacing w:before="0" w:after="240"/>
        <w:jc w:val="both"/>
        <w:rPr/>
      </w:pPr>
      <w:r>
        <w:rPr/>
        <w:t>“</w:t>
      </w:r>
      <w:r>
        <w:rPr>
          <w:rFonts w:ascii="Times New Roman;serif" w:hAnsi="Times New Roman;serif"/>
          <w:b w:val="false"/>
          <w:sz w:val="24"/>
          <w:u w:val="single"/>
        </w:rPr>
        <w:t>Floor</w:t>
      </w:r>
      <w:r>
        <w:rPr>
          <w:rFonts w:ascii="Times New Roman" w:hAnsi="Times New Roman"/>
          <w:sz w:val="20"/>
        </w:rPr>
        <w:t xml:space="preserve">” </w:t>
      </w:r>
      <w:r>
        <w:rPr>
          <w:rFonts w:ascii="Times New Roman;serif" w:hAnsi="Times New Roman;serif"/>
          <w:b w:val="false"/>
          <w:sz w:val="24"/>
        </w:rPr>
        <w:t>means a rate of interest equal to zero percent (0.00%)</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4"/>
          <w:u w:val="single"/>
        </w:rPr>
        <w:t>Foreign Currency</w:t>
      </w:r>
      <w:r>
        <w:rPr>
          <w:rFonts w:ascii="Times New Roman" w:hAnsi="Times New Roman"/>
          <w:sz w:val="20"/>
        </w:rPr>
        <w:t xml:space="preserve">” </w:t>
      </w:r>
      <w:r>
        <w:rPr>
          <w:rFonts w:ascii="Times New Roman;serif" w:hAnsi="Times New Roman;serif"/>
          <w:b w:val="false"/>
          <w:sz w:val="24"/>
        </w:rPr>
        <w:t>means at any time any Currency other than Dollars.</w:t>
      </w:r>
    </w:p>
    <w:p>
      <w:pPr>
        <w:pStyle w:val="TextBody"/>
        <w:bidi w:val="0"/>
        <w:spacing w:before="0" w:after="240"/>
        <w:jc w:val="both"/>
        <w:rPr/>
      </w:pPr>
      <w:r>
        <w:rPr/>
        <w:t>“</w:t>
      </w:r>
      <w:r>
        <w:rPr>
          <w:rFonts w:ascii="Times New Roman;serif" w:hAnsi="Times New Roman;serif"/>
          <w:b w:val="false"/>
          <w:sz w:val="24"/>
          <w:u w:val="single"/>
        </w:rPr>
        <w:t>Foreign Currency Equivalent</w:t>
      </w:r>
      <w:r>
        <w:rPr>
          <w:rFonts w:ascii="Times New Roman" w:hAnsi="Times New Roman"/>
          <w:sz w:val="20"/>
        </w:rPr>
        <w:t xml:space="preserve">” </w:t>
      </w:r>
      <w:r>
        <w:rPr>
          <w:rFonts w:ascii="Times New Roman;serif" w:hAnsi="Times New Roman;serif"/>
          <w:b w:val="false"/>
          <w:sz w:val="24"/>
        </w:rPr>
        <w:t>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pStyle w:val="TextBody"/>
        <w:bidi w:val="0"/>
        <w:spacing w:before="0" w:after="240"/>
        <w:jc w:val="both"/>
        <w:rPr/>
      </w:pPr>
      <w:r>
        <w:rPr/>
        <w:t>“</w:t>
      </w:r>
      <w:r>
        <w:rPr>
          <w:rFonts w:ascii="Times New Roman;serif" w:hAnsi="Times New Roman;serif"/>
          <w:b w:val="false"/>
          <w:sz w:val="24"/>
          <w:u w:val="single"/>
        </w:rPr>
        <w:t>Foreign Lender</w:t>
      </w:r>
      <w:r>
        <w:rPr>
          <w:rFonts w:ascii="Times New Roman" w:hAnsi="Times New Roman"/>
          <w:sz w:val="20"/>
        </w:rPr>
        <w:t xml:space="preserve">” </w:t>
      </w:r>
      <w:r>
        <w:rPr>
          <w:rFonts w:ascii="Times New Roman;serif" w:hAnsi="Times New Roman;serif"/>
          <w:b w:val="false"/>
          <w:sz w:val="24"/>
        </w:rPr>
        <w:t>means any Lender that is not a “United States person” as defined under Section 7701(a)(30) of the Code.</w:t>
      </w:r>
    </w:p>
    <w:p>
      <w:pPr>
        <w:pStyle w:val="TextBody"/>
        <w:bidi w:val="0"/>
        <w:spacing w:before="0" w:after="240"/>
        <w:jc w:val="both"/>
        <w:rPr/>
      </w:pPr>
      <w:r>
        <w:rPr/>
        <w:t>“</w:t>
      </w:r>
      <w:r>
        <w:rPr>
          <w:rFonts w:ascii="Times New Roman;serif" w:hAnsi="Times New Roman;serif"/>
          <w:b w:val="false"/>
          <w:sz w:val="24"/>
          <w:u w:val="single"/>
        </w:rPr>
        <w:t>Foreign Subsidiary</w:t>
      </w:r>
      <w:r>
        <w:rPr>
          <w:rFonts w:ascii="Times New Roman" w:hAnsi="Times New Roman"/>
          <w:sz w:val="20"/>
        </w:rPr>
        <w:t xml:space="preserve">” </w:t>
      </w:r>
      <w:r>
        <w:rPr>
          <w:rFonts w:ascii="Times New Roman;serif" w:hAnsi="Times New Roman;serif"/>
          <w:b w:val="false"/>
          <w:sz w:val="24"/>
        </w:rPr>
        <w:t>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pStyle w:val="TextBody"/>
        <w:bidi w:val="0"/>
        <w:spacing w:before="0" w:after="240"/>
        <w:jc w:val="both"/>
        <w:rPr/>
      </w:pPr>
      <w:r>
        <w:rPr/>
        <w:t>“</w:t>
      </w:r>
      <w:r>
        <w:rPr>
          <w:rFonts w:ascii="Times New Roman;serif" w:hAnsi="Times New Roman;serif"/>
          <w:b w:val="false"/>
          <w:sz w:val="24"/>
          <w:u w:val="single"/>
        </w:rPr>
        <w:t>Fourteenth Amendment Effective Date</w:t>
      </w:r>
      <w:r>
        <w:rPr>
          <w:rFonts w:ascii="Times New Roman" w:hAnsi="Times New Roman"/>
          <w:sz w:val="20"/>
        </w:rPr>
        <w:t xml:space="preserve">” </w:t>
      </w:r>
      <w:r>
        <w:rPr>
          <w:rFonts w:ascii="Times New Roman;serif" w:hAnsi="Times New Roman;serif"/>
          <w:b w:val="false"/>
          <w:sz w:val="24"/>
        </w:rPr>
        <w:t>means June 12, 2023.</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Fronting Exposure</w:t>
      </w:r>
      <w:r>
        <w:rPr>
          <w:rFonts w:ascii="Times New Roman" w:hAnsi="Times New Roman"/>
          <w:sz w:val="20"/>
        </w:rPr>
        <w:t xml:space="preserve">” </w:t>
      </w:r>
      <w:r>
        <w:rPr>
          <w:rFonts w:ascii="Times New Roman;serif" w:hAnsi="Times New Roman;serif"/>
          <w:b w:val="false"/>
          <w:sz w:val="24"/>
        </w:rPr>
        <w:t>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pStyle w:val="TextBody"/>
        <w:bidi w:val="0"/>
        <w:spacing w:before="0" w:after="240"/>
        <w:jc w:val="both"/>
        <w:rPr/>
      </w:pPr>
      <w:r>
        <w:rPr/>
        <w:t>“</w:t>
      </w:r>
      <w:r>
        <w:rPr>
          <w:rFonts w:ascii="Times New Roman;serif" w:hAnsi="Times New Roman;serif"/>
          <w:b w:val="false"/>
          <w:sz w:val="24"/>
          <w:u w:val="single"/>
        </w:rPr>
        <w:t>GAAP</w:t>
      </w:r>
      <w:r>
        <w:rPr>
          <w:rFonts w:ascii="Times New Roman" w:hAnsi="Times New Roman"/>
          <w:sz w:val="20"/>
        </w:rPr>
        <w:t xml:space="preserve">” </w:t>
      </w:r>
      <w:r>
        <w:rPr>
          <w:rFonts w:ascii="Times New Roman;serif" w:hAnsi="Times New Roman;serif"/>
          <w:b w:val="false"/>
          <w:sz w:val="24"/>
        </w:rPr>
        <w:t>means generally accepted accounting principles in the United States of America.</w:t>
      </w:r>
    </w:p>
    <w:p>
      <w:pPr>
        <w:pStyle w:val="TextBody"/>
        <w:bidi w:val="0"/>
        <w:spacing w:before="0" w:after="240"/>
        <w:jc w:val="both"/>
        <w:rPr/>
      </w:pPr>
      <w:r>
        <w:rPr/>
        <w:t>“</w:t>
      </w:r>
      <w:r>
        <w:rPr>
          <w:rFonts w:ascii="Times New Roman;serif" w:hAnsi="Times New Roman;serif"/>
          <w:b w:val="false"/>
          <w:sz w:val="24"/>
          <w:u w:val="single"/>
        </w:rPr>
        <w:t>Governmental Authority</w:t>
      </w:r>
      <w:r>
        <w:rPr>
          <w:rFonts w:ascii="Times New Roman" w:hAnsi="Times New Roman"/>
          <w:sz w:val="20"/>
        </w:rPr>
        <w:t xml:space="preserve">” </w:t>
      </w:r>
      <w:r>
        <w:rPr>
          <w:rFonts w:ascii="Times New Roman;serif" w:hAnsi="Times New Roman;serif"/>
          <w:b w:val="false"/>
          <w:sz w:val="24"/>
        </w:rPr>
        <w:t>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Guarantee</w:t>
      </w:r>
      <w:r>
        <w:rPr>
          <w:rFonts w:ascii="Times New Roman" w:hAnsi="Times New Roman"/>
          <w:sz w:val="20"/>
        </w:rPr>
        <w:t xml:space="preserve">” </w:t>
      </w:r>
      <w:r>
        <w:rPr>
          <w:rFonts w:ascii="Times New Roman;serif" w:hAnsi="Times New Roman;serif"/>
          <w:b w:val="false"/>
          <w:sz w:val="24"/>
        </w:rPr>
        <w:t>of, or “</w:t>
      </w:r>
      <w:r>
        <w:rPr>
          <w:rFonts w:ascii="Times New Roman;serif" w:hAnsi="Times New Roman;serif"/>
          <w:b w:val="false"/>
          <w:sz w:val="24"/>
          <w:u w:val="single"/>
        </w:rPr>
        <w:t>Guaranteed</w:t>
      </w:r>
      <w:r>
        <w:rPr>
          <w:rFonts w:ascii="Times New Roman" w:hAnsi="Times New Roman"/>
          <w:sz w:val="20"/>
        </w:rPr>
        <w:t xml:space="preserve">” </w:t>
      </w:r>
      <w:r>
        <w:rPr>
          <w:rFonts w:ascii="Times New Roman;serif" w:hAnsi="Times New Roman;serif"/>
          <w:b w:val="false"/>
          <w:sz w:val="24"/>
        </w:rPr>
        <w:t>by, any Person (the “</w:t>
      </w:r>
      <w:r>
        <w:rPr>
          <w:rFonts w:ascii="Times New Roman;serif" w:hAnsi="Times New Roman;serif"/>
          <w:b w:val="false"/>
          <w:sz w:val="24"/>
          <w:u w:val="single"/>
        </w:rPr>
        <w:t>guarantor</w:t>
      </w:r>
      <w:r>
        <w:rPr>
          <w:rFonts w:ascii="Times New Roman" w:hAnsi="Times New Roman"/>
          <w:sz w:val="20"/>
        </w:rPr>
        <w:t>”</w:t>
      </w:r>
      <w:r>
        <w:rPr>
          <w:rFonts w:ascii="Times New Roman;serif" w:hAnsi="Times New Roman;serif"/>
          <w:b w:val="false"/>
          <w:sz w:val="24"/>
        </w:rPr>
        <w:t>) means any obligation, contingent or otherwise, of the guarantor guaranteeing or having the economic effect of guaranteeing any Indebtedness or other obligation of any other Person (the “</w:t>
      </w:r>
      <w:r>
        <w:rPr>
          <w:rFonts w:ascii="Times New Roman;serif" w:hAnsi="Times New Roman;serif"/>
          <w:b w:val="false"/>
          <w:sz w:val="24"/>
          <w:u w:val="single"/>
        </w:rPr>
        <w:t>primary obligor</w:t>
      </w:r>
      <w:r>
        <w:rPr>
          <w:rFonts w:ascii="Times New Roman" w:hAnsi="Times New Roman"/>
          <w:sz w:val="20"/>
        </w:rPr>
        <w:t>”</w:t>
      </w:r>
      <w:r>
        <w:rPr>
          <w:rFonts w:ascii="Times New Roman;serif" w:hAnsi="Times New Roman;serif"/>
          <w:b w:val="false"/>
          <w:sz w:val="24"/>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pStyle w:val="TextBody"/>
        <w:bidi w:val="0"/>
        <w:spacing w:before="0" w:after="240"/>
        <w:jc w:val="both"/>
        <w:rPr/>
      </w:pPr>
      <w:r>
        <w:rPr/>
        <w:t>“</w:t>
      </w:r>
      <w:r>
        <w:rPr>
          <w:rFonts w:ascii="Times New Roman;serif" w:hAnsi="Times New Roman;serif"/>
          <w:b w:val="false"/>
          <w:sz w:val="24"/>
          <w:u w:val="single"/>
        </w:rPr>
        <w:t>Guarantee and Security Agreement</w:t>
      </w:r>
      <w:r>
        <w:rPr>
          <w:rFonts w:ascii="Times New Roman" w:hAnsi="Times New Roman"/>
          <w:sz w:val="20"/>
        </w:rPr>
        <w:t xml:space="preserve">” </w:t>
      </w:r>
      <w:r>
        <w:rPr>
          <w:rFonts w:ascii="Times New Roman;serif" w:hAnsi="Times New Roman;serif"/>
          <w:b w:val="false"/>
          <w:sz w:val="24"/>
        </w:rPr>
        <w:t>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restated, modified and supplemented and in effect from time to time.</w:t>
      </w:r>
    </w:p>
    <w:p>
      <w:pPr>
        <w:pStyle w:val="TextBody"/>
        <w:bidi w:val="0"/>
        <w:spacing w:before="0" w:after="240"/>
        <w:jc w:val="both"/>
        <w:rPr/>
      </w:pPr>
      <w:r>
        <w:rPr/>
        <w:t>“</w:t>
      </w:r>
      <w:r>
        <w:rPr>
          <w:rFonts w:ascii="Times New Roman;serif" w:hAnsi="Times New Roman;serif"/>
          <w:b w:val="false"/>
          <w:sz w:val="24"/>
          <w:u w:val="single"/>
        </w:rPr>
        <w:t>Guarantee Assumption Agreement</w:t>
      </w:r>
      <w:r>
        <w:rPr>
          <w:rFonts w:ascii="Times New Roman" w:hAnsi="Times New Roman"/>
          <w:sz w:val="20"/>
        </w:rPr>
        <w:t xml:space="preserve">” </w:t>
      </w:r>
      <w:r>
        <w:rPr>
          <w:rFonts w:ascii="Times New Roman;serif" w:hAnsi="Times New Roman;serif"/>
          <w:b w:val="false"/>
          <w:sz w:val="24"/>
        </w:rPr>
        <w:t xml:space="preserve">means a Guarantee Assumption Agreement substantially in the form of Exhibit B to the Guarantee and Security Agreement between the Collateral Agent and an entity that pursuant to </w:t>
      </w:r>
      <w:r>
        <w:rPr>
          <w:rFonts w:ascii="Times New Roman;serif" w:hAnsi="Times New Roman;serif"/>
          <w:b w:val="false"/>
          <w:sz w:val="24"/>
          <w:u w:val="single"/>
        </w:rPr>
        <w:t>Section 5.08</w:t>
      </w:r>
      <w:r>
        <w:rPr>
          <w:rFonts w:ascii="Times New Roman" w:hAnsi="Times New Roman"/>
          <w:sz w:val="20"/>
        </w:rPr>
        <w:t xml:space="preserve"> </w:t>
      </w:r>
      <w:r>
        <w:rPr>
          <w:rFonts w:ascii="Times New Roman;serif" w:hAnsi="Times New Roman;serif"/>
          <w:b w:val="false"/>
          <w:sz w:val="24"/>
        </w:rPr>
        <w:t xml:space="preserve">is required to become a “Subsidiary Guarantor” under the Guarantee and Security Agreement (with such changes as the Administrative Agent shall request consistent with the requirements of </w:t>
      </w:r>
      <w:r>
        <w:rPr>
          <w:rFonts w:ascii="Times New Roman;serif" w:hAnsi="Times New Roman;serif"/>
          <w:b w:val="false"/>
          <w:sz w:val="24"/>
          <w:u w:val="single"/>
        </w:rPr>
        <w:t>Section 5.08</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Hedging Agreement</w:t>
      </w:r>
      <w:r>
        <w:rPr>
          <w:rFonts w:ascii="Times New Roman" w:hAnsi="Times New Roman"/>
          <w:sz w:val="20"/>
        </w:rPr>
        <w:t xml:space="preserve">” </w:t>
      </w:r>
      <w:r>
        <w:rPr>
          <w:rFonts w:ascii="Times New Roman;serif" w:hAnsi="Times New Roman;serif"/>
          <w:b w:val="false"/>
          <w:sz w:val="24"/>
        </w:rPr>
        <w:t>means any interest rate protection agreement, foreign currency exchange protection agreement, commodity price protection agreement or other interest or currency exchange rate or commodity price hedging arrangement.</w:t>
      </w:r>
    </w:p>
    <w:p>
      <w:pPr>
        <w:pStyle w:val="TextBody"/>
        <w:bidi w:val="0"/>
        <w:spacing w:before="0" w:after="240"/>
        <w:jc w:val="both"/>
        <w:rPr/>
      </w:pPr>
      <w:r>
        <w:rPr/>
        <w:t>“</w:t>
      </w:r>
      <w:r>
        <w:rPr>
          <w:rFonts w:ascii="Times New Roman;serif" w:hAnsi="Times New Roman;serif"/>
          <w:b w:val="false"/>
          <w:sz w:val="24"/>
          <w:u w:val="single"/>
        </w:rPr>
        <w:t>Immaterial Subsidiaries</w:t>
      </w:r>
      <w:r>
        <w:rPr>
          <w:rFonts w:ascii="Times New Roman" w:hAnsi="Times New Roman"/>
          <w:sz w:val="20"/>
        </w:rPr>
        <w:t xml:space="preserve">” </w:t>
      </w:r>
      <w:r>
        <w:rPr>
          <w:rFonts w:ascii="Times New Roman;serif" w:hAnsi="Times New Roman;serif"/>
          <w:b w:val="false"/>
          <w:sz w:val="24"/>
        </w:rPr>
        <w:t xml:space="preserve">means those Subsidiaries of the Borrower that are “designated” as Immaterial Subsidiaries by the Borrower from time to time (it being understood that the Borrower may at any time change any such designation);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such designated Immaterial Subsidiaries shall collectively meet all of the following criteria as of the date of the most recent balance sheet required to be delivered pursuant to </w:t>
      </w:r>
      <w:r>
        <w:rPr>
          <w:rFonts w:ascii="Times New Roman;serif" w:hAnsi="Times New Roman;serif"/>
          <w:b w:val="false"/>
          <w:sz w:val="24"/>
          <w:u w:val="single"/>
        </w:rPr>
        <w:t>Section 5.01</w:t>
      </w:r>
      <w:r>
        <w:rPr>
          <w:rFonts w:ascii="Times New Roman;serif" w:hAnsi="Times New Roman;serif"/>
          <w:b w:val="false"/>
          <w:sz w:val="24"/>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pStyle w:val="TextBody"/>
        <w:bidi w:val="0"/>
        <w:spacing w:before="0" w:after="240"/>
        <w:jc w:val="both"/>
        <w:rPr/>
      </w:pPr>
      <w:r>
        <w:rPr/>
        <w:t>“</w:t>
      </w:r>
      <w:r>
        <w:rPr>
          <w:rFonts w:ascii="Times New Roman;serif" w:hAnsi="Times New Roman;serif"/>
          <w:b w:val="false"/>
          <w:sz w:val="24"/>
          <w:u w:val="single"/>
        </w:rPr>
        <w:t>Increasing Lender</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2.08(e)(i)</w:t>
      </w:r>
      <w:r>
        <w:rPr>
          <w:rFonts w:ascii="Times New Roman;serif" w:hAnsi="Times New Roman;serif"/>
          <w:b w:val="false"/>
          <w:sz w:val="24"/>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Indebtedness</w:t>
      </w:r>
      <w:r>
        <w:rPr>
          <w:rFonts w:ascii="Times New Roman" w:hAnsi="Times New Roman"/>
          <w:sz w:val="20"/>
        </w:rPr>
        <w:t xml:space="preserve">” </w:t>
      </w:r>
      <w:r>
        <w:rPr>
          <w:rFonts w:ascii="Times New Roman;serif" w:hAnsi="Times New Roman;serif"/>
          <w:b w:val="false"/>
          <w:sz w:val="24"/>
        </w:rPr>
        <w:t>of any Person means, without duplication, (a) all obligations of such Person for borrowed money or with respect to deposits or advances of any kind, (b) all obligations of such Person evidenced by bonds, debentures, notes or similar instruments representing extensions of credit, (c) all obligations of such Person under conditional sale or other title retention agreements relating to property acquired by such Person (excluding accounts payable and accrued expenses incurred in the ordinary course of business),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escrows or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pStyle w:val="TextBody"/>
        <w:bidi w:val="0"/>
        <w:spacing w:before="0" w:after="240"/>
        <w:jc w:val="both"/>
        <w:rPr/>
      </w:pPr>
      <w:r>
        <w:rPr/>
        <w:t>“</w:t>
      </w:r>
      <w:r>
        <w:rPr>
          <w:rFonts w:ascii="Times New Roman;serif" w:hAnsi="Times New Roman;serif"/>
          <w:b w:val="false"/>
          <w:sz w:val="24"/>
          <w:u w:val="single"/>
        </w:rPr>
        <w:t>Indemnified Taxes</w:t>
      </w:r>
      <w:r>
        <w:rPr>
          <w:rFonts w:ascii="Times New Roman" w:hAnsi="Times New Roman"/>
          <w:sz w:val="20"/>
        </w:rPr>
        <w:t xml:space="preserve">” </w:t>
      </w:r>
      <w:r>
        <w:rPr>
          <w:rFonts w:ascii="Times New Roman;serif" w:hAnsi="Times New Roman;serif"/>
          <w:b w:val="false"/>
          <w:sz w:val="24"/>
        </w:rPr>
        <w:t>means Taxes, other than Excluded Taxes, imposed on or with respect to any payment made by or on account of any obligation of the Borrower under this Agreement.</w:t>
      </w:r>
    </w:p>
    <w:p>
      <w:pPr>
        <w:pStyle w:val="TextBody"/>
        <w:bidi w:val="0"/>
        <w:spacing w:before="0" w:after="240"/>
        <w:jc w:val="both"/>
        <w:rPr/>
      </w:pPr>
      <w:r>
        <w:rPr/>
        <w:t>“</w:t>
      </w:r>
      <w:r>
        <w:rPr>
          <w:rFonts w:ascii="Times New Roman;serif" w:hAnsi="Times New Roman;serif"/>
          <w:b w:val="false"/>
          <w:sz w:val="24"/>
          <w:u w:val="single"/>
        </w:rPr>
        <w:t>Indemnitee</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9.03(b)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Independent</w:t>
      </w:r>
      <w:r>
        <w:rPr>
          <w:rFonts w:ascii="Times New Roman" w:hAnsi="Times New Roman"/>
          <w:sz w:val="20"/>
        </w:rPr>
        <w:t xml:space="preserve">” </w:t>
      </w:r>
      <w:r>
        <w:rPr>
          <w:rFonts w:ascii="Times New Roman;serif" w:hAnsi="Times New Roman;serif"/>
          <w:b w:val="false"/>
          <w:sz w:val="24"/>
        </w:rPr>
        <w:t>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pStyle w:val="TextBody"/>
        <w:bidi w:val="0"/>
        <w:spacing w:before="0" w:after="240"/>
        <w:jc w:val="both"/>
        <w:rPr/>
      </w:pPr>
      <w:r>
        <w:rPr/>
        <w:t>“</w:t>
      </w:r>
      <w:r>
        <w:rPr>
          <w:rFonts w:ascii="Times New Roman;serif" w:hAnsi="Times New Roman;serif"/>
          <w:b w:val="false"/>
          <w:sz w:val="24"/>
          <w:u w:val="single"/>
        </w:rPr>
        <w:t>Industry Classification Group</w:t>
      </w:r>
      <w:r>
        <w:rPr>
          <w:rFonts w:ascii="Times New Roman" w:hAnsi="Times New Roman"/>
          <w:sz w:val="20"/>
        </w:rPr>
        <w:t xml:space="preserve">” </w:t>
      </w:r>
      <w:r>
        <w:rPr>
          <w:rFonts w:ascii="Times New Roman;serif" w:hAnsi="Times New Roman;serif"/>
          <w:b w:val="false"/>
          <w:sz w:val="24"/>
        </w:rPr>
        <w:t xml:space="preserve">means (a) any of the classification groups set forth in </w:t>
      </w:r>
      <w:r>
        <w:rPr>
          <w:rFonts w:ascii="Times New Roman;serif" w:hAnsi="Times New Roman;serif"/>
          <w:b w:val="false"/>
          <w:sz w:val="24"/>
          <w:u w:val="single"/>
        </w:rPr>
        <w:t>Schedule 1.01(c)</w:t>
      </w:r>
      <w:r>
        <w:rPr>
          <w:rFonts w:ascii="Times New Roman" w:hAnsi="Times New Roman"/>
          <w:sz w:val="20"/>
        </w:rPr>
        <w:t xml:space="preserve"> </w:t>
      </w:r>
      <w:r>
        <w:rPr>
          <w:rFonts w:ascii="Times New Roman;serif" w:hAnsi="Times New Roman;serif"/>
          <w:b w:val="false"/>
          <w:sz w:val="24"/>
        </w:rPr>
        <w:t xml:space="preserve">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serif" w:hAnsi="Times New Roman;serif"/>
          <w:b w:val="false"/>
          <w:sz w:val="24"/>
          <w:u w:val="single"/>
        </w:rPr>
        <w:t>Section 5.12</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Interest Election Request</w:t>
      </w:r>
      <w:r>
        <w:rPr>
          <w:rFonts w:ascii="Times New Roman" w:hAnsi="Times New Roman"/>
          <w:sz w:val="20"/>
        </w:rPr>
        <w:t xml:space="preserve">” </w:t>
      </w:r>
      <w:r>
        <w:rPr>
          <w:rFonts w:ascii="Times New Roman;serif" w:hAnsi="Times New Roman;serif"/>
          <w:b w:val="false"/>
          <w:sz w:val="24"/>
        </w:rPr>
        <w:t xml:space="preserve">means a request by the Borrower to convert or continue a Syndicated Borrowing in accordance with </w:t>
      </w:r>
      <w:r>
        <w:rPr>
          <w:rFonts w:ascii="Times New Roman;serif" w:hAnsi="Times New Roman;serif"/>
          <w:b w:val="false"/>
          <w:sz w:val="24"/>
          <w:u w:val="single"/>
        </w:rPr>
        <w:t>Section 2.07</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Interest Payment Date</w:t>
      </w:r>
      <w:r>
        <w:rPr>
          <w:rFonts w:ascii="Times New Roman" w:hAnsi="Times New Roman"/>
          <w:sz w:val="20"/>
        </w:rPr>
        <w:t xml:space="preserve">” </w:t>
      </w:r>
      <w:r>
        <w:rPr>
          <w:rFonts w:ascii="Times New Roman;serif" w:hAnsi="Times New Roman;serif"/>
          <w:b w:val="false"/>
          <w:sz w:val="24"/>
        </w:rPr>
        <w:t>means (a) with respect to any Syndicated ABR Loan, each Quarterly Date, (b) with respect to any Term Benchmark Loan or RFR Loan, in each case, in</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respect of which the Borrower has selected a one- or three-month Interest Period, the last day of such Interest Period therefor and, in the case of any Term Benchmark Loan with an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pStyle w:val="TextBody"/>
        <w:bidi w:val="0"/>
        <w:spacing w:before="0" w:after="240"/>
        <w:jc w:val="both"/>
        <w:rPr/>
      </w:pPr>
      <w:r>
        <w:rPr/>
        <w:t>“</w:t>
      </w:r>
      <w:r>
        <w:rPr>
          <w:rFonts w:ascii="Times New Roman;serif" w:hAnsi="Times New Roman;serif"/>
          <w:b w:val="false"/>
          <w:sz w:val="24"/>
          <w:u w:val="single"/>
        </w:rPr>
        <w:t>Interest Period</w:t>
      </w:r>
      <w:r>
        <w:rPr>
          <w:rFonts w:ascii="Times New Roman" w:hAnsi="Times New Roman"/>
          <w:sz w:val="20"/>
        </w:rPr>
        <w:t xml:space="preserve">” </w:t>
      </w:r>
      <w:r>
        <w:rPr>
          <w:rFonts w:ascii="Times New Roman;serif" w:hAnsi="Times New Roman;serif"/>
          <w:b w:val="false"/>
          <w:sz w:val="24"/>
        </w:rPr>
        <w:t xml:space="preserve">means, for any Term Benchmark Loan or Borrowing or any RFR Loan or Borrowing, the period commencing on the date of such Loan or Borrowing and ending on the numerically corresponding day in the calendar month that is one month, three months or, except with respect to Term Benchmark Loans denominated in Canadian Dollars and RFR Loans, six months thereafter or, with respect to such portion of any Term Benchmark Loan or Borrowing or any RFR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Term Benchmark Borrowing denominated in a Foreign Currency or RFR Borrowing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serif" w:hAnsi="Times New Roman;serif"/>
          <w:b w:val="false"/>
          <w:sz w:val="24"/>
          <w:u w:val="single"/>
        </w:rPr>
        <w:t>Section 2.21(d)</w:t>
      </w:r>
      <w:r>
        <w:rPr>
          <w:rFonts w:ascii="Times New Roman" w:hAnsi="Times New Roman"/>
          <w:sz w:val="20"/>
        </w:rPr>
        <w:t xml:space="preserve"> </w:t>
      </w:r>
      <w:r>
        <w:rPr>
          <w:rFonts w:ascii="Times New Roman;serif" w:hAnsi="Times New Roman;serif"/>
          <w:b w:val="false"/>
          <w:sz w:val="24"/>
        </w:rPr>
        <w:t>shall be available for specification in such Borrowing Request or notice of conversion or continuation unless or until it is reinstated pursuant to Section 2.21(d).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pStyle w:val="TextBody"/>
        <w:bidi w:val="0"/>
        <w:spacing w:before="0" w:after="240"/>
        <w:jc w:val="both"/>
        <w:rPr/>
      </w:pPr>
      <w:r>
        <w:rPr/>
        <w:t>“</w:t>
      </w:r>
      <w:r>
        <w:rPr>
          <w:rFonts w:ascii="Times New Roman;serif" w:hAnsi="Times New Roman;serif"/>
          <w:b w:val="false"/>
          <w:sz w:val="24"/>
          <w:u w:val="single"/>
        </w:rPr>
        <w:t>Investment</w:t>
      </w:r>
      <w:r>
        <w:rPr>
          <w:rFonts w:ascii="Times New Roman" w:hAnsi="Times New Roman"/>
          <w:sz w:val="20"/>
        </w:rPr>
        <w:t xml:space="preserve">” </w:t>
      </w:r>
      <w:r>
        <w:rPr>
          <w:rFonts w:ascii="Times New Roman;serif" w:hAnsi="Times New Roman;serif"/>
          <w:b w:val="false"/>
          <w:sz w:val="24"/>
        </w:rPr>
        <w:t>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pStyle w:val="TextBody"/>
        <w:bidi w:val="0"/>
        <w:spacing w:before="0" w:after="240"/>
        <w:jc w:val="both"/>
        <w:rPr/>
      </w:pPr>
      <w:r>
        <w:rPr/>
        <w:t>“</w:t>
      </w:r>
      <w:r>
        <w:rPr>
          <w:rFonts w:ascii="Times New Roman;serif" w:hAnsi="Times New Roman;serif"/>
          <w:b w:val="false"/>
          <w:sz w:val="24"/>
          <w:u w:val="single"/>
        </w:rPr>
        <w:t>Investment Company Act</w:t>
      </w:r>
      <w:r>
        <w:rPr>
          <w:rFonts w:ascii="Times New Roman" w:hAnsi="Times New Roman"/>
          <w:sz w:val="20"/>
        </w:rPr>
        <w:t xml:space="preserve">” </w:t>
      </w:r>
      <w:r>
        <w:rPr>
          <w:rFonts w:ascii="Times New Roman;serif" w:hAnsi="Times New Roman;serif"/>
          <w:b w:val="false"/>
          <w:sz w:val="24"/>
        </w:rPr>
        <w:t>means the Investment Company Act of 1940, as amended from time to time.</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Investment Policies</w:t>
      </w:r>
      <w:r>
        <w:rPr>
          <w:rFonts w:ascii="Times New Roman" w:hAnsi="Times New Roman"/>
          <w:sz w:val="20"/>
        </w:rPr>
        <w:t xml:space="preserve">” </w:t>
      </w:r>
      <w:r>
        <w:rPr>
          <w:rFonts w:ascii="Times New Roman;serif" w:hAnsi="Times New Roman;serif"/>
          <w:b w:val="false"/>
          <w:sz w:val="24"/>
        </w:rPr>
        <w:t>means the investment objectives, policies, restrictions and limitations set forth in the “BUSINESS” section of its Registration Statement, and as the same may be changed, altered, expanded, amended, modified, terminated or restated from time to time.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Issuing Bank</w:t>
      </w:r>
      <w:r>
        <w:rPr>
          <w:rFonts w:ascii="Times New Roman" w:hAnsi="Times New Roman"/>
          <w:sz w:val="20"/>
        </w:rPr>
        <w:t xml:space="preserve">” </w:t>
      </w:r>
      <w:r>
        <w:rPr>
          <w:rFonts w:ascii="Times New Roman;serif" w:hAnsi="Times New Roman;serif"/>
          <w:b w:val="false"/>
          <w:sz w:val="24"/>
        </w:rPr>
        <w:t xml:space="preserve">means Truist, JPMorgan Chase Bank, N.A. and any other Issuing Bank designated pursuant to </w:t>
      </w:r>
      <w:r>
        <w:rPr>
          <w:rFonts w:ascii="Times New Roman;serif" w:hAnsi="Times New Roman;serif"/>
          <w:b w:val="false"/>
          <w:sz w:val="24"/>
          <w:u w:val="single"/>
        </w:rPr>
        <w:t>Section 2.05(l)</w:t>
      </w:r>
      <w:r>
        <w:rPr>
          <w:rFonts w:ascii="Times New Roman;serif" w:hAnsi="Times New Roman;serif"/>
          <w:b w:val="false"/>
          <w:sz w:val="24"/>
        </w:rPr>
        <w:t xml:space="preserve">, in their capacity as the issuers of Letters of Credit hereunder, and their respective successors in such capacity as provided in </w:t>
      </w:r>
      <w:r>
        <w:rPr>
          <w:rFonts w:ascii="Times New Roman;serif" w:hAnsi="Times New Roman;serif"/>
          <w:b w:val="false"/>
          <w:sz w:val="24"/>
          <w:u w:val="single"/>
        </w:rPr>
        <w:t>Section 2.05(j)</w:t>
      </w:r>
      <w:r>
        <w:rPr>
          <w:rFonts w:ascii="Times New Roman;serif" w:hAnsi="Times New Roman;serif"/>
          <w:b w:val="false"/>
          <w:sz w:val="24"/>
        </w:rPr>
        <w:t>. In the case of any Letter of Credit to be issued in an Agreed Foreign Currency, Truist and JPMorgan Chase Bank, N.A., respectively, may designate any of their respective affiliates as the “Issuing Bank” for purposes of such Letter of Credit.</w:t>
      </w:r>
    </w:p>
    <w:p>
      <w:pPr>
        <w:pStyle w:val="TextBody"/>
        <w:bidi w:val="0"/>
        <w:spacing w:before="0" w:after="240"/>
        <w:jc w:val="both"/>
        <w:rPr/>
      </w:pPr>
      <w:r>
        <w:rPr/>
        <w:t>“</w:t>
      </w:r>
      <w:r>
        <w:rPr>
          <w:rFonts w:ascii="Times New Roman;serif" w:hAnsi="Times New Roman;serif"/>
          <w:b w:val="false"/>
          <w:sz w:val="24"/>
          <w:u w:val="single"/>
        </w:rPr>
        <w:t>Japanese Yen</w:t>
      </w:r>
      <w:r>
        <w:rPr>
          <w:rFonts w:ascii="Times New Roman" w:hAnsi="Times New Roman"/>
          <w:sz w:val="20"/>
        </w:rPr>
        <w:t xml:space="preserve">” </w:t>
      </w:r>
      <w:r>
        <w:rPr>
          <w:rFonts w:ascii="Times New Roman;serif" w:hAnsi="Times New Roman;serif"/>
          <w:b w:val="false"/>
          <w:sz w:val="24"/>
        </w:rPr>
        <w:t>means the lawful currency of Japan.</w:t>
      </w:r>
    </w:p>
    <w:p>
      <w:pPr>
        <w:pStyle w:val="TextBody"/>
        <w:bidi w:val="0"/>
        <w:spacing w:before="0" w:after="240"/>
        <w:jc w:val="both"/>
        <w:rPr/>
      </w:pPr>
      <w:r>
        <w:rPr/>
        <w:t>“</w:t>
      </w:r>
      <w:r>
        <w:rPr>
          <w:rFonts w:ascii="Times New Roman;serif" w:hAnsi="Times New Roman;serif"/>
          <w:b w:val="false"/>
          <w:sz w:val="24"/>
          <w:u w:val="single"/>
        </w:rPr>
        <w:t>Joint Lead Arrangers</w:t>
      </w:r>
      <w:r>
        <w:rPr>
          <w:rFonts w:ascii="Times New Roman" w:hAnsi="Times New Roman"/>
          <w:sz w:val="20"/>
        </w:rPr>
        <w:t xml:space="preserve">” </w:t>
      </w:r>
      <w:r>
        <w:rPr>
          <w:rFonts w:ascii="Times New Roman;serif" w:hAnsi="Times New Roman;serif"/>
          <w:b w:val="false"/>
          <w:sz w:val="24"/>
        </w:rPr>
        <w:t>means Truist Securities, Inc., JPMorgan Chase Bank, N.A., MUFG Union Bank, N.A., Sumitomo Mitsui Banking Corporation and State Street Bank and Trust Company.</w:t>
      </w:r>
    </w:p>
    <w:p>
      <w:pPr>
        <w:pStyle w:val="TextBody"/>
        <w:bidi w:val="0"/>
        <w:spacing w:before="0" w:after="240"/>
        <w:jc w:val="both"/>
        <w:rPr/>
      </w:pPr>
      <w:r>
        <w:rPr/>
        <w:t>“</w:t>
      </w:r>
      <w:r>
        <w:rPr>
          <w:rFonts w:ascii="Times New Roman;serif" w:hAnsi="Times New Roman;serif"/>
          <w:b w:val="false"/>
          <w:sz w:val="24"/>
          <w:u w:val="single"/>
        </w:rPr>
        <w:t>LC Disbursement</w:t>
      </w:r>
      <w:r>
        <w:rPr>
          <w:rFonts w:ascii="Times New Roman" w:hAnsi="Times New Roman"/>
          <w:sz w:val="20"/>
        </w:rPr>
        <w:t xml:space="preserve">” </w:t>
      </w:r>
      <w:r>
        <w:rPr>
          <w:rFonts w:ascii="Times New Roman;serif" w:hAnsi="Times New Roman;serif"/>
          <w:b w:val="false"/>
          <w:sz w:val="24"/>
        </w:rPr>
        <w:t>means a payment made by any Issuing Bank pursuant to a Letter of Credit.</w:t>
      </w:r>
    </w:p>
    <w:p>
      <w:pPr>
        <w:pStyle w:val="TextBody"/>
        <w:bidi w:val="0"/>
        <w:spacing w:before="0" w:after="240"/>
        <w:jc w:val="both"/>
        <w:rPr/>
      </w:pPr>
      <w:r>
        <w:rPr/>
        <w:t>“</w:t>
      </w:r>
      <w:r>
        <w:rPr>
          <w:rFonts w:ascii="Times New Roman;serif" w:hAnsi="Times New Roman;serif"/>
          <w:b w:val="false"/>
          <w:sz w:val="24"/>
          <w:u w:val="single"/>
        </w:rPr>
        <w:t>LC Exposure</w:t>
      </w:r>
      <w:r>
        <w:rPr>
          <w:rFonts w:ascii="Times New Roman" w:hAnsi="Times New Roman"/>
          <w:sz w:val="20"/>
        </w:rPr>
        <w:t xml:space="preserve">” </w:t>
      </w:r>
      <w:r>
        <w:rPr>
          <w:rFonts w:ascii="Times New Roman;serif" w:hAnsi="Times New Roman;serif"/>
          <w:b w:val="false"/>
          <w:sz w:val="24"/>
        </w:rPr>
        <w:t>means, at any time, the sum of the Dollar LC Exposure and the Multicurrency LC Exposure.</w:t>
      </w:r>
    </w:p>
    <w:p>
      <w:pPr>
        <w:pStyle w:val="TextBody"/>
        <w:bidi w:val="0"/>
        <w:spacing w:before="0" w:after="240"/>
        <w:jc w:val="both"/>
        <w:rPr/>
      </w:pPr>
      <w:r>
        <w:rPr/>
        <w:t>“</w:t>
      </w:r>
      <w:r>
        <w:rPr>
          <w:rFonts w:ascii="Times New Roman;serif" w:hAnsi="Times New Roman;serif"/>
          <w:b w:val="false"/>
          <w:sz w:val="24"/>
          <w:u w:val="single"/>
        </w:rPr>
        <w:t>Lenders</w:t>
      </w:r>
      <w:r>
        <w:rPr>
          <w:rFonts w:ascii="Times New Roman" w:hAnsi="Times New Roman"/>
          <w:sz w:val="20"/>
        </w:rPr>
        <w:t xml:space="preserve">” </w:t>
      </w:r>
      <w:r>
        <w:rPr>
          <w:rFonts w:ascii="Times New Roman;serif" w:hAnsi="Times New Roman;serif"/>
          <w:b w:val="false"/>
          <w:sz w:val="24"/>
        </w:rPr>
        <w:t>means, collectively, the Dollar Lenders and the Multicurrency Lenders. Unless the context otherwise requires, the term “Lenders” includes each Swingline Lender.</w:t>
      </w:r>
    </w:p>
    <w:p>
      <w:pPr>
        <w:pStyle w:val="TextBody"/>
        <w:bidi w:val="0"/>
        <w:spacing w:before="0" w:after="240"/>
        <w:jc w:val="both"/>
        <w:rPr/>
      </w:pPr>
      <w:r>
        <w:rPr/>
        <w:t>“</w:t>
      </w:r>
      <w:r>
        <w:rPr>
          <w:rFonts w:ascii="Times New Roman;serif" w:hAnsi="Times New Roman;serif"/>
          <w:b w:val="false"/>
          <w:sz w:val="24"/>
          <w:u w:val="single"/>
        </w:rPr>
        <w:t>Letter of Credit</w:t>
      </w:r>
      <w:r>
        <w:rPr>
          <w:rFonts w:ascii="Times New Roman" w:hAnsi="Times New Roman"/>
          <w:sz w:val="20"/>
        </w:rPr>
        <w:t xml:space="preserve">” </w:t>
      </w:r>
      <w:r>
        <w:rPr>
          <w:rFonts w:ascii="Times New Roman;serif" w:hAnsi="Times New Roman;serif"/>
          <w:b w:val="false"/>
          <w:sz w:val="24"/>
        </w:rPr>
        <w:t>means any letter of credit issued pursuant to this Agreement.</w:t>
      </w:r>
    </w:p>
    <w:p>
      <w:pPr>
        <w:pStyle w:val="TextBody"/>
        <w:bidi w:val="0"/>
        <w:spacing w:before="0" w:after="240"/>
        <w:jc w:val="both"/>
        <w:rPr/>
      </w:pPr>
      <w:r>
        <w:rPr/>
        <w:t>“</w:t>
      </w:r>
      <w:r>
        <w:rPr>
          <w:rFonts w:ascii="Times New Roman;serif" w:hAnsi="Times New Roman;serif"/>
          <w:b w:val="false"/>
          <w:sz w:val="24"/>
          <w:u w:val="single"/>
        </w:rPr>
        <w:t>Letter of Credit Collateral Account</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2.05(k)</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Letter of Credit Documents</w:t>
      </w:r>
      <w:r>
        <w:rPr>
          <w:rFonts w:ascii="Times New Roman" w:hAnsi="Times New Roman"/>
          <w:sz w:val="20"/>
        </w:rPr>
        <w:t xml:space="preserve">” </w:t>
      </w:r>
      <w:r>
        <w:rPr>
          <w:rFonts w:ascii="Times New Roman;serif" w:hAnsi="Times New Roman;serif"/>
          <w:b w:val="false"/>
          <w:sz w:val="24"/>
        </w:rPr>
        <w:t>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pStyle w:val="TextBody"/>
        <w:bidi w:val="0"/>
        <w:spacing w:before="0" w:after="240"/>
        <w:jc w:val="both"/>
        <w:rPr/>
      </w:pPr>
      <w:r>
        <w:rPr/>
        <w:t>“</w:t>
      </w:r>
      <w:r>
        <w:rPr>
          <w:rFonts w:ascii="Times New Roman;serif" w:hAnsi="Times New Roman;serif"/>
          <w:b w:val="false"/>
          <w:sz w:val="24"/>
          <w:u w:val="single"/>
        </w:rPr>
        <w:t>Lien</w:t>
      </w:r>
      <w:r>
        <w:rPr>
          <w:rFonts w:ascii="Times New Roman" w:hAnsi="Times New Roman"/>
          <w:sz w:val="20"/>
        </w:rPr>
        <w:t xml:space="preserve">” </w:t>
      </w:r>
      <w:r>
        <w:rPr>
          <w:rFonts w:ascii="Times New Roman;serif" w:hAnsi="Times New Roman;serif"/>
          <w:b w:val="false"/>
          <w:sz w:val="24"/>
        </w:rPr>
        <w:t>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pStyle w:val="TextBody"/>
        <w:bidi w:val="0"/>
        <w:spacing w:before="0" w:after="240"/>
        <w:jc w:val="both"/>
        <w:rPr/>
      </w:pPr>
      <w:r>
        <w:rPr/>
        <w:t>“</w:t>
      </w:r>
      <w:r>
        <w:rPr>
          <w:rFonts w:ascii="Times New Roman;serif" w:hAnsi="Times New Roman;serif"/>
          <w:b w:val="false"/>
          <w:sz w:val="24"/>
          <w:u w:val="single"/>
        </w:rPr>
        <w:t>Loan Documents</w:t>
      </w:r>
      <w:r>
        <w:rPr>
          <w:rFonts w:ascii="Times New Roman" w:hAnsi="Times New Roman"/>
          <w:sz w:val="20"/>
        </w:rPr>
        <w:t xml:space="preserve">” </w:t>
      </w:r>
      <w:r>
        <w:rPr>
          <w:rFonts w:ascii="Times New Roman;serif" w:hAnsi="Times New Roman;serif"/>
          <w:b w:val="false"/>
          <w:sz w:val="24"/>
        </w:rPr>
        <w:t>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the Fifth Amendment to this Agreement dated as of</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December 22, 2016, the Sixth Amendment to this Agreement dated as of February 20, 2018, the Seventh Amendment to this Agreement dated as of November 5, 2018, the Eighth Amendment to this Agreement dated as of February 14, 2019, the Ninth Amendment to this Agreement dated as of January 31, 2020, the Tenth Amendment to this Agreement dated as of February 5, 2021, the Eleventh Amendment to this Agreement dated as of December 14, 2021, the Twelfth Amendment to this Agreement dated as of April 25, 2022, the Thirteenth Amendment to this Agreement dated as of May 19, 2022, and the Fourteenth Amendment to this Agreement dated as of June 12, 2023.</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Loans</w:t>
      </w:r>
      <w:r>
        <w:rPr>
          <w:rFonts w:ascii="Times New Roman" w:hAnsi="Times New Roman"/>
          <w:sz w:val="20"/>
        </w:rPr>
        <w:t xml:space="preserve">” </w:t>
      </w:r>
      <w:r>
        <w:rPr>
          <w:rFonts w:ascii="Times New Roman;serif" w:hAnsi="Times New Roman;serif"/>
          <w:b w:val="false"/>
          <w:sz w:val="24"/>
        </w:rPr>
        <w:t>means the loans made by the Lenders to the Borrower pursuant to this Agreement.</w:t>
      </w:r>
    </w:p>
    <w:p>
      <w:pPr>
        <w:pStyle w:val="TextBody"/>
        <w:bidi w:val="0"/>
        <w:spacing w:before="0" w:after="240"/>
        <w:jc w:val="both"/>
        <w:rPr/>
      </w:pPr>
      <w:r>
        <w:rPr/>
        <w:t>“</w:t>
      </w:r>
      <w:r>
        <w:rPr>
          <w:rFonts w:ascii="Times New Roman;serif" w:hAnsi="Times New Roman;serif"/>
          <w:b w:val="false"/>
          <w:sz w:val="24"/>
          <w:u w:val="single"/>
        </w:rPr>
        <w:t>Margin Stock</w:t>
      </w:r>
      <w:r>
        <w:rPr>
          <w:rFonts w:ascii="Times New Roman" w:hAnsi="Times New Roman"/>
          <w:sz w:val="20"/>
        </w:rPr>
        <w:t xml:space="preserve">” </w:t>
      </w:r>
      <w:r>
        <w:rPr>
          <w:rFonts w:ascii="Times New Roman;serif" w:hAnsi="Times New Roman;serif"/>
          <w:b w:val="false"/>
          <w:sz w:val="24"/>
        </w:rPr>
        <w:t>means “margin stock” within the meaning of Regulations T, U and X.</w:t>
      </w:r>
    </w:p>
    <w:p>
      <w:pPr>
        <w:pStyle w:val="TextBody"/>
        <w:bidi w:val="0"/>
        <w:spacing w:before="0" w:after="240"/>
        <w:jc w:val="both"/>
        <w:rPr/>
      </w:pPr>
      <w:r>
        <w:rPr/>
        <w:t>“</w:t>
      </w:r>
      <w:r>
        <w:rPr>
          <w:rFonts w:ascii="Times New Roman;serif" w:hAnsi="Times New Roman;serif"/>
          <w:b w:val="false"/>
          <w:sz w:val="24"/>
          <w:u w:val="single"/>
        </w:rPr>
        <w:t>Material Adverse Change</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3.04(b)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Material Adverse Effect</w:t>
      </w:r>
      <w:r>
        <w:rPr>
          <w:rFonts w:ascii="Times New Roman" w:hAnsi="Times New Roman"/>
          <w:sz w:val="20"/>
        </w:rPr>
        <w:t xml:space="preserve">” </w:t>
      </w:r>
      <w:r>
        <w:rPr>
          <w:rFonts w:ascii="Times New Roman;serif" w:hAnsi="Times New Roman;serif"/>
          <w:b w:val="false"/>
          <w:sz w:val="24"/>
        </w:rPr>
        <w:t>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Collateral Agent, the Administrative Agent and the Lenders thereunder.</w:t>
      </w:r>
    </w:p>
    <w:p>
      <w:pPr>
        <w:pStyle w:val="TextBody"/>
        <w:bidi w:val="0"/>
        <w:spacing w:before="0" w:after="240"/>
        <w:jc w:val="both"/>
        <w:rPr/>
      </w:pPr>
      <w:r>
        <w:rPr/>
        <w:t>“</w:t>
      </w:r>
      <w:r>
        <w:rPr>
          <w:rFonts w:ascii="Times New Roman;serif" w:hAnsi="Times New Roman;serif"/>
          <w:b w:val="false"/>
          <w:sz w:val="24"/>
          <w:u w:val="single"/>
        </w:rPr>
        <w:t>Material Indebtedness</w:t>
      </w:r>
      <w:r>
        <w:rPr>
          <w:rFonts w:ascii="Times New Roman" w:hAnsi="Times New Roman"/>
          <w:sz w:val="20"/>
        </w:rPr>
        <w:t xml:space="preserve">” </w:t>
      </w:r>
      <w:r>
        <w:rPr>
          <w:rFonts w:ascii="Times New Roman;serif" w:hAnsi="Times New Roman;serif"/>
          <w:b w:val="false"/>
          <w:sz w:val="24"/>
        </w:rPr>
        <w:t>means (a) Indebtedness (other than the Loans, Letters of Credit and Hedging Agreements), of any one or more of the Borrower and its Subsidiaries in an aggregate principal amount exceeding $50,000,000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$50,000,000.</w:t>
      </w:r>
    </w:p>
    <w:p>
      <w:pPr>
        <w:pStyle w:val="TextBody"/>
        <w:bidi w:val="0"/>
        <w:spacing w:before="0" w:after="240"/>
        <w:jc w:val="both"/>
        <w:rPr/>
      </w:pPr>
      <w:r>
        <w:rPr/>
        <w:t>“</w:t>
      </w:r>
      <w:r>
        <w:rPr>
          <w:rFonts w:ascii="Times New Roman;serif" w:hAnsi="Times New Roman;serif"/>
          <w:b w:val="false"/>
          <w:sz w:val="24"/>
          <w:u w:val="single"/>
        </w:rPr>
        <w:t>Minimum Collateral Amount</w:t>
      </w:r>
      <w:r>
        <w:rPr>
          <w:rFonts w:ascii="Times New Roman" w:hAnsi="Times New Roman"/>
          <w:sz w:val="20"/>
        </w:rPr>
        <w:t xml:space="preserve">” </w:t>
      </w:r>
      <w:r>
        <w:rPr>
          <w:rFonts w:ascii="Times New Roman;serif" w:hAnsi="Times New Roman;serif"/>
          <w:b w:val="false"/>
          <w:sz w:val="24"/>
        </w:rPr>
        <w:t>means, at any time, with respect to Cash Collateral consisting of Cash or deposit account balances, an amount equal to 100% of the Fronting Exposure of each Issuing Bank with respect to Letters of Credit issued and outstanding at such time.</w:t>
      </w:r>
    </w:p>
    <w:p>
      <w:pPr>
        <w:pStyle w:val="TextBody"/>
        <w:bidi w:val="0"/>
        <w:spacing w:before="0" w:after="240"/>
        <w:jc w:val="both"/>
        <w:rPr/>
      </w:pPr>
      <w:r>
        <w:rPr/>
        <w:t>“</w:t>
      </w:r>
      <w:r>
        <w:rPr>
          <w:rFonts w:ascii="Times New Roman;serif" w:hAnsi="Times New Roman;serif"/>
          <w:b w:val="false"/>
          <w:sz w:val="24"/>
          <w:u w:val="single"/>
        </w:rPr>
        <w:t>Moody’s</w:t>
      </w:r>
      <w:r>
        <w:rPr>
          <w:rFonts w:ascii="Times New Roman" w:hAnsi="Times New Roman"/>
          <w:sz w:val="20"/>
        </w:rPr>
        <w:t xml:space="preserve">” </w:t>
      </w:r>
      <w:r>
        <w:rPr>
          <w:rFonts w:ascii="Times New Roman;serif" w:hAnsi="Times New Roman;serif"/>
          <w:b w:val="false"/>
          <w:sz w:val="24"/>
        </w:rPr>
        <w:t>means Moody’s Investors Service, Inc. or any successor thereto.</w:t>
      </w:r>
    </w:p>
    <w:p>
      <w:pPr>
        <w:pStyle w:val="TextBody"/>
        <w:bidi w:val="0"/>
        <w:spacing w:before="0" w:after="240"/>
        <w:jc w:val="both"/>
        <w:rPr/>
      </w:pPr>
      <w:r>
        <w:rPr/>
        <w:t>“</w:t>
      </w:r>
      <w:r>
        <w:rPr>
          <w:rFonts w:ascii="Times New Roman;serif" w:hAnsi="Times New Roman;serif"/>
          <w:b w:val="false"/>
          <w:sz w:val="24"/>
          <w:u w:val="single"/>
        </w:rPr>
        <w:t>Multicurrency Commitment</w:t>
      </w:r>
      <w:r>
        <w:rPr>
          <w:rFonts w:ascii="Times New Roman" w:hAnsi="Times New Roman"/>
          <w:sz w:val="20"/>
        </w:rPr>
        <w:t xml:space="preserve">” </w:t>
      </w:r>
      <w:r>
        <w:rPr>
          <w:rFonts w:ascii="Times New Roman;serif" w:hAnsi="Times New Roman;serif"/>
          <w:b w:val="false"/>
          <w:sz w:val="24"/>
        </w:rPr>
        <w:t xml:space="preserve">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or increased from time to time pursuant to </w:t>
      </w:r>
      <w:r>
        <w:rPr>
          <w:rFonts w:ascii="Times New Roman;serif" w:hAnsi="Times New Roman;serif"/>
          <w:b w:val="false"/>
          <w:sz w:val="24"/>
          <w:u w:val="single"/>
        </w:rPr>
        <w:t>Section 2.08</w:t>
      </w:r>
      <w:r>
        <w:rPr>
          <w:rFonts w:ascii="Times New Roman" w:hAnsi="Times New Roman"/>
          <w:sz w:val="20"/>
        </w:rPr>
        <w:t xml:space="preserve"> </w:t>
      </w:r>
      <w:r>
        <w:rPr>
          <w:rFonts w:ascii="Times New Roman;serif" w:hAnsi="Times New Roman;serif"/>
          <w:b w:val="false"/>
          <w:sz w:val="24"/>
        </w:rPr>
        <w:t xml:space="preserve">and (b) reduced or increased from time to time pursuant to assignments by or to such Lender pursuant to </w:t>
      </w:r>
      <w:r>
        <w:rPr>
          <w:rFonts w:ascii="Times New Roman;serif" w:hAnsi="Times New Roman;serif"/>
          <w:b w:val="false"/>
          <w:sz w:val="24"/>
          <w:u w:val="single"/>
        </w:rPr>
        <w:t>Section 9.04</w:t>
      </w:r>
      <w:r>
        <w:rPr>
          <w:rFonts w:ascii="Times New Roman;serif" w:hAnsi="Times New Roman;serif"/>
          <w:b w:val="false"/>
          <w:sz w:val="24"/>
        </w:rPr>
        <w:t xml:space="preserve">. The amount of each Lender’s Multicurrency Commitment is, as of the Fourteenth Amendment Effective Date, set forth on </w:t>
      </w:r>
      <w:r>
        <w:rPr>
          <w:rFonts w:ascii="Times New Roman;serif" w:hAnsi="Times New Roman;serif"/>
          <w:b w:val="false"/>
          <w:sz w:val="24"/>
          <w:u w:val="single"/>
        </w:rPr>
        <w:t>Schedule 1.01(b)</w:t>
      </w:r>
      <w:r>
        <w:rPr>
          <w:rFonts w:ascii="Times New Roman;serif" w:hAnsi="Times New Roman;serif"/>
          <w:b w:val="false"/>
          <w:sz w:val="24"/>
        </w:rPr>
        <w:t>, or in the Assignment and Assumption</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pursuant to which such Lender shall have assumed its Multicurrency commitment, as applicable. The aggregate amount of the Lenders’ Multicurrency Commitments as of the Fourteenth Amendment Effective Date is $1,150,000,000.</w:t>
      </w:r>
    </w:p>
    <w:p>
      <w:pPr>
        <w:pStyle w:val="TextBody"/>
        <w:bidi w:val="0"/>
        <w:spacing w:before="0" w:after="240"/>
        <w:jc w:val="both"/>
        <w:rPr/>
      </w:pPr>
      <w:r>
        <w:rPr/>
        <w:t>“</w:t>
      </w:r>
      <w:r>
        <w:rPr>
          <w:rFonts w:ascii="Times New Roman;serif" w:hAnsi="Times New Roman;serif"/>
          <w:b w:val="false"/>
          <w:sz w:val="24"/>
          <w:u w:val="single"/>
        </w:rPr>
        <w:t>Multicurrency LC Exposure</w:t>
      </w:r>
      <w:r>
        <w:rPr>
          <w:rFonts w:ascii="Times New Roman" w:hAnsi="Times New Roman"/>
          <w:sz w:val="20"/>
        </w:rPr>
        <w:t xml:space="preserve">” </w:t>
      </w:r>
      <w:r>
        <w:rPr>
          <w:rFonts w:ascii="Times New Roman;serif" w:hAnsi="Times New Roman;serif"/>
          <w:b w:val="false"/>
          <w:sz w:val="24"/>
        </w:rPr>
        <w:t xml:space="preserve">means, at any time, the sum of (a) the aggregate undrawn amount of all outstanding Multicurrency Letters of Credit at such time </w:t>
      </w:r>
      <w:r>
        <w:rPr>
          <w:rFonts w:ascii="Times New Roman;serif" w:hAnsi="Times New Roman;serif"/>
          <w:b w:val="false"/>
          <w:sz w:val="24"/>
          <w:u w:val="single"/>
        </w:rPr>
        <w:t>plus</w:t>
      </w:r>
      <w:r>
        <w:rPr>
          <w:rFonts w:ascii="Times New Roman" w:hAnsi="Times New Roman"/>
          <w:sz w:val="20"/>
        </w:rPr>
        <w:t xml:space="preserve"> </w:t>
      </w:r>
      <w:r>
        <w:rPr>
          <w:rFonts w:ascii="Times New Roman;serif" w:hAnsi="Times New Roman;serif"/>
          <w:b w:val="false"/>
          <w:sz w:val="24"/>
        </w:rPr>
        <w:t>(b)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pStyle w:val="TextBody"/>
        <w:bidi w:val="0"/>
        <w:spacing w:before="0" w:after="240"/>
        <w:jc w:val="both"/>
        <w:rPr/>
      </w:pPr>
      <w:r>
        <w:rPr/>
        <w:t>“</w:t>
      </w:r>
      <w:r>
        <w:rPr>
          <w:rFonts w:ascii="Times New Roman;serif" w:hAnsi="Times New Roman;serif"/>
          <w:b w:val="false"/>
          <w:sz w:val="24"/>
          <w:u w:val="single"/>
        </w:rPr>
        <w:t>Multicurrency Lender</w:t>
      </w:r>
      <w:r>
        <w:rPr>
          <w:rFonts w:ascii="Times New Roman" w:hAnsi="Times New Roman"/>
          <w:sz w:val="20"/>
        </w:rPr>
        <w:t xml:space="preserve">” </w:t>
      </w:r>
      <w:r>
        <w:rPr>
          <w:rFonts w:ascii="Times New Roman;serif" w:hAnsi="Times New Roman;serif"/>
          <w:b w:val="false"/>
          <w:sz w:val="24"/>
        </w:rPr>
        <w:t xml:space="preserve">means the Persons listed on </w:t>
      </w:r>
      <w:r>
        <w:rPr>
          <w:rFonts w:ascii="Times New Roman;serif" w:hAnsi="Times New Roman;serif"/>
          <w:b w:val="false"/>
          <w:sz w:val="24"/>
          <w:u w:val="single"/>
        </w:rPr>
        <w:t>Schedule 1.01(b)</w:t>
      </w:r>
      <w:r>
        <w:rPr>
          <w:rFonts w:ascii="Times New Roman" w:hAnsi="Times New Roman"/>
          <w:sz w:val="20"/>
        </w:rPr>
        <w:t xml:space="preserve"> </w:t>
      </w:r>
      <w:r>
        <w:rPr>
          <w:rFonts w:ascii="Times New Roman;serif" w:hAnsi="Times New Roman;serif"/>
          <w:b w:val="false"/>
          <w:sz w:val="24"/>
        </w:rPr>
        <w:t>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pStyle w:val="TextBody"/>
        <w:bidi w:val="0"/>
        <w:spacing w:before="0" w:after="240"/>
        <w:jc w:val="both"/>
        <w:rPr/>
      </w:pPr>
      <w:r>
        <w:rPr/>
        <w:t>“</w:t>
      </w:r>
      <w:r>
        <w:rPr>
          <w:rFonts w:ascii="Times New Roman;serif" w:hAnsi="Times New Roman;serif"/>
          <w:b w:val="false"/>
          <w:sz w:val="24"/>
          <w:u w:val="single"/>
        </w:rPr>
        <w:t>Multicurrency Letters of Credit</w:t>
      </w:r>
      <w:r>
        <w:rPr>
          <w:rFonts w:ascii="Times New Roman" w:hAnsi="Times New Roman"/>
          <w:sz w:val="20"/>
        </w:rPr>
        <w:t xml:space="preserve">” </w:t>
      </w:r>
      <w:r>
        <w:rPr>
          <w:rFonts w:ascii="Times New Roman;serif" w:hAnsi="Times New Roman;serif"/>
          <w:b w:val="false"/>
          <w:sz w:val="24"/>
        </w:rPr>
        <w:t>means Letters of Credit that utilize the Multicurrency Commitments.</w:t>
      </w:r>
    </w:p>
    <w:p>
      <w:pPr>
        <w:pStyle w:val="TextBody"/>
        <w:bidi w:val="0"/>
        <w:spacing w:before="0" w:after="240"/>
        <w:jc w:val="both"/>
        <w:rPr/>
      </w:pPr>
      <w:r>
        <w:rPr/>
        <w:t>“</w:t>
      </w:r>
      <w:r>
        <w:rPr>
          <w:rFonts w:ascii="Times New Roman;serif" w:hAnsi="Times New Roman;serif"/>
          <w:b w:val="false"/>
          <w:sz w:val="24"/>
          <w:u w:val="single"/>
        </w:rPr>
        <w:t>Multicurrency Loan</w:t>
      </w:r>
      <w:r>
        <w:rPr>
          <w:rFonts w:ascii="Times New Roman" w:hAnsi="Times New Roman"/>
          <w:sz w:val="20"/>
        </w:rPr>
        <w:t xml:space="preserve">” </w:t>
      </w:r>
      <w:r>
        <w:rPr>
          <w:rFonts w:ascii="Times New Roman;serif" w:hAnsi="Times New Roman;serif"/>
          <w:b w:val="false"/>
          <w:sz w:val="24"/>
        </w:rPr>
        <w:t>means a Loan denominated in Dollars or an Agreed Foreign Currency.</w:t>
      </w:r>
    </w:p>
    <w:p>
      <w:pPr>
        <w:pStyle w:val="TextBody"/>
        <w:bidi w:val="0"/>
        <w:spacing w:before="0" w:after="240"/>
        <w:jc w:val="both"/>
        <w:rPr/>
      </w:pPr>
      <w:r>
        <w:rPr/>
        <w:t>“</w:t>
      </w:r>
      <w:r>
        <w:rPr>
          <w:rFonts w:ascii="Times New Roman;serif" w:hAnsi="Times New Roman;serif"/>
          <w:b w:val="false"/>
          <w:sz w:val="24"/>
          <w:u w:val="single"/>
        </w:rPr>
        <w:t>Multiemployer Plan</w:t>
      </w:r>
      <w:r>
        <w:rPr>
          <w:rFonts w:ascii="Times New Roman" w:hAnsi="Times New Roman"/>
          <w:sz w:val="20"/>
        </w:rPr>
        <w:t xml:space="preserve">” </w:t>
      </w:r>
      <w:r>
        <w:rPr>
          <w:rFonts w:ascii="Times New Roman;serif" w:hAnsi="Times New Roman;serif"/>
          <w:b w:val="false"/>
          <w:sz w:val="24"/>
        </w:rPr>
        <w:t>means a multiemployer plan as defined in Section 4001(a)(3) of ERISA.</w:t>
      </w:r>
    </w:p>
    <w:p>
      <w:pPr>
        <w:pStyle w:val="TextBody"/>
        <w:bidi w:val="0"/>
        <w:spacing w:before="0" w:after="240"/>
        <w:jc w:val="both"/>
        <w:rPr/>
      </w:pPr>
      <w:r>
        <w:rPr/>
        <w:t>“</w:t>
      </w:r>
      <w:r>
        <w:rPr>
          <w:rFonts w:ascii="Times New Roman;serif" w:hAnsi="Times New Roman;serif"/>
          <w:b w:val="false"/>
          <w:sz w:val="24"/>
          <w:u w:val="single"/>
        </w:rPr>
        <w:t>National Currency</w:t>
      </w:r>
      <w:r>
        <w:rPr>
          <w:rFonts w:ascii="Times New Roman" w:hAnsi="Times New Roman"/>
          <w:sz w:val="20"/>
        </w:rPr>
        <w:t xml:space="preserve">” </w:t>
      </w:r>
      <w:r>
        <w:rPr>
          <w:rFonts w:ascii="Times New Roman;serif" w:hAnsi="Times New Roman;serif"/>
          <w:b w:val="false"/>
          <w:sz w:val="24"/>
        </w:rPr>
        <w:t>means the currency, other than the Euro, of a Participating Member State.</w:t>
      </w:r>
    </w:p>
    <w:p>
      <w:pPr>
        <w:pStyle w:val="TextBody"/>
        <w:bidi w:val="0"/>
        <w:spacing w:before="0" w:after="240"/>
        <w:jc w:val="both"/>
        <w:rPr/>
      </w:pPr>
      <w:r>
        <w:rPr/>
        <w:t>“</w:t>
      </w:r>
      <w:r>
        <w:rPr>
          <w:rFonts w:ascii="Times New Roman;serif" w:hAnsi="Times New Roman;serif"/>
          <w:b w:val="false"/>
          <w:sz w:val="24"/>
          <w:u w:val="single"/>
        </w:rPr>
        <w:t>Net Cash Proceeds</w:t>
      </w:r>
      <w:r>
        <w:rPr>
          <w:rFonts w:ascii="Times New Roman" w:hAnsi="Times New Roman"/>
          <w:sz w:val="20"/>
        </w:rPr>
        <w:t xml:space="preserve">” </w:t>
      </w:r>
      <w:r>
        <w:rPr>
          <w:rFonts w:ascii="Times New Roman;serif" w:hAnsi="Times New Roman;serif"/>
          <w:b w:val="false"/>
          <w:sz w:val="24"/>
        </w:rPr>
        <w:t>means:</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(a) 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Times New Roman;serif" w:hAnsi="Times New Roman;serif"/>
          <w:b w:val="false"/>
          <w:sz w:val="24"/>
          <w:u w:val="single"/>
        </w:rPr>
        <w:t>Section 2.10(d)</w:t>
      </w:r>
      <w:r>
        <w:rPr>
          <w:rFonts w:ascii="Times New Roman;serif" w:hAnsi="Times New Roman;serif"/>
          <w:b w:val="false"/>
          <w:sz w:val="24"/>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 xml:space="preserve">(b)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if the amount of any estimated taxes pursuant to </w:t>
      </w:r>
      <w:r>
        <w:rPr>
          <w:rFonts w:ascii="Times New Roman;serif" w:hAnsi="Times New Roman;serif"/>
          <w:b w:val="false"/>
          <w:sz w:val="24"/>
          <w:u w:val="single"/>
        </w:rPr>
        <w:t>clause (iii)</w:t>
      </w:r>
      <w:r>
        <w:rPr>
          <w:rFonts w:ascii="Times New Roman" w:hAnsi="Times New Roman"/>
          <w:sz w:val="20"/>
        </w:rPr>
        <w:t xml:space="preserve"> </w:t>
      </w:r>
      <w:r>
        <w:rPr>
          <w:rFonts w:ascii="Times New Roman;serif" w:hAnsi="Times New Roman;serif"/>
          <w:b w:val="false"/>
          <w:sz w:val="24"/>
        </w:rPr>
        <w:t>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(b) 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serif" w:hAnsi="Times New Roman;serif"/>
          <w:b w:val="false"/>
          <w:sz w:val="24"/>
          <w:u w:val="single"/>
        </w:rPr>
        <w:t>Section 2.10(d)</w:t>
      </w:r>
      <w:r>
        <w:rPr>
          <w:rFonts w:ascii="Times New Roman;serif" w:hAnsi="Times New Roman;serif"/>
          <w:b w:val="false"/>
          <w:sz w:val="24"/>
        </w:rPr>
        <w:t xml:space="preserve">), an amount equal to (i) the sum of the cash and Cash Equivalents received in connection with such transaction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 xml:space="preserve">(ii) the sum of (1) reasonable out-of-pocket fees, costs and expenses, incurred by the Borrower or such Subsidiary in connection therewith </w:t>
      </w:r>
      <w:r>
        <w:rPr>
          <w:rFonts w:ascii="Times New Roman;serif" w:hAnsi="Times New Roman;serif"/>
          <w:b w:val="false"/>
          <w:sz w:val="24"/>
          <w:u w:val="single"/>
        </w:rPr>
        <w:t>plus</w:t>
      </w:r>
      <w:r>
        <w:rPr>
          <w:rFonts w:ascii="Times New Roman" w:hAnsi="Times New Roman"/>
          <w:sz w:val="20"/>
        </w:rPr>
        <w:t xml:space="preserve"> </w:t>
      </w:r>
      <w:r>
        <w:rPr>
          <w:rFonts w:ascii="Times New Roman;serif" w:hAnsi="Times New Roman;serif"/>
          <w:b w:val="false"/>
          <w:sz w:val="24"/>
        </w:rPr>
        <w:t>(2) any reasonable costs, fees, commissions, premiums, expenses, or underwriting discounts or commissions incurred by the Borrower or any of its Subsidiaries in connection with such sale or issuance.</w:t>
      </w:r>
    </w:p>
    <w:p>
      <w:pPr>
        <w:pStyle w:val="TextBody"/>
        <w:bidi w:val="0"/>
        <w:spacing w:before="0" w:after="240"/>
        <w:jc w:val="both"/>
        <w:rPr/>
      </w:pPr>
      <w:r>
        <w:rPr/>
        <w:t>“</w:t>
      </w:r>
      <w:r>
        <w:rPr>
          <w:rFonts w:ascii="Times New Roman;serif" w:hAnsi="Times New Roman;serif"/>
          <w:b w:val="false"/>
          <w:sz w:val="24"/>
          <w:u w:val="single"/>
        </w:rPr>
        <w:t>New Zealand Dollars</w:t>
      </w:r>
      <w:r>
        <w:rPr>
          <w:rFonts w:ascii="Times New Roman" w:hAnsi="Times New Roman"/>
          <w:sz w:val="20"/>
        </w:rPr>
        <w:t xml:space="preserve">” </w:t>
      </w:r>
      <w:r>
        <w:rPr>
          <w:rFonts w:ascii="Times New Roman;serif" w:hAnsi="Times New Roman;serif"/>
          <w:b w:val="false"/>
          <w:sz w:val="24"/>
        </w:rPr>
        <w:t>means the lawful currency of New Zealand.</w:t>
      </w:r>
    </w:p>
    <w:p>
      <w:pPr>
        <w:pStyle w:val="TextBody"/>
        <w:bidi w:val="0"/>
        <w:spacing w:before="0" w:after="240"/>
        <w:jc w:val="both"/>
        <w:rPr/>
      </w:pPr>
      <w:r>
        <w:rPr/>
        <w:t>“</w:t>
      </w:r>
      <w:r>
        <w:rPr>
          <w:rFonts w:ascii="Times New Roman;serif" w:hAnsi="Times New Roman;serif"/>
          <w:b w:val="false"/>
          <w:sz w:val="24"/>
          <w:u w:val="single"/>
        </w:rPr>
        <w:t>Ninth Amendment Effective Date</w:t>
      </w:r>
      <w:r>
        <w:rPr>
          <w:rFonts w:ascii="Times New Roman" w:hAnsi="Times New Roman"/>
          <w:sz w:val="20"/>
        </w:rPr>
        <w:t xml:space="preserve">” </w:t>
      </w:r>
      <w:r>
        <w:rPr>
          <w:rFonts w:ascii="Times New Roman;serif" w:hAnsi="Times New Roman;serif"/>
          <w:b w:val="false"/>
          <w:sz w:val="24"/>
        </w:rPr>
        <w:t>means January 31, 2020.</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Non-Consenting Lender</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9.02(d)</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Non-Defaulting Lender</w:t>
      </w:r>
      <w:r>
        <w:rPr>
          <w:rFonts w:ascii="Times New Roman" w:hAnsi="Times New Roman"/>
          <w:sz w:val="20"/>
        </w:rPr>
        <w:t xml:space="preserve">” </w:t>
      </w:r>
      <w:r>
        <w:rPr>
          <w:rFonts w:ascii="Times New Roman;serif" w:hAnsi="Times New Roman;serif"/>
          <w:b w:val="false"/>
          <w:sz w:val="24"/>
        </w:rPr>
        <w:t>means, at any time, a Lender that is not a Defaulting Lender at such time.</w:t>
      </w:r>
    </w:p>
    <w:p>
      <w:pPr>
        <w:pStyle w:val="TextBody"/>
        <w:bidi w:val="0"/>
        <w:spacing w:before="0" w:after="240"/>
        <w:jc w:val="both"/>
        <w:rPr/>
      </w:pPr>
      <w:r>
        <w:rPr/>
        <w:t>“</w:t>
      </w:r>
      <w:r>
        <w:rPr>
          <w:rFonts w:ascii="Times New Roman;serif" w:hAnsi="Times New Roman;serif"/>
          <w:b w:val="false"/>
          <w:sz w:val="24"/>
          <w:u w:val="single"/>
        </w:rPr>
        <w:t>Non-Extended Applicable Margin</w:t>
      </w:r>
      <w:r>
        <w:rPr>
          <w:rFonts w:ascii="Times New Roman" w:hAnsi="Times New Roman"/>
          <w:sz w:val="20"/>
        </w:rPr>
        <w:t xml:space="preserve">” </w:t>
      </w:r>
      <w:r>
        <w:rPr>
          <w:rFonts w:ascii="Times New Roman;serif" w:hAnsi="Times New Roman;serif"/>
          <w:b w:val="false"/>
          <w:sz w:val="24"/>
        </w:rPr>
        <w:t>means: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(a) with respect to each Non-Extending Lender to which the Non-Extended Final Maturity Date of January 31, 2025 is applicable, (i) if the Borrowing Base (as of the most recently delivered Borrowing Base Certificate) is equal to or greater than 1.85 times the Combined Debt Amount, (A) with respect to any ABR Loan, 0.75% per annum; (B) with respect to any Term Benchmark Loan, 1.75% per annum; and (C) with respect to any RFR Loan, 1.75% per annum plus the RFR Applicable Credit Adjustment Spread; and (ii) if the Borrowing Base (as of the most recently delivered Borrowing Base Certificate) is less than 1.85 times the Combined Debt Amount (A) with respect to any ABR Loan, 0.875% per annum; (B) with respect to any Term Benchmark Loan, 1.875% per annum; and (C) with respect to any RFR Loan, 1.875% per annum plus the RFR Applicable Credit Adjustment Spread;</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 with respect to each Non-Extending Lender to which the Non-Extended Final Maturity Date of February 4, 2026 is applicable, (i) if the Borrowing Base (as of the most recently delivered Borrowing Base Certificate) is equal to or greater than 1.85 times the Combined Debt Amount, (A) with respect to any ABR Loan, 0.75% per annum; (B) with respect to any Term Benchmark Loan, 1.75% per annum; and (C) with respect to any RFR Loan, 1.75% per annum plus the RFR Applicable Credit Adjustment Spread; and (ii) if the Borrowing Base (as of the most recently delivered Borrowing Base Certificate) is less than 1.85 times the Combined Debt Amount (A) with respect to any ABR Loan, 0.875% per annum; (B) with respect to any Term Benchmark Loan, 1.875% per annum; and (C) with respect to any RFR Loan, 1.875% per annum plus the RFR Applicable Credit Adjustment Spread; and</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(c) with respect to each Non-Extending Lender to which the Non-Extended Final Maturity Date of April 23, 2027 is applicable, (i) if the Borrowing Base (as of the most recently delivered Borrowing Base Certificate) is equal to or greater than 1.60 times the Combined Debt Amount, (A) with respect to any ABR Loan, 0.75% per annum; (B) with respect to any Term Benchmark Loan, 1.75% per annum; and (C) with respect to any RFR Loan 1.75% per annum; and (ii) if the Borrowing Base (as of the most recently delivered Borrowing Base Certificate) is less than 1.60 times the Combined Debt Amount (A) with respect to any ABR Loan, 0.875% per annum; (B) with respect to any Term Benchmark Loan, 1.875% per annum; and (C) with respect to any RFR Loan 1.875% per annum.</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Any change in the Non-Extended Applicable Margin due to a change in the ratio of the Borrowing Base to the Combined Debt Amount as set forth in any Borrowing Base Certificate shall be effective from and including the day immediately succeeding the date of delivery of such Borrowing Base Certificate; provided that if any Borrowing Base Certificate has not been delivered in accordance with Section 5.01(d), then from and including the day immediately succeeding the date on which such Borrowing Base Certificate was required to be delivered, the Non-Extended Applicable Margin shall be the Non-Extended Applicable Margin set forth in clause (a)(ii), clause (b)(ii) or clause (c)(ii) above, as applicable, to and including the date on which the required Borrowing Base Certificate is delivered.</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Non-Extended Availability Period</w:t>
      </w:r>
      <w:r>
        <w:rPr>
          <w:rFonts w:ascii="Times New Roman" w:hAnsi="Times New Roman"/>
          <w:sz w:val="20"/>
        </w:rPr>
        <w:t xml:space="preserve">” </w:t>
      </w:r>
      <w:r>
        <w:rPr>
          <w:rFonts w:ascii="Times New Roman;serif" w:hAnsi="Times New Roman;serif"/>
          <w:b w:val="false"/>
          <w:sz w:val="24"/>
        </w:rPr>
        <w:t>means, with respect to any Non-Extending Lender, the period from and including the Effective Date to but excluding the earlier of the Non-Extended Commitment Termination Date for such Non-Extending Lender and the date of termination of the Commitments.</w:t>
      </w:r>
    </w:p>
    <w:p>
      <w:pPr>
        <w:pStyle w:val="TextBody"/>
        <w:bidi w:val="0"/>
        <w:spacing w:before="0" w:after="240"/>
        <w:jc w:val="both"/>
        <w:rPr/>
      </w:pPr>
      <w:r>
        <w:rPr/>
        <w:t>“</w:t>
      </w:r>
      <w:r>
        <w:rPr>
          <w:rFonts w:ascii="Times New Roman;serif" w:hAnsi="Times New Roman;serif"/>
          <w:b w:val="false"/>
          <w:sz w:val="24"/>
          <w:u w:val="single"/>
        </w:rPr>
        <w:t>Non-Extended Commitment Termination Date</w:t>
      </w:r>
      <w:r>
        <w:rPr>
          <w:rFonts w:ascii="Times New Roman" w:hAnsi="Times New Roman"/>
          <w:sz w:val="20"/>
        </w:rPr>
        <w:t xml:space="preserve">” </w:t>
      </w:r>
      <w:r>
        <w:rPr>
          <w:rFonts w:ascii="Times New Roman;serif" w:hAnsi="Times New Roman;serif"/>
          <w:b w:val="false"/>
          <w:sz w:val="24"/>
        </w:rPr>
        <w:t xml:space="preserve">means, with respect to each Non-Extending Lender, the “Non-Extended Commitment Termination Date” set forth next to such Non-Extending Lender’s name on </w:t>
      </w:r>
      <w:r>
        <w:rPr>
          <w:rFonts w:ascii="Times New Roman;serif" w:hAnsi="Times New Roman;serif"/>
          <w:b w:val="false"/>
          <w:sz w:val="24"/>
          <w:u w:val="single"/>
        </w:rPr>
        <w:t>Schedule 1.01(b)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Non-Extended Final Maturity Date</w:t>
      </w:r>
      <w:r>
        <w:rPr>
          <w:rFonts w:ascii="Times New Roman" w:hAnsi="Times New Roman"/>
          <w:sz w:val="20"/>
        </w:rPr>
        <w:t xml:space="preserve">” </w:t>
      </w:r>
      <w:r>
        <w:rPr>
          <w:rFonts w:ascii="Times New Roman;serif" w:hAnsi="Times New Roman;serif"/>
          <w:b w:val="false"/>
          <w:sz w:val="24"/>
        </w:rPr>
        <w:t xml:space="preserve">means, with respect to each Non-Extending Lender, the “Non-Extended Final Maturity Date” set forth next to such Non-Extending Lender’s name on </w:t>
      </w:r>
      <w:r>
        <w:rPr>
          <w:rFonts w:ascii="Times New Roman;serif" w:hAnsi="Times New Roman;serif"/>
          <w:b w:val="false"/>
          <w:sz w:val="24"/>
          <w:u w:val="single"/>
        </w:rPr>
        <w:t>Schedule 1.01(b)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Non-Extended Loans</w:t>
      </w:r>
      <w:r>
        <w:rPr>
          <w:rFonts w:ascii="Times New Roman" w:hAnsi="Times New Roman"/>
          <w:sz w:val="20"/>
        </w:rPr>
        <w:t xml:space="preserve">” </w:t>
      </w:r>
      <w:r>
        <w:rPr>
          <w:rFonts w:ascii="Times New Roman;serif" w:hAnsi="Times New Roman;serif"/>
          <w:b w:val="false"/>
          <w:sz w:val="24"/>
        </w:rPr>
        <w:t>means Loans or Borrowings of any Non-Extending Lender maturing on the Non-Extended Final Maturity Date for such Non-Extending Lender.</w:t>
      </w:r>
    </w:p>
    <w:p>
      <w:pPr>
        <w:pStyle w:val="TextBody"/>
        <w:bidi w:val="0"/>
        <w:spacing w:before="0" w:after="240"/>
        <w:jc w:val="both"/>
        <w:rPr/>
      </w:pPr>
      <w:r>
        <w:rPr/>
        <w:t>“</w:t>
      </w:r>
      <w:r>
        <w:rPr>
          <w:rFonts w:ascii="Times New Roman;serif" w:hAnsi="Times New Roman;serif"/>
          <w:b w:val="false"/>
          <w:sz w:val="24"/>
          <w:u w:val="single"/>
        </w:rPr>
        <w:t>Non-Extending Lender</w:t>
      </w:r>
      <w:r>
        <w:rPr>
          <w:rFonts w:ascii="Times New Roman" w:hAnsi="Times New Roman"/>
          <w:sz w:val="20"/>
        </w:rPr>
        <w:t xml:space="preserve">” </w:t>
      </w:r>
      <w:r>
        <w:rPr>
          <w:rFonts w:ascii="Times New Roman;serif" w:hAnsi="Times New Roman;serif"/>
          <w:b w:val="false"/>
          <w:sz w:val="24"/>
        </w:rPr>
        <w:t xml:space="preserve">means each Lender designated as a “Non-Extending Lender” on </w:t>
      </w:r>
      <w:r>
        <w:rPr>
          <w:rFonts w:ascii="Times New Roman;serif" w:hAnsi="Times New Roman;serif"/>
          <w:b w:val="false"/>
          <w:sz w:val="24"/>
          <w:u w:val="single"/>
        </w:rPr>
        <w:t>Schedule 1.01(b)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Non-Public Information</w:t>
      </w:r>
      <w:r>
        <w:rPr>
          <w:rFonts w:ascii="Times New Roman" w:hAnsi="Times New Roman"/>
          <w:sz w:val="20"/>
        </w:rPr>
        <w:t xml:space="preserve">” </w:t>
      </w:r>
      <w:r>
        <w:rPr>
          <w:rFonts w:ascii="Times New Roman;serif" w:hAnsi="Times New Roman;serif"/>
          <w:b w:val="false"/>
          <w:sz w:val="24"/>
        </w:rPr>
        <w:t>means material non-public information (within the meaning of United States federal, state or other applicable securities laws) with respect to Borrower or its Affiliates or their Securities.</w:t>
      </w:r>
    </w:p>
    <w:p>
      <w:pPr>
        <w:pStyle w:val="TextBody"/>
        <w:bidi w:val="0"/>
        <w:spacing w:before="0" w:after="240"/>
        <w:jc w:val="both"/>
        <w:rPr/>
      </w:pPr>
      <w:r>
        <w:rPr/>
        <w:t>“</w:t>
      </w:r>
      <w:r>
        <w:rPr>
          <w:rFonts w:ascii="Times New Roman;serif" w:hAnsi="Times New Roman;serif"/>
          <w:b w:val="false"/>
          <w:sz w:val="24"/>
          <w:u w:val="single"/>
        </w:rPr>
        <w:t>Obligor</w:t>
      </w:r>
      <w:r>
        <w:rPr>
          <w:rFonts w:ascii="Times New Roman" w:hAnsi="Times New Roman"/>
          <w:sz w:val="20"/>
        </w:rPr>
        <w:t xml:space="preserve">” </w:t>
      </w:r>
      <w:r>
        <w:rPr>
          <w:rFonts w:ascii="Times New Roman;serif" w:hAnsi="Times New Roman;serif"/>
          <w:b w:val="false"/>
          <w:sz w:val="24"/>
        </w:rPr>
        <w:t>means, collectively, the Borrower and the Subsidiary Guarantors.</w:t>
      </w:r>
    </w:p>
    <w:p>
      <w:pPr>
        <w:pStyle w:val="TextBody"/>
        <w:bidi w:val="0"/>
        <w:spacing w:before="0" w:after="240"/>
        <w:jc w:val="both"/>
        <w:rPr/>
      </w:pPr>
      <w:r>
        <w:rPr/>
        <w:t>“</w:t>
      </w:r>
      <w:r>
        <w:rPr>
          <w:rFonts w:ascii="Times New Roman;serif" w:hAnsi="Times New Roman;serif"/>
          <w:b w:val="false"/>
          <w:sz w:val="24"/>
          <w:u w:val="single"/>
        </w:rPr>
        <w:t>Original Currency</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2.17</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Original Effective Date</w:t>
      </w:r>
      <w:r>
        <w:rPr>
          <w:rFonts w:ascii="Times New Roman" w:hAnsi="Times New Roman"/>
          <w:sz w:val="20"/>
        </w:rPr>
        <w:t xml:space="preserve">” </w:t>
      </w:r>
      <w:r>
        <w:rPr>
          <w:rFonts w:ascii="Times New Roman;serif" w:hAnsi="Times New Roman;serif"/>
          <w:b w:val="false"/>
          <w:sz w:val="24"/>
        </w:rPr>
        <w:t>means July 3, 2013.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Other Benchmark Rate Election</w:t>
      </w:r>
      <w:r>
        <w:rPr>
          <w:rFonts w:ascii="Times New Roman" w:hAnsi="Times New Roman"/>
          <w:sz w:val="20"/>
        </w:rPr>
        <w:t xml:space="preserve">” </w:t>
      </w:r>
      <w:r>
        <w:rPr>
          <w:rFonts w:ascii="Times New Roman;serif" w:hAnsi="Times New Roman;serif"/>
          <w:b w:val="false"/>
          <w:sz w:val="24"/>
        </w:rPr>
        <w:t>means, with respect to any Loan denominated in Dollars, if a Benchmark Replacement for the Term SOFR Reference Rate has been determined in accordance with clause (1) of the definition of “Benchmark Replacement”, that the Administrative Agent, in its sole discretion, and the Borrower have jointly elected to trigger a fallback from the then-current Benchmark and the Administrative Agent has provided written notice of such election to the Borrower and the Lenders.</w:t>
      </w:r>
    </w:p>
    <w:p>
      <w:pPr>
        <w:pStyle w:val="TextBody"/>
        <w:bidi w:val="0"/>
        <w:spacing w:before="0" w:after="240"/>
        <w:jc w:val="both"/>
        <w:rPr/>
      </w:pPr>
      <w:r>
        <w:rPr/>
        <w:t>“</w:t>
      </w:r>
      <w:r>
        <w:rPr>
          <w:rFonts w:ascii="Times New Roman;serif" w:hAnsi="Times New Roman;serif"/>
          <w:b w:val="false"/>
          <w:sz w:val="24"/>
          <w:u w:val="single"/>
        </w:rPr>
        <w:t>Other Covered Indebtedness</w:t>
      </w:r>
      <w:r>
        <w:rPr>
          <w:rFonts w:ascii="Times New Roman" w:hAnsi="Times New Roman"/>
          <w:sz w:val="20"/>
        </w:rPr>
        <w:t xml:space="preserve">” </w:t>
      </w:r>
      <w:r>
        <w:rPr>
          <w:rFonts w:ascii="Times New Roman;serif" w:hAnsi="Times New Roman;serif"/>
          <w:b w:val="false"/>
          <w:sz w:val="24"/>
        </w:rPr>
        <w:t xml:space="preserve">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Times New Roman;serif" w:hAnsi="Times New Roman;serif"/>
          <w:b w:val="false"/>
          <w:sz w:val="24"/>
          <w:u w:val="single"/>
        </w:rPr>
        <w:t>Section 6.02(e)</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Other Permitted Indebtedness</w:t>
      </w:r>
      <w:r>
        <w:rPr>
          <w:rFonts w:ascii="Times New Roman" w:hAnsi="Times New Roman"/>
          <w:sz w:val="20"/>
        </w:rPr>
        <w:t xml:space="preserve">” </w:t>
      </w:r>
      <w:r>
        <w:rPr>
          <w:rFonts w:ascii="Times New Roman;serif" w:hAnsi="Times New Roman;serif"/>
          <w:b w:val="false"/>
          <w:sz w:val="24"/>
        </w:rPr>
        <w:t xml:space="preserve">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Times New Roman;serif" w:hAnsi="Times New Roman;serif"/>
          <w:b w:val="false"/>
          <w:sz w:val="24"/>
          <w:u w:val="single"/>
        </w:rPr>
        <w:t>clause (l)</w:t>
      </w:r>
      <w:r>
        <w:rPr>
          <w:rFonts w:ascii="Times New Roman" w:hAnsi="Times New Roman"/>
          <w:sz w:val="20"/>
        </w:rPr>
        <w:t xml:space="preserve"> </w:t>
      </w:r>
      <w:r>
        <w:rPr>
          <w:rFonts w:ascii="Times New Roman;serif" w:hAnsi="Times New Roman;serif"/>
          <w:b w:val="false"/>
          <w:sz w:val="24"/>
        </w:rPr>
        <w:t xml:space="preserve">of </w:t>
      </w:r>
      <w:r>
        <w:rPr>
          <w:rFonts w:ascii="Times New Roman;serif" w:hAnsi="Times New Roman;serif"/>
          <w:b w:val="false"/>
          <w:sz w:val="24"/>
          <w:u w:val="single"/>
        </w:rPr>
        <w:t>Article VII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Other Taxes</w:t>
      </w:r>
      <w:r>
        <w:rPr>
          <w:rFonts w:ascii="Times New Roman" w:hAnsi="Times New Roman"/>
          <w:sz w:val="20"/>
        </w:rPr>
        <w:t xml:space="preserve">” </w:t>
      </w:r>
      <w:r>
        <w:rPr>
          <w:rFonts w:ascii="Times New Roman;serif" w:hAnsi="Times New Roman;serif"/>
          <w:b w:val="false"/>
          <w:sz w:val="24"/>
        </w:rPr>
        <w:t xml:space="preserve">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Times New Roman;serif" w:hAnsi="Times New Roman;serif"/>
          <w:b w:val="false"/>
          <w:sz w:val="24"/>
          <w:u w:val="single"/>
        </w:rPr>
        <w:t>Section 9.04</w:t>
      </w:r>
      <w:r>
        <w:rPr>
          <w:rFonts w:ascii="Times New Roman" w:hAnsi="Times New Roman"/>
          <w:sz w:val="20"/>
        </w:rPr>
        <w:t xml:space="preserve"> </w:t>
      </w:r>
      <w:r>
        <w:rPr>
          <w:rFonts w:ascii="Times New Roman;serif" w:hAnsi="Times New Roman;serif"/>
          <w:b w:val="false"/>
          <w:sz w:val="24"/>
        </w:rPr>
        <w:t xml:space="preserve">hereof (unless such assignment is made pursuant to </w:t>
      </w:r>
      <w:r>
        <w:rPr>
          <w:rFonts w:ascii="Times New Roman;serif" w:hAnsi="Times New Roman;serif"/>
          <w:b w:val="false"/>
          <w:sz w:val="24"/>
          <w:u w:val="single"/>
        </w:rPr>
        <w:t>Section 2.18(b)</w:t>
      </w:r>
      <w:r>
        <w:rPr>
          <w:rFonts w:ascii="Times New Roman;serif" w:hAnsi="Times New Roman;serif"/>
          <w:b w:val="false"/>
          <w:sz w:val="24"/>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pStyle w:val="TextBody"/>
        <w:bidi w:val="0"/>
        <w:spacing w:before="0" w:after="240"/>
        <w:jc w:val="both"/>
        <w:rPr/>
      </w:pPr>
      <w:r>
        <w:rPr/>
        <w:t>“</w:t>
      </w:r>
      <w:r>
        <w:rPr>
          <w:rFonts w:ascii="Times New Roman;serif" w:hAnsi="Times New Roman;serif"/>
          <w:b w:val="false"/>
          <w:sz w:val="24"/>
          <w:u w:val="single"/>
        </w:rPr>
        <w:t>Participant</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9.04(f)</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Participant Register</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9.04(f)</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Participating Member State</w:t>
      </w:r>
      <w:r>
        <w:rPr>
          <w:rFonts w:ascii="Times New Roman" w:hAnsi="Times New Roman"/>
          <w:sz w:val="20"/>
        </w:rPr>
        <w:t xml:space="preserve">” </w:t>
      </w:r>
      <w:r>
        <w:rPr>
          <w:rFonts w:ascii="Times New Roman;serif" w:hAnsi="Times New Roman;serif"/>
          <w:b w:val="false"/>
          <w:sz w:val="24"/>
        </w:rPr>
        <w:t>means any member state of the European Community that adopts or has adopted the Euro as its lawful currency in accordance with the legislation of the European Union relating to the European Monetary Union.</w:t>
      </w:r>
    </w:p>
    <w:p>
      <w:pPr>
        <w:pStyle w:val="TextBody"/>
        <w:bidi w:val="0"/>
        <w:spacing w:before="0" w:after="240"/>
        <w:jc w:val="both"/>
        <w:rPr/>
      </w:pPr>
      <w:r>
        <w:rPr/>
        <w:t>“</w:t>
      </w:r>
      <w:r>
        <w:rPr>
          <w:rFonts w:ascii="Times New Roman;serif" w:hAnsi="Times New Roman;serif"/>
          <w:b w:val="false"/>
          <w:sz w:val="24"/>
          <w:u w:val="single"/>
        </w:rPr>
        <w:t>PBGC</w:t>
      </w:r>
      <w:r>
        <w:rPr>
          <w:rFonts w:ascii="Times New Roman" w:hAnsi="Times New Roman"/>
          <w:sz w:val="20"/>
        </w:rPr>
        <w:t xml:space="preserve">” </w:t>
      </w:r>
      <w:r>
        <w:rPr>
          <w:rFonts w:ascii="Times New Roman;serif" w:hAnsi="Times New Roman;serif"/>
          <w:b w:val="false"/>
          <w:sz w:val="24"/>
        </w:rPr>
        <w:t>means the Pension Benefit Guaranty Corporation referred to and defined in ERISA and any successor entity performing similar functions.</w:t>
      </w:r>
    </w:p>
    <w:p>
      <w:pPr>
        <w:pStyle w:val="TextBody"/>
        <w:bidi w:val="0"/>
        <w:spacing w:before="0" w:after="240"/>
        <w:jc w:val="both"/>
        <w:rPr/>
      </w:pPr>
      <w:r>
        <w:rPr/>
        <w:t>“</w:t>
      </w:r>
      <w:r>
        <w:rPr>
          <w:rFonts w:ascii="Times New Roman;serif" w:hAnsi="Times New Roman;serif"/>
          <w:b w:val="false"/>
          <w:sz w:val="24"/>
          <w:u w:val="single"/>
        </w:rPr>
        <w:t>Periodic Term SOFR Determination Day</w:t>
      </w:r>
      <w:r>
        <w:rPr>
          <w:rFonts w:ascii="Times New Roman" w:hAnsi="Times New Roman"/>
          <w:sz w:val="20"/>
        </w:rPr>
        <w:t xml:space="preserve">” </w:t>
      </w:r>
      <w:r>
        <w:rPr>
          <w:rFonts w:ascii="Times New Roman;serif" w:hAnsi="Times New Roman;serif"/>
          <w:b w:val="false"/>
          <w:sz w:val="24"/>
        </w:rPr>
        <w:t>has the meaning set forth in the definition of “Term SOFR”.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Permitted Equity Interests</w:t>
      </w:r>
      <w:r>
        <w:rPr>
          <w:rFonts w:ascii="Times New Roman" w:hAnsi="Times New Roman"/>
          <w:sz w:val="20"/>
        </w:rPr>
        <w:t xml:space="preserve">” </w:t>
      </w:r>
      <w:r>
        <w:rPr>
          <w:rFonts w:ascii="Times New Roman;serif" w:hAnsi="Times New Roman;serif"/>
          <w:b w:val="false"/>
          <w:sz w:val="24"/>
        </w:rPr>
        <w:t>means common stock of the Borrower that after its issuance is not subject to any agreement between the holder of such common stock and the Borrower where the Borrower is required to purchase, redeem, retire, acquire, cancel or terminate any such common stock.</w:t>
      </w:r>
    </w:p>
    <w:p>
      <w:pPr>
        <w:pStyle w:val="TextBody"/>
        <w:bidi w:val="0"/>
        <w:spacing w:before="0" w:after="240"/>
        <w:jc w:val="both"/>
        <w:rPr/>
      </w:pPr>
      <w:r>
        <w:rPr/>
        <w:t>“</w:t>
      </w:r>
      <w:r>
        <w:rPr>
          <w:rFonts w:ascii="Times New Roman;serif" w:hAnsi="Times New Roman;serif"/>
          <w:b w:val="false"/>
          <w:sz w:val="24"/>
          <w:u w:val="single"/>
        </w:rPr>
        <w:t>Permitted Liens</w:t>
      </w:r>
      <w:r>
        <w:rPr>
          <w:rFonts w:ascii="Times New Roman" w:hAnsi="Times New Roman"/>
          <w:sz w:val="20"/>
        </w:rPr>
        <w:t xml:space="preserve">” </w:t>
      </w:r>
      <w:r>
        <w:rPr>
          <w:rFonts w:ascii="Times New Roman;serif" w:hAnsi="Times New Roman;serif"/>
          <w:b w:val="false"/>
          <w:sz w:val="24"/>
        </w:rPr>
        <w:t xml:space="preserve">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liens in respect of employee benefit plans arising under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Times New Roman;serif" w:hAnsi="Times New Roman;serif"/>
          <w:b w:val="false"/>
          <w:sz w:val="24"/>
          <w:u w:val="single"/>
        </w:rPr>
        <w:t>clause (l)</w:t>
      </w:r>
      <w:r>
        <w:rPr>
          <w:rFonts w:ascii="Times New Roman" w:hAnsi="Times New Roman"/>
          <w:sz w:val="20"/>
        </w:rPr>
        <w:t xml:space="preserve"> </w:t>
      </w:r>
      <w:r>
        <w:rPr>
          <w:rFonts w:ascii="Times New Roman;serif" w:hAnsi="Times New Roman;serif"/>
          <w:b w:val="false"/>
          <w:sz w:val="24"/>
        </w:rPr>
        <w:t xml:space="preserve">of </w:t>
      </w:r>
      <w:r>
        <w:rPr>
          <w:rFonts w:ascii="Times New Roman;serif" w:hAnsi="Times New Roman;serif"/>
          <w:b w:val="false"/>
          <w:sz w:val="24"/>
          <w:u w:val="single"/>
        </w:rPr>
        <w:t>Article VII</w:t>
      </w:r>
      <w:r>
        <w:rPr>
          <w:rFonts w:ascii="Times New Roman;serif" w:hAnsi="Times New Roman;serif"/>
          <w:b w:val="false"/>
          <w:sz w:val="24"/>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Permitted Policy Amendment</w:t>
      </w:r>
      <w:r>
        <w:rPr>
          <w:rFonts w:ascii="Times New Roman" w:hAnsi="Times New Roman"/>
          <w:sz w:val="20"/>
        </w:rPr>
        <w:t xml:space="preserve">” </w:t>
      </w:r>
      <w:r>
        <w:rPr>
          <w:rFonts w:ascii="Times New Roman;serif" w:hAnsi="Times New Roman;serif"/>
          <w:b w:val="false"/>
          <w:sz w:val="24"/>
        </w:rPr>
        <w:t>means any change, alteration, expansion, amendment, modification, termination or restatement of the Investment Policies that is either (a) approved in writing by the Administrative Agent (with the consent of the Required Lenders), (b)</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pStyle w:val="TextBody"/>
        <w:bidi w:val="0"/>
        <w:spacing w:before="0" w:after="240"/>
        <w:jc w:val="both"/>
        <w:rPr/>
      </w:pPr>
      <w:r>
        <w:rPr/>
        <w:t>“</w:t>
      </w:r>
      <w:r>
        <w:rPr>
          <w:rFonts w:ascii="Times New Roman;serif" w:hAnsi="Times New Roman;serif"/>
          <w:b w:val="false"/>
          <w:sz w:val="24"/>
          <w:u w:val="single"/>
        </w:rPr>
        <w:t>Permitted SBIC Guarantee</w:t>
      </w:r>
      <w:r>
        <w:rPr>
          <w:rFonts w:ascii="Times New Roman" w:hAnsi="Times New Roman"/>
          <w:sz w:val="20"/>
        </w:rPr>
        <w:t xml:space="preserve">” </w:t>
      </w:r>
      <w:r>
        <w:rPr>
          <w:rFonts w:ascii="Times New Roman;serif" w:hAnsi="Times New Roman;serif"/>
          <w:b w:val="false"/>
          <w:sz w:val="24"/>
        </w:rPr>
        <w:t xml:space="preserve">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Times New Roman;serif" w:hAnsi="Times New Roman;serif"/>
          <w:b w:val="false"/>
          <w:sz w:val="24"/>
          <w:u w:val="single"/>
        </w:rPr>
        <w:t>clause (s)</w:t>
      </w:r>
      <w:r>
        <w:rPr>
          <w:rFonts w:ascii="Times New Roman" w:hAnsi="Times New Roman"/>
          <w:sz w:val="20"/>
        </w:rPr>
        <w:t xml:space="preserve"> </w:t>
      </w:r>
      <w:r>
        <w:rPr>
          <w:rFonts w:ascii="Times New Roman;serif" w:hAnsi="Times New Roman;serif"/>
          <w:b w:val="false"/>
          <w:sz w:val="24"/>
        </w:rPr>
        <w:t xml:space="preserve">of </w:t>
      </w:r>
      <w:r>
        <w:rPr>
          <w:rFonts w:ascii="Times New Roman;serif" w:hAnsi="Times New Roman;serif"/>
          <w:b w:val="false"/>
          <w:sz w:val="24"/>
          <w:u w:val="single"/>
        </w:rPr>
        <w:t>Article VII</w:t>
      </w:r>
      <w:r>
        <w:rPr>
          <w:rFonts w:ascii="Times New Roman;serif" w:hAnsi="Times New Roman;serif"/>
          <w:b w:val="false"/>
          <w:sz w:val="24"/>
        </w:rPr>
        <w:t>, it shall be an Event of Default hereunder if any such event or condition giving rise to such recourse occurs).</w:t>
      </w:r>
    </w:p>
    <w:p>
      <w:pPr>
        <w:pStyle w:val="TextBody"/>
        <w:bidi w:val="0"/>
        <w:spacing w:before="0" w:after="240"/>
        <w:jc w:val="both"/>
        <w:rPr/>
      </w:pPr>
      <w:r>
        <w:rPr/>
        <w:t>“</w:t>
      </w:r>
      <w:r>
        <w:rPr>
          <w:rFonts w:ascii="Times New Roman;serif" w:hAnsi="Times New Roman;serif"/>
          <w:b w:val="false"/>
          <w:sz w:val="24"/>
          <w:u w:val="single"/>
        </w:rPr>
        <w:t>Person</w:t>
      </w:r>
      <w:r>
        <w:rPr>
          <w:rFonts w:ascii="Times New Roman" w:hAnsi="Times New Roman"/>
          <w:sz w:val="20"/>
        </w:rPr>
        <w:t xml:space="preserve">” </w:t>
      </w:r>
      <w:r>
        <w:rPr>
          <w:rFonts w:ascii="Times New Roman;serif" w:hAnsi="Times New Roman;serif"/>
          <w:b w:val="false"/>
          <w:sz w:val="24"/>
        </w:rPr>
        <w:t>means any natural person, corporation, limited liability company, trust, joint venture, association, company, partnership, Governmental Authority or other entity.</w:t>
      </w:r>
    </w:p>
    <w:p>
      <w:pPr>
        <w:pStyle w:val="TextBody"/>
        <w:bidi w:val="0"/>
        <w:spacing w:before="0" w:after="240"/>
        <w:jc w:val="both"/>
        <w:rPr/>
      </w:pPr>
      <w:r>
        <w:rPr/>
        <w:t>“</w:t>
      </w:r>
      <w:r>
        <w:rPr>
          <w:rFonts w:ascii="Times New Roman;serif" w:hAnsi="Times New Roman;serif"/>
          <w:b w:val="false"/>
          <w:sz w:val="24"/>
          <w:u w:val="single"/>
        </w:rPr>
        <w:t>Plan</w:t>
      </w:r>
      <w:r>
        <w:rPr>
          <w:rFonts w:ascii="Times New Roman" w:hAnsi="Times New Roman"/>
          <w:sz w:val="20"/>
        </w:rPr>
        <w:t xml:space="preserve">” </w:t>
      </w:r>
      <w:r>
        <w:rPr>
          <w:rFonts w:ascii="Times New Roman;serif" w:hAnsi="Times New Roman;serif"/>
          <w:b w:val="false"/>
          <w:sz w:val="24"/>
        </w:rPr>
        <w:t>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before="0" w:after="240"/>
        <w:jc w:val="both"/>
        <w:rPr/>
      </w:pPr>
      <w:r>
        <w:rPr/>
        <w:t>“</w:t>
      </w:r>
      <w:r>
        <w:rPr>
          <w:rFonts w:ascii="Times New Roman;serif" w:hAnsi="Times New Roman;serif"/>
          <w:b w:val="false"/>
          <w:sz w:val="24"/>
          <w:u w:val="single"/>
        </w:rPr>
        <w:t>Platform</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val="false"/>
          <w:sz w:val="24"/>
          <w:u w:val="single"/>
        </w:rPr>
        <w:t>Section 5.01(i)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Portfolio Investment</w:t>
      </w:r>
      <w:r>
        <w:rPr>
          <w:rFonts w:ascii="Times New Roman" w:hAnsi="Times New Roman"/>
          <w:sz w:val="20"/>
        </w:rPr>
        <w:t xml:space="preserve">” </w:t>
      </w:r>
      <w:r>
        <w:rPr>
          <w:rFonts w:ascii="Times New Roman;serif" w:hAnsi="Times New Roman;serif"/>
          <w:b w:val="false"/>
          <w:sz w:val="24"/>
        </w:rPr>
        <w:t>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(c) any Investment, which if debt, is an obligation (other than a revolving loan or delayed draw term loan) pursuant to which any future advances or payments to the Obligor may be required to be made by the Borrower; (d) any Investment which is made to a bankrupt entity (other than a debtor-in-possession financing and current pay obligations); and (e) any Investment, Cash or account in which a Financing Subsidiary has an interest.</w:t>
      </w:r>
    </w:p>
    <w:p>
      <w:pPr>
        <w:pStyle w:val="TextBody"/>
        <w:bidi w:val="0"/>
        <w:spacing w:before="0" w:after="240"/>
        <w:jc w:val="both"/>
        <w:rPr/>
      </w:pPr>
      <w:r>
        <w:rPr/>
        <w:t>“</w:t>
      </w:r>
      <w:r>
        <w:rPr>
          <w:rFonts w:ascii="Times New Roman;serif" w:hAnsi="Times New Roman;serif"/>
          <w:b w:val="false"/>
          <w:sz w:val="24"/>
          <w:u w:val="single"/>
        </w:rPr>
        <w:t>Prime Rate</w:t>
      </w:r>
      <w:r>
        <w:rPr>
          <w:rFonts w:ascii="Times New Roman" w:hAnsi="Times New Roman"/>
          <w:sz w:val="20"/>
        </w:rPr>
        <w:t xml:space="preserve">” </w:t>
      </w:r>
      <w:r>
        <w:rPr>
          <w:rFonts w:ascii="Times New Roman;serif" w:hAnsi="Times New Roman;serif"/>
          <w:b w:val="false"/>
          <w:sz w:val="24"/>
        </w:rPr>
        <w:t xml:space="preserve">means the rate which is quoted as the “prime rate” in the print edition of </w:t>
      </w:r>
      <w:r>
        <w:rPr>
          <w:rFonts w:ascii="Times New Roman;serif" w:hAnsi="Times New Roman;serif"/>
          <w:b w:val="false"/>
          <w:i/>
          <w:sz w:val="24"/>
        </w:rPr>
        <w:t>The Wall Street Journal</w:t>
      </w:r>
      <w:r>
        <w:rPr>
          <w:rFonts w:ascii="Times New Roman;serif" w:hAnsi="Times New Roman;serif"/>
          <w:b w:val="false"/>
          <w:sz w:val="24"/>
        </w:rPr>
        <w:t>, Money Rates Section.</w:t>
      </w:r>
    </w:p>
    <w:p>
      <w:pPr>
        <w:pStyle w:val="TextBody"/>
        <w:bidi w:val="0"/>
        <w:spacing w:before="0" w:after="240"/>
        <w:jc w:val="both"/>
        <w:rPr/>
      </w:pPr>
      <w:r>
        <w:rPr/>
        <w:t>“</w:t>
      </w:r>
      <w:r>
        <w:rPr>
          <w:rFonts w:ascii="Times New Roman;serif" w:hAnsi="Times New Roman;serif"/>
          <w:b w:val="false"/>
          <w:sz w:val="24"/>
          <w:u w:val="single"/>
        </w:rPr>
        <w:t>Principal Financial Center</w:t>
      </w:r>
      <w:r>
        <w:rPr>
          <w:rFonts w:ascii="Times New Roman" w:hAnsi="Times New Roman"/>
          <w:sz w:val="20"/>
        </w:rPr>
        <w:t xml:space="preserve">” </w:t>
      </w:r>
      <w:r>
        <w:rPr>
          <w:rFonts w:ascii="Times New Roman;serif" w:hAnsi="Times New Roman;serif"/>
          <w:b w:val="false"/>
          <w:sz w:val="24"/>
        </w:rPr>
        <w:t>means, in the case of any Currency, the principal financial center where such Currency is cleared and settled, as determined by the Administrative Agent.</w:t>
      </w:r>
    </w:p>
    <w:p>
      <w:pPr>
        <w:pStyle w:val="TextBody"/>
        <w:bidi w:val="0"/>
        <w:spacing w:before="0" w:after="240"/>
        <w:jc w:val="both"/>
        <w:rPr/>
      </w:pPr>
      <w:r>
        <w:rPr/>
        <w:t>“</w:t>
      </w:r>
      <w:r>
        <w:rPr>
          <w:rFonts w:ascii="Times New Roman;serif" w:hAnsi="Times New Roman;serif"/>
          <w:b w:val="false"/>
          <w:sz w:val="24"/>
          <w:u w:val="single"/>
        </w:rPr>
        <w:t>PTE</w:t>
      </w:r>
      <w:r>
        <w:rPr>
          <w:rFonts w:ascii="Times New Roman" w:hAnsi="Times New Roman"/>
          <w:sz w:val="20"/>
        </w:rPr>
        <w:t xml:space="preserve">” </w:t>
      </w:r>
      <w:r>
        <w:rPr>
          <w:rFonts w:ascii="Times New Roman;serif" w:hAnsi="Times New Roman;serif"/>
          <w:b w:val="false"/>
          <w:sz w:val="24"/>
        </w:rPr>
        <w:t>means a prohibited transaction class exemption issued by the U.S. Department of Labor, as any such exemption may be amended from time to time.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Public Lender</w:t>
      </w:r>
      <w:r>
        <w:rPr>
          <w:rFonts w:ascii="Times New Roman" w:hAnsi="Times New Roman"/>
          <w:sz w:val="20"/>
        </w:rPr>
        <w:t xml:space="preserve">” </w:t>
      </w:r>
      <w:r>
        <w:rPr>
          <w:rFonts w:ascii="Times New Roman;serif" w:hAnsi="Times New Roman;serif"/>
          <w:b w:val="false"/>
          <w:sz w:val="24"/>
        </w:rPr>
        <w:t>means Lenders that do not wish to receive Non-Public Information with respect to the Borrower or any of its Subsidiaries or their Securities.</w:t>
      </w:r>
    </w:p>
    <w:p>
      <w:pPr>
        <w:pStyle w:val="TextBody"/>
        <w:bidi w:val="0"/>
        <w:spacing w:before="0" w:after="240"/>
        <w:jc w:val="both"/>
        <w:rPr/>
      </w:pPr>
      <w:r>
        <w:rPr/>
        <w:t>“</w:t>
      </w:r>
      <w:r>
        <w:rPr>
          <w:rFonts w:ascii="Times New Roman;serif" w:hAnsi="Times New Roman;serif"/>
          <w:b w:val="false"/>
          <w:sz w:val="24"/>
          <w:u w:val="single"/>
        </w:rPr>
        <w:t>Quarterly Dates</w:t>
      </w:r>
      <w:r>
        <w:rPr>
          <w:rFonts w:ascii="Times New Roman" w:hAnsi="Times New Roman"/>
          <w:sz w:val="20"/>
        </w:rPr>
        <w:t xml:space="preserve">” </w:t>
      </w:r>
      <w:r>
        <w:rPr>
          <w:rFonts w:ascii="Times New Roman;serif" w:hAnsi="Times New Roman;serif"/>
          <w:b w:val="false"/>
          <w:sz w:val="24"/>
        </w:rPr>
        <w:t>means the last Business Day of March, June, September and December in each year, commencing on September 30, 2013.</w:t>
      </w:r>
    </w:p>
    <w:p>
      <w:pPr>
        <w:pStyle w:val="TextBody"/>
        <w:bidi w:val="0"/>
        <w:spacing w:before="0" w:after="240"/>
        <w:jc w:val="both"/>
        <w:rPr/>
      </w:pPr>
      <w:r>
        <w:rPr/>
        <w:t>“</w:t>
      </w:r>
      <w:r>
        <w:rPr>
          <w:rFonts w:ascii="Times New Roman;serif" w:hAnsi="Times New Roman;serif"/>
          <w:b w:val="false"/>
          <w:sz w:val="24"/>
          <w:u w:val="single"/>
        </w:rPr>
        <w:t>Quoted Investments</w:t>
      </w:r>
      <w:r>
        <w:rPr>
          <w:rFonts w:ascii="Times New Roman" w:hAnsi="Times New Roman"/>
          <w:sz w:val="20"/>
        </w:rPr>
        <w:t xml:space="preserve">” </w:t>
      </w:r>
      <w:r>
        <w:rPr>
          <w:rFonts w:ascii="Times New Roman;serif" w:hAnsi="Times New Roman;serif"/>
          <w:b w:val="false"/>
          <w:sz w:val="24"/>
        </w:rPr>
        <w:t xml:space="preserve">means a Portfolio Investment with a value assigned by the Borrower pursuant to </w:t>
      </w:r>
      <w:r>
        <w:rPr>
          <w:rFonts w:ascii="Times New Roman;serif" w:hAnsi="Times New Roman;serif"/>
          <w:b w:val="false"/>
          <w:sz w:val="24"/>
          <w:u w:val="single"/>
        </w:rPr>
        <w:t>Section 5.12(b)(ii)(A)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Register</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val="false"/>
          <w:sz w:val="24"/>
          <w:u w:val="single"/>
        </w:rPr>
        <w:t>Section 9.04(c)</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Registration Statement</w:t>
      </w:r>
      <w:r>
        <w:rPr>
          <w:rFonts w:ascii="Times New Roman" w:hAnsi="Times New Roman"/>
          <w:sz w:val="20"/>
        </w:rPr>
        <w:t xml:space="preserve">” </w:t>
      </w:r>
      <w:r>
        <w:rPr>
          <w:rFonts w:ascii="Times New Roman;serif" w:hAnsi="Times New Roman;serif"/>
          <w:b w:val="false"/>
          <w:sz w:val="24"/>
        </w:rPr>
        <w:t>means the Registration Statement filed by the Borrower with the Securities and Exchange Commission on March 14, 2011.</w:t>
      </w:r>
    </w:p>
    <w:p>
      <w:pPr>
        <w:pStyle w:val="TextBody"/>
        <w:bidi w:val="0"/>
        <w:spacing w:before="0" w:after="240"/>
        <w:jc w:val="both"/>
        <w:rPr/>
      </w:pPr>
      <w:r>
        <w:rPr/>
        <w:t>“</w:t>
      </w:r>
      <w:r>
        <w:rPr>
          <w:rFonts w:ascii="Times New Roman;serif" w:hAnsi="Times New Roman;serif"/>
          <w:b w:val="false"/>
          <w:sz w:val="24"/>
          <w:u w:val="single"/>
        </w:rPr>
        <w:t>Regulations D, T, U and X</w:t>
      </w:r>
      <w:r>
        <w:rPr>
          <w:rFonts w:ascii="Times New Roman" w:hAnsi="Times New Roman"/>
          <w:sz w:val="20"/>
        </w:rPr>
        <w:t xml:space="preserve">” </w:t>
      </w:r>
      <w:r>
        <w:rPr>
          <w:rFonts w:ascii="Times New Roman;serif" w:hAnsi="Times New Roman;serif"/>
          <w:b w:val="false"/>
          <w:sz w:val="24"/>
        </w:rPr>
        <w:t>means, respectively, Regulations D, T, U and X of the Board, as the same may be modified and supplemented and in effect from time to time.</w:t>
      </w:r>
    </w:p>
    <w:p>
      <w:pPr>
        <w:pStyle w:val="TextBody"/>
        <w:bidi w:val="0"/>
        <w:spacing w:before="0" w:after="240"/>
        <w:jc w:val="both"/>
        <w:rPr/>
      </w:pPr>
      <w:r>
        <w:rPr/>
        <w:t>“</w:t>
      </w:r>
      <w:r>
        <w:rPr>
          <w:rFonts w:ascii="Times New Roman;serif" w:hAnsi="Times New Roman;serif"/>
          <w:b w:val="false"/>
          <w:sz w:val="24"/>
          <w:u w:val="single"/>
        </w:rPr>
        <w:t>Related Parties</w:t>
      </w:r>
      <w:r>
        <w:rPr>
          <w:rFonts w:ascii="Times New Roman" w:hAnsi="Times New Roman"/>
          <w:sz w:val="20"/>
        </w:rPr>
        <w:t xml:space="preserve">” </w:t>
      </w:r>
      <w:r>
        <w:rPr>
          <w:rFonts w:ascii="Times New Roman;serif" w:hAnsi="Times New Roman;serif"/>
          <w:b w:val="false"/>
          <w:sz w:val="24"/>
        </w:rPr>
        <w:t>means, with respect to any specified Person, such Person’s Affiliates and the respective partners, directors, officers, employees, agents and advisors of such Person and such Person’s Affiliates.</w:t>
      </w:r>
    </w:p>
    <w:p>
      <w:pPr>
        <w:pStyle w:val="TextBody"/>
        <w:bidi w:val="0"/>
        <w:spacing w:before="0" w:after="240"/>
        <w:jc w:val="both"/>
        <w:rPr/>
      </w:pPr>
      <w:r>
        <w:rPr/>
        <w:t>“</w:t>
      </w:r>
      <w:r>
        <w:rPr>
          <w:rFonts w:ascii="Times New Roman;serif" w:hAnsi="Times New Roman;serif"/>
          <w:b w:val="false"/>
          <w:sz w:val="24"/>
          <w:u w:val="single"/>
        </w:rPr>
        <w:t>Relevant Governmental Body</w:t>
      </w:r>
      <w:r>
        <w:rPr>
          <w:rFonts w:ascii="Times New Roman" w:hAnsi="Times New Roman"/>
          <w:sz w:val="20"/>
        </w:rPr>
        <w:t xml:space="preserve">” </w:t>
      </w:r>
      <w:r>
        <w:rPr>
          <w:rFonts w:ascii="Times New Roman;serif" w:hAnsi="Times New Roman;serif"/>
          <w:b w:val="false"/>
          <w:sz w:val="24"/>
        </w:rPr>
        <w:t>means (a) with respect to a Benchmark Replacement in respect of obligations, interest, fees, commissions or other amounts owing hereunder denominated in, or calculated with respect to Dollars, the Board and/or the Federal Reserve Bank of New York, or a committee officially endorsed or convened by the Board and/or the Federal Reserve Bank of New York or, in each case, any successor thereto, (b) with respect to a Benchmark Replacement in respect of obligations, interest, fees, commissions or other amounts owing hereunder denominated in, or calculated with respect to, Sterling, the Bank of England, or a committee officially endorsed or convened by the Bank of England or, in each case, any successor thereto, (c) with respect to a Benchmark Replacement in respect of obligations, interest, fees, commissions or other amounts owing hereunder denominated in, or calculated with respect to, Euro, the European Central Bank, or a committee officially endorsed or convened by the European Central Bank or, in each case, any successor thereto, and (d) with respect to a Benchmark Replacement in respect of obligations, interest, fees, commissions or other amounts owing hereunder denominated in, or calculated with respect to, any Currency (other than Dollars, Sterling or Euro), (1) the central bank for the Currency in which such obligations, interest, fees, commissions or other amounts are denominated, or calculated with respect thereto,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pStyle w:val="TextBody"/>
        <w:bidi w:val="0"/>
        <w:spacing w:before="0" w:after="240"/>
        <w:jc w:val="both"/>
        <w:rPr/>
      </w:pPr>
      <w:r>
        <w:rPr/>
        <w:t>“</w:t>
      </w:r>
      <w:r>
        <w:rPr>
          <w:rFonts w:ascii="Times New Roman;serif" w:hAnsi="Times New Roman;serif"/>
          <w:b w:val="false"/>
          <w:sz w:val="24"/>
          <w:u w:val="single"/>
        </w:rPr>
        <w:t>Required Lenders</w:t>
      </w:r>
      <w:r>
        <w:rPr>
          <w:rFonts w:ascii="Times New Roman" w:hAnsi="Times New Roman"/>
          <w:sz w:val="20"/>
        </w:rPr>
        <w:t xml:space="preserve">” </w:t>
      </w:r>
      <w:r>
        <w:rPr>
          <w:rFonts w:ascii="Times New Roman;serif" w:hAnsi="Times New Roman;serif"/>
          <w:b w:val="false"/>
          <w:sz w:val="24"/>
        </w:rPr>
        <w:t>means, at any time, Lenders having Revolving Credit Exposures and unused Commitments representing more than 50% of the sum of the total</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Revolving Credit Exposures and unused Commitments at such time;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the Revolving Credit Exposures and unused Commitments of any Defaulting Lender shall be disregarded in the determination of Required Lenders. The Required Lenders of a Class (which shall include the terms “</w:t>
      </w:r>
      <w:r>
        <w:rPr>
          <w:rFonts w:ascii="Times New Roman;serif" w:hAnsi="Times New Roman;serif"/>
          <w:b w:val="false"/>
          <w:sz w:val="24"/>
          <w:u w:val="single"/>
        </w:rPr>
        <w:t>Required Dollar Lenders</w:t>
      </w:r>
      <w:r>
        <w:rPr>
          <w:rFonts w:ascii="Times New Roman" w:hAnsi="Times New Roman"/>
          <w:sz w:val="20"/>
        </w:rPr>
        <w:t xml:space="preserve">” </w:t>
      </w:r>
      <w:r>
        <w:rPr>
          <w:rFonts w:ascii="Times New Roman;serif" w:hAnsi="Times New Roman;serif"/>
          <w:b w:val="false"/>
          <w:sz w:val="24"/>
        </w:rPr>
        <w:t>and “</w:t>
      </w:r>
      <w:r>
        <w:rPr>
          <w:rFonts w:ascii="Times New Roman;serif" w:hAnsi="Times New Roman;serif"/>
          <w:b w:val="false"/>
          <w:sz w:val="24"/>
          <w:u w:val="single"/>
        </w:rPr>
        <w:t>Required Multicurrency Lenders</w:t>
      </w:r>
      <w:r>
        <w:rPr>
          <w:rFonts w:ascii="Times New Roman" w:hAnsi="Times New Roman"/>
          <w:sz w:val="20"/>
        </w:rPr>
        <w:t>”</w:t>
      </w:r>
      <w:r>
        <w:rPr>
          <w:rFonts w:ascii="Times New Roman;serif" w:hAnsi="Times New Roman;serif"/>
          <w:b w:val="false"/>
          <w:sz w:val="24"/>
        </w:rPr>
        <w:t>)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pStyle w:val="TextBody"/>
        <w:bidi w:val="0"/>
        <w:spacing w:before="0" w:after="240"/>
        <w:jc w:val="both"/>
        <w:rPr/>
      </w:pPr>
      <w:r>
        <w:rPr/>
        <w:t>“</w:t>
      </w:r>
      <w:r>
        <w:rPr>
          <w:rFonts w:ascii="Times New Roman;serif" w:hAnsi="Times New Roman;serif"/>
          <w:b w:val="false"/>
          <w:sz w:val="24"/>
          <w:u w:val="single"/>
        </w:rPr>
        <w:t>Resolution Authority</w:t>
      </w:r>
      <w:r>
        <w:rPr>
          <w:rFonts w:ascii="Times New Roman" w:hAnsi="Times New Roman"/>
          <w:sz w:val="20"/>
        </w:rPr>
        <w:t xml:space="preserve">” </w:t>
      </w:r>
      <w:r>
        <w:rPr>
          <w:rFonts w:ascii="Times New Roman;serif" w:hAnsi="Times New Roman;serif"/>
          <w:b w:val="false"/>
          <w:sz w:val="24"/>
        </w:rPr>
        <w:t>means an EEA Resolution Authority or, with respect to any UK Financial Institution, a UK Resolution Authority.</w:t>
      </w:r>
    </w:p>
    <w:p>
      <w:pPr>
        <w:pStyle w:val="TextBody"/>
        <w:bidi w:val="0"/>
        <w:spacing w:before="0" w:after="240"/>
        <w:jc w:val="both"/>
        <w:rPr/>
      </w:pPr>
      <w:r>
        <w:rPr/>
        <w:t>“</w:t>
      </w:r>
      <w:r>
        <w:rPr>
          <w:rFonts w:ascii="Times New Roman;serif" w:hAnsi="Times New Roman;serif"/>
          <w:b w:val="false"/>
          <w:sz w:val="24"/>
          <w:u w:val="single"/>
        </w:rPr>
        <w:t>Responsible Officer</w:t>
      </w:r>
      <w:r>
        <w:rPr>
          <w:rFonts w:ascii="Times New Roman" w:hAnsi="Times New Roman"/>
          <w:sz w:val="20"/>
        </w:rPr>
        <w:t xml:space="preserve">” </w:t>
      </w:r>
      <w:r>
        <w:rPr>
          <w:rFonts w:ascii="Times New Roman;serif" w:hAnsi="Times New Roman;serif"/>
          <w:b w:val="false"/>
          <w:sz w:val="24"/>
        </w:rPr>
        <w:t>means the chief executive officer, president, chief financial officer, treasurer, assistant treasurer or controller of an Obligor.</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Restricted Payment</w:t>
      </w:r>
      <w:r>
        <w:rPr>
          <w:rFonts w:ascii="Times New Roman" w:hAnsi="Times New Roman"/>
          <w:sz w:val="20"/>
        </w:rPr>
        <w:t xml:space="preserve">” </w:t>
      </w:r>
      <w:r>
        <w:rPr>
          <w:rFonts w:ascii="Times New Roman;serif" w:hAnsi="Times New Roman;serif"/>
          <w:b w:val="false"/>
          <w:sz w:val="24"/>
        </w:rPr>
        <w:t>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pStyle w:val="TextBody"/>
        <w:bidi w:val="0"/>
        <w:spacing w:before="0" w:after="240"/>
        <w:jc w:val="both"/>
        <w:rPr/>
      </w:pPr>
      <w:r>
        <w:rPr/>
        <w:t>“</w:t>
      </w:r>
      <w:r>
        <w:rPr>
          <w:rFonts w:ascii="Times New Roman;serif" w:hAnsi="Times New Roman;serif"/>
          <w:b w:val="false"/>
          <w:sz w:val="24"/>
          <w:u w:val="single"/>
        </w:rPr>
        <w:t>Return of Capital</w:t>
      </w:r>
      <w:r>
        <w:rPr>
          <w:rFonts w:ascii="Times New Roman" w:hAnsi="Times New Roman"/>
          <w:sz w:val="20"/>
        </w:rPr>
        <w:t xml:space="preserve">” </w:t>
      </w:r>
      <w:r>
        <w:rPr>
          <w:rFonts w:ascii="Times New Roman;serif" w:hAnsi="Times New Roman;serif"/>
          <w:b w:val="false"/>
          <w:sz w:val="24"/>
        </w:rPr>
        <w:t xml:space="preserve">means (a) any net cash amount received by any Obligor in respect of the outstanding principal of any Portfolio Investment (whether at stated maturity, by acceleration or otherwise), (b) without duplication of amounts received under </w:t>
      </w:r>
      <w:r>
        <w:rPr>
          <w:rFonts w:ascii="Times New Roman;serif" w:hAnsi="Times New Roman;serif"/>
          <w:b w:val="false"/>
          <w:sz w:val="24"/>
          <w:u w:val="single"/>
        </w:rPr>
        <w:t>clause (a)</w:t>
      </w:r>
      <w:r>
        <w:rPr>
          <w:rFonts w:ascii="Times New Roman;serif" w:hAnsi="Times New Roman;serif"/>
          <w:b w:val="false"/>
          <w:sz w:val="24"/>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Times New Roman;serif" w:hAnsi="Times New Roman;serif"/>
          <w:b w:val="false"/>
          <w:sz w:val="24"/>
          <w:u w:val="single"/>
        </w:rPr>
        <w:t>clauses (a)</w:t>
      </w:r>
      <w:r>
        <w:rPr>
          <w:rFonts w:ascii="Times New Roman;serif" w:hAnsi="Times New Roman;serif"/>
          <w:b w:val="false"/>
          <w:sz w:val="24"/>
        </w:rPr>
        <w:t xml:space="preserve">, </w:t>
      </w:r>
      <w:r>
        <w:rPr>
          <w:rFonts w:ascii="Times New Roman;serif" w:hAnsi="Times New Roman;serif"/>
          <w:b w:val="false"/>
          <w:sz w:val="24"/>
          <w:u w:val="single"/>
        </w:rPr>
        <w:t>(b)</w:t>
      </w:r>
      <w:r>
        <w:rPr>
          <w:rFonts w:ascii="Times New Roman;serif" w:hAnsi="Times New Roman;serif"/>
          <w:b w:val="false"/>
          <w:sz w:val="24"/>
        </w:rPr>
        <w:t xml:space="preserve">, </w:t>
      </w:r>
      <w:r>
        <w:rPr>
          <w:rFonts w:ascii="Times New Roman;serif" w:hAnsi="Times New Roman;serif"/>
          <w:b w:val="false"/>
          <w:sz w:val="24"/>
          <w:u w:val="single"/>
        </w:rPr>
        <w:t>(c)</w:t>
      </w:r>
      <w:r>
        <w:rPr>
          <w:rFonts w:ascii="Times New Roman" w:hAnsi="Times New Roman"/>
          <w:sz w:val="20"/>
        </w:rPr>
        <w:t xml:space="preserve"> </w:t>
      </w:r>
      <w:r>
        <w:rPr>
          <w:rFonts w:ascii="Times New Roman;serif" w:hAnsi="Times New Roman;serif"/>
          <w:b w:val="false"/>
          <w:sz w:val="24"/>
        </w:rPr>
        <w:t xml:space="preserve">and </w:t>
      </w:r>
      <w:r>
        <w:rPr>
          <w:rFonts w:ascii="Times New Roman;serif" w:hAnsi="Times New Roman;serif"/>
          <w:b w:val="false"/>
          <w:sz w:val="24"/>
          <w:u w:val="single"/>
        </w:rPr>
        <w:t>(d)</w:t>
      </w:r>
      <w:r>
        <w:rPr>
          <w:rFonts w:ascii="Times New Roman;serif" w:hAnsi="Times New Roman;serif"/>
          <w:b w:val="false"/>
          <w:sz w:val="24"/>
        </w:rPr>
        <w:t>, net of any fees, costs, expenses and taxes payable with respect thereto).</w:t>
      </w:r>
    </w:p>
    <w:p>
      <w:pPr>
        <w:pStyle w:val="TextBody"/>
        <w:bidi w:val="0"/>
        <w:spacing w:before="0" w:after="240"/>
        <w:jc w:val="both"/>
        <w:rPr/>
      </w:pPr>
      <w:r>
        <w:rPr/>
        <w:t>“</w:t>
      </w:r>
      <w:r>
        <w:rPr>
          <w:rFonts w:ascii="Times New Roman;serif" w:hAnsi="Times New Roman;serif"/>
          <w:b w:val="false"/>
          <w:sz w:val="24"/>
          <w:u w:val="single"/>
        </w:rPr>
        <w:t>Revolving Credit Exposure</w:t>
      </w:r>
      <w:r>
        <w:rPr>
          <w:rFonts w:ascii="Times New Roman" w:hAnsi="Times New Roman"/>
          <w:sz w:val="20"/>
        </w:rPr>
        <w:t xml:space="preserve">” </w:t>
      </w:r>
      <w:r>
        <w:rPr>
          <w:rFonts w:ascii="Times New Roman;serif" w:hAnsi="Times New Roman;serif"/>
          <w:b w:val="false"/>
          <w:sz w:val="24"/>
        </w:rPr>
        <w:t>means, with respect to any Lender at any time, the sum of the outstanding principal amount of such Lender’s Revolving Dollar Credit Exposure and Revolving Multicurrency Credit Exposure at such time.</w:t>
      </w:r>
    </w:p>
    <w:p>
      <w:pPr>
        <w:pStyle w:val="TextBody"/>
        <w:bidi w:val="0"/>
        <w:spacing w:before="0" w:after="240"/>
        <w:jc w:val="both"/>
        <w:rPr/>
      </w:pPr>
      <w:r>
        <w:rPr/>
        <w:t>“</w:t>
      </w:r>
      <w:r>
        <w:rPr>
          <w:rFonts w:ascii="Times New Roman;serif" w:hAnsi="Times New Roman;serif"/>
          <w:b w:val="false"/>
          <w:sz w:val="24"/>
          <w:u w:val="single"/>
        </w:rPr>
        <w:t>Revolving Dollar Credit Exposure</w:t>
      </w:r>
      <w:r>
        <w:rPr>
          <w:rFonts w:ascii="Times New Roman" w:hAnsi="Times New Roman"/>
          <w:sz w:val="20"/>
        </w:rPr>
        <w:t xml:space="preserve">” </w:t>
      </w:r>
      <w:r>
        <w:rPr>
          <w:rFonts w:ascii="Times New Roman;serif" w:hAnsi="Times New Roman;serif"/>
          <w:b w:val="false"/>
          <w:sz w:val="24"/>
        </w:rPr>
        <w:t>means, with respect to any Lender at any time, the sum of the outstanding principal amount of such Lender’s Syndicated Loans, and its LC Exposure and Swingline Exposure, at such time made or incurred under the Dollar Commitments.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Revolving Multicurrency Credit Exposure</w:t>
      </w:r>
      <w:r>
        <w:rPr>
          <w:rFonts w:ascii="Times New Roman" w:hAnsi="Times New Roman"/>
          <w:sz w:val="20"/>
        </w:rPr>
        <w:t xml:space="preserve">” </w:t>
      </w:r>
      <w:r>
        <w:rPr>
          <w:rFonts w:ascii="Times New Roman;serif" w:hAnsi="Times New Roman;serif"/>
          <w:b w:val="false"/>
          <w:sz w:val="24"/>
        </w:rPr>
        <w:t>means, with respect to any Lender at any time, the sum of the outstanding principal amount of such Lender’s Syndicated Loans, and its LC Exposure and Swingline Exposure, at such time made or incurred under the Multicurrency Commitments.</w:t>
      </w:r>
    </w:p>
    <w:p>
      <w:pPr>
        <w:pStyle w:val="TextBody"/>
        <w:bidi w:val="0"/>
        <w:spacing w:before="0" w:after="240"/>
        <w:jc w:val="both"/>
        <w:rPr/>
      </w:pPr>
      <w:r>
        <w:rPr/>
        <w:t>“</w:t>
      </w:r>
      <w:r>
        <w:rPr>
          <w:rFonts w:ascii="Times New Roman;serif" w:hAnsi="Times New Roman;serif"/>
          <w:b w:val="false"/>
          <w:sz w:val="24"/>
          <w:u w:val="single"/>
        </w:rPr>
        <w:t>Revolving Percentage</w:t>
      </w:r>
      <w:r>
        <w:rPr>
          <w:rFonts w:ascii="Times New Roman" w:hAnsi="Times New Roman"/>
          <w:sz w:val="20"/>
        </w:rPr>
        <w:t xml:space="preserve">” </w:t>
      </w:r>
      <w:r>
        <w:rPr>
          <w:rFonts w:ascii="Times New Roman;serif" w:hAnsi="Times New Roman;serif"/>
          <w:b w:val="false"/>
          <w:sz w:val="24"/>
        </w:rPr>
        <w:t>means, as of any date of determination, the result, expressed as a percentage, of the Revolving Credit Exposure on such date divided by the aggregate outstanding Covered Debt Amount on such date.</w:t>
      </w:r>
    </w:p>
    <w:p>
      <w:pPr>
        <w:pStyle w:val="TextBody"/>
        <w:bidi w:val="0"/>
        <w:spacing w:before="0" w:after="240"/>
        <w:jc w:val="both"/>
        <w:rPr/>
      </w:pPr>
      <w:r>
        <w:rPr/>
        <w:t>“</w:t>
      </w:r>
      <w:r>
        <w:rPr>
          <w:rFonts w:ascii="Times New Roman;serif" w:hAnsi="Times New Roman;serif"/>
          <w:b w:val="false"/>
          <w:sz w:val="24"/>
          <w:u w:val="single"/>
        </w:rPr>
        <w:t>RFR</w:t>
      </w:r>
      <w:r>
        <w:rPr>
          <w:rFonts w:ascii="Times New Roman" w:hAnsi="Times New Roman"/>
          <w:sz w:val="20"/>
        </w:rPr>
        <w:t>”</w:t>
      </w:r>
      <w:r>
        <w:rPr>
          <w:rFonts w:ascii="Times New Roman;serif" w:hAnsi="Times New Roman;serif"/>
          <w:b w:val="false"/>
          <w:sz w:val="24"/>
        </w:rPr>
        <w:t>, when used in reference to any Loan or Borrowing, refers to whether such Loan is, or the Loans constituting such Borrowing are, bearing interest at a rate determined by reference to the Daily Simple RFR for the applicable Currency.</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RFR Administrator</w:t>
      </w:r>
      <w:r>
        <w:rPr>
          <w:rFonts w:ascii="Times New Roman" w:hAnsi="Times New Roman"/>
          <w:sz w:val="20"/>
        </w:rPr>
        <w:t xml:space="preserve">” </w:t>
      </w:r>
      <w:r>
        <w:rPr>
          <w:rFonts w:ascii="Times New Roman;serif" w:hAnsi="Times New Roman;serif"/>
          <w:b w:val="false"/>
          <w:sz w:val="24"/>
        </w:rPr>
        <w:t>means the SONIA Administrator or the SARON Administrator, as applicable.</w:t>
      </w:r>
    </w:p>
    <w:p>
      <w:pPr>
        <w:pStyle w:val="TextBody"/>
        <w:bidi w:val="0"/>
        <w:spacing w:before="0" w:after="240"/>
        <w:jc w:val="both"/>
        <w:rPr/>
      </w:pPr>
      <w:r>
        <w:rPr/>
        <w:t>“</w:t>
      </w:r>
      <w:r>
        <w:rPr>
          <w:rFonts w:ascii="Times New Roman;serif" w:hAnsi="Times New Roman;serif"/>
          <w:b w:val="false"/>
          <w:sz w:val="24"/>
          <w:u w:val="single"/>
        </w:rPr>
        <w:t>RFR Administrator’s Website</w:t>
      </w:r>
      <w:r>
        <w:rPr>
          <w:rFonts w:ascii="Times New Roman" w:hAnsi="Times New Roman"/>
          <w:sz w:val="20"/>
        </w:rPr>
        <w:t xml:space="preserve">” </w:t>
      </w:r>
      <w:r>
        <w:rPr>
          <w:rFonts w:ascii="Times New Roman;serif" w:hAnsi="Times New Roman;serif"/>
          <w:b w:val="false"/>
          <w:sz w:val="24"/>
        </w:rPr>
        <w:t>means the SONIA Administrator’s Website or the SARON Administrator’s Website, as applicable.</w:t>
      </w:r>
    </w:p>
    <w:p>
      <w:pPr>
        <w:pStyle w:val="TextBody"/>
        <w:bidi w:val="0"/>
        <w:spacing w:before="0" w:after="240"/>
        <w:jc w:val="both"/>
        <w:rPr/>
      </w:pPr>
      <w:r>
        <w:rPr/>
        <w:t>“</w:t>
      </w:r>
      <w:r>
        <w:rPr>
          <w:rFonts w:ascii="Times New Roman;serif" w:hAnsi="Times New Roman;serif"/>
          <w:b w:val="false"/>
          <w:sz w:val="24"/>
          <w:u w:val="single"/>
        </w:rPr>
        <w:t>RFR Applicable Credit Adjustment Spread</w:t>
      </w:r>
      <w:r>
        <w:rPr>
          <w:rFonts w:ascii="Times New Roman" w:hAnsi="Times New Roman"/>
          <w:sz w:val="20"/>
        </w:rPr>
        <w:t xml:space="preserve">” </w:t>
      </w:r>
      <w:r>
        <w:rPr>
          <w:rFonts w:ascii="Times New Roman;serif" w:hAnsi="Times New Roman;serif"/>
          <w:b w:val="false"/>
          <w:sz w:val="24"/>
        </w:rPr>
        <w:t>means, (a) with respect to RFR Loans denominated in Sterling, (i) with an Interest Period of three months, 0.1193% and (ii) with an Interest Period of one month, 0.0326%, and (b) with respect to RFR Loans denominated in Swiss Francs (i) with an Interest Period of three months, 0.0031% and (ii) with an Interest Period of one month, -0.0571%.</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RFR Business Day</w:t>
      </w:r>
      <w:r>
        <w:rPr>
          <w:rFonts w:ascii="Times New Roman" w:hAnsi="Times New Roman"/>
          <w:sz w:val="20"/>
        </w:rPr>
        <w:t xml:space="preserve">” </w:t>
      </w:r>
      <w:r>
        <w:rPr>
          <w:rFonts w:ascii="Times New Roman;serif" w:hAnsi="Times New Roman;serif"/>
          <w:b w:val="false"/>
          <w:sz w:val="24"/>
        </w:rPr>
        <w:t>means, for any Loans, Borrowings, interest, fees, commissions or other amounts denominated in, or calculated with respect to, (a) Sterling, any day except for (i) a Saturday, (ii) a Sunday or (iii) a day on which banks are closed for general business in London, and (b) Swiss Francs, any day except for (i) a Saturday, (ii) a Sunday or (iii) a day on which banks are closed for the settlement of payments and foreign exchange transactions in Zurich.</w:t>
      </w:r>
    </w:p>
    <w:p>
      <w:pPr>
        <w:pStyle w:val="TextBody"/>
        <w:bidi w:val="0"/>
        <w:spacing w:before="0" w:after="240"/>
        <w:jc w:val="both"/>
        <w:rPr/>
      </w:pPr>
      <w:r>
        <w:rPr/>
        <w:t>“</w:t>
      </w:r>
      <w:r>
        <w:rPr>
          <w:rFonts w:ascii="Times New Roman;serif" w:hAnsi="Times New Roman;serif"/>
          <w:b w:val="false"/>
          <w:sz w:val="24"/>
          <w:u w:val="single"/>
        </w:rPr>
        <w:t>RFR Interest Day</w:t>
      </w:r>
      <w:r>
        <w:rPr>
          <w:rFonts w:ascii="Times New Roman" w:hAnsi="Times New Roman"/>
          <w:sz w:val="20"/>
        </w:rPr>
        <w:t xml:space="preserve">” </w:t>
      </w:r>
      <w:r>
        <w:rPr>
          <w:rFonts w:ascii="Times New Roman;serif" w:hAnsi="Times New Roman;serif"/>
          <w:b w:val="false"/>
          <w:sz w:val="24"/>
        </w:rPr>
        <w:t>has the meaning specified in the definition of “Daily Simple RFR”.</w:t>
      </w:r>
    </w:p>
    <w:p>
      <w:pPr>
        <w:pStyle w:val="TextBody"/>
        <w:bidi w:val="0"/>
        <w:spacing w:before="0" w:after="240"/>
        <w:jc w:val="both"/>
        <w:rPr/>
      </w:pPr>
      <w:r>
        <w:rPr/>
        <w:t>“</w:t>
      </w:r>
      <w:r>
        <w:rPr>
          <w:rFonts w:ascii="Times New Roman;serif" w:hAnsi="Times New Roman;serif"/>
          <w:b w:val="false"/>
          <w:sz w:val="24"/>
          <w:u w:val="single"/>
        </w:rPr>
        <w:t>RFR Rate</w:t>
      </w:r>
      <w:r>
        <w:rPr>
          <w:rFonts w:ascii="Times New Roman" w:hAnsi="Times New Roman"/>
          <w:sz w:val="20"/>
        </w:rPr>
        <w:t xml:space="preserve">” </w:t>
      </w:r>
      <w:r>
        <w:rPr>
          <w:rFonts w:ascii="Times New Roman;serif" w:hAnsi="Times New Roman;serif"/>
          <w:b w:val="false"/>
          <w:sz w:val="24"/>
        </w:rPr>
        <w:t>means, for any Loans, Borrowings, interest, fees, commissions or other amounts denominated in, or calculated with respect to (a) Sterling, SONIA, and (b) Swiss Francs, SARON.</w:t>
      </w:r>
    </w:p>
    <w:p>
      <w:pPr>
        <w:pStyle w:val="TextBody"/>
        <w:bidi w:val="0"/>
        <w:spacing w:before="0" w:after="240"/>
        <w:jc w:val="both"/>
        <w:rPr/>
      </w:pPr>
      <w:r>
        <w:rPr/>
        <w:t>“</w:t>
      </w:r>
      <w:r>
        <w:rPr>
          <w:rFonts w:ascii="Times New Roman;serif" w:hAnsi="Times New Roman;serif"/>
          <w:b w:val="false"/>
          <w:sz w:val="24"/>
          <w:u w:val="single"/>
        </w:rPr>
        <w:t>RFR Reference Day</w:t>
      </w:r>
      <w:r>
        <w:rPr>
          <w:rFonts w:ascii="Times New Roman" w:hAnsi="Times New Roman"/>
          <w:sz w:val="20"/>
        </w:rPr>
        <w:t xml:space="preserve">” </w:t>
      </w:r>
      <w:r>
        <w:rPr>
          <w:rFonts w:ascii="Times New Roman;serif" w:hAnsi="Times New Roman;serif"/>
          <w:b w:val="false"/>
          <w:sz w:val="24"/>
        </w:rPr>
        <w:t>has the meaning specified in the definition of “Daily Simple RFR”.</w:t>
      </w:r>
    </w:p>
    <w:p>
      <w:pPr>
        <w:pStyle w:val="TextBody"/>
        <w:bidi w:val="0"/>
        <w:spacing w:before="0" w:after="240"/>
        <w:jc w:val="both"/>
        <w:rPr/>
      </w:pPr>
      <w:r>
        <w:rPr/>
        <w:t>“</w:t>
      </w:r>
      <w:r>
        <w:rPr>
          <w:rFonts w:ascii="Times New Roman;serif" w:hAnsi="Times New Roman;serif"/>
          <w:b w:val="false"/>
          <w:sz w:val="24"/>
          <w:u w:val="single"/>
        </w:rPr>
        <w:t>RIC</w:t>
      </w:r>
      <w:r>
        <w:rPr>
          <w:rFonts w:ascii="Times New Roman" w:hAnsi="Times New Roman"/>
          <w:sz w:val="20"/>
        </w:rPr>
        <w:t xml:space="preserve">” </w:t>
      </w:r>
      <w:r>
        <w:rPr>
          <w:rFonts w:ascii="Times New Roman;serif" w:hAnsi="Times New Roman;serif"/>
          <w:b w:val="false"/>
          <w:sz w:val="24"/>
        </w:rPr>
        <w:t>means a person qualifying for treatment as a “regulated investment company” under the Code.</w:t>
      </w:r>
    </w:p>
    <w:p>
      <w:pPr>
        <w:pStyle w:val="TextBody"/>
        <w:bidi w:val="0"/>
        <w:spacing w:before="0" w:after="240"/>
        <w:jc w:val="both"/>
        <w:rPr/>
      </w:pPr>
      <w:r>
        <w:rPr/>
        <w:t>“</w:t>
      </w:r>
      <w:r>
        <w:rPr>
          <w:rFonts w:ascii="Times New Roman;serif" w:hAnsi="Times New Roman;serif"/>
          <w:b w:val="false"/>
          <w:sz w:val="24"/>
          <w:u w:val="single"/>
        </w:rPr>
        <w:t>S&amp;P</w:t>
      </w:r>
      <w:r>
        <w:rPr>
          <w:rFonts w:ascii="Times New Roman" w:hAnsi="Times New Roman"/>
          <w:sz w:val="20"/>
        </w:rPr>
        <w:t xml:space="preserve">” </w:t>
      </w:r>
      <w:r>
        <w:rPr>
          <w:rFonts w:ascii="Times New Roman;serif" w:hAnsi="Times New Roman;serif"/>
          <w:b w:val="false"/>
          <w:sz w:val="24"/>
        </w:rPr>
        <w:t>means S&amp;P Global Ratings or any successor thereto.</w:t>
      </w:r>
    </w:p>
    <w:p>
      <w:pPr>
        <w:pStyle w:val="TextBody"/>
        <w:bidi w:val="0"/>
        <w:spacing w:before="0" w:after="240"/>
        <w:jc w:val="both"/>
        <w:rPr/>
      </w:pPr>
      <w:r>
        <w:rPr/>
        <w:t>“</w:t>
      </w:r>
      <w:r>
        <w:rPr>
          <w:rFonts w:ascii="Times New Roman;serif" w:hAnsi="Times New Roman;serif"/>
          <w:b w:val="false"/>
          <w:sz w:val="24"/>
          <w:u w:val="single"/>
        </w:rPr>
        <w:t>Sanctioned Country</w:t>
      </w:r>
      <w:r>
        <w:rPr>
          <w:rFonts w:ascii="Times New Roman" w:hAnsi="Times New Roman"/>
          <w:sz w:val="20"/>
        </w:rPr>
        <w:t xml:space="preserve">” </w:t>
      </w:r>
      <w:r>
        <w:rPr>
          <w:rFonts w:ascii="Times New Roman;serif" w:hAnsi="Times New Roman;serif"/>
          <w:b w:val="false"/>
          <w:sz w:val="24"/>
        </w:rPr>
        <w:t>means, at any time, a country, territory or region that is the subject or the target of country-wide or territory-wide Sanctions broadly prohibiting dealings with</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such country, territory or region (currently, Cuba, Iran, North Korea and Syria, the Crimea Region of Ukraine, the so-called Donetsk People’s Republic, the so-called Luhansk People’s Republic and non-government-controlled areas of the Zaporizhzhia and Kherson Regions of Ukraine).</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Sanctions</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3.15(a)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SARON</w:t>
      </w:r>
      <w:r>
        <w:rPr>
          <w:rFonts w:ascii="Times New Roman" w:hAnsi="Times New Roman"/>
          <w:sz w:val="20"/>
        </w:rPr>
        <w:t xml:space="preserve">” </w:t>
      </w:r>
      <w:r>
        <w:rPr>
          <w:rFonts w:ascii="Times New Roman;serif" w:hAnsi="Times New Roman;serif"/>
          <w:b w:val="false"/>
          <w:sz w:val="24"/>
        </w:rPr>
        <w:t>means a rate equal to the Swiss Average Rate Overnight as administered by the SARON Administrator.</w:t>
      </w:r>
    </w:p>
    <w:p>
      <w:pPr>
        <w:pStyle w:val="TextBody"/>
        <w:bidi w:val="0"/>
        <w:spacing w:before="0" w:after="240"/>
        <w:jc w:val="both"/>
        <w:rPr/>
      </w:pPr>
      <w:r>
        <w:rPr/>
        <w:t>“</w:t>
      </w:r>
      <w:r>
        <w:rPr>
          <w:rFonts w:ascii="Times New Roman;serif" w:hAnsi="Times New Roman;serif"/>
          <w:b w:val="false"/>
          <w:sz w:val="24"/>
          <w:u w:val="single"/>
        </w:rPr>
        <w:t>SARON Administrator</w:t>
      </w:r>
      <w:r>
        <w:rPr>
          <w:rFonts w:ascii="Times New Roman" w:hAnsi="Times New Roman"/>
          <w:sz w:val="20"/>
        </w:rPr>
        <w:t xml:space="preserve">” </w:t>
      </w:r>
      <w:r>
        <w:rPr>
          <w:rFonts w:ascii="Times New Roman;serif" w:hAnsi="Times New Roman;serif"/>
          <w:b w:val="false"/>
          <w:sz w:val="24"/>
        </w:rPr>
        <w:t>means the SIX Swiss Exchange AG (or any successor administrator of the Swiss Average Rate Overnight).</w:t>
      </w:r>
    </w:p>
    <w:p>
      <w:pPr>
        <w:pStyle w:val="TextBody"/>
        <w:bidi w:val="0"/>
        <w:spacing w:before="0" w:after="240"/>
        <w:jc w:val="both"/>
        <w:rPr/>
      </w:pPr>
      <w:r>
        <w:rPr/>
        <w:t>“</w:t>
      </w:r>
      <w:r>
        <w:rPr>
          <w:rFonts w:ascii="Times New Roman;serif" w:hAnsi="Times New Roman;serif"/>
          <w:b w:val="false"/>
          <w:sz w:val="24"/>
          <w:u w:val="single"/>
        </w:rPr>
        <w:t>SARON Administrator’s Website</w:t>
      </w:r>
      <w:r>
        <w:rPr>
          <w:rFonts w:ascii="Times New Roman" w:hAnsi="Times New Roman"/>
          <w:sz w:val="20"/>
        </w:rPr>
        <w:t xml:space="preserve">” </w:t>
      </w:r>
      <w:r>
        <w:rPr>
          <w:rFonts w:ascii="Times New Roman;serif" w:hAnsi="Times New Roman;serif"/>
          <w:b w:val="false"/>
          <w:sz w:val="24"/>
        </w:rPr>
        <w:t>means SIX Swiss Exchange AG’s website, currently at https://www.six-group.com, or any successor source for the Swiss Average Rate Overnight identified as such by the SARON Administrator from time to time.</w:t>
      </w:r>
    </w:p>
    <w:p>
      <w:pPr>
        <w:pStyle w:val="TextBody"/>
        <w:bidi w:val="0"/>
        <w:spacing w:before="0" w:after="240"/>
        <w:jc w:val="both"/>
        <w:rPr/>
      </w:pPr>
      <w:r>
        <w:rPr/>
        <w:t>“</w:t>
      </w:r>
      <w:r>
        <w:rPr>
          <w:rFonts w:ascii="Times New Roman;serif" w:hAnsi="Times New Roman;serif"/>
          <w:b w:val="false"/>
          <w:sz w:val="24"/>
          <w:u w:val="single"/>
        </w:rPr>
        <w:t>SBA</w:t>
      </w:r>
      <w:r>
        <w:rPr>
          <w:rFonts w:ascii="Times New Roman" w:hAnsi="Times New Roman"/>
          <w:sz w:val="20"/>
        </w:rPr>
        <w:t xml:space="preserve">” </w:t>
      </w:r>
      <w:r>
        <w:rPr>
          <w:rFonts w:ascii="Times New Roman;serif" w:hAnsi="Times New Roman;serif"/>
          <w:b w:val="false"/>
          <w:sz w:val="24"/>
        </w:rPr>
        <w:t>means the United States Small Business Administration.</w:t>
      </w:r>
    </w:p>
    <w:p>
      <w:pPr>
        <w:pStyle w:val="TextBody"/>
        <w:bidi w:val="0"/>
        <w:spacing w:before="0" w:after="240"/>
        <w:jc w:val="both"/>
        <w:rPr/>
      </w:pPr>
      <w:r>
        <w:rPr/>
        <w:t>“</w:t>
      </w:r>
      <w:r>
        <w:rPr>
          <w:rFonts w:ascii="Times New Roman;serif" w:hAnsi="Times New Roman;serif"/>
          <w:b w:val="false"/>
          <w:sz w:val="24"/>
          <w:u w:val="single"/>
        </w:rPr>
        <w:t>SBIC Equity Commitment</w:t>
      </w:r>
      <w:r>
        <w:rPr>
          <w:rFonts w:ascii="Times New Roman" w:hAnsi="Times New Roman"/>
          <w:sz w:val="20"/>
        </w:rPr>
        <w:t xml:space="preserve">” </w:t>
      </w:r>
      <w:r>
        <w:rPr>
          <w:rFonts w:ascii="Times New Roman;serif" w:hAnsi="Times New Roman;serif"/>
          <w:b w:val="false"/>
          <w:sz w:val="24"/>
        </w:rPr>
        <w:t>means a commitment by the Borrower to make one or more capital contributions to an SBIC Subsidiary.</w:t>
      </w:r>
    </w:p>
    <w:p>
      <w:pPr>
        <w:pStyle w:val="TextBody"/>
        <w:bidi w:val="0"/>
        <w:spacing w:before="0" w:after="240"/>
        <w:jc w:val="both"/>
        <w:rPr/>
      </w:pPr>
      <w:r>
        <w:rPr/>
        <w:t>“</w:t>
      </w:r>
      <w:r>
        <w:rPr>
          <w:rFonts w:ascii="Times New Roman;serif" w:hAnsi="Times New Roman;serif"/>
          <w:b w:val="false"/>
          <w:sz w:val="24"/>
          <w:u w:val="single"/>
        </w:rPr>
        <w:t>SBIC Subsidiary</w:t>
      </w:r>
      <w:r>
        <w:rPr>
          <w:rFonts w:ascii="Times New Roman" w:hAnsi="Times New Roman"/>
          <w:sz w:val="20"/>
        </w:rPr>
        <w:t xml:space="preserve">” </w:t>
      </w:r>
      <w:r>
        <w:rPr>
          <w:rFonts w:ascii="Times New Roman;serif" w:hAnsi="Times New Roman;serif"/>
          <w:b w:val="false"/>
          <w:sz w:val="24"/>
        </w:rPr>
        <w:t>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pStyle w:val="TextBody"/>
        <w:bidi w:val="0"/>
        <w:spacing w:before="0" w:after="240"/>
        <w:jc w:val="both"/>
        <w:rPr/>
      </w:pPr>
      <w:r>
        <w:rPr/>
        <w:t>“</w:t>
      </w:r>
      <w:r>
        <w:rPr>
          <w:rFonts w:ascii="Times New Roman;serif" w:hAnsi="Times New Roman;serif"/>
          <w:b w:val="false"/>
          <w:sz w:val="24"/>
          <w:u w:val="single"/>
        </w:rPr>
        <w:t>Secured Longer-Term Indebtedness</w:t>
      </w:r>
      <w:r>
        <w:rPr>
          <w:rFonts w:ascii="Times New Roman" w:hAnsi="Times New Roman"/>
          <w:sz w:val="20"/>
        </w:rPr>
        <w:t xml:space="preserve">” </w:t>
      </w:r>
      <w:r>
        <w:rPr>
          <w:rFonts w:ascii="Times New Roman;serif" w:hAnsi="Times New Roman;serif"/>
          <w:b w:val="false"/>
          <w:sz w:val="24"/>
        </w:rPr>
        <w:t xml:space="preserve">means, as at any date, Indebtedness (other than Indebtedness hereunder) of an Obligor (which may be Guaranteed by Subsidiary Guarantors)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serif" w:hAnsi="Times New Roman;serif"/>
          <w:b w:val="false"/>
          <w:sz w:val="24"/>
          <w:u w:val="single"/>
        </w:rPr>
        <w:t>Section 6.01(i)</w:t>
      </w:r>
      <w:r>
        <w:rPr>
          <w:rFonts w:ascii="Times New Roman" w:hAnsi="Times New Roman"/>
          <w:sz w:val="20"/>
        </w:rPr>
        <w:t xml:space="preserve"> </w:t>
      </w:r>
      <w:r>
        <w:rPr>
          <w:rFonts w:ascii="Times New Roman;serif" w:hAnsi="Times New Roman;serif"/>
          <w:b w:val="false"/>
          <w:sz w:val="24"/>
        </w:rPr>
        <w:t xml:space="preserve">and </w:t>
      </w:r>
      <w:r>
        <w:rPr>
          <w:rFonts w:ascii="Times New Roman;serif" w:hAnsi="Times New Roman;serif"/>
          <w:b w:val="false"/>
          <w:sz w:val="24"/>
          <w:u w:val="single"/>
        </w:rPr>
        <w:t>6.01(o</w:t>
      </w:r>
      <w:r>
        <w:rPr>
          <w:rFonts w:ascii="Times New Roman;serif" w:hAnsi="Times New Roman;serif"/>
          <w:b w:val="false"/>
          <w:sz w:val="24"/>
        </w:rPr>
        <w:t>)) prior to, and a final maturity date not earlier than, six months after the Extended Final Maturity Date (it being understood that none of: (w) the conversion features under convertible notes; (x) the</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triggering and/or settlement thereof; or (y) any cash payment made in respect thereof, shall constitute “amortization” for purposes of this </w:t>
      </w:r>
      <w:r>
        <w:rPr>
          <w:rFonts w:ascii="Times New Roman;serif" w:hAnsi="Times New Roman;serif"/>
          <w:b w:val="false"/>
          <w:sz w:val="24"/>
          <w:u w:val="single"/>
        </w:rPr>
        <w:t>clause (a)</w:t>
      </w:r>
      <w:r>
        <w:rPr>
          <w:rFonts w:ascii="Times New Roman;serif" w:hAnsi="Times New Roman;serif"/>
          <w:b w:val="false"/>
          <w:sz w:val="24"/>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Secured Shorter-Term Indebtedness</w:t>
      </w:r>
      <w:r>
        <w:rPr>
          <w:rFonts w:ascii="Times New Roman" w:hAnsi="Times New Roman"/>
          <w:sz w:val="20"/>
        </w:rPr>
        <w:t xml:space="preserve">” </w:t>
      </w:r>
      <w:r>
        <w:rPr>
          <w:rFonts w:ascii="Times New Roman;serif" w:hAnsi="Times New Roman;serif"/>
          <w:b w:val="false"/>
          <w:sz w:val="24"/>
        </w:rPr>
        <w:t xml:space="preserve">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Times New Roman;serif" w:hAnsi="Times New Roman;serif"/>
          <w:b w:val="false"/>
          <w:sz w:val="24"/>
          <w:u w:val="single"/>
        </w:rPr>
        <w:t>Section 6.11(a)</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Security Documents</w:t>
      </w:r>
      <w:r>
        <w:rPr>
          <w:rFonts w:ascii="Times New Roman" w:hAnsi="Times New Roman"/>
          <w:sz w:val="20"/>
        </w:rPr>
        <w:t xml:space="preserve">” </w:t>
      </w:r>
      <w:r>
        <w:rPr>
          <w:rFonts w:ascii="Times New Roman;serif" w:hAnsi="Times New Roman;serif"/>
          <w:b w:val="false"/>
          <w:sz w:val="24"/>
        </w:rPr>
        <w:t>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pStyle w:val="TextBody"/>
        <w:bidi w:val="0"/>
        <w:spacing w:before="0" w:after="240"/>
        <w:jc w:val="both"/>
        <w:rPr/>
      </w:pPr>
      <w:r>
        <w:rPr/>
        <w:t>“</w:t>
      </w:r>
      <w:r>
        <w:rPr>
          <w:rFonts w:ascii="Times New Roman;serif" w:hAnsi="Times New Roman;serif"/>
          <w:b w:val="false"/>
          <w:sz w:val="24"/>
          <w:u w:val="single"/>
        </w:rPr>
        <w:t>Shareholders’ Equity</w:t>
      </w:r>
      <w:r>
        <w:rPr>
          <w:rFonts w:ascii="Times New Roman" w:hAnsi="Times New Roman"/>
          <w:sz w:val="20"/>
        </w:rPr>
        <w:t xml:space="preserve">” </w:t>
      </w:r>
      <w:r>
        <w:rPr>
          <w:rFonts w:ascii="Times New Roman;serif" w:hAnsi="Times New Roman;serif"/>
          <w:b w:val="false"/>
          <w:sz w:val="24"/>
        </w:rPr>
        <w:t>means, at any date, the amount determined on a consolidated basis, without duplication, in accordance with GAAP, of shareholders equity for the Borrower and its Subsidiaries at such date.</w:t>
      </w:r>
    </w:p>
    <w:p>
      <w:pPr>
        <w:pStyle w:val="TextBody"/>
        <w:bidi w:val="0"/>
        <w:spacing w:before="0" w:after="240"/>
        <w:jc w:val="both"/>
        <w:rPr/>
      </w:pPr>
      <w:r>
        <w:rPr/>
        <w:t>“</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means a rate per annum equal to the secured overnight financing rate as administered by the SOFR Administrator.</w:t>
      </w:r>
    </w:p>
    <w:p>
      <w:pPr>
        <w:pStyle w:val="TextBody"/>
        <w:bidi w:val="0"/>
        <w:spacing w:before="0" w:after="240"/>
        <w:jc w:val="both"/>
        <w:rPr/>
      </w:pPr>
      <w:r>
        <w:rPr/>
        <w:t>“</w:t>
      </w:r>
      <w:r>
        <w:rPr>
          <w:rFonts w:ascii="Times New Roman;serif" w:hAnsi="Times New Roman;serif"/>
          <w:b w:val="false"/>
          <w:sz w:val="24"/>
          <w:u w:val="single"/>
        </w:rPr>
        <w:t>SOFR Administrator</w:t>
      </w:r>
      <w:r>
        <w:rPr>
          <w:rFonts w:ascii="Times New Roman" w:hAnsi="Times New Roman"/>
          <w:sz w:val="20"/>
        </w:rPr>
        <w:t xml:space="preserve">” </w:t>
      </w:r>
      <w:r>
        <w:rPr>
          <w:rFonts w:ascii="Times New Roman;serif" w:hAnsi="Times New Roman;serif"/>
          <w:b w:val="false"/>
          <w:sz w:val="24"/>
        </w:rPr>
        <w:t>means the Federal Reserve Bank of New York (or a successor administrator of the secured overnight financing rate).</w:t>
      </w:r>
    </w:p>
    <w:p>
      <w:pPr>
        <w:pStyle w:val="TextBody"/>
        <w:bidi w:val="0"/>
        <w:spacing w:before="0" w:after="240"/>
        <w:jc w:val="both"/>
        <w:rPr/>
      </w:pPr>
      <w:r>
        <w:rPr/>
        <w:t>“</w:t>
      </w:r>
      <w:r>
        <w:rPr>
          <w:rFonts w:ascii="Times New Roman;serif" w:hAnsi="Times New Roman;serif"/>
          <w:b w:val="false"/>
          <w:sz w:val="24"/>
          <w:u w:val="single"/>
        </w:rPr>
        <w:t>SONIA</w:t>
      </w:r>
      <w:r>
        <w:rPr>
          <w:rFonts w:ascii="Times New Roman" w:hAnsi="Times New Roman"/>
          <w:sz w:val="20"/>
        </w:rPr>
        <w:t xml:space="preserve">” </w:t>
      </w:r>
      <w:r>
        <w:rPr>
          <w:rFonts w:ascii="Times New Roman;serif" w:hAnsi="Times New Roman;serif"/>
          <w:b w:val="false"/>
          <w:sz w:val="24"/>
        </w:rPr>
        <w:t>means a rate equal to the Sterling Overnight Index Average as administered by the SONIA Administrator.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SONIA Administrator</w:t>
      </w:r>
      <w:r>
        <w:rPr>
          <w:rFonts w:ascii="Times New Roman" w:hAnsi="Times New Roman"/>
          <w:sz w:val="20"/>
        </w:rPr>
        <w:t xml:space="preserve">” </w:t>
      </w:r>
      <w:r>
        <w:rPr>
          <w:rFonts w:ascii="Times New Roman;serif" w:hAnsi="Times New Roman;serif"/>
          <w:b w:val="false"/>
          <w:sz w:val="24"/>
        </w:rPr>
        <w:t>means the Bank of England (or any successor administrator of the Sterling Overnight Index Average).</w:t>
      </w:r>
    </w:p>
    <w:p>
      <w:pPr>
        <w:pStyle w:val="TextBody"/>
        <w:bidi w:val="0"/>
        <w:spacing w:before="0" w:after="240"/>
        <w:jc w:val="both"/>
        <w:rPr/>
      </w:pPr>
      <w:r>
        <w:rPr/>
        <w:t>“</w:t>
      </w:r>
      <w:r>
        <w:rPr>
          <w:rFonts w:ascii="Times New Roman;serif" w:hAnsi="Times New Roman;serif"/>
          <w:b w:val="false"/>
          <w:sz w:val="24"/>
          <w:u w:val="single"/>
        </w:rPr>
        <w:t>SONIA Administrator’s Website</w:t>
      </w:r>
      <w:r>
        <w:rPr>
          <w:rFonts w:ascii="Times New Roman" w:hAnsi="Times New Roman"/>
          <w:sz w:val="20"/>
        </w:rPr>
        <w:t xml:space="preserve">” </w:t>
      </w:r>
      <w:r>
        <w:rPr>
          <w:rFonts w:ascii="Times New Roman;serif" w:hAnsi="Times New Roman;serif"/>
          <w:b w:val="false"/>
          <w:sz w:val="24"/>
        </w:rPr>
        <w:t>means the Bank of England’s website, currently at http://www.bankofengland.co.uk, or any successor source for the Sterling Overnight Index Average identified as such by the SONIA Administrator from time to time.</w:t>
      </w:r>
    </w:p>
    <w:p>
      <w:pPr>
        <w:pStyle w:val="TextBody"/>
        <w:bidi w:val="0"/>
        <w:spacing w:before="0" w:after="240"/>
        <w:jc w:val="both"/>
        <w:rPr/>
      </w:pPr>
      <w:r>
        <w:rPr/>
        <w:t>“</w:t>
      </w:r>
      <w:r>
        <w:rPr>
          <w:rFonts w:ascii="Times New Roman;serif" w:hAnsi="Times New Roman;serif"/>
          <w:b w:val="false"/>
          <w:sz w:val="24"/>
          <w:u w:val="single"/>
        </w:rPr>
        <w:t>SPE Subsidiary</w:t>
      </w:r>
      <w:r>
        <w:rPr>
          <w:rFonts w:ascii="Times New Roman" w:hAnsi="Times New Roman"/>
          <w:sz w:val="20"/>
        </w:rPr>
        <w:t xml:space="preserve">” </w:t>
      </w:r>
      <w:r>
        <w:rPr>
          <w:rFonts w:ascii="Times New Roman;serif" w:hAnsi="Times New Roman;serif"/>
          <w:b w:val="false"/>
          <w:sz w:val="24"/>
        </w:rPr>
        <w:t>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 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 to which no Obligor has any obligation to maintain or preserve such entity’s financial condition or cause such entity to achieve certain levels of operating results.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pStyle w:val="TextBody"/>
        <w:bidi w:val="0"/>
        <w:spacing w:before="0" w:after="240"/>
        <w:jc w:val="both"/>
        <w:rPr/>
      </w:pPr>
      <w:r>
        <w:rPr/>
        <w:t>“</w:t>
      </w:r>
      <w:r>
        <w:rPr>
          <w:rFonts w:ascii="Times New Roman;serif" w:hAnsi="Times New Roman;serif"/>
          <w:b w:val="false"/>
          <w:sz w:val="24"/>
          <w:u w:val="single"/>
        </w:rPr>
        <w:t>Special Equity Interest</w:t>
      </w:r>
      <w:r>
        <w:rPr>
          <w:rFonts w:ascii="Times New Roman" w:hAnsi="Times New Roman"/>
          <w:sz w:val="20"/>
        </w:rPr>
        <w:t xml:space="preserve">” </w:t>
      </w:r>
      <w:r>
        <w:rPr>
          <w:rFonts w:ascii="Times New Roman;serif" w:hAnsi="Times New Roman;serif"/>
          <w:b w:val="false"/>
          <w:sz w:val="24"/>
        </w:rPr>
        <w:t xml:space="preserve">means any Equity Interest that is subject to a Lien in favor of creditors of the issuer of such Equity Interest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pStyle w:val="TextBody"/>
        <w:bidi w:val="0"/>
        <w:spacing w:before="0" w:after="240"/>
        <w:jc w:val="both"/>
        <w:rPr/>
      </w:pPr>
      <w:r>
        <w:rPr/>
        <w:t>“</w:t>
      </w:r>
      <w:r>
        <w:rPr>
          <w:rFonts w:ascii="Times New Roman;serif" w:hAnsi="Times New Roman;serif"/>
          <w:b w:val="false"/>
          <w:sz w:val="24"/>
          <w:u w:val="single"/>
        </w:rPr>
        <w:t>Special Unsecured Indebtedness</w:t>
      </w:r>
      <w:r>
        <w:rPr>
          <w:rFonts w:ascii="Times New Roman" w:hAnsi="Times New Roman"/>
          <w:sz w:val="20"/>
        </w:rPr>
        <w:t xml:space="preserve">” </w:t>
      </w:r>
      <w:r>
        <w:rPr>
          <w:rFonts w:ascii="Times New Roman;serif" w:hAnsi="Times New Roman;serif"/>
          <w:b w:val="false"/>
          <w:sz w:val="24"/>
        </w:rPr>
        <w:t>means Indebtedness of an Obligor issued after the Fourteenth Amendment Effective Date (which may be Guaranteed by Subsidiary Guarantors) that (a) has no amortization (other than for amortization in an amount not greater than 1% of the aggregate initial principal amount of such Indebtedness per annum, provided that amortization in</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excess of 1% per annum shall be permitted so long as the amount of such amortization in excess of 1% is permitted to be incurred pursuant to </w:t>
      </w:r>
      <w:r>
        <w:rPr>
          <w:rFonts w:ascii="Times New Roman;serif" w:hAnsi="Times New Roman;serif"/>
          <w:b w:val="false"/>
          <w:sz w:val="24"/>
          <w:u w:val="single"/>
        </w:rPr>
        <w:t>Section 6.01(m)</w:t>
      </w:r>
      <w:r>
        <w:rPr>
          <w:rFonts w:ascii="Times New Roman" w:hAnsi="Times New Roman"/>
          <w:sz w:val="20"/>
        </w:rPr>
        <w:t xml:space="preserve"> </w:t>
      </w:r>
      <w:r>
        <w:rPr>
          <w:rFonts w:ascii="Times New Roman;serif" w:hAnsi="Times New Roman;serif"/>
          <w:b w:val="false"/>
          <w:sz w:val="24"/>
        </w:rPr>
        <w:t xml:space="preserve">and </w:t>
      </w:r>
      <w:r>
        <w:rPr>
          <w:rFonts w:ascii="Times New Roman;serif" w:hAnsi="Times New Roman;serif"/>
          <w:b w:val="false"/>
          <w:sz w:val="24"/>
          <w:u w:val="single"/>
        </w:rPr>
        <w:t>Section 6.01(o</w:t>
      </w:r>
      <w:r>
        <w:rPr>
          <w:rFonts w:ascii="Times New Roman;serif" w:hAnsi="Times New Roman;serif"/>
          <w:b w:val="false"/>
          <w:sz w:val="24"/>
        </w:rPr>
        <w:t xml:space="preserve">)) prior to, and a final maturity date not earlier than, five years from the date such Indebtedness is issued (it being understood that (A) none of: (w) the conversion features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Special Unsecured Indebtedness shall not include any Indebtedness permitted pursuant to </w:t>
      </w:r>
      <w:r>
        <w:rPr>
          <w:rFonts w:ascii="Times New Roman;serif" w:hAnsi="Times New Roman;serif"/>
          <w:b w:val="false"/>
          <w:sz w:val="24"/>
          <w:u w:val="single"/>
        </w:rPr>
        <w:t>Section 6.01(l)</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Specified Event of Default</w:t>
      </w:r>
      <w:r>
        <w:rPr>
          <w:rFonts w:ascii="Times New Roman" w:hAnsi="Times New Roman"/>
          <w:sz w:val="20"/>
        </w:rPr>
        <w:t xml:space="preserve">” </w:t>
      </w:r>
      <w:r>
        <w:rPr>
          <w:rFonts w:ascii="Times New Roman;serif" w:hAnsi="Times New Roman;serif"/>
          <w:b w:val="false"/>
          <w:sz w:val="24"/>
        </w:rPr>
        <w:t xml:space="preserve">means an Event of Default under </w:t>
      </w:r>
      <w:r>
        <w:rPr>
          <w:rFonts w:ascii="Times New Roman;serif" w:hAnsi="Times New Roman;serif"/>
          <w:b w:val="false"/>
          <w:sz w:val="24"/>
          <w:u w:val="single"/>
        </w:rPr>
        <w:t>Section 7.01(a)</w:t>
      </w:r>
      <w:r>
        <w:rPr>
          <w:rFonts w:ascii="Times New Roman;serif" w:hAnsi="Times New Roman;serif"/>
          <w:b w:val="false"/>
          <w:sz w:val="24"/>
        </w:rPr>
        <w:t xml:space="preserve">, </w:t>
      </w:r>
      <w:r>
        <w:rPr>
          <w:rFonts w:ascii="Times New Roman;serif" w:hAnsi="Times New Roman;serif"/>
          <w:b w:val="false"/>
          <w:sz w:val="24"/>
          <w:u w:val="single"/>
        </w:rPr>
        <w:t>(b)</w:t>
      </w:r>
      <w:r>
        <w:rPr>
          <w:rFonts w:ascii="Times New Roman;serif" w:hAnsi="Times New Roman;serif"/>
          <w:b w:val="false"/>
          <w:sz w:val="24"/>
        </w:rPr>
        <w:t xml:space="preserve">, </w:t>
      </w:r>
      <w:r>
        <w:rPr>
          <w:rFonts w:ascii="Times New Roman;serif" w:hAnsi="Times New Roman;serif"/>
          <w:b w:val="false"/>
          <w:sz w:val="24"/>
          <w:u w:val="single"/>
        </w:rPr>
        <w:t>(i)</w:t>
      </w:r>
      <w:r>
        <w:rPr>
          <w:rFonts w:ascii="Times New Roman;serif" w:hAnsi="Times New Roman;serif"/>
          <w:b w:val="false"/>
          <w:sz w:val="24"/>
        </w:rPr>
        <w:t>, (j) and (k).</w:t>
      </w:r>
    </w:p>
    <w:p>
      <w:pPr>
        <w:pStyle w:val="TextBody"/>
        <w:bidi w:val="0"/>
        <w:spacing w:before="0" w:after="240"/>
        <w:jc w:val="both"/>
        <w:rPr/>
      </w:pPr>
      <w:r>
        <w:rPr/>
        <w:t>“</w:t>
      </w:r>
      <w:r>
        <w:rPr>
          <w:rFonts w:ascii="Times New Roman;serif" w:hAnsi="Times New Roman;serif"/>
          <w:b w:val="false"/>
          <w:sz w:val="24"/>
          <w:u w:val="single"/>
        </w:rPr>
        <w:t>Standard Securitization Undertakings</w:t>
      </w:r>
      <w:r>
        <w:rPr>
          <w:rFonts w:ascii="Times New Roman" w:hAnsi="Times New Roman"/>
          <w:sz w:val="20"/>
        </w:rPr>
        <w:t xml:space="preserve">” </w:t>
      </w:r>
      <w:r>
        <w:rPr>
          <w:rFonts w:ascii="Times New Roman;serif" w:hAnsi="Times New Roman;serif"/>
          <w:b w:val="false"/>
          <w:sz w:val="24"/>
        </w:rPr>
        <w:t>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pStyle w:val="TextBody"/>
        <w:bidi w:val="0"/>
        <w:spacing w:before="0" w:after="240"/>
        <w:jc w:val="both"/>
        <w:rPr/>
      </w:pPr>
      <w:r>
        <w:rPr/>
        <w:t>“</w:t>
      </w:r>
      <w:r>
        <w:rPr>
          <w:rFonts w:ascii="Times New Roman;serif" w:hAnsi="Times New Roman;serif"/>
          <w:b w:val="false"/>
          <w:sz w:val="24"/>
          <w:u w:val="single"/>
        </w:rPr>
        <w:t>Sterling</w:t>
      </w:r>
      <w:r>
        <w:rPr>
          <w:rFonts w:ascii="Times New Roman" w:hAnsi="Times New Roman"/>
          <w:sz w:val="20"/>
        </w:rPr>
        <w:t xml:space="preserve">” </w:t>
      </w:r>
      <w:r>
        <w:rPr>
          <w:rFonts w:ascii="Times New Roman;serif" w:hAnsi="Times New Roman;serif"/>
          <w:b w:val="false"/>
          <w:sz w:val="24"/>
        </w:rPr>
        <w:t>means the lawful currency of the United Kingdom.</w:t>
      </w:r>
    </w:p>
    <w:p>
      <w:pPr>
        <w:pStyle w:val="TextBody"/>
        <w:bidi w:val="0"/>
        <w:spacing w:before="0" w:after="240"/>
        <w:jc w:val="both"/>
        <w:rPr/>
      </w:pPr>
      <w:r>
        <w:rPr/>
        <w:t>“</w:t>
      </w:r>
      <w:r>
        <w:rPr>
          <w:rFonts w:ascii="Times New Roman;serif" w:hAnsi="Times New Roman;serif"/>
          <w:b w:val="false"/>
          <w:sz w:val="24"/>
          <w:u w:val="single"/>
        </w:rPr>
        <w:t>Subsidiary</w:t>
      </w:r>
      <w:r>
        <w:rPr>
          <w:rFonts w:ascii="Times New Roman" w:hAnsi="Times New Roman"/>
          <w:sz w:val="20"/>
        </w:rPr>
        <w:t xml:space="preserve">” </w:t>
      </w:r>
      <w:r>
        <w:rPr>
          <w:rFonts w:ascii="Times New Roman;serif" w:hAnsi="Times New Roman;serif"/>
          <w:b w:val="false"/>
          <w:sz w:val="24"/>
        </w:rPr>
        <w:t>means, with respect to any Person (the “</w:t>
      </w:r>
      <w:r>
        <w:rPr>
          <w:rFonts w:ascii="Times New Roman;serif" w:hAnsi="Times New Roman;serif"/>
          <w:b w:val="false"/>
          <w:sz w:val="24"/>
          <w:u w:val="single"/>
        </w:rPr>
        <w:t>parent</w:t>
      </w:r>
      <w:r>
        <w:rPr>
          <w:rFonts w:ascii="Times New Roman" w:hAnsi="Times New Roman"/>
          <w:sz w:val="20"/>
        </w:rPr>
        <w:t>”</w:t>
      </w:r>
      <w:r>
        <w:rPr>
          <w:rFonts w:ascii="Times New Roman;serif" w:hAnsi="Times New Roman;serif"/>
          <w:b w:val="false"/>
          <w:sz w:val="24"/>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pStyle w:val="TextBody"/>
        <w:bidi w:val="0"/>
        <w:spacing w:before="0" w:after="240"/>
        <w:jc w:val="both"/>
        <w:rPr/>
      </w:pPr>
      <w:r>
        <w:rPr/>
        <w:t>“</w:t>
      </w:r>
      <w:r>
        <w:rPr>
          <w:rFonts w:ascii="Times New Roman;serif" w:hAnsi="Times New Roman;serif"/>
          <w:b w:val="false"/>
          <w:sz w:val="24"/>
          <w:u w:val="single"/>
        </w:rPr>
        <w:t>Subsidiary Guarantor</w:t>
      </w:r>
      <w:r>
        <w:rPr>
          <w:rFonts w:ascii="Times New Roman" w:hAnsi="Times New Roman"/>
          <w:sz w:val="20"/>
        </w:rPr>
        <w:t xml:space="preserve">” </w:t>
      </w:r>
      <w:r>
        <w:rPr>
          <w:rFonts w:ascii="Times New Roman;serif" w:hAnsi="Times New Roman;serif"/>
          <w:b w:val="false"/>
          <w:sz w:val="24"/>
        </w:rPr>
        <w:t>means any Subsidiary that is a Guarantor under the Guarantee and Security Agreement. It is understood and agreed that no Financing Subsidiary, Immaterial Subsidiary, Foreign Subsidiary or a Subsidiary of a Foreign Subsidiary shall be a Subsidiary Guarantor.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Swedish Krona</w:t>
      </w:r>
      <w:r>
        <w:rPr>
          <w:rFonts w:ascii="Times New Roman" w:hAnsi="Times New Roman"/>
          <w:sz w:val="20"/>
        </w:rPr>
        <w:t xml:space="preserve">” </w:t>
      </w:r>
      <w:r>
        <w:rPr>
          <w:rFonts w:ascii="Times New Roman;serif" w:hAnsi="Times New Roman;serif"/>
          <w:b w:val="false"/>
          <w:sz w:val="24"/>
        </w:rPr>
        <w:t>means the lawful currency of Sweden.</w:t>
      </w:r>
    </w:p>
    <w:p>
      <w:pPr>
        <w:pStyle w:val="TextBody"/>
        <w:bidi w:val="0"/>
        <w:spacing w:before="0" w:after="240"/>
        <w:jc w:val="both"/>
        <w:rPr/>
      </w:pPr>
      <w:r>
        <w:rPr/>
        <w:t>“</w:t>
      </w:r>
      <w:r>
        <w:rPr>
          <w:rFonts w:ascii="Times New Roman;serif" w:hAnsi="Times New Roman;serif"/>
          <w:b w:val="false"/>
          <w:sz w:val="24"/>
          <w:u w:val="single"/>
        </w:rPr>
        <w:t>Swingline Exposure</w:t>
      </w:r>
      <w:r>
        <w:rPr>
          <w:rFonts w:ascii="Times New Roman" w:hAnsi="Times New Roman"/>
          <w:sz w:val="20"/>
        </w:rPr>
        <w:t xml:space="preserve">” </w:t>
      </w:r>
      <w:r>
        <w:rPr>
          <w:rFonts w:ascii="Times New Roman;serif" w:hAnsi="Times New Roman;serif"/>
          <w:b w:val="false"/>
          <w:sz w:val="24"/>
        </w:rPr>
        <w:t>means, at any time, the aggregate principal amount of all Swingline Loans outstanding at such time. The Swingline Exposure of any Lender at any time shall be the sum of (a)(i) in the case of any Dollar Lender, its Applicable Dollar Percentage of the total Swingline Exposure at such time incurred under the Dollar Commitments and (ii) in the case of any Multicurrency Lender, its Applicable Multicurrency Percentage of the total Swingline Exposure at such time incurred under the Multicurrency Commitments (excluding, for purpose of this clause (a), in the case of any Lender that is a Swingline Lender, Swingline Loans made by it that are outstanding at such time to the extent that the other Lenders under such Lender’s Class of Commitments shall not have funded their participations in such Swingline Loans), adjusted, in each case, to give effect to any reallocation under Section 2.19 of the Swingline Exposure of Defaulting Lenders in effect at such time, plus (b) in the case of any Lender that is a Swingline Lender, the aggregate principal amount of all Swingline Loans made by such Lender outstanding at such time, less the amount of participations funded by the other Lenders under such Lender’s Class of Commitments in such Swingline Loans.</w:t>
      </w:r>
    </w:p>
    <w:p>
      <w:pPr>
        <w:pStyle w:val="TextBody"/>
        <w:bidi w:val="0"/>
        <w:spacing w:before="0" w:after="240"/>
        <w:jc w:val="both"/>
        <w:rPr/>
      </w:pPr>
      <w:r>
        <w:rPr/>
        <w:t>“</w:t>
      </w:r>
      <w:r>
        <w:rPr>
          <w:rFonts w:ascii="Times New Roman;serif" w:hAnsi="Times New Roman;serif"/>
          <w:b w:val="false"/>
          <w:sz w:val="24"/>
          <w:u w:val="single"/>
        </w:rPr>
        <w:t>Swingline Lender</w:t>
      </w:r>
      <w:r>
        <w:rPr>
          <w:rFonts w:ascii="Times New Roman" w:hAnsi="Times New Roman"/>
          <w:sz w:val="20"/>
        </w:rPr>
        <w:t xml:space="preserve">” </w:t>
      </w:r>
      <w:r>
        <w:rPr>
          <w:rFonts w:ascii="Times New Roman;serif" w:hAnsi="Times New Roman;serif"/>
          <w:b w:val="false"/>
          <w:sz w:val="24"/>
        </w:rPr>
        <w:t xml:space="preserve">means any of Truist, JPMorgan Chase Bank, N.A., MUFG Bank, Ltd., Sumitomo Mitsui Banking Corporation or State Street Bank and Trust Company, in its capacity as lender of Swingline Loans hereunder, and its successors in such capacity as provided in </w:t>
      </w:r>
      <w:r>
        <w:rPr>
          <w:rFonts w:ascii="Times New Roman;serif" w:hAnsi="Times New Roman;serif"/>
          <w:b w:val="false"/>
          <w:sz w:val="24"/>
          <w:u w:val="single"/>
        </w:rPr>
        <w:t>Section 2.04(d)</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Swingline Loan</w:t>
      </w:r>
      <w:r>
        <w:rPr>
          <w:rFonts w:ascii="Times New Roman" w:hAnsi="Times New Roman"/>
          <w:sz w:val="20"/>
        </w:rPr>
        <w:t xml:space="preserve">” </w:t>
      </w:r>
      <w:r>
        <w:rPr>
          <w:rFonts w:ascii="Times New Roman;serif" w:hAnsi="Times New Roman;serif"/>
          <w:b w:val="false"/>
          <w:sz w:val="24"/>
        </w:rPr>
        <w:t xml:space="preserve">means a Loan made pursuant to </w:t>
      </w:r>
      <w:r>
        <w:rPr>
          <w:rFonts w:ascii="Times New Roman;serif" w:hAnsi="Times New Roman;serif"/>
          <w:b w:val="false"/>
          <w:sz w:val="24"/>
          <w:u w:val="single"/>
        </w:rPr>
        <w:t>Section 2.04</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Swiss Franc</w:t>
      </w:r>
      <w:r>
        <w:rPr>
          <w:rFonts w:ascii="Times New Roman" w:hAnsi="Times New Roman"/>
          <w:sz w:val="20"/>
        </w:rPr>
        <w:t xml:space="preserve">” </w:t>
      </w:r>
      <w:r>
        <w:rPr>
          <w:rFonts w:ascii="Times New Roman;serif" w:hAnsi="Times New Roman;serif"/>
          <w:b w:val="false"/>
          <w:sz w:val="24"/>
        </w:rPr>
        <w:t>means the lawful currency of Switzerland.</w:t>
      </w:r>
    </w:p>
    <w:p>
      <w:pPr>
        <w:pStyle w:val="TextBody"/>
        <w:bidi w:val="0"/>
        <w:spacing w:before="0" w:after="240"/>
        <w:jc w:val="both"/>
        <w:rPr/>
      </w:pPr>
      <w:r>
        <w:rPr/>
        <w:t>“</w:t>
      </w:r>
      <w:r>
        <w:rPr>
          <w:rFonts w:ascii="Times New Roman;serif" w:hAnsi="Times New Roman;serif"/>
          <w:b w:val="false"/>
          <w:sz w:val="24"/>
          <w:u w:val="single"/>
        </w:rPr>
        <w:t>Syndicated</w:t>
      </w:r>
      <w:r>
        <w:rPr>
          <w:rFonts w:ascii="Times New Roman" w:hAnsi="Times New Roman"/>
          <w:sz w:val="20"/>
        </w:rPr>
        <w:t>”</w:t>
      </w:r>
      <w:r>
        <w:rPr>
          <w:rFonts w:ascii="Times New Roman;serif" w:hAnsi="Times New Roman;serif"/>
          <w:b w:val="false"/>
          <w:sz w:val="24"/>
        </w:rPr>
        <w:t xml:space="preserve">, when used in reference to any Loan or Borrowing, refers to whether such Loan is, or the Loans constituting such Borrowing are, made pursuant to </w:t>
      </w:r>
      <w:r>
        <w:rPr>
          <w:rFonts w:ascii="Times New Roman;serif" w:hAnsi="Times New Roman;serif"/>
          <w:b w:val="false"/>
          <w:sz w:val="24"/>
          <w:u w:val="single"/>
        </w:rPr>
        <w:t>Section 2.01</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TARGET Day</w:t>
      </w:r>
      <w:r>
        <w:rPr>
          <w:rFonts w:ascii="Times New Roman" w:hAnsi="Times New Roman"/>
          <w:sz w:val="20"/>
        </w:rPr>
        <w:t xml:space="preserve">” </w:t>
      </w:r>
      <w:r>
        <w:rPr>
          <w:rFonts w:ascii="Times New Roman;serif" w:hAnsi="Times New Roman;serif"/>
          <w:b w:val="false"/>
          <w:sz w:val="24"/>
        </w:rPr>
        <w:t>means any day on which the Trans-European Automated Real-time Gross Settlement Express Transfer payment system (or any successor settlement system as determined by the Administrative Agent to be a suitable replacement) is open for the settlement of payments in Euros.</w:t>
      </w:r>
    </w:p>
    <w:p>
      <w:pPr>
        <w:pStyle w:val="TextBody"/>
        <w:bidi w:val="0"/>
        <w:spacing w:before="0" w:after="240"/>
        <w:jc w:val="both"/>
        <w:rPr/>
      </w:pPr>
      <w:r>
        <w:rPr/>
        <w:t>“</w:t>
      </w:r>
      <w:r>
        <w:rPr>
          <w:rFonts w:ascii="Times New Roman;serif" w:hAnsi="Times New Roman;serif"/>
          <w:b w:val="false"/>
          <w:sz w:val="24"/>
          <w:u w:val="single"/>
        </w:rPr>
        <w:t>Taxes</w:t>
      </w:r>
      <w:r>
        <w:rPr>
          <w:rFonts w:ascii="Times New Roman" w:hAnsi="Times New Roman"/>
          <w:sz w:val="20"/>
        </w:rPr>
        <w:t xml:space="preserve">” </w:t>
      </w:r>
      <w:r>
        <w:rPr>
          <w:rFonts w:ascii="Times New Roman;serif" w:hAnsi="Times New Roman;serif"/>
          <w:b w:val="false"/>
          <w:sz w:val="24"/>
        </w:rPr>
        <w:t>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t>“</w:t>
      </w:r>
      <w:r>
        <w:rPr>
          <w:rFonts w:ascii="Times New Roman;serif" w:hAnsi="Times New Roman;serif"/>
          <w:b w:val="false"/>
          <w:sz w:val="24"/>
          <w:u w:val="single"/>
        </w:rPr>
        <w:t>Term Benchmark</w:t>
      </w:r>
      <w:r>
        <w:rPr>
          <w:rFonts w:ascii="Times New Roman" w:hAnsi="Times New Roman"/>
          <w:sz w:val="20"/>
        </w:rPr>
        <w:t>”</w:t>
      </w:r>
      <w:r>
        <w:rPr>
          <w:rFonts w:ascii="Times New Roman;serif" w:hAnsi="Times New Roman;serif"/>
          <w:b w:val="false"/>
          <w:sz w:val="24"/>
        </w:rPr>
        <w:t>, when used in reference to any Loan or Borrowing, refers to whether such Loan is, or the Loans constituting such Borrowing are, bearing interest at a rate determined by reference to the Adjusted Term Benchmark Rate.</w:t>
      </w:r>
    </w:p>
    <w:p>
      <w:pPr>
        <w:pStyle w:val="TextBody"/>
        <w:bidi w:val="0"/>
        <w:spacing w:before="0" w:after="240"/>
        <w:jc w:val="both"/>
        <w:rPr/>
      </w:pPr>
      <w:r>
        <w:rPr/>
        <w:t>“</w:t>
      </w:r>
      <w:r>
        <w:rPr>
          <w:rFonts w:ascii="Times New Roman;serif" w:hAnsi="Times New Roman;serif"/>
          <w:b w:val="false"/>
          <w:sz w:val="24"/>
          <w:u w:val="single"/>
        </w:rPr>
        <w:t>Term Benchmark Banking Day</w:t>
      </w:r>
      <w:r>
        <w:rPr>
          <w:rFonts w:ascii="Times New Roman" w:hAnsi="Times New Roman"/>
          <w:sz w:val="20"/>
        </w:rPr>
        <w:t xml:space="preserve">” </w:t>
      </w:r>
      <w:r>
        <w:rPr>
          <w:rFonts w:ascii="Times New Roman;serif" w:hAnsi="Times New Roman;serif"/>
          <w:b w:val="false"/>
          <w:sz w:val="24"/>
        </w:rPr>
        <w:t>means for Term Benchmark Loans, Term Benchmark Borrowings, interest, fees, commissions or other amounts denominated in, or calculated with respect to:</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Dollars, a U.S. Government Securities Business Day;</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 Euros, a TARGET Day;</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 Canadian Dollars, any day (other than a Saturday or Sunday) on which banks are open for business in Toronto, Canada;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(d) Australian Dollars, any day (other than a Saturday or Sunday) on which banks are open for business in Melbourne, Australia;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 New Zealand Dollars, any day (other than a Saturday or Sunday) on which banks are open for business in Auckland, New Zealand;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 Swedish Krona, any day (other than a Saturday or Sunday) on which banks are open for business in Stockholm, Sweden; or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(g) Japanese Yen, any day (other than a Saturday or Sunday) on which banks are open for business in Tokyo, Japan.</w:t>
      </w:r>
    </w:p>
    <w:p>
      <w:pPr>
        <w:pStyle w:val="TextBody"/>
        <w:bidi w:val="0"/>
        <w:spacing w:before="0" w:after="240"/>
        <w:jc w:val="both"/>
        <w:rPr/>
      </w:pPr>
      <w:r>
        <w:rPr/>
        <w:t>“</w:t>
      </w:r>
      <w:r>
        <w:rPr>
          <w:rFonts w:ascii="Times New Roman;serif" w:hAnsi="Times New Roman;serif"/>
          <w:b w:val="false"/>
          <w:sz w:val="24"/>
          <w:u w:val="single"/>
        </w:rPr>
        <w:t>Term Benchmark Rate</w:t>
      </w:r>
      <w:r>
        <w:rPr>
          <w:rFonts w:ascii="Times New Roman" w:hAnsi="Times New Roman"/>
          <w:sz w:val="20"/>
        </w:rPr>
        <w:t xml:space="preserve">” </w:t>
      </w:r>
      <w:r>
        <w:rPr>
          <w:rFonts w:ascii="Times New Roman;serif" w:hAnsi="Times New Roman;serif"/>
          <w:b w:val="false"/>
          <w:sz w:val="24"/>
        </w:rPr>
        <w:t>means, for any Interest Period: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in the case of Term Benchmark Borrowings denominated in Dollars, Term SOFR for such Interest Period;</w:t>
      </w:r>
    </w:p>
    <w:p>
      <w:pPr>
        <w:pStyle w:val="TextBody"/>
        <w:bidi w:val="0"/>
        <w:spacing w:before="0" w:after="240"/>
        <w:jc w:val="both"/>
        <w:rPr>
          <w:rFonts w:ascii="Times New Roman" w:hAnsi="Times New Roman"/>
          <w:sz w:val="20"/>
        </w:rPr>
      </w:pPr>
      <w:r>
        <w:rPr>
          <w:rFonts w:ascii="Times New Roman;serif" w:hAnsi="Times New Roman;serif"/>
          <w:b w:val="false"/>
          <w:sz w:val="24"/>
        </w:rPr>
        <w:t>(b) 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(Brussels time) two (2) Term Benchmark Banking Days for Euros prior to the first day of such Interest Period (the “</w:t>
      </w:r>
      <w:r>
        <w:rPr>
          <w:rFonts w:ascii="Times New Roman;serif" w:hAnsi="Times New Roman;serif"/>
          <w:b w:val="false"/>
          <w:sz w:val="24"/>
          <w:u w:val="single"/>
        </w:rPr>
        <w:t>EURIBOR Screen Rate</w:t>
      </w:r>
      <w:r>
        <w:rPr>
          <w:rFonts w:ascii="Times New Roman" w:hAnsi="Times New Roman"/>
          <w:sz w:val="20"/>
        </w:rPr>
        <w:t>”</w:t>
      </w:r>
      <w:r>
        <w:rPr>
          <w:rFonts w:ascii="Times New Roman;serif" w:hAnsi="Times New Roman;serif"/>
          <w:b w:val="false"/>
          <w:sz w:val="24"/>
        </w:rPr>
        <w:t>);</w:t>
      </w:r>
    </w:p>
    <w:p>
      <w:pPr>
        <w:pStyle w:val="TextBody"/>
        <w:bidi w:val="0"/>
        <w:spacing w:before="0" w:after="240"/>
        <w:jc w:val="both"/>
        <w:rPr>
          <w:rFonts w:ascii="Times New Roman" w:hAnsi="Times New Roman"/>
          <w:sz w:val="20"/>
        </w:rPr>
      </w:pPr>
      <w:r>
        <w:rPr>
          <w:rFonts w:ascii="Times New Roman;serif" w:hAnsi="Times New Roman;serif"/>
          <w:b w:val="false"/>
          <w:sz w:val="24"/>
        </w:rPr>
        <w:t>(c) in the case of Term Benchmark Borrowings denominated in Canadian Dollars, the rate per annum equal to the average of the annual yield rates applicable to Canadian Dollar banker’s acceptances at or about 10:00 a.m. (Toronto, Ontario time) on the first day of such Interest Period (or if such day is not a Term Benchmark Banking Day, then on the immediately preceding Term Benchmark Banking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in its reasonable discretion) for a term equivalent to such Interest Period (or if such Interest Period is not equal to a number of months, for a term equivalent to the number of months closest to such Interest Period);</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(d) in the case of Term Benchmark Borrowings denominated in Australian Dollars, the rate per annum equal to the Bank Bill Swap Reference Bid rate or a successor thereto approved by the Administrative Agent (“</w:t>
      </w:r>
      <w:r>
        <w:rPr>
          <w:rFonts w:ascii="Times New Roman;serif" w:hAnsi="Times New Roman;serif"/>
          <w:b w:val="false"/>
          <w:sz w:val="24"/>
          <w:u w:val="single"/>
        </w:rPr>
        <w:t>BBSY</w:t>
      </w:r>
      <w:r>
        <w:rPr>
          <w:rFonts w:ascii="Times New Roman" w:hAnsi="Times New Roman"/>
          <w:sz w:val="20"/>
        </w:rPr>
        <w:t>”</w:t>
      </w:r>
      <w:r>
        <w:rPr>
          <w:rFonts w:ascii="Times New Roman;serif" w:hAnsi="Times New Roman;serif"/>
          <w:b w:val="false"/>
          <w:sz w:val="24"/>
        </w:rPr>
        <w:t>) as published by Reuters (or such other page or commercially available source providing BBSY (Bid) quotations as may be designated by the Administrative Agent from time to time) at or about 10:30 a.m. (Melbourne, Australia time) on the day that is two (2) Term Benchmark Banking Days for Australian Dollars prior to the first day</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of the Interest Period (or if such day is not an Term Benchmark Banking Day for Australian Dollars, then on the immediately preceding Term Benchmark Banking Day for Australian Dollars) with a term equivalent to such Interest Period;</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(e) in the case of Term Benchmark Borrowings denominated in New Zealand Dollars, the rate per annum equal to the Bank Bill Reference Bid Rate or a successor thereto approved by the Administrative Agent (“</w:t>
      </w:r>
      <w:r>
        <w:rPr>
          <w:rFonts w:ascii="Times New Roman;serif" w:hAnsi="Times New Roman;serif"/>
          <w:b w:val="false"/>
          <w:sz w:val="24"/>
          <w:u w:val="single"/>
        </w:rPr>
        <w:t>BKBM</w:t>
      </w:r>
      <w:r>
        <w:rPr>
          <w:rFonts w:ascii="Times New Roman" w:hAnsi="Times New Roman"/>
          <w:sz w:val="20"/>
        </w:rPr>
        <w:t>”</w:t>
      </w:r>
      <w:r>
        <w:rPr>
          <w:rFonts w:ascii="Times New Roman;serif" w:hAnsi="Times New Roman;serif"/>
          <w:b w:val="false"/>
          <w:sz w:val="24"/>
        </w:rPr>
        <w:t>) as published by Reuters (or such other page or commercially available source providing BKBM (Bid) quotations as may be designated by the Administrative Agent from time to time) at or about 10:45 a.m. (Auckland, New Zealand time) on the day that is two (2) Term Benchmark Banking Days for New Zealand Dollars prior to the first day of the Interest Period (or if such day is not an Term Benchmark Banking Day for New Zealand Dollars, then on the immediately preceding Term Benchmark Banking Day for New Zealand Dollars) with a term equivalent to such Interest Period;</w:t>
      </w:r>
    </w:p>
    <w:p>
      <w:pPr>
        <w:pStyle w:val="TextBody"/>
        <w:bidi w:val="0"/>
        <w:spacing w:before="0" w:after="240"/>
        <w:jc w:val="both"/>
        <w:rPr>
          <w:rFonts w:ascii="Times New Roman" w:hAnsi="Times New Roman"/>
          <w:sz w:val="20"/>
        </w:rPr>
      </w:pPr>
      <w:r>
        <w:rPr>
          <w:rFonts w:ascii="Times New Roman;serif" w:hAnsi="Times New Roman;serif"/>
          <w:b w:val="false"/>
          <w:sz w:val="24"/>
        </w:rPr>
        <w:t>(f) in the case of Term Benchmark Borrowings denominated in Swedish Krona, the rate per annum equal to the Stockholm Interbank Offered Rate or a successor thereto approved by the Administrative Agent (“</w:t>
      </w:r>
      <w:r>
        <w:rPr>
          <w:rFonts w:ascii="Times New Roman;serif" w:hAnsi="Times New Roman;serif"/>
          <w:b w:val="false"/>
          <w:sz w:val="24"/>
          <w:u w:val="single"/>
        </w:rPr>
        <w:t>STIBOR</w:t>
      </w:r>
      <w:r>
        <w:rPr>
          <w:rFonts w:ascii="Times New Roman" w:hAnsi="Times New Roman"/>
          <w:sz w:val="20"/>
        </w:rPr>
        <w:t>”</w:t>
      </w:r>
      <w:r>
        <w:rPr>
          <w:rFonts w:ascii="Times New Roman;serif" w:hAnsi="Times New Roman;serif"/>
          <w:b w:val="false"/>
          <w:sz w:val="24"/>
        </w:rPr>
        <w:t>) as published by Reuters (or such other page or commercially available source providing STIBOR quotations as may be designated by the Administrative Agent from time to time) at or about 11:00 a.m. (Stockholm, Sweden time) on the day that is two (2) Term Benchmark Banking Days for Swedish Krona prior to the first day of the Interest Period (or if such day is not an Term Benchmark Banking Day for Swedish Krona, then on the immediately preceding Term Benchmark Banking Day for Swedish Krona) with a term equivalent to such Interest Period; and</w:t>
      </w:r>
    </w:p>
    <w:p>
      <w:pPr>
        <w:pStyle w:val="TextBody"/>
        <w:bidi w:val="0"/>
        <w:spacing w:before="0" w:after="240"/>
        <w:jc w:val="both"/>
        <w:rPr>
          <w:rFonts w:ascii="Times New Roman" w:hAnsi="Times New Roman"/>
          <w:sz w:val="20"/>
        </w:rPr>
      </w:pPr>
      <w:r>
        <w:rPr>
          <w:rFonts w:ascii="Times New Roman;serif" w:hAnsi="Times New Roman;serif"/>
          <w:b w:val="false"/>
          <w:sz w:val="24"/>
        </w:rPr>
        <w:t>(g) in the case of Term Benchmark Borrowings denominated in Japanese Yen, the rate per annum equal to the Tokyo Interbank Offered Rate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(Tokyo time) two (2) Term Benchmark Banking Days for Japanese Yen prior to the first day of such Interest Period;</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u w:val="single"/>
        </w:rPr>
        <w:t>provided</w:t>
      </w:r>
      <w:r>
        <w:rPr>
          <w:rFonts w:ascii="Times New Roman;serif" w:hAnsi="Times New Roman;serif"/>
          <w:b w:val="false"/>
          <w:sz w:val="24"/>
        </w:rPr>
        <w:t>, in each case, if such rate for any Currency is less than zero, such rate shall be deemed to be zero for purposes of this Agreement.</w:t>
      </w:r>
    </w:p>
    <w:p>
      <w:pPr>
        <w:pStyle w:val="TextBody"/>
        <w:bidi w:val="0"/>
        <w:spacing w:before="0" w:after="240"/>
        <w:jc w:val="both"/>
        <w:rPr/>
      </w:pPr>
      <w:r>
        <w:rPr/>
        <w:t>“</w:t>
      </w:r>
      <w:r>
        <w:rPr>
          <w:rFonts w:ascii="Times New Roman;serif" w:hAnsi="Times New Roman;serif"/>
          <w:b w:val="false"/>
          <w:sz w:val="24"/>
          <w:u w:val="single"/>
        </w:rPr>
        <w:t>Term SOFR</w:t>
      </w:r>
      <w:r>
        <w:rPr>
          <w:rFonts w:ascii="Times New Roman" w:hAnsi="Times New Roman"/>
          <w:sz w:val="20"/>
        </w:rPr>
        <w:t xml:space="preserve">” </w:t>
      </w:r>
      <w:r>
        <w:rPr>
          <w:rFonts w:ascii="Times New Roman;serif" w:hAnsi="Times New Roman;serif"/>
          <w:b w:val="false"/>
          <w:sz w:val="24"/>
        </w:rPr>
        <w:t>means,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(a) for any calculation with respect to a Term Benchmark Loan denominated in Dollars for any Interest Period, the sum of (i) the Term SOFR Credit Adjustment Spread and (ii) the Term SOFR Reference Rate for a tenor comparable to the applicable Interest Period on the day (such day, the “</w:t>
      </w:r>
      <w:r>
        <w:rPr>
          <w:rFonts w:ascii="Times New Roman;serif" w:hAnsi="Times New Roman;serif"/>
          <w:b w:val="false"/>
          <w:sz w:val="24"/>
          <w:u w:val="single"/>
        </w:rPr>
        <w:t>Periodic Term SOFR Determination Day</w:t>
      </w:r>
      <w:r>
        <w:rPr>
          <w:rFonts w:ascii="Times New Roman" w:hAnsi="Times New Roman"/>
          <w:sz w:val="20"/>
        </w:rPr>
        <w:t>”</w:t>
      </w:r>
      <w:r>
        <w:rPr>
          <w:rFonts w:ascii="Times New Roman;serif" w:hAnsi="Times New Roman;serif"/>
          <w:b w:val="false"/>
          <w:sz w:val="24"/>
        </w:rPr>
        <w:t xml:space="preserve">) that is two (2) U.S. Government Securities Business Days prior to the first day of such Interest Period, as such rate is published by the Term SOFR Administrator; </w:t>
      </w:r>
      <w:r>
        <w:rPr>
          <w:rFonts w:ascii="Times New Roman;serif" w:hAnsi="Times New Roman;serif"/>
          <w:b w:val="false"/>
          <w:sz w:val="24"/>
          <w:u w:val="single"/>
        </w:rPr>
        <w:t>provided</w:t>
      </w:r>
      <w:r>
        <w:rPr>
          <w:rFonts w:ascii="Times New Roman;serif" w:hAnsi="Times New Roman;serif"/>
          <w:b w:val="false"/>
          <w:sz w:val="24"/>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240"/>
        <w:jc w:val="both"/>
        <w:rPr>
          <w:rFonts w:ascii="Times New Roman" w:hAnsi="Times New Roman"/>
          <w:sz w:val="20"/>
        </w:rPr>
      </w:pPr>
      <w:r>
        <w:rPr>
          <w:rFonts w:ascii="Times New Roman;serif" w:hAnsi="Times New Roman;serif"/>
          <w:b w:val="false"/>
          <w:sz w:val="24"/>
        </w:rPr>
        <w:t>(b) for any calculation with respect to an ABR Loan on any day, the sum of (i) the Term SOFR Credit Adjustment Spread and (ii) the Term SOFR Reference Rate for a tenor of one month on the day (such day, the “</w:t>
      </w:r>
      <w:r>
        <w:rPr>
          <w:rFonts w:ascii="Times New Roman;serif" w:hAnsi="Times New Roman;serif"/>
          <w:b w:val="false"/>
          <w:sz w:val="24"/>
          <w:u w:val="single"/>
        </w:rPr>
        <w:t>Base Rate Term SOFR Determination Day</w:t>
      </w:r>
      <w:r>
        <w:rPr>
          <w:rFonts w:ascii="Times New Roman" w:hAnsi="Times New Roman"/>
          <w:sz w:val="20"/>
        </w:rPr>
        <w:t>”</w:t>
      </w:r>
      <w:r>
        <w:rPr>
          <w:rFonts w:ascii="Times New Roman;serif" w:hAnsi="Times New Roman;serif"/>
          <w:b w:val="false"/>
          <w:sz w:val="24"/>
        </w:rPr>
        <w:t xml:space="preserve">) that is two (2) U.S. Government Securities Business Days prior to such day, as such rate is published by the Term SOFR Administrator;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before="0" w:after="240"/>
        <w:jc w:val="both"/>
        <w:rPr/>
      </w:pPr>
      <w:r>
        <w:rPr/>
        <w:t>“</w:t>
      </w:r>
      <w:r>
        <w:rPr>
          <w:rFonts w:ascii="Times New Roman;serif" w:hAnsi="Times New Roman;serif"/>
          <w:b w:val="false"/>
          <w:sz w:val="24"/>
          <w:u w:val="single"/>
        </w:rPr>
        <w:t>Term SOFR Administrator</w:t>
      </w:r>
      <w:r>
        <w:rPr>
          <w:rFonts w:ascii="Times New Roman" w:hAnsi="Times New Roman"/>
          <w:sz w:val="20"/>
        </w:rPr>
        <w:t xml:space="preserve">” </w:t>
      </w:r>
      <w:r>
        <w:rPr>
          <w:rFonts w:ascii="Times New Roman;serif" w:hAnsi="Times New Roman;serif"/>
          <w:b w:val="false"/>
          <w:sz w:val="24"/>
        </w:rPr>
        <w:t>means the CME Group Benchmark Administration Limited (CBA) (or a successor administrator of the Term SOFR Reference Rate selected by the Administrative Agent in its reasonable discretion).</w:t>
      </w:r>
    </w:p>
    <w:p>
      <w:pPr>
        <w:pStyle w:val="TextBody"/>
        <w:bidi w:val="0"/>
        <w:spacing w:before="0" w:after="240"/>
        <w:jc w:val="both"/>
        <w:rPr/>
      </w:pPr>
      <w:r>
        <w:rPr/>
        <w:t>“</w:t>
      </w:r>
      <w:r>
        <w:rPr>
          <w:rFonts w:ascii="Times New Roman;serif" w:hAnsi="Times New Roman;serif"/>
          <w:b w:val="false"/>
          <w:sz w:val="24"/>
          <w:u w:val="single"/>
        </w:rPr>
        <w:t>Term SOFR Credit Adjustment Spread</w:t>
      </w:r>
      <w:r>
        <w:rPr>
          <w:rFonts w:ascii="Times New Roman" w:hAnsi="Times New Roman"/>
          <w:sz w:val="20"/>
        </w:rPr>
        <w:t xml:space="preserve">” </w:t>
      </w:r>
      <w:r>
        <w:rPr>
          <w:rFonts w:ascii="Times New Roman;serif" w:hAnsi="Times New Roman;serif"/>
          <w:b w:val="false"/>
          <w:sz w:val="24"/>
        </w:rPr>
        <w:t>means 0.10%.</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Term SOFR Reference Rate</w:t>
      </w:r>
      <w:r>
        <w:rPr>
          <w:rFonts w:ascii="Times New Roman" w:hAnsi="Times New Roman"/>
          <w:sz w:val="20"/>
        </w:rPr>
        <w:t xml:space="preserve">” </w:t>
      </w:r>
      <w:r>
        <w:rPr>
          <w:rFonts w:ascii="Times New Roman;serif" w:hAnsi="Times New Roman;serif"/>
          <w:b w:val="false"/>
          <w:sz w:val="24"/>
        </w:rPr>
        <w:t>means the forward-looking term rate based on SOFR.</w:t>
      </w:r>
    </w:p>
    <w:p>
      <w:pPr>
        <w:pStyle w:val="TextBody"/>
        <w:bidi w:val="0"/>
        <w:spacing w:before="0" w:after="240"/>
        <w:jc w:val="both"/>
        <w:rPr/>
      </w:pPr>
      <w:r>
        <w:rPr/>
        <w:t>“</w:t>
      </w:r>
      <w:r>
        <w:rPr>
          <w:rFonts w:ascii="Times New Roman;serif" w:hAnsi="Times New Roman;serif"/>
          <w:b w:val="false"/>
          <w:sz w:val="24"/>
          <w:u w:val="single"/>
        </w:rPr>
        <w:t>Termination Date</w:t>
      </w:r>
      <w:r>
        <w:rPr>
          <w:rFonts w:ascii="Times New Roman" w:hAnsi="Times New Roman"/>
          <w:sz w:val="20"/>
        </w:rPr>
        <w:t xml:space="preserve">” </w:t>
      </w:r>
      <w:r>
        <w:rPr>
          <w:rFonts w:ascii="Times New Roman;serif" w:hAnsi="Times New Roman;serif"/>
          <w:b w:val="false"/>
          <w:sz w:val="24"/>
        </w:rPr>
        <w:t xml:space="preserve">means the earliest to occur of (i) the Extended Final Maturity Date, (ii) the date of the termination of the Commitments in full pursuant to </w:t>
      </w:r>
      <w:r>
        <w:rPr>
          <w:rFonts w:ascii="Times New Roman;serif" w:hAnsi="Times New Roman;serif"/>
          <w:b w:val="false"/>
          <w:sz w:val="24"/>
          <w:u w:val="single"/>
        </w:rPr>
        <w:t>Section 2.08(c)</w:t>
      </w:r>
      <w:r>
        <w:rPr>
          <w:rFonts w:ascii="Times New Roman;serif" w:hAnsi="Times New Roman;serif"/>
          <w:b w:val="false"/>
          <w:sz w:val="24"/>
        </w:rPr>
        <w:t xml:space="preserve">, or (iii) the date on which the Commitments are terminated pursuant to </w:t>
      </w:r>
      <w:r>
        <w:rPr>
          <w:rFonts w:ascii="Times New Roman;serif" w:hAnsi="Times New Roman;serif"/>
          <w:b w:val="false"/>
          <w:sz w:val="24"/>
          <w:u w:val="single"/>
        </w:rPr>
        <w:t>Article VII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Testing Period</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5.12(b)(ii)(E)(x)</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Testing Quarter</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5.12(b)(ii)(B)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Total Assets</w:t>
      </w:r>
      <w:r>
        <w:rPr>
          <w:rFonts w:ascii="Times New Roman" w:hAnsi="Times New Roman"/>
          <w:sz w:val="20"/>
        </w:rPr>
        <w:t xml:space="preserve">” </w:t>
      </w:r>
      <w:r>
        <w:rPr>
          <w:rFonts w:ascii="Times New Roman;serif" w:hAnsi="Times New Roman;serif"/>
          <w:b w:val="false"/>
          <w:sz w:val="24"/>
        </w:rPr>
        <w:t>means, as of any date of determination, the value of the total assets of the Obligors, less all liabilities and indebtedness not represented by senior securities, in each case, as of such date of determination.</w:t>
      </w:r>
    </w:p>
    <w:p>
      <w:pPr>
        <w:pStyle w:val="TextBody"/>
        <w:bidi w:val="0"/>
        <w:spacing w:before="0" w:after="240"/>
        <w:jc w:val="both"/>
        <w:rPr/>
      </w:pPr>
      <w:r>
        <w:rPr/>
        <w:t>“</w:t>
      </w:r>
      <w:r>
        <w:rPr>
          <w:rFonts w:ascii="Times New Roman;serif" w:hAnsi="Times New Roman;serif"/>
          <w:b w:val="false"/>
          <w:sz w:val="24"/>
          <w:u w:val="single"/>
        </w:rPr>
        <w:t>Total Assets Concentration Limitation</w:t>
      </w:r>
      <w:r>
        <w:rPr>
          <w:rFonts w:ascii="Times New Roman" w:hAnsi="Times New Roman"/>
          <w:sz w:val="20"/>
        </w:rPr>
        <w:t xml:space="preserve">” </w:t>
      </w:r>
      <w:r>
        <w:rPr>
          <w:rFonts w:ascii="Times New Roman;serif" w:hAnsi="Times New Roman;serif"/>
          <w:b w:val="false"/>
          <w:sz w:val="24"/>
        </w:rPr>
        <w:t>means, as of any date of determination, the amount by which the aggregate value of Equity Interests in Financing Subsidiaries held by the Obligors as of such date of determination exceeds 15% of the Total Assets as of such date of determination.</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Total Secured Debt</w:t>
      </w:r>
      <w:r>
        <w:rPr>
          <w:rFonts w:ascii="Times New Roman" w:hAnsi="Times New Roman"/>
          <w:sz w:val="20"/>
        </w:rPr>
        <w:t xml:space="preserve">” </w:t>
      </w:r>
      <w:r>
        <w:rPr>
          <w:rFonts w:ascii="Times New Roman;serif" w:hAnsi="Times New Roman;serif"/>
          <w:b w:val="false"/>
          <w:sz w:val="24"/>
        </w:rPr>
        <w:t>means, as of any date of determination, the aggregate amount of senior securities representing secured indebtedness of the Obligors as of such date of determination.</w:t>
      </w:r>
    </w:p>
    <w:p>
      <w:pPr>
        <w:pStyle w:val="TextBody"/>
        <w:bidi w:val="0"/>
        <w:spacing w:before="0" w:after="240"/>
        <w:jc w:val="both"/>
        <w:rPr/>
      </w:pPr>
      <w:r>
        <w:rPr/>
        <w:t>“</w:t>
      </w:r>
      <w:r>
        <w:rPr>
          <w:rFonts w:ascii="Times New Roman;serif" w:hAnsi="Times New Roman;serif"/>
          <w:b w:val="false"/>
          <w:sz w:val="24"/>
          <w:u w:val="single"/>
        </w:rPr>
        <w:t>Transactions</w:t>
      </w:r>
      <w:r>
        <w:rPr>
          <w:rFonts w:ascii="Times New Roman" w:hAnsi="Times New Roman"/>
          <w:sz w:val="20"/>
        </w:rPr>
        <w:t xml:space="preserve">” </w:t>
      </w:r>
      <w:r>
        <w:rPr>
          <w:rFonts w:ascii="Times New Roman;serif" w:hAnsi="Times New Roman;serif"/>
          <w:b w:val="false"/>
          <w:sz w:val="24"/>
        </w:rPr>
        <w:t>means the execution, delivery and performance by the Borrower of this Agreement and the other Loan Documents, the borrowing of Loans, the use of the proceeds thereof and the issuance of Letters of Credit hereunder.</w:t>
      </w:r>
    </w:p>
    <w:p>
      <w:pPr>
        <w:pStyle w:val="TextBody"/>
        <w:bidi w:val="0"/>
        <w:spacing w:before="0" w:after="240"/>
        <w:jc w:val="both"/>
        <w:rPr/>
      </w:pPr>
      <w:r>
        <w:rPr/>
        <w:t>“</w:t>
      </w:r>
      <w:r>
        <w:rPr>
          <w:rFonts w:ascii="Times New Roman;serif" w:hAnsi="Times New Roman;serif"/>
          <w:b w:val="false"/>
          <w:sz w:val="24"/>
          <w:u w:val="single"/>
        </w:rPr>
        <w:t>Truist</w:t>
      </w:r>
      <w:r>
        <w:rPr>
          <w:rFonts w:ascii="Times New Roman" w:hAnsi="Times New Roman"/>
          <w:sz w:val="20"/>
        </w:rPr>
        <w:t xml:space="preserve">” </w:t>
      </w:r>
      <w:r>
        <w:rPr>
          <w:rFonts w:ascii="Times New Roman;serif" w:hAnsi="Times New Roman;serif"/>
          <w:b w:val="false"/>
          <w:sz w:val="24"/>
        </w:rPr>
        <w:t>means Truist Bank.</w:t>
      </w:r>
    </w:p>
    <w:p>
      <w:pPr>
        <w:pStyle w:val="TextBody"/>
        <w:bidi w:val="0"/>
        <w:spacing w:before="0" w:after="240"/>
        <w:jc w:val="both"/>
        <w:rPr/>
      </w:pPr>
      <w:r>
        <w:rPr/>
        <w:t>“</w:t>
      </w:r>
      <w:r>
        <w:rPr>
          <w:rFonts w:ascii="Times New Roman;serif" w:hAnsi="Times New Roman;serif"/>
          <w:b w:val="false"/>
          <w:sz w:val="24"/>
          <w:u w:val="single"/>
        </w:rPr>
        <w:t>Type</w:t>
      </w:r>
      <w:r>
        <w:rPr>
          <w:rFonts w:ascii="Times New Roman" w:hAnsi="Times New Roman"/>
          <w:sz w:val="20"/>
        </w:rPr>
        <w:t>”</w:t>
      </w:r>
      <w:r>
        <w:rPr>
          <w:rFonts w:ascii="Times New Roman;serif" w:hAnsi="Times New Roman;serif"/>
          <w:b w:val="false"/>
          <w:sz w:val="24"/>
        </w:rPr>
        <w:t>, when used in reference to any Loan or Borrowing, refers to whether the rate of interest on such Loan, or on the Loans constituting such Borrowing, is determined by reference to the Adjusted Term Benchmark Rate, the Daily Simple RFR or the Alternate Base Rate.</w:t>
      </w:r>
    </w:p>
    <w:p>
      <w:pPr>
        <w:pStyle w:val="TextBody"/>
        <w:bidi w:val="0"/>
        <w:spacing w:before="0" w:after="240"/>
        <w:jc w:val="both"/>
        <w:rPr/>
      </w:pPr>
      <w:r>
        <w:rPr/>
        <w:t>“</w:t>
      </w:r>
      <w:r>
        <w:rPr>
          <w:rFonts w:ascii="Times New Roman;serif" w:hAnsi="Times New Roman;serif"/>
          <w:b w:val="false"/>
          <w:sz w:val="24"/>
          <w:u w:val="single"/>
        </w:rPr>
        <w:t>UK Financial Institution</w:t>
      </w:r>
      <w:r>
        <w:rPr>
          <w:rFonts w:ascii="Times New Roman" w:hAnsi="Times New Roman"/>
          <w:sz w:val="20"/>
        </w:rPr>
        <w:t xml:space="preserve">” </w:t>
      </w:r>
      <w:r>
        <w:rPr>
          <w:rFonts w:ascii="Times New Roman;serif" w:hAnsi="Times New Roman;serif"/>
          <w:b w:val="false"/>
          <w:sz w:val="24"/>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t>“</w:t>
      </w:r>
      <w:r>
        <w:rPr>
          <w:rFonts w:ascii="Times New Roman;serif" w:hAnsi="Times New Roman;serif"/>
          <w:b w:val="false"/>
          <w:sz w:val="24"/>
          <w:u w:val="single"/>
        </w:rPr>
        <w:t>UK Resolution Authority</w:t>
      </w:r>
      <w:r>
        <w:rPr>
          <w:rFonts w:ascii="Times New Roman" w:hAnsi="Times New Roman"/>
          <w:sz w:val="20"/>
        </w:rPr>
        <w:t xml:space="preserve">” </w:t>
      </w:r>
      <w:r>
        <w:rPr>
          <w:rFonts w:ascii="Times New Roman;serif" w:hAnsi="Times New Roman;serif"/>
          <w:b w:val="false"/>
          <w:sz w:val="24"/>
        </w:rPr>
        <w:t>means the Bank of England or any other public administrative authority having responsibility for the resolution of any UK Financial Institution.</w:t>
      </w:r>
    </w:p>
    <w:p>
      <w:pPr>
        <w:pStyle w:val="TextBody"/>
        <w:bidi w:val="0"/>
        <w:spacing w:before="0" w:after="240"/>
        <w:jc w:val="both"/>
        <w:rPr/>
      </w:pPr>
      <w:r>
        <w:rPr/>
        <w:t>“</w:t>
      </w:r>
      <w:r>
        <w:rPr>
          <w:rFonts w:ascii="Times New Roman;serif" w:hAnsi="Times New Roman;serif"/>
          <w:b w:val="false"/>
          <w:sz w:val="24"/>
          <w:u w:val="single"/>
        </w:rPr>
        <w:t>Unadjusted Benchmark Replacement</w:t>
      </w:r>
      <w:r>
        <w:rPr>
          <w:rFonts w:ascii="Times New Roman" w:hAnsi="Times New Roman"/>
          <w:sz w:val="20"/>
        </w:rPr>
        <w:t xml:space="preserve">” </w:t>
      </w:r>
      <w:r>
        <w:rPr>
          <w:rFonts w:ascii="Times New Roman;serif" w:hAnsi="Times New Roman;serif"/>
          <w:b w:val="false"/>
          <w:sz w:val="24"/>
        </w:rPr>
        <w:t>means the applicable Benchmark Replacement excluding the related Benchmark Replacement Adjustment.</w:t>
      </w:r>
    </w:p>
    <w:p>
      <w:pPr>
        <w:pStyle w:val="TextBody"/>
        <w:bidi w:val="0"/>
        <w:spacing w:before="0" w:after="240"/>
        <w:jc w:val="both"/>
        <w:rPr/>
      </w:pPr>
      <w:r>
        <w:rPr/>
        <w:t>“</w:t>
      </w:r>
      <w:r>
        <w:rPr>
          <w:rFonts w:ascii="Times New Roman;serif" w:hAnsi="Times New Roman;serif"/>
          <w:b w:val="false"/>
          <w:sz w:val="24"/>
          <w:u w:val="single"/>
        </w:rPr>
        <w:t>Unasserted Contingent Obligations</w:t>
      </w:r>
      <w:r>
        <w:rPr>
          <w:rFonts w:ascii="Times New Roman" w:hAnsi="Times New Roman"/>
          <w:sz w:val="20"/>
        </w:rPr>
        <w:t xml:space="preserve">” </w:t>
      </w:r>
      <w:r>
        <w:rPr>
          <w:rFonts w:ascii="Times New Roman;serif" w:hAnsi="Times New Roman;serif"/>
          <w:b w:val="false"/>
          <w:sz w:val="24"/>
        </w:rPr>
        <w:t>means all (i) unasserted contingent indemnification obligations not then due and payable and (ii) unasserted expense reimbursement obligations not then due and payable. For the avoidance of doubt, “Unasserted Contingent Obligations” shall not include any reimbursement obligations in respect of any Letter of Credit.</w:t>
      </w:r>
    </w:p>
    <w:p>
      <w:pPr>
        <w:pStyle w:val="TextBody"/>
        <w:bidi w:val="0"/>
        <w:spacing w:before="0" w:after="240"/>
        <w:jc w:val="both"/>
        <w:rPr/>
      </w:pPr>
      <w:r>
        <w:rPr/>
        <w:t>“</w:t>
      </w:r>
      <w:r>
        <w:rPr>
          <w:rFonts w:ascii="Times New Roman;serif" w:hAnsi="Times New Roman;serif"/>
          <w:b w:val="false"/>
          <w:sz w:val="24"/>
          <w:u w:val="single"/>
        </w:rPr>
        <w:t>Undisclosed Administration</w:t>
      </w:r>
      <w:r>
        <w:rPr>
          <w:rFonts w:ascii="Times New Roman" w:hAnsi="Times New Roman"/>
          <w:sz w:val="20"/>
        </w:rPr>
        <w:t xml:space="preserve">” </w:t>
      </w:r>
      <w:r>
        <w:rPr>
          <w:rFonts w:ascii="Times New Roman;serif" w:hAnsi="Times New Roman;serif"/>
          <w:b w:val="false"/>
          <w:sz w:val="24"/>
        </w:rPr>
        <w:t>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pStyle w:val="TextBody"/>
        <w:bidi w:val="0"/>
        <w:spacing w:before="0" w:after="240"/>
        <w:jc w:val="both"/>
        <w:rPr/>
      </w:pPr>
      <w:r>
        <w:rPr/>
        <w:t>“</w:t>
      </w:r>
      <w:r>
        <w:rPr>
          <w:rFonts w:ascii="Times New Roman;serif" w:hAnsi="Times New Roman;serif"/>
          <w:b w:val="false"/>
          <w:sz w:val="24"/>
          <w:u w:val="single"/>
        </w:rPr>
        <w:t>Uniform Commercial Code</w:t>
      </w:r>
      <w:r>
        <w:rPr>
          <w:rFonts w:ascii="Times New Roman" w:hAnsi="Times New Roman"/>
          <w:sz w:val="20"/>
        </w:rPr>
        <w:t xml:space="preserve">” </w:t>
      </w:r>
      <w:r>
        <w:rPr>
          <w:rFonts w:ascii="Times New Roman;serif" w:hAnsi="Times New Roman;serif"/>
          <w:b w:val="false"/>
          <w:sz w:val="24"/>
        </w:rPr>
        <w:t>means the Uniform Commercial Code as in effect from time to time in the State of New York.</w:t>
      </w:r>
    </w:p>
    <w:p>
      <w:pPr>
        <w:pStyle w:val="TextBody"/>
        <w:bidi w:val="0"/>
        <w:spacing w:before="0" w:after="240"/>
        <w:jc w:val="both"/>
        <w:rPr/>
      </w:pPr>
      <w:r>
        <w:rPr/>
        <w:t>“</w:t>
      </w:r>
      <w:r>
        <w:rPr>
          <w:rFonts w:ascii="Times New Roman;serif" w:hAnsi="Times New Roman;serif"/>
          <w:b w:val="false"/>
          <w:sz w:val="24"/>
          <w:u w:val="single"/>
        </w:rPr>
        <w:t>Unquoted Investments</w:t>
      </w:r>
      <w:r>
        <w:rPr>
          <w:rFonts w:ascii="Times New Roman" w:hAnsi="Times New Roman"/>
          <w:sz w:val="20"/>
        </w:rPr>
        <w:t xml:space="preserve">” </w:t>
      </w:r>
      <w:r>
        <w:rPr>
          <w:rFonts w:ascii="Times New Roman;serif" w:hAnsi="Times New Roman;serif"/>
          <w:b w:val="false"/>
          <w:sz w:val="24"/>
        </w:rPr>
        <w:t xml:space="preserve">means a Portfolio Investment with a value assigned by the Borrower pursuant to </w:t>
      </w:r>
      <w:r>
        <w:rPr>
          <w:rFonts w:ascii="Times New Roman;serif" w:hAnsi="Times New Roman;serif"/>
          <w:b w:val="false"/>
          <w:sz w:val="24"/>
          <w:u w:val="single"/>
        </w:rPr>
        <w:t>Section 5.12(b)(ii)(B)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Unsecured Longer-Term Indebtedness</w:t>
      </w:r>
      <w:r>
        <w:rPr>
          <w:rFonts w:ascii="Times New Roman" w:hAnsi="Times New Roman"/>
          <w:sz w:val="20"/>
        </w:rPr>
        <w:t xml:space="preserve">” </w:t>
      </w:r>
      <w:r>
        <w:rPr>
          <w:rFonts w:ascii="Times New Roman;serif" w:hAnsi="Times New Roman;serif"/>
          <w:b w:val="false"/>
          <w:sz w:val="24"/>
        </w:rPr>
        <w:t>means any Indebtedness of an Obligor (which may be Guaranteed by Subsidiary Guarantors) that (a) has no amortization (other than for amortization in an amount not greater than 1% of the aggregate initial principal amount of such</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Indebtedness per annum, provided that amortization in excess of 1% per annum shall be permitted so long as the amount of such amortization in excess of 1% is permitted to be incurred pursuant to </w:t>
      </w:r>
      <w:r>
        <w:rPr>
          <w:rFonts w:ascii="Times New Roman;serif" w:hAnsi="Times New Roman;serif"/>
          <w:b w:val="false"/>
          <w:sz w:val="24"/>
          <w:u w:val="single"/>
        </w:rPr>
        <w:t>Section 6.01(m)</w:t>
      </w:r>
      <w:r>
        <w:rPr>
          <w:rFonts w:ascii="Times New Roman" w:hAnsi="Times New Roman"/>
          <w:sz w:val="20"/>
        </w:rPr>
        <w:t xml:space="preserve"> </w:t>
      </w:r>
      <w:r>
        <w:rPr>
          <w:rFonts w:ascii="Times New Roman;serif" w:hAnsi="Times New Roman;serif"/>
          <w:b w:val="false"/>
          <w:sz w:val="24"/>
        </w:rPr>
        <w:t xml:space="preserve">and </w:t>
      </w:r>
      <w:r>
        <w:rPr>
          <w:rFonts w:ascii="Times New Roman;serif" w:hAnsi="Times New Roman;serif"/>
          <w:b w:val="false"/>
          <w:sz w:val="24"/>
          <w:u w:val="single"/>
        </w:rPr>
        <w:t>Section 6.01(o</w:t>
      </w:r>
      <w:r>
        <w:rPr>
          <w:rFonts w:ascii="Times New Roman;serif" w:hAnsi="Times New Roman;serif"/>
          <w:b w:val="false"/>
          <w:sz w:val="24"/>
        </w:rPr>
        <w:t>)) prior to, and a final maturity date not earlier than, six months after the Extended Final Maturity Date (it being understood that (A) none of: (w) the conversion features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pStyle w:val="TextBody"/>
        <w:bidi w:val="0"/>
        <w:spacing w:before="0" w:after="240"/>
        <w:jc w:val="both"/>
        <w:rPr/>
      </w:pPr>
      <w:r>
        <w:rPr/>
        <w:t>“</w:t>
      </w:r>
      <w:r>
        <w:rPr>
          <w:rFonts w:ascii="Times New Roman;serif" w:hAnsi="Times New Roman;serif"/>
          <w:b w:val="false"/>
          <w:sz w:val="24"/>
          <w:u w:val="single"/>
        </w:rPr>
        <w:t>Unsecured Shorter-Term Indebtedness</w:t>
      </w:r>
      <w:r>
        <w:rPr>
          <w:rFonts w:ascii="Times New Roman" w:hAnsi="Times New Roman"/>
          <w:sz w:val="20"/>
        </w:rPr>
        <w:t xml:space="preserve">” </w:t>
      </w:r>
      <w:r>
        <w:rPr>
          <w:rFonts w:ascii="Times New Roman;serif" w:hAnsi="Times New Roman;serif"/>
          <w:b w:val="false"/>
          <w:sz w:val="24"/>
        </w:rPr>
        <w:t xml:space="preserve">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Times New Roman;serif" w:hAnsi="Times New Roman;serif"/>
          <w:b w:val="false"/>
          <w:sz w:val="24"/>
          <w:u w:val="single"/>
        </w:rPr>
        <w:t>Section 6.11(a)</w:t>
      </w:r>
      <w:r>
        <w:rPr>
          <w:rFonts w:ascii="Times New Roman;serif" w:hAnsi="Times New Roman;serif"/>
          <w:b w:val="false"/>
          <w:sz w:val="24"/>
        </w:rPr>
        <w:t xml:space="preserve">;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Unsecured Shorter-Term Indebtedness shall not include any Indebtedness permitted pursuant to </w:t>
      </w:r>
      <w:r>
        <w:rPr>
          <w:rFonts w:ascii="Times New Roman;serif" w:hAnsi="Times New Roman;serif"/>
          <w:b w:val="false"/>
          <w:sz w:val="24"/>
          <w:u w:val="single"/>
        </w:rPr>
        <w:t>Section 6.01(l)</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U.S. Government Securities</w:t>
      </w:r>
      <w:r>
        <w:rPr>
          <w:rFonts w:ascii="Times New Roman" w:hAnsi="Times New Roman"/>
          <w:sz w:val="20"/>
        </w:rPr>
        <w:t xml:space="preserve">” </w:t>
      </w:r>
      <w:r>
        <w:rPr>
          <w:rFonts w:ascii="Times New Roman;serif" w:hAnsi="Times New Roman;serif"/>
          <w:b w:val="false"/>
          <w:sz w:val="24"/>
        </w:rPr>
        <w:t>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pStyle w:val="TextBody"/>
        <w:bidi w:val="0"/>
        <w:spacing w:before="0" w:after="240"/>
        <w:jc w:val="both"/>
        <w:rPr/>
      </w:pPr>
      <w:r>
        <w:rPr/>
        <w:t>“</w:t>
      </w:r>
      <w:r>
        <w:rPr>
          <w:rFonts w:ascii="Times New Roman;serif" w:hAnsi="Times New Roman;serif"/>
          <w:b w:val="false"/>
          <w:sz w:val="24"/>
          <w:u w:val="single"/>
        </w:rPr>
        <w:t>U.S. Government Securities Business Day</w:t>
      </w:r>
      <w:r>
        <w:rPr>
          <w:rFonts w:ascii="Times New Roman" w:hAnsi="Times New Roman"/>
          <w:sz w:val="20"/>
        </w:rPr>
        <w:t xml:space="preserve">” </w:t>
      </w:r>
      <w:r>
        <w:rPr>
          <w:rFonts w:ascii="Times New Roman;serif" w:hAnsi="Times New Roman;serif"/>
          <w:b w:val="false"/>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t>“</w:t>
      </w:r>
      <w:r>
        <w:rPr>
          <w:rFonts w:ascii="Times New Roman;serif" w:hAnsi="Times New Roman;serif"/>
          <w:b w:val="false"/>
          <w:sz w:val="24"/>
          <w:u w:val="single"/>
        </w:rPr>
        <w:t>U.S. Person</w:t>
      </w:r>
      <w:r>
        <w:rPr>
          <w:rFonts w:ascii="Times New Roman" w:hAnsi="Times New Roman"/>
          <w:sz w:val="20"/>
        </w:rPr>
        <w:t xml:space="preserve">” </w:t>
      </w:r>
      <w:r>
        <w:rPr>
          <w:rFonts w:ascii="Times New Roman;serif" w:hAnsi="Times New Roman;serif"/>
          <w:b w:val="false"/>
          <w:sz w:val="24"/>
        </w:rPr>
        <w:t>means any Person that is a “United States Person” as defined in Section 7701(a)(30) of the Code.</w:t>
      </w:r>
    </w:p>
    <w:p>
      <w:pPr>
        <w:pStyle w:val="TextBody"/>
        <w:bidi w:val="0"/>
        <w:spacing w:before="0" w:after="240"/>
        <w:jc w:val="both"/>
        <w:rPr/>
      </w:pPr>
      <w:r>
        <w:rPr/>
        <w:t>“</w:t>
      </w:r>
      <w:r>
        <w:rPr>
          <w:rFonts w:ascii="Times New Roman;serif" w:hAnsi="Times New Roman;serif"/>
          <w:b w:val="false"/>
          <w:sz w:val="24"/>
          <w:u w:val="single"/>
        </w:rPr>
        <w:t>Value</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5.13</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val="false"/>
          <w:sz w:val="24"/>
          <w:u w:val="single"/>
        </w:rPr>
        <w:t>Withdrawal Liability</w:t>
      </w:r>
      <w:r>
        <w:rPr>
          <w:rFonts w:ascii="Times New Roman" w:hAnsi="Times New Roman"/>
          <w:sz w:val="20"/>
        </w:rPr>
        <w:t xml:space="preserve">” </w:t>
      </w:r>
      <w:r>
        <w:rPr>
          <w:rFonts w:ascii="Times New Roman;serif" w:hAnsi="Times New Roman;serif"/>
          <w:b w:val="false"/>
          <w:sz w:val="24"/>
        </w:rPr>
        <w:t>means liability to a Multiemployer Plan as a result of a complete or partial withdrawal from such Multiemployer Plan, as such terms are defined in Part I of Subtitle E of Title IV of ERISA.</w:t>
      </w:r>
    </w:p>
    <w:p>
      <w:pPr>
        <w:pStyle w:val="TextBody"/>
        <w:bidi w:val="0"/>
        <w:spacing w:before="0" w:after="240"/>
        <w:jc w:val="both"/>
        <w:rPr/>
      </w:pPr>
      <w:r>
        <w:rPr/>
        <w:t>“</w:t>
      </w:r>
      <w:r>
        <w:rPr>
          <w:rFonts w:ascii="Times New Roman;serif" w:hAnsi="Times New Roman;serif"/>
          <w:b w:val="false"/>
          <w:sz w:val="24"/>
          <w:u w:val="single"/>
        </w:rPr>
        <w:t>Write-Down and Conversion Powers</w:t>
      </w:r>
      <w:r>
        <w:rPr>
          <w:rFonts w:ascii="Times New Roman" w:hAnsi="Times New Roman"/>
          <w:sz w:val="20"/>
        </w:rPr>
        <w:t xml:space="preserve">” </w:t>
      </w:r>
      <w:r>
        <w:rPr>
          <w:rFonts w:ascii="Times New Roman;serif" w:hAnsi="Times New Roman;serif"/>
          <w:b w:val="false"/>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1.02.</w:t>
      </w:r>
    </w:p>
    <w:p>
      <w:pPr>
        <w:pStyle w:val="TextBody"/>
        <w:bidi w:val="0"/>
        <w:spacing w:before="0" w:after="240"/>
        <w:jc w:val="both"/>
        <w:rPr/>
      </w:pPr>
      <w:r>
        <w:rPr>
          <w:rFonts w:ascii="Times New Roman;serif" w:hAnsi="Times New Roman;serif"/>
          <w:b w:val="false"/>
          <w:sz w:val="24"/>
          <w:u w:val="single"/>
        </w:rPr>
        <w:t>Classification of Loans and Borrowings</w:t>
      </w:r>
      <w:r>
        <w:rPr>
          <w:rFonts w:ascii="Times New Roman;serif" w:hAnsi="Times New Roman;serif"/>
          <w:b w:val="false"/>
          <w:sz w:val="24"/>
        </w:rPr>
        <w:t>. For purposes of this Agreement, Loans may be classified and referred to by Class (e.g., a “Syndicated Dollar Loan” or “Syndicated Multicurrency Loan”), by Type (e.g., an “ABR Loan”) or by Class and Type (e.g., a “Syndicated Multicurrency Term Benchmark Loan”). Borrowings also may be classified and referred to by Class (e.g., a “Dollar Borrowing”, “Multicurrency Borrowing” or “Syndicated Borrowing”), by Type (e.g., an “ABR Borrowing”) or by Class and Type (e.g., a “Syndicated ABR Borrowing” or “Syndicated Multicurrency Term Benchmark Borrowing”). Loans and Borrowings may also be identified by Currency.</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1.03.</w:t>
      </w:r>
    </w:p>
    <w:p>
      <w:pPr>
        <w:pStyle w:val="TextBody"/>
        <w:bidi w:val="0"/>
        <w:spacing w:before="0" w:after="240"/>
        <w:jc w:val="both"/>
        <w:rPr/>
      </w:pPr>
      <w:r>
        <w:rPr>
          <w:rFonts w:ascii="Times New Roman;serif" w:hAnsi="Times New Roman;serif"/>
          <w:b w:val="false"/>
          <w:sz w:val="24"/>
          <w:u w:val="single"/>
        </w:rPr>
        <w:t>Terms Generally</w:t>
      </w:r>
      <w:r>
        <w:rPr>
          <w:rFonts w:ascii="Times New Roman;serif" w:hAnsi="Times New Roman;serif"/>
          <w:b w:val="false"/>
          <w:sz w:val="24"/>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1.04.</w:t>
      </w:r>
    </w:p>
    <w:p>
      <w:pPr>
        <w:pStyle w:val="TextBody"/>
        <w:bidi w:val="0"/>
        <w:spacing w:before="0" w:after="240"/>
        <w:jc w:val="both"/>
        <w:rPr/>
      </w:pPr>
      <w:r>
        <w:rPr>
          <w:rFonts w:ascii="Times New Roman;serif" w:hAnsi="Times New Roman;serif"/>
          <w:b w:val="false"/>
          <w:sz w:val="24"/>
          <w:u w:val="single"/>
        </w:rPr>
        <w:t>Accounting Terms; GAAP</w:t>
      </w:r>
      <w:r>
        <w:rPr>
          <w:rFonts w:ascii="Times New Roman;serif" w:hAnsi="Times New Roman;serif"/>
          <w:b w:val="false"/>
          <w:sz w:val="24"/>
        </w:rPr>
        <w:t xml:space="preserve">. Except as otherwise expressly provided herein, all terms of an accounting or financial nature shall be construed in accordance with GAAP, as in effect from time to time;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provision amended in accordance herewith and (b) all leases that are or would have been treated as operating leases for purposes of GAAP prior to the issuance on February 25, 2016 of the Accounting Standards Update (the “</w:t>
      </w:r>
      <w:r>
        <w:rPr>
          <w:rFonts w:ascii="Times New Roman;serif" w:hAnsi="Times New Roman;serif"/>
          <w:b w:val="false"/>
          <w:sz w:val="24"/>
          <w:u w:val="single"/>
        </w:rPr>
        <w:t>ASU</w:t>
      </w:r>
      <w:r>
        <w:rPr/>
        <w:t>”</w:t>
      </w:r>
      <w:r>
        <w:rPr>
          <w:rFonts w:ascii="Times New Roman;serif" w:hAnsi="Times New Roman;serif"/>
          <w:b w:val="false"/>
          <w:sz w:val="24"/>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1.05.</w:t>
      </w:r>
    </w:p>
    <w:p>
      <w:pPr>
        <w:pStyle w:val="TextBody"/>
        <w:bidi w:val="0"/>
        <w:spacing w:before="0" w:after="240"/>
        <w:jc w:val="both"/>
        <w:rPr/>
      </w:pPr>
      <w:r>
        <w:rPr>
          <w:rFonts w:ascii="Times New Roman;serif" w:hAnsi="Times New Roman;serif"/>
          <w:b w:val="false"/>
          <w:sz w:val="24"/>
          <w:u w:val="single"/>
        </w:rPr>
        <w:t>Currencies; Currency Equivalents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Currencies Generally</w:t>
      </w:r>
      <w:r>
        <w:rPr>
          <w:rFonts w:ascii="Times New Roman;serif" w:hAnsi="Times New Roman;serif"/>
          <w:b w:val="false"/>
          <w:sz w:val="24"/>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Times New Roman;serif" w:hAnsi="Times New Roman;serif"/>
          <w:b w:val="false"/>
          <w:sz w:val="24"/>
          <w:u w:val="single"/>
        </w:rPr>
        <w:t>Section 2.10(b)</w:t>
      </w:r>
      <w:r>
        <w:rPr/>
        <w:t xml:space="preserve"> </w:t>
      </w:r>
      <w:r>
        <w:rPr>
          <w:rFonts w:ascii="Times New Roman;serif" w:hAnsi="Times New Roman;serif"/>
          <w:b w:val="false"/>
          <w:sz w:val="24"/>
        </w:rPr>
        <w:t xml:space="preserve">and the last sentence of </w:t>
      </w:r>
      <w:r>
        <w:rPr>
          <w:rFonts w:ascii="Times New Roman;serif" w:hAnsi="Times New Roman;serif"/>
          <w:b w:val="false"/>
          <w:sz w:val="24"/>
          <w:u w:val="single"/>
        </w:rPr>
        <w:t>Section 2.17(a)</w:t>
      </w:r>
      <w:r>
        <w:rPr>
          <w:rFonts w:ascii="Times New Roman;serif" w:hAnsi="Times New Roman;serif"/>
          <w:b w:val="false"/>
          <w:sz w:val="24"/>
        </w:rPr>
        <w:t xml:space="preserve">,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Times New Roman;serif" w:hAnsi="Times New Roman;serif"/>
          <w:b w:val="false"/>
          <w:sz w:val="24"/>
          <w:u w:val="single"/>
        </w:rPr>
        <w:t>Sections 6.03(g)</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6.04(f)</w:t>
      </w:r>
      <w:r>
        <w:rPr>
          <w:rFonts w:ascii="Times New Roman;serif" w:hAnsi="Times New Roman;serif"/>
          <w:b w:val="false"/>
          <w:sz w:val="24"/>
        </w:rPr>
        <w:t>, in no event shall the Borrower or any Obligor be deemed to not be in compliance with any such basket solely as a result of a change in exchange rates.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Special Provisions Relating to Euro</w:t>
      </w:r>
      <w:r>
        <w:rPr>
          <w:rFonts w:ascii="Times New Roman;serif" w:hAnsi="Times New Roman;serif"/>
          <w:b w:val="false"/>
          <w:sz w:val="24"/>
        </w:rPr>
        <w:t xml:space="preserve">. Each obligation hereunder of any party hereto that is denominated in the National Currency of a state that is not a Participating Member State on the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date hereof shall, effective from the date on which such state becomes a Participating Member State, be redenominated in Euro in accordance with the legislation of the European Union applicable to the European Monetary Union;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serif" w:hAnsi="Times New Roman;serif"/>
          <w:b w:val="false"/>
          <w:sz w:val="24"/>
          <w:u w:val="single"/>
        </w:rPr>
        <w:t>provided</w:t>
      </w:r>
      <w:r>
        <w:rPr/>
        <w:t xml:space="preserve"> </w:t>
      </w:r>
      <w:r>
        <w:rPr>
          <w:rFonts w:ascii="Times New Roman;serif" w:hAnsi="Times New Roman;serif"/>
          <w:b w:val="false"/>
          <w:sz w:val="24"/>
        </w:rPr>
        <w:t>that, with respect to any Borrowing denominated in such currency that is outstanding immediately prior to such date, such replacement shall take effect at the end of the Interest Period therefor.</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the Administrative Agent shall provide the Borrower and the Lenders with prior notice of the proposed change with an explanation of such change in sufficient time to permit the Borrower and the Lenders an opportunity to respond to such proposed change.</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1.06.</w:t>
      </w:r>
    </w:p>
    <w:p>
      <w:pPr>
        <w:pStyle w:val="TextBody"/>
        <w:bidi w:val="0"/>
        <w:spacing w:before="0" w:after="240"/>
        <w:jc w:val="both"/>
        <w:rPr/>
      </w:pPr>
      <w:r>
        <w:rPr>
          <w:rFonts w:ascii="Times New Roman;serif" w:hAnsi="Times New Roman;serif"/>
          <w:b w:val="false"/>
          <w:sz w:val="24"/>
          <w:u w:val="single"/>
        </w:rPr>
        <w:t>Rates</w:t>
      </w:r>
      <w:r>
        <w:rPr>
          <w:rFonts w:ascii="Times New Roman;serif" w:hAnsi="Times New Roman;serif"/>
          <w:b w:val="false"/>
          <w:sz w:val="24"/>
        </w:rPr>
        <w:t>. The Administrative Agent does not warrant or accept responsibility for, and shall not have any liability with respect to (a) the continuation of, administration of, submission of, calculation of or any other matter related to the Alternate Base Rate, the Daily Simple RFR, or the Term Benchmark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Daily Simple RFR, the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the Term Benchmark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the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by any such information source or service of any such rate (or component thereof).</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ARTICLE II</w:t>
      </w:r>
    </w:p>
    <w:p>
      <w:pPr>
        <w:pStyle w:val="TextBody"/>
        <w:bidi w:val="0"/>
        <w:spacing w:before="0" w:after="240"/>
        <w:jc w:val="center"/>
        <w:rPr/>
      </w:pPr>
      <w:r>
        <w:rPr>
          <w:rFonts w:ascii="Times New Roman;serif" w:hAnsi="Times New Roman;serif"/>
          <w:b w:val="false"/>
          <w:sz w:val="24"/>
        </w:rPr>
        <w:br/>
        <w:br/>
      </w:r>
      <w:r>
        <w:rPr>
          <w:rFonts w:ascii="Times New Roman;serif" w:hAnsi="Times New Roman;serif"/>
          <w:b w:val="false"/>
          <w:caps/>
          <w:sz w:val="24"/>
          <w:u w:val="single"/>
        </w:rPr>
        <w:t>THE CREDITS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2.01.</w:t>
      </w:r>
    </w:p>
    <w:p>
      <w:pPr>
        <w:pStyle w:val="TextBody"/>
        <w:bidi w:val="0"/>
        <w:spacing w:before="0" w:after="240"/>
        <w:jc w:val="both"/>
        <w:rPr/>
      </w:pPr>
      <w:r>
        <w:rPr>
          <w:rFonts w:ascii="Times New Roman;serif" w:hAnsi="Times New Roman;serif"/>
          <w:b w:val="false"/>
          <w:sz w:val="24"/>
          <w:u w:val="single"/>
        </w:rPr>
        <w:t>The Commitments</w:t>
      </w:r>
      <w:r>
        <w:rPr>
          <w:rFonts w:ascii="Times New Roman;serif" w:hAnsi="Times New Roman;serif"/>
          <w:b w:val="false"/>
          <w:sz w:val="24"/>
        </w:rPr>
        <w:t>. Subject to the terms and conditions set forth herein:</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Within the foregoing limits and subject to the terms and conditions set forth herein, the Borrower may borrow, prepay and reborrow Syndicated Loans.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2.02.</w:t>
      </w:r>
    </w:p>
    <w:p>
      <w:pPr>
        <w:pStyle w:val="TextBody"/>
        <w:bidi w:val="0"/>
        <w:spacing w:before="0" w:after="240"/>
        <w:jc w:val="both"/>
        <w:rPr/>
      </w:pPr>
      <w:r>
        <w:rPr>
          <w:rFonts w:ascii="Times New Roman;serif" w:hAnsi="Times New Roman;serif"/>
          <w:b w:val="false"/>
          <w:sz w:val="24"/>
          <w:u w:val="single"/>
        </w:rPr>
        <w:t>Loans and Borrowings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Obligations of Lenders</w:t>
      </w:r>
      <w:r>
        <w:rPr>
          <w:rFonts w:ascii="Times New Roman;serif" w:hAnsi="Times New Roman;serif"/>
          <w:b w:val="false"/>
          <w:sz w:val="24"/>
        </w:rPr>
        <w:t xml:space="preserve">. Each Syndicated Loan shall be made as part of a Borrowing consisting of Loans of the same Class of Commitments (other than with respect to any Syndicated Loan requested pursuant to </w:t>
      </w:r>
      <w:r>
        <w:rPr>
          <w:rFonts w:ascii="Times New Roman;serif" w:hAnsi="Times New Roman;serif"/>
          <w:b w:val="false"/>
          <w:sz w:val="24"/>
          <w:u w:val="single"/>
        </w:rPr>
        <w:t>Section 2.20</w:t>
      </w:r>
      <w:r>
        <w:rPr>
          <w:rFonts w:ascii="Times New Roman;serif" w:hAnsi="Times New Roman;serif"/>
          <w:b w:val="false"/>
          <w:sz w:val="24"/>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the Commitments of the Lenders are several and no Lender shall be responsible for any other Lender’s failure to make Loans as required.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Type of Loans</w:t>
      </w:r>
      <w:r>
        <w:rPr>
          <w:rFonts w:ascii="Times New Roman;serif" w:hAnsi="Times New Roman;serif"/>
          <w:b w:val="false"/>
          <w:sz w:val="24"/>
        </w:rPr>
        <w:t xml:space="preserve">. Subject to </w:t>
      </w:r>
      <w:r>
        <w:rPr>
          <w:rFonts w:ascii="Times New Roman;serif" w:hAnsi="Times New Roman;serif"/>
          <w:b w:val="false"/>
          <w:sz w:val="24"/>
          <w:u w:val="single"/>
        </w:rPr>
        <w:t>Section 2.13</w:t>
      </w:r>
      <w:r>
        <w:rPr>
          <w:rFonts w:ascii="Times New Roman;serif" w:hAnsi="Times New Roman;serif"/>
          <w:b w:val="false"/>
          <w:sz w:val="24"/>
        </w:rPr>
        <w:t xml:space="preserve">, each Syndicated Borrowing of a Class shall be constituted entirely of ABR Loans, Term Benchmark Loans or RFR Loans of such Class denominated in a single Currency as the Borrower may request in accordance herewith. Each ABR Loan shall be denominated in Dollars. Each Term Benchmark Loan shall be denominated in Dollars or an Agreed Foreign Currency (other than Sterling and Swiss Francs). Each RFR Loan shall be denominated in Sterling or Swiss Francs. Each Lender at its option may make any Term Benchmark Loan or RFR Loan by causing any domestic or foreign branch or Affiliate of such Lender to make such Loan; </w:t>
      </w:r>
      <w:r>
        <w:rPr>
          <w:rFonts w:ascii="Times New Roman;serif" w:hAnsi="Times New Roman;serif"/>
          <w:b w:val="false"/>
          <w:sz w:val="24"/>
          <w:u w:val="single"/>
        </w:rPr>
        <w:t>provided</w:t>
      </w:r>
      <w:r>
        <w:rPr/>
        <w:t xml:space="preserve"> </w:t>
      </w:r>
      <w:r>
        <w:rPr>
          <w:rFonts w:ascii="Times New Roman;serif" w:hAnsi="Times New Roman;serif"/>
          <w:b w:val="false"/>
          <w:sz w:val="24"/>
        </w:rPr>
        <w:t>that any exercise of such option shall not affect the obligation of the Borrower to repay such Loan in accordance with the terms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Minimum Amounts</w:t>
      </w:r>
      <w:r>
        <w:rPr>
          <w:rFonts w:ascii="Times New Roman;serif" w:hAnsi="Times New Roman;serif"/>
          <w:b w:val="false"/>
          <w:sz w:val="24"/>
        </w:rPr>
        <w:t xml:space="preserve">. Each Term Benchmark Borrowing and RFR Borrowing shall be in an aggregate amount of $1,000,000 or a larger multiple of $1,000,000, and each ABR Borrowing (whether a Syndicated Loan or a Swingline Loan) shall be in an aggregate amount of $1,000,000 or a larger multiple of $100,000 (or, in each case, such smaller amounts as may be agreed by the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Administrative Agent);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Times New Roman;serif" w:hAnsi="Times New Roman;serif"/>
          <w:b w:val="false"/>
          <w:sz w:val="24"/>
          <w:u w:val="single"/>
        </w:rPr>
        <w:t>Section 2.05(f)</w:t>
      </w:r>
      <w:r>
        <w:rPr>
          <w:rFonts w:ascii="Times New Roman;serif" w:hAnsi="Times New Roman;serif"/>
          <w:b w:val="false"/>
          <w:sz w:val="24"/>
        </w:rPr>
        <w:t>. Borrowings of more than one Class, Currency and Type may be outstanding at the same time.</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Limitations on Interest Periods</w:t>
      </w:r>
      <w:r>
        <w:rPr>
          <w:rFonts w:ascii="Times New Roman;serif" w:hAnsi="Times New Roman;serif"/>
          <w:b w:val="false"/>
          <w:sz w:val="24"/>
        </w:rPr>
        <w:t>. Notwithstanding any other provision of this Agreement, the Borrower shall not be entitled to request (or to elect to convert to or continue as a Term Benchmark Borrowing or RFR Borrowing) any Borrowing if the Interest Period requested therefor would end after the Final Maturity Date with respect to such Borrowing.</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Treatment of Classes</w:t>
      </w:r>
      <w:r>
        <w:rPr>
          <w:rFonts w:ascii="Times New Roman;serif" w:hAnsi="Times New Roman;serif"/>
          <w:b w:val="false"/>
          <w:sz w:val="24"/>
        </w:rPr>
        <w:t xml:space="preserve">.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if the ratable share of such Syndicated Loan, Swingline Loan or Letter of Credit that would be applied to the Multicurrency Commitments pursuant to this </w:t>
      </w:r>
      <w:r>
        <w:rPr>
          <w:rFonts w:ascii="Times New Roman;serif" w:hAnsi="Times New Roman;serif"/>
          <w:b w:val="false"/>
          <w:sz w:val="24"/>
          <w:u w:val="single"/>
        </w:rPr>
        <w:t>clause (e)</w:t>
      </w:r>
      <w:r>
        <w:rPr/>
        <w:t xml:space="preserve"> </w:t>
      </w:r>
      <w:r>
        <w:rPr>
          <w:rFonts w:ascii="Times New Roman;serif" w:hAnsi="Times New Roman;serif"/>
          <w:b w:val="false"/>
          <w:sz w:val="24"/>
        </w:rPr>
        <w:t>exceeds the unused Multicurrency Commitments, such excess shall be allocated to the Dollar Commitments (rather than the Multicurrency Commitments) up to an amount not to exceed the unused Dollar Commitments.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2.03.</w:t>
      </w:r>
    </w:p>
    <w:p>
      <w:pPr>
        <w:pStyle w:val="TextBody"/>
        <w:bidi w:val="0"/>
        <w:spacing w:before="0" w:after="240"/>
        <w:jc w:val="both"/>
        <w:rPr/>
      </w:pPr>
      <w:r>
        <w:rPr>
          <w:rFonts w:ascii="Times New Roman;serif" w:hAnsi="Times New Roman;serif"/>
          <w:b w:val="false"/>
          <w:sz w:val="24"/>
          <w:u w:val="single"/>
        </w:rPr>
        <w:t>Requests for Syndicated Borrowings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Notice by the Borrower</w:t>
      </w:r>
      <w:r>
        <w:rPr>
          <w:rFonts w:ascii="Times New Roman;serif" w:hAnsi="Times New Roman;serif"/>
          <w:b w:val="false"/>
          <w:sz w:val="24"/>
        </w:rPr>
        <w:t xml:space="preserve">. To request a Syndicated Borrowing, the Borrower shall notify the Administrative Agent of such request by telephone or electronic communication (i) in the case of a Term Benchmark Borrowing denominated in Dollars, not later than 11:00 a.m., New York City time, three (3) Business Days before the date of the proposed Borrowing, (ii) in the case of a Term Benchmark Borrowing denominated in a Foreign Currency, not later than 11:00 a.m., New York City time, four (4) Business Days before the date of the proposed Borrowing, (iii) in the case of an RFR Borrowing, not later than 11:00 a.m., New York City time, four (4)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electronic communication or telecopy to the Administrative Agent of a written Borrowing Request in a form reasonably approved by the Administrative Agent and signed by the Borrower.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Content of Borrowing Requests</w:t>
      </w:r>
      <w:r>
        <w:rPr>
          <w:rFonts w:ascii="Times New Roman;serif" w:hAnsi="Times New Roman;serif"/>
          <w:b w:val="false"/>
          <w:sz w:val="24"/>
        </w:rPr>
        <w:t xml:space="preserve">. Each telephonic and written Borrowing Request shall specify the following information in compliance with </w:t>
      </w:r>
      <w:r>
        <w:rPr>
          <w:rFonts w:ascii="Times New Roman;serif" w:hAnsi="Times New Roman;serif"/>
          <w:b w:val="false"/>
          <w:sz w:val="24"/>
          <w:u w:val="single"/>
        </w:rPr>
        <w:t>Section 2.02</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whether such Borrowing is to be made under the Dollar Commitments or the Multicurrency Commitments;</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aggregate amount and Currency of the requested Borrowing;</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date of such Borrowing, which shall be a Business Day;</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 the case of a Syndicated Borrowing denominated in Dollars, whether such Borrowing is to be an ABR Borrowing or a Term Benchmark Borrowing;</w:t>
      </w:r>
    </w:p>
    <w:p>
      <w:pPr>
        <w:pStyle w:val="TextBody"/>
        <w:bidi w:val="0"/>
        <w:spacing w:before="0" w:after="240"/>
        <w:jc w:val="both"/>
        <w:rPr>
          <w:rFonts w:ascii="Times New Roman" w:hAnsi="Times New Roman"/>
          <w:b w:val="false"/>
          <w:sz w:val="24"/>
        </w:rPr>
      </w:pPr>
      <w:r>
        <w:rPr>
          <w:rFonts w:ascii="Times New Roman" w:hAnsi="Times New Roman"/>
          <w:b w:val="false"/>
          <w:sz w:val="24"/>
        </w:rPr>
        <w:t>(v)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 the case of a Borrowing denominated in an Agreed Foreign Currency, whether such Borrowing is to be a Term Benchmark Borrowing or an RFR Borrowing;</w:t>
      </w:r>
    </w:p>
    <w:p>
      <w:pPr>
        <w:pStyle w:val="TextBody"/>
        <w:bidi w:val="0"/>
        <w:spacing w:before="0" w:after="240"/>
        <w:jc w:val="both"/>
        <w:rPr>
          <w:rFonts w:ascii="Times New Roman" w:hAnsi="Times New Roman"/>
          <w:b w:val="false"/>
          <w:sz w:val="24"/>
        </w:rPr>
      </w:pPr>
      <w:r>
        <w:rPr>
          <w:rFonts w:ascii="Times New Roman" w:hAnsi="Times New Roman"/>
          <w:b w:val="false"/>
          <w:sz w:val="24"/>
        </w:rPr>
        <w:t>(vi)</w:t>
      </w:r>
    </w:p>
    <w:p>
      <w:pPr>
        <w:pStyle w:val="TextBody"/>
        <w:bidi w:val="0"/>
        <w:spacing w:before="0" w:after="240"/>
        <w:jc w:val="both"/>
        <w:rPr/>
      </w:pPr>
      <w:r>
        <w:rPr>
          <w:rFonts w:ascii="Times New Roman;serif" w:hAnsi="Times New Roman;serif"/>
          <w:b w:val="false"/>
          <w:sz w:val="24"/>
        </w:rPr>
        <w:t xml:space="preserve">in the case of a Term Benchmark Borrowing or RFR Borrowing, the Interest Period therefor, which shall be a period contemplated by the definition of the term “Interest Period” and permitted under </w:t>
      </w:r>
      <w:r>
        <w:rPr>
          <w:rFonts w:ascii="Times New Roman;serif" w:hAnsi="Times New Roman;serif"/>
          <w:b w:val="false"/>
          <w:sz w:val="24"/>
          <w:u w:val="single"/>
        </w:rPr>
        <w:t>Section 2.02(d)</w:t>
      </w:r>
      <w:r>
        <w:rPr>
          <w:rFonts w:ascii="Times New Roman;serif" w:hAnsi="Times New Roman;serif"/>
          <w:b w:val="false"/>
          <w:sz w:val="24"/>
        </w:rPr>
        <w:t>; and</w:t>
      </w:r>
    </w:p>
    <w:p>
      <w:pPr>
        <w:pStyle w:val="TextBody"/>
        <w:bidi w:val="0"/>
        <w:spacing w:before="0" w:after="240"/>
        <w:jc w:val="both"/>
        <w:rPr>
          <w:rFonts w:ascii="Times New Roman" w:hAnsi="Times New Roman"/>
          <w:b w:val="false"/>
          <w:sz w:val="24"/>
        </w:rPr>
      </w:pPr>
      <w:r>
        <w:rPr>
          <w:rFonts w:ascii="Times New Roman" w:hAnsi="Times New Roman"/>
          <w:b w:val="false"/>
          <w:sz w:val="24"/>
        </w:rPr>
        <w:t>(vii)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location and number of the Borrower’s account to which funds are to be disbursed.</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Notice by the Administrative Agent to the Lenders</w:t>
      </w:r>
      <w:r>
        <w:rPr>
          <w:rFonts w:ascii="Times New Roman;serif" w:hAnsi="Times New Roman;serif"/>
          <w:b w:val="false"/>
          <w:sz w:val="24"/>
        </w:rPr>
        <w:t>. Promptly following receipt of a Borrowing Request in accordance with this Section, the Administrative Agent shall advise each applicable Lender of the details thereof and of the amounts of such Lender’s Loan to be made as part of the requested Borrowing.</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Failure to Elect</w:t>
      </w:r>
      <w:r>
        <w:rPr>
          <w:rFonts w:ascii="Times New Roman;serif" w:hAnsi="Times New Roman;serif"/>
          <w:b w:val="false"/>
          <w:sz w:val="24"/>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Term Benchmark Borrowing having an Interest Period of one month and, if an Agreed Foreign Currency has been specified, the requested Syndicated Borrowing shall be a Term Benchmark Borrowing or RFR Borrowing, as applicable, denominated in such Agreed Foreign Currency and having an Interest Period of one month. If a Term Benchmark Borrowing or RFR Borrowing is requested but no Interest Period is specified, (i) if the Currency specified for such Borrowing is Dollars (or if no Currency has been specified), the requested Borrowing shall be a Term Benchmark Borrowing denominated in Dollars having an Interest Period of one month’s duration, and (ii) if the Currency specified for such Borrowing is an Agreed Foreign Currency, the Borrower shall be deemed to have selected an Interest Period of one month’s duration.</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2.04.</w:t>
      </w:r>
    </w:p>
    <w:p>
      <w:pPr>
        <w:pStyle w:val="TextBody"/>
        <w:bidi w:val="0"/>
        <w:spacing w:before="0" w:after="240"/>
        <w:jc w:val="both"/>
        <w:rPr/>
      </w:pPr>
      <w:r>
        <w:rPr>
          <w:rFonts w:ascii="Times New Roman;serif" w:hAnsi="Times New Roman;serif"/>
          <w:b w:val="false"/>
          <w:sz w:val="24"/>
          <w:u w:val="single"/>
        </w:rPr>
        <w:t>Swingline Loans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Agreement to Make Swingline Loans</w:t>
      </w:r>
      <w:r>
        <w:rPr>
          <w:rFonts w:ascii="Times New Roman;serif" w:hAnsi="Times New Roman;serif"/>
          <w:b w:val="false"/>
          <w:sz w:val="24"/>
        </w:rPr>
        <w:t xml:space="preserve">. Subject to the terms and conditions set forth herein, each Swingline Lender severally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$150,000,000 or the aggregate principal amount of outstanding Swingline Loans of any Swingline Lender exceeding the amount set forth opposite the name of such Swingline Lender on </w:t>
      </w:r>
      <w:r>
        <w:rPr>
          <w:rFonts w:ascii="Times New Roman;serif" w:hAnsi="Times New Roman;serif"/>
          <w:b w:val="false"/>
          <w:sz w:val="24"/>
          <w:u w:val="single"/>
        </w:rPr>
        <w:t>Schedule 2.04</w:t>
      </w:r>
      <w:r>
        <w:rPr>
          <w:rFonts w:ascii="Times New Roman;serif" w:hAnsi="Times New Roman;serif"/>
          <w:b w:val="false"/>
          <w:sz w:val="24"/>
        </w:rPr>
        <w:t xml:space="preserve">, (ii)(A) in the case of any Swingline Lender with a Dollar Commitment, the sum of such Swingline Lender’s outstanding Dollar Loans, its LC Exposure, its outstanding Swingline Loans and (without duplication) its other Swingline Exposure exceeding its Dollar Commitment and (B) in the case of any Swingline Lender with a Multicurrency Commitment, the sum of such Swingline Lender’s outstanding Multicurrency Loans, its LC Exposure, its outstanding Swingline Loans and (without duplication) its other Swingline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w:t>
      </w:r>
      <w:r>
        <w:rPr>
          <w:rFonts w:ascii="Times New Roman;serif" w:hAnsi="Times New Roman;serif"/>
          <w:b w:val="false"/>
          <w:sz w:val="24"/>
          <w:u w:val="single"/>
        </w:rPr>
        <w:t>provided</w:t>
      </w:r>
      <w:r>
        <w:rPr/>
        <w:t xml:space="preserve"> </w:t>
      </w:r>
      <w:r>
        <w:rPr>
          <w:rFonts w:ascii="Times New Roman;serif" w:hAnsi="Times New Roman;serif"/>
          <w:b w:val="false"/>
          <w:sz w:val="24"/>
        </w:rPr>
        <w:t>that no Swingline Lender shall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Notice of Swingline Loans by the Borrower</w:t>
      </w:r>
      <w:r>
        <w:rPr>
          <w:rFonts w:ascii="Times New Roman;serif" w:hAnsi="Times New Roman;serif"/>
          <w:b w:val="false"/>
          <w:sz w:val="24"/>
        </w:rPr>
        <w:t xml:space="preserve">. To request a Swingline Loan, the Borrower shall notify the Administrative Agent of such request by telephone (confirmed by telecopy or electronic communication) not later than 1:00 p.m., New York City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by wire transfer of immediately available funds to the account of the Administrative Agent most recently designated by it for such purpose by notice to the Lenders by 4:00 p.m., New York City time, on the requested date of such Swingline Loan. The Administrative Agent will make such Swingline Loans available to the Borrower by promptly crediting the amounts so received, in like funds, to an account of the Borrower designated by the Borrower;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Swingline Loans made to finance the reimbursement of an LC Disbursement as provided in </w:t>
      </w:r>
      <w:r>
        <w:rPr>
          <w:rFonts w:ascii="Times New Roman;serif" w:hAnsi="Times New Roman;serif"/>
          <w:b w:val="false"/>
          <w:sz w:val="24"/>
          <w:u w:val="single"/>
        </w:rPr>
        <w:t>Section 2.05(f)</w:t>
      </w:r>
      <w:r>
        <w:rPr/>
        <w:t xml:space="preserve"> </w:t>
      </w:r>
      <w:r>
        <w:rPr>
          <w:rFonts w:ascii="Times New Roman;serif" w:hAnsi="Times New Roman;serif"/>
          <w:b w:val="false"/>
          <w:sz w:val="24"/>
        </w:rPr>
        <w:t>shall be remitted by the Administrative Agent to the applicable Issuing Bank.</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Participations by Lenders in Swingline Loans</w:t>
      </w:r>
      <w:r>
        <w:rPr>
          <w:rFonts w:ascii="Times New Roman;serif" w:hAnsi="Times New Roman;serif"/>
          <w:b w:val="false"/>
          <w:sz w:val="24"/>
        </w:rPr>
        <w:t xml:space="preserve">. Subject to </w:t>
      </w:r>
      <w:r>
        <w:rPr>
          <w:rFonts w:ascii="Times New Roman;serif" w:hAnsi="Times New Roman;serif"/>
          <w:b w:val="false"/>
          <w:sz w:val="24"/>
          <w:u w:val="single"/>
        </w:rPr>
        <w:t>Section 2.20</w:t>
      </w:r>
      <w:r>
        <w:rPr>
          <w:rFonts w:ascii="Times New Roman;serif" w:hAnsi="Times New Roman;serif"/>
          <w:b w:val="false"/>
          <w:sz w:val="24"/>
        </w:rPr>
        <w:t xml:space="preserve">, any Swingline Lender may by written notice given to the Administrative Agent not later than 10:00 a.m., New York City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as the case may be, of such Swingline Loan or Loans;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no Lender shall be required to purchase a participation in a Swingline Loan pursuant to this </w:t>
      </w:r>
      <w:r>
        <w:rPr>
          <w:rFonts w:ascii="Times New Roman;serif" w:hAnsi="Times New Roman;serif"/>
          <w:b w:val="false"/>
          <w:sz w:val="24"/>
          <w:u w:val="single"/>
        </w:rPr>
        <w:t>Section 2.04(c)</w:t>
      </w:r>
      <w:r>
        <w:rPr/>
        <w:t xml:space="preserve"> </w:t>
      </w:r>
      <w:r>
        <w:rPr>
          <w:rFonts w:ascii="Times New Roman;serif" w:hAnsi="Times New Roman;serif"/>
          <w:b w:val="false"/>
          <w:sz w:val="24"/>
        </w:rPr>
        <w:t xml:space="preserve">if (x) the conditions set forth in </w:t>
      </w:r>
      <w:r>
        <w:rPr>
          <w:rFonts w:ascii="Times New Roman;serif" w:hAnsi="Times New Roman;serif"/>
          <w:b w:val="false"/>
          <w:sz w:val="24"/>
          <w:u w:val="single"/>
        </w:rPr>
        <w:t>Section 4.02</w:t>
      </w:r>
      <w:r>
        <w:rPr/>
        <w:t xml:space="preserve"> </w:t>
      </w:r>
      <w:r>
        <w:rPr>
          <w:rFonts w:ascii="Times New Roman;serif" w:hAnsi="Times New Roman;serif"/>
          <w:b w:val="false"/>
          <w:sz w:val="24"/>
        </w:rPr>
        <w:t>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Subject to the foregoing and </w:t>
      </w:r>
      <w:r>
        <w:rPr>
          <w:rFonts w:ascii="Times New Roman;serif" w:hAnsi="Times New Roman;serif"/>
          <w:b w:val="false"/>
          <w:sz w:val="24"/>
          <w:u w:val="single"/>
        </w:rPr>
        <w:t>Section 2.20</w:t>
      </w:r>
      <w:r>
        <w:rPr>
          <w:rFonts w:ascii="Times New Roman;serif" w:hAnsi="Times New Roman;serif"/>
          <w:b w:val="false"/>
          <w:sz w:val="24"/>
        </w:rPr>
        <w:t xml:space="preserve">, each Lender acknowledges and agrees that its obligation to acquire participations in Swingline Loans pursuant to this </w:t>
      </w:r>
      <w:r>
        <w:rPr>
          <w:rFonts w:ascii="Times New Roman;serif" w:hAnsi="Times New Roman;serif"/>
          <w:b w:val="false"/>
          <w:sz w:val="24"/>
          <w:u w:val="single"/>
        </w:rPr>
        <w:t>paragraph (c)</w:t>
      </w:r>
      <w:r>
        <w:rPr>
          <w:rFonts w:ascii="Times New Roman" w:hAnsi="Times New Roman"/>
          <w:sz w:val="20"/>
        </w:rPr>
        <w:t xml:space="preserve"> </w:t>
      </w:r>
      <w:r>
        <w:rPr>
          <w:rFonts w:ascii="Times New Roman;serif" w:hAnsi="Times New Roman;serif"/>
          <w:b w:val="false"/>
          <w:sz w:val="24"/>
        </w:rPr>
        <w:t>is absolute and unconditional and shall not be affected by any circumstance whatsoever, including the occurrence and continuance of a Default or reduction or termination of the Commitments of the</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serif" w:hAnsi="Times New Roman;serif"/>
          <w:b w:val="false"/>
          <w:sz w:val="24"/>
          <w:u w:val="single"/>
        </w:rPr>
        <w:t>Section 2.06</w:t>
      </w:r>
      <w:r>
        <w:rPr>
          <w:rFonts w:ascii="Times New Roman" w:hAnsi="Times New Roman"/>
          <w:sz w:val="20"/>
        </w:rPr>
        <w:t xml:space="preserve"> </w:t>
      </w:r>
      <w:r>
        <w:rPr>
          <w:rFonts w:ascii="Times New Roman;serif" w:hAnsi="Times New Roman;serif"/>
          <w:b w:val="false"/>
          <w:sz w:val="24"/>
        </w:rPr>
        <w:t xml:space="preserve">with respect to Loans made by such Lender (and </w:t>
      </w:r>
      <w:r>
        <w:rPr>
          <w:rFonts w:ascii="Times New Roman;serif" w:hAnsi="Times New Roman;serif"/>
          <w:b w:val="false"/>
          <w:sz w:val="24"/>
          <w:u w:val="single"/>
        </w:rPr>
        <w:t>Section 2.06</w:t>
      </w:r>
      <w:r>
        <w:rPr>
          <w:rFonts w:ascii="Times New Roman" w:hAnsi="Times New Roman"/>
          <w:sz w:val="20"/>
        </w:rPr>
        <w:t xml:space="preserve"> </w:t>
      </w:r>
      <w:r>
        <w:rPr>
          <w:rFonts w:ascii="Times New Roman;serif" w:hAnsi="Times New Roman;serif"/>
          <w:b w:val="false"/>
          <w:sz w:val="24"/>
        </w:rPr>
        <w:t xml:space="preserve">shall apply, </w:t>
      </w:r>
      <w:r>
        <w:rPr>
          <w:rFonts w:ascii="Times New Roman;serif" w:hAnsi="Times New Roman;serif"/>
          <w:b w:val="false"/>
          <w:sz w:val="24"/>
          <w:u w:val="single"/>
        </w:rPr>
        <w:t>mutatis</w:t>
      </w:r>
      <w:r>
        <w:rPr>
          <w:rFonts w:ascii="Times New Roman" w:hAnsi="Times New Roman"/>
          <w:sz w:val="20"/>
        </w:rPr>
        <w:t xml:space="preserve"> </w:t>
      </w:r>
      <w:r>
        <w:rPr>
          <w:rFonts w:ascii="Times New Roman;serif" w:hAnsi="Times New Roman;serif"/>
          <w:b w:val="false"/>
          <w:sz w:val="24"/>
          <w:u w:val="single"/>
        </w:rPr>
        <w:t>mutandis</w:t>
      </w:r>
      <w:r>
        <w:rPr>
          <w:rFonts w:ascii="Times New Roman;serif" w:hAnsi="Times New Roman;serif"/>
          <w:b w:val="false"/>
          <w:sz w:val="24"/>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Resignation and Replacement of Swingline Lender</w:t>
      </w:r>
      <w:r>
        <w:rPr>
          <w:rFonts w:ascii="Times New Roman;serif" w:hAnsi="Times New Roman;serif"/>
          <w:b w:val="false"/>
          <w:sz w:val="24"/>
        </w:rPr>
        <w:t>. Any Swingline Lender may resign and be replaced at any time by written agreement among the Borrower, the Administrative Agent, the replaced Swingline Lender and a successor Swingline Lender. The Administrative Agent shall notify the Lenders of any such replacement of any Swingline Lender. In addition if any Swingline Lender, in its capacity as a Lender, assigns all of its Loans and Commitments in connection with the terms of this Agreement, such Swingline Lender shall be deemed to have automatically resigned as a Swingline Lender hereunder. The Administrative Agent shall notify the Lenders of any such replacement of any Swingline Lender. At the time any such replacement or resignation shall become effective, the Borrower shall pay all unpaid fees accrued for the account of the replaced or resigning Swingline Lender pursuant Section 2.11. From and after the effective date of any such replacement, (i) the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or resignation of the Swingline Lender hereunder, the replaced or resigning Swingline Lender shall have no obligation to make additional Swingline Loans.</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Designation of Additional Swingline Lenders</w:t>
      </w:r>
      <w:r>
        <w:rPr>
          <w:rFonts w:ascii="Times New Roman;serif" w:hAnsi="Times New Roman;serif"/>
          <w:b w:val="false"/>
          <w:sz w:val="24"/>
        </w:rPr>
        <w:t>. The Borrower may, at any time and from time to time, with the consent of the Administrative Agent (which consent shall not be unreasonably withheld), designate as additional Swingline Lenders one (1) or more Lenders that agree to serve in such capacity as provided below. The acceptance by a Lender of an appointment as a Swingline Lender hereunder shall be evidenced by an agreement, which shall be in form and substance reasonably satisfactory to the Administrative Agent, executed by the Borrower, the Administrative Agent and such designated Lender and, from and after the effective date of such agreement, (i) such Lender shall have all the rights and obligations of a Swingline Lender under this Agreement and the other Loan Documents and (ii) references herein or therein to the term “Swingline Lender” shall be deemed to include such Lender in its capacity as a maker of Swingline Loans hereunder.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2.05.</w:t>
      </w:r>
    </w:p>
    <w:p>
      <w:pPr>
        <w:pStyle w:val="TextBody"/>
        <w:bidi w:val="0"/>
        <w:spacing w:before="0" w:after="240"/>
        <w:jc w:val="both"/>
        <w:rPr/>
      </w:pPr>
      <w:r>
        <w:rPr>
          <w:rFonts w:ascii="Times New Roman;serif" w:hAnsi="Times New Roman;serif"/>
          <w:b w:val="false"/>
          <w:sz w:val="24"/>
          <w:u w:val="single"/>
        </w:rPr>
        <w:t>Letters of Credit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General</w:t>
      </w:r>
      <w:r>
        <w:rPr>
          <w:rFonts w:ascii="Times New Roman;serif" w:hAnsi="Times New Roman;serif"/>
          <w:b w:val="false"/>
          <w:sz w:val="24"/>
        </w:rPr>
        <w:t xml:space="preserve">. Subject to the terms and conditions set forth herein, in addition to the Loans provided for in </w:t>
      </w:r>
      <w:r>
        <w:rPr>
          <w:rFonts w:ascii="Times New Roman;serif" w:hAnsi="Times New Roman;serif"/>
          <w:b w:val="false"/>
          <w:sz w:val="24"/>
          <w:u w:val="single"/>
        </w:rPr>
        <w:t>Section 2.01</w:t>
      </w:r>
      <w:r>
        <w:rPr>
          <w:rFonts w:ascii="Times New Roman;serif" w:hAnsi="Times New Roman;serif"/>
          <w:b w:val="false"/>
          <w:sz w:val="24"/>
        </w:rPr>
        <w:t xml:space="preserve">, the Borrower 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Times New Roman;serif" w:hAnsi="Times New Roman;serif"/>
          <w:b w:val="false"/>
          <w:sz w:val="24"/>
          <w:u w:val="single"/>
        </w:rPr>
        <w:t>Section 2.05</w:t>
      </w:r>
      <w:r>
        <w:rPr>
          <w:rFonts w:ascii="Times New Roman;serif" w:hAnsi="Times New Roman;serif"/>
          <w:b w:val="false"/>
          <w:sz w:val="24"/>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Notice of Issuance, Amendment, Renewal or Extension</w:t>
      </w:r>
      <w:r>
        <w:rPr>
          <w:rFonts w:ascii="Times New Roman;serif" w:hAnsi="Times New Roman;serif"/>
          <w:b w:val="false"/>
          <w:sz w:val="24"/>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serif" w:hAnsi="Times New Roman;serif"/>
          <w:b w:val="false"/>
          <w:sz w:val="24"/>
          <w:u w:val="single"/>
        </w:rPr>
        <w:t>paragraph (d)</w:t>
      </w:r>
      <w:r>
        <w:rPr/>
        <w:t xml:space="preserve"> </w:t>
      </w:r>
      <w:r>
        <w:rPr>
          <w:rFonts w:ascii="Times New Roman;serif" w:hAnsi="Times New Roman;serif"/>
          <w:b w:val="false"/>
          <w:sz w:val="24"/>
        </w:rPr>
        <w:t>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Limitations on Amounts</w:t>
      </w:r>
      <w:r>
        <w:rPr>
          <w:rFonts w:ascii="Times New Roman;serif" w:hAnsi="Times New Roman;serif"/>
          <w:b w:val="false"/>
          <w:sz w:val="24"/>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Lenders pursuant to </w:t>
      </w:r>
      <w:r>
        <w:rPr>
          <w:rFonts w:ascii="Times New Roman;serif" w:hAnsi="Times New Roman;serif"/>
          <w:b w:val="false"/>
          <w:sz w:val="24"/>
          <w:u w:val="single"/>
        </w:rPr>
        <w:t>paragraph (e)</w:t>
      </w:r>
      <w:r>
        <w:rPr/>
        <w:t xml:space="preserve"> </w:t>
      </w:r>
      <w:r>
        <w:rPr>
          <w:rFonts w:ascii="Times New Roman;serif" w:hAnsi="Times New Roman;serif"/>
          <w:b w:val="false"/>
          <w:sz w:val="24"/>
        </w:rPr>
        <w:t xml:space="preserve">of this Section) shall not exceed the amount set forth opposite the name of such Issuing Bank on </w:t>
      </w:r>
      <w:r>
        <w:rPr>
          <w:rFonts w:ascii="Times New Roman;serif" w:hAnsi="Times New Roman;serif"/>
          <w:b w:val="false"/>
          <w:sz w:val="24"/>
          <w:u w:val="single"/>
        </w:rPr>
        <w:t>Schedule 2.05</w:t>
      </w:r>
      <w:r>
        <w:rPr/>
        <w:t xml:space="preserve"> </w:t>
      </w:r>
      <w:r>
        <w:rPr>
          <w:rFonts w:ascii="Times New Roman;serif" w:hAnsi="Times New Roman;serif"/>
          <w:b w:val="false"/>
          <w:sz w:val="24"/>
        </w:rPr>
        <w:t xml:space="preserve">(or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and (iv)(A) with respect to each Issuing Bank that is a Swingline Lender with a Dollar Commitment, the sum of such Swingline Lender’s outstanding Dollar Loans, its LC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Exposure, its outstanding Swingline Loans and (without duplication) its other Swingline Exposure shall not exceed its Dollar Commitment then in effect and (B) with respect to each Issuing Bank that is a Swingline Lender with a Multicurrency Commitment, the sum of such Swingline Lender’s outstanding Multicurrency Loans, its LC Exposure, its outstanding Swingline Loans and (without duplication) its other Swingline Exposure shall not exceed its Multicurrency Commitment then in effect; and (v) the total Covered Debt Amount shall not exceed the Borrowing Base then in effect.</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Expiration Date</w:t>
      </w:r>
      <w:r>
        <w:rPr>
          <w:rFonts w:ascii="Times New Roman;serif" w:hAnsi="Times New Roman;serif"/>
          <w:b w:val="false"/>
          <w:sz w:val="24"/>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serif" w:hAnsi="Times New Roman;serif"/>
          <w:b w:val="false"/>
          <w:sz w:val="24"/>
          <w:u w:val="single"/>
        </w:rPr>
        <w:t>provided</w:t>
      </w:r>
      <w:r>
        <w:rPr/>
        <w:t xml:space="preserve"> </w:t>
      </w:r>
      <w:r>
        <w:rPr>
          <w:rFonts w:ascii="Times New Roman;serif" w:hAnsi="Times New Roman;serif"/>
          <w:b w:val="false"/>
          <w:sz w:val="24"/>
        </w:rPr>
        <w:t>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applicable Issuing Bank and the Administrative Agent.</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Participations</w:t>
      </w:r>
      <w:r>
        <w:rPr>
          <w:rFonts w:ascii="Times New Roman;serif" w:hAnsi="Times New Roman;serif"/>
          <w:b w:val="false"/>
          <w:sz w:val="24"/>
        </w:rPr>
        <w:t xml:space="preserve">. Subject to </w:t>
      </w:r>
      <w:r>
        <w:rPr>
          <w:rFonts w:ascii="Times New Roman;serif" w:hAnsi="Times New Roman;serif"/>
          <w:b w:val="false"/>
          <w:sz w:val="24"/>
          <w:u w:val="single"/>
        </w:rPr>
        <w:t>Section 2.20</w:t>
      </w:r>
      <w:r>
        <w:rPr>
          <w:rFonts w:ascii="Times New Roman;serif" w:hAnsi="Times New Roman;serif"/>
          <w:b w:val="false"/>
          <w:sz w:val="24"/>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no Lender shall be required to purchase a participation in a Letter of Credit pursuant to this </w:t>
      </w:r>
      <w:r>
        <w:rPr>
          <w:rFonts w:ascii="Times New Roman;serif" w:hAnsi="Times New Roman;serif"/>
          <w:b w:val="false"/>
          <w:sz w:val="24"/>
          <w:u w:val="single"/>
        </w:rPr>
        <w:t>Section 2.05(e)</w:t>
      </w:r>
      <w:r>
        <w:rPr/>
        <w:t xml:space="preserve"> </w:t>
      </w:r>
      <w:r>
        <w:rPr>
          <w:rFonts w:ascii="Times New Roman;serif" w:hAnsi="Times New Roman;serif"/>
          <w:b w:val="false"/>
          <w:sz w:val="24"/>
        </w:rPr>
        <w:t xml:space="preserve">if (x) the conditions set forth in </w:t>
      </w:r>
      <w:r>
        <w:rPr>
          <w:rFonts w:ascii="Times New Roman;serif" w:hAnsi="Times New Roman;serif"/>
          <w:b w:val="false"/>
          <w:sz w:val="24"/>
          <w:u w:val="single"/>
        </w:rPr>
        <w:t>Section 4.02</w:t>
      </w:r>
      <w:r>
        <w:rPr/>
        <w:t xml:space="preserve"> </w:t>
      </w:r>
      <w:r>
        <w:rPr>
          <w:rFonts w:ascii="Times New Roman;serif" w:hAnsi="Times New Roman;serif"/>
          <w:b w:val="false"/>
          <w:sz w:val="24"/>
        </w:rPr>
        <w:t>would not be satisfied in respect of a Borrowing at the time such Letter of Credit was issued and (y) the Administrative Agent or any Lender shall have so notified such Issuing Bank in writing at least two (2)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(2)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Subject to </w:t>
      </w:r>
      <w:r>
        <w:rPr>
          <w:rFonts w:ascii="Times New Roman;serif" w:hAnsi="Times New Roman;serif"/>
          <w:b w:val="false"/>
          <w:sz w:val="24"/>
          <w:u w:val="single"/>
        </w:rPr>
        <w:t>Section 2.20</w:t>
      </w:r>
      <w:r>
        <w:rPr>
          <w:rFonts w:ascii="Times New Roman;serif" w:hAnsi="Times New Roman;serif"/>
          <w:b w:val="false"/>
          <w:sz w:val="24"/>
        </w:rPr>
        <w:t>,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Times New Roman;serif" w:hAnsi="Times New Roman;serif"/>
          <w:b w:val="false"/>
          <w:sz w:val="24"/>
          <w:u w:val="single"/>
        </w:rPr>
        <w:t>Section 2.06</w:t>
      </w:r>
      <w:r>
        <w:rPr>
          <w:rFonts w:ascii="Times New Roman" w:hAnsi="Times New Roman"/>
          <w:sz w:val="20"/>
        </w:rPr>
        <w:t xml:space="preserve"> </w:t>
      </w:r>
      <w:r>
        <w:rPr>
          <w:rFonts w:ascii="Times New Roman;serif" w:hAnsi="Times New Roman;serif"/>
          <w:b w:val="false"/>
          <w:sz w:val="24"/>
        </w:rPr>
        <w:t xml:space="preserve">with respect to Loans made by such Lender (and </w:t>
      </w:r>
      <w:r>
        <w:rPr>
          <w:rFonts w:ascii="Times New Roman;serif" w:hAnsi="Times New Roman;serif"/>
          <w:b w:val="false"/>
          <w:sz w:val="24"/>
          <w:u w:val="single"/>
        </w:rPr>
        <w:t>Section 2.06</w:t>
      </w:r>
      <w:r>
        <w:rPr>
          <w:rFonts w:ascii="Times New Roman" w:hAnsi="Times New Roman"/>
          <w:sz w:val="20"/>
        </w:rPr>
        <w:t xml:space="preserve"> </w:t>
      </w:r>
      <w:r>
        <w:rPr>
          <w:rFonts w:ascii="Times New Roman;serif" w:hAnsi="Times New Roman;serif"/>
          <w:b w:val="false"/>
          <w:sz w:val="24"/>
        </w:rPr>
        <w:t xml:space="preserve">shall apply, </w:t>
      </w:r>
      <w:r>
        <w:rPr>
          <w:rFonts w:ascii="Times New Roman;serif" w:hAnsi="Times New Roman;serif"/>
          <w:b w:val="false"/>
          <w:sz w:val="24"/>
          <w:u w:val="single"/>
        </w:rPr>
        <w:t>mutatis</w:t>
      </w:r>
      <w:r>
        <w:rPr>
          <w:rFonts w:ascii="Times New Roman" w:hAnsi="Times New Roman"/>
          <w:sz w:val="20"/>
        </w:rPr>
        <w:t xml:space="preserve"> </w:t>
      </w:r>
      <w:r>
        <w:rPr>
          <w:rFonts w:ascii="Times New Roman;serif" w:hAnsi="Times New Roman;serif"/>
          <w:b w:val="false"/>
          <w:sz w:val="24"/>
          <w:u w:val="single"/>
        </w:rPr>
        <w:t>mutandis</w:t>
      </w:r>
      <w:r>
        <w:rPr>
          <w:rFonts w:ascii="Times New Roman;serif" w:hAnsi="Times New Roman;serif"/>
          <w:b w:val="false"/>
          <w:sz w:val="24"/>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u w:val="single"/>
        </w:rPr>
        <w:t>Reimbursement</w:t>
      </w:r>
      <w:r>
        <w:rPr>
          <w:rFonts w:ascii="Times New Roman;serif" w:hAnsi="Times New Roman;serif"/>
          <w:b w:val="false"/>
          <w:sz w:val="24"/>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if such LC Disbursement is not less than $1,000,000 (or such smaller amount as may be agreed to by the Administrative Agent) and is denominated in Dollars, the Borrower may, subject to the conditions to borrowing set forth herein, request in accordance with </w:t>
      </w:r>
      <w:r>
        <w:rPr>
          <w:rFonts w:ascii="Times New Roman;serif" w:hAnsi="Times New Roman;serif"/>
          <w:b w:val="false"/>
          <w:sz w:val="24"/>
          <w:u w:val="single"/>
        </w:rPr>
        <w:t>Section 2.03</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2.04</w:t>
      </w:r>
      <w:r>
        <w:rPr/>
        <w:t xml:space="preserve"> </w:t>
      </w:r>
      <w:r>
        <w:rPr>
          <w:rFonts w:ascii="Times New Roman;serif" w:hAnsi="Times New Roman;serif"/>
          <w:b w:val="false"/>
          <w:sz w:val="24"/>
        </w:rPr>
        <w:t xml:space="preserve">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pPr>
      <w:r>
        <w:rPr>
          <w:rFonts w:ascii="Times New Roman;serif" w:hAnsi="Times New Roman;serif"/>
          <w:b w:val="false"/>
          <w:sz w:val="24"/>
          <w:u w:val="single"/>
        </w:rPr>
        <w:t>Obligations Absolute</w:t>
      </w:r>
      <w:r>
        <w:rPr>
          <w:rFonts w:ascii="Times New Roman;serif" w:hAnsi="Times New Roman;serif"/>
          <w:b w:val="false"/>
          <w:sz w:val="24"/>
        </w:rPr>
        <w:t xml:space="preserve">. The Borrower’s obligation to reimburse LC Disbursements as provided in </w:t>
      </w:r>
      <w:r>
        <w:rPr>
          <w:rFonts w:ascii="Times New Roman;serif" w:hAnsi="Times New Roman;serif"/>
          <w:b w:val="false"/>
          <w:sz w:val="24"/>
          <w:u w:val="single"/>
        </w:rPr>
        <w:t>paragraph (f)</w:t>
      </w:r>
      <w:r>
        <w:rPr/>
        <w:t xml:space="preserve"> </w:t>
      </w:r>
      <w:r>
        <w:rPr>
          <w:rFonts w:ascii="Times New Roman;serif" w:hAnsi="Times New Roman;serif"/>
          <w:b w:val="false"/>
          <w:sz w:val="24"/>
        </w:rPr>
        <w:t>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pStyle w:val="TextBody"/>
        <w:bidi w:val="0"/>
        <w:spacing w:before="0" w:after="240"/>
        <w:jc w:val="both"/>
        <w:rPr>
          <w:rFonts w:ascii="Times New Roman" w:hAnsi="Times New Roman"/>
          <w:sz w:val="20"/>
        </w:rPr>
      </w:pPr>
      <w:r>
        <w:rPr>
          <w:rFonts w:ascii="Times New Roman;serif" w:hAnsi="Times New Roman;serif"/>
          <w:b w:val="false"/>
          <w:sz w:val="24"/>
        </w:rPr>
        <w:t>Neither the Administrative Agent, the Lenders nor any Issuing Bank, nor any of their Related Parties, shall have any liability or responsibility by reason of or in connection with</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fraud, gross negligence or willful misconduct when determining whether drafts and other documents presented under a Letter of Credit comply with the terms thereof. The parties hereto expressly agree that:</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Issuing Banks shall have the right, in their sole discretion, to decline to accept such documents and to make such payment if such documents are not in strict compliance with the terms of such Letter of Credit; and</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pPr>
      <w:r>
        <w:rPr>
          <w:rFonts w:ascii="Times New Roman;serif" w:hAnsi="Times New Roman;serif"/>
          <w:b w:val="false"/>
          <w:sz w:val="24"/>
          <w:u w:val="single"/>
        </w:rPr>
        <w:t>Disbursement Procedures</w:t>
      </w:r>
      <w:r>
        <w:rPr>
          <w:rFonts w:ascii="Times New Roman;serif" w:hAnsi="Times New Roman;serif"/>
          <w:b w:val="false"/>
          <w:sz w:val="24"/>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or electronic communication) of such demand for payment and whether such Issuing Bank has made or will make an LC Disbursement thereunder; </w:t>
      </w:r>
      <w:r>
        <w:rPr>
          <w:rFonts w:ascii="Times New Roman;serif" w:hAnsi="Times New Roman;serif"/>
          <w:b w:val="false"/>
          <w:sz w:val="24"/>
          <w:u w:val="single"/>
        </w:rPr>
        <w:t>provided</w:t>
      </w:r>
      <w:r>
        <w:rPr/>
        <w:t xml:space="preserve"> </w:t>
      </w:r>
      <w:r>
        <w:rPr>
          <w:rFonts w:ascii="Times New Roman;serif" w:hAnsi="Times New Roman;serif"/>
          <w:b w:val="false"/>
          <w:sz w:val="24"/>
        </w:rPr>
        <w:t>that any failure to give or delay in giving such notice shall not relieve the Borrower of its obligation to reimburse such Issuing Bank and the applicable Lenders with respect to any such LC Disbursement.</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u w:val="single"/>
        </w:rPr>
        <w:t>Interim Interest</w:t>
      </w:r>
      <w:r>
        <w:rPr>
          <w:rFonts w:ascii="Times New Roman;serif" w:hAnsi="Times New Roman;serif"/>
          <w:b w:val="false"/>
          <w:sz w:val="24"/>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if the Borrower fails to reimburse such LC Disbursement within two (2) Business Days following the date when due pursuant to </w:t>
      </w:r>
      <w:r>
        <w:rPr>
          <w:rFonts w:ascii="Times New Roman;serif" w:hAnsi="Times New Roman;serif"/>
          <w:b w:val="false"/>
          <w:sz w:val="24"/>
          <w:u w:val="single"/>
        </w:rPr>
        <w:t>paragraph (f)</w:t>
      </w:r>
      <w:r>
        <w:rPr/>
        <w:t xml:space="preserve"> </w:t>
      </w:r>
      <w:r>
        <w:rPr>
          <w:rFonts w:ascii="Times New Roman;serif" w:hAnsi="Times New Roman;serif"/>
          <w:b w:val="false"/>
          <w:sz w:val="24"/>
        </w:rPr>
        <w:t xml:space="preserve">of this Section, then the provisions of </w:t>
      </w:r>
      <w:r>
        <w:rPr>
          <w:rFonts w:ascii="Times New Roman;serif" w:hAnsi="Times New Roman;serif"/>
          <w:b w:val="false"/>
          <w:sz w:val="24"/>
          <w:u w:val="single"/>
        </w:rPr>
        <w:t>Section 2.12(d)</w:t>
      </w:r>
      <w:r>
        <w:rPr/>
        <w:t xml:space="preserve"> </w:t>
      </w:r>
      <w:r>
        <w:rPr>
          <w:rFonts w:ascii="Times New Roman;serif" w:hAnsi="Times New Roman;serif"/>
          <w:b w:val="false"/>
          <w:sz w:val="24"/>
        </w:rPr>
        <w:t xml:space="preserve">shall apply. Interest accrued pursuant to this paragraph shall be for account of the applicable Issuing Bank, except that interest accrued on and after the date of payment by any Lender pursuant to </w:t>
      </w:r>
      <w:r>
        <w:rPr>
          <w:rFonts w:ascii="Times New Roman;serif" w:hAnsi="Times New Roman;serif"/>
          <w:b w:val="false"/>
          <w:sz w:val="24"/>
          <w:u w:val="single"/>
        </w:rPr>
        <w:t>paragraph (f)</w:t>
      </w:r>
      <w:r>
        <w:rPr/>
        <w:t xml:space="preserve"> </w:t>
      </w:r>
      <w:r>
        <w:rPr>
          <w:rFonts w:ascii="Times New Roman;serif" w:hAnsi="Times New Roman;serif"/>
          <w:b w:val="false"/>
          <w:sz w:val="24"/>
        </w:rPr>
        <w:t>of this Section to reimburse such Issuing Bank shall be for account of such Lender to the extent of such payment.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(j)</w:t>
      </w:r>
    </w:p>
    <w:p>
      <w:pPr>
        <w:pStyle w:val="TextBody"/>
        <w:bidi w:val="0"/>
        <w:spacing w:before="0" w:after="240"/>
        <w:jc w:val="both"/>
        <w:rPr/>
      </w:pPr>
      <w:r>
        <w:rPr>
          <w:rFonts w:ascii="Times New Roman;serif" w:hAnsi="Times New Roman;serif"/>
          <w:b w:val="false"/>
          <w:sz w:val="24"/>
          <w:u w:val="single"/>
        </w:rPr>
        <w:t>Resignation and/or Replacement of an Issuing Bank</w:t>
      </w:r>
      <w:r>
        <w:rPr>
          <w:rFonts w:ascii="Times New Roman;serif" w:hAnsi="Times New Roman;serif"/>
          <w:b w:val="false"/>
          <w:sz w:val="24"/>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no consent of the Borrower shall be required if a Specified Event of Default has occurred and is continuing), resign as an Issuing Bank hereunder upon not less than three (3) Business Days prior written notice to the Administrative Agent and the Borrower;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further</w:t>
      </w:r>
      <w:r>
        <w:rPr>
          <w:rFonts w:ascii="Times New Roman;serif" w:hAnsi="Times New Roman;serif"/>
          <w:b w:val="false"/>
          <w:sz w:val="24"/>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Times New Roman;serif" w:hAnsi="Times New Roman;serif"/>
          <w:b w:val="false"/>
          <w:sz w:val="24"/>
          <w:u w:val="single"/>
        </w:rPr>
        <w:t>Section 2.11(b)</w:t>
      </w:r>
      <w:r>
        <w:rPr>
          <w:rFonts w:ascii="Times New Roman;serif" w:hAnsi="Times New Roman;serif"/>
          <w:b w:val="false"/>
          <w:sz w:val="24"/>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pStyle w:val="TextBody"/>
        <w:bidi w:val="0"/>
        <w:spacing w:before="0" w:after="240"/>
        <w:jc w:val="both"/>
        <w:rPr>
          <w:rFonts w:ascii="Times New Roman" w:hAnsi="Times New Roman"/>
          <w:b w:val="false"/>
          <w:sz w:val="24"/>
        </w:rPr>
      </w:pPr>
      <w:r>
        <w:rPr>
          <w:rFonts w:ascii="Times New Roman" w:hAnsi="Times New Roman"/>
          <w:b w:val="false"/>
          <w:sz w:val="24"/>
        </w:rPr>
        <w:t>(k)</w:t>
      </w:r>
    </w:p>
    <w:p>
      <w:pPr>
        <w:pStyle w:val="TextBody"/>
        <w:bidi w:val="0"/>
        <w:spacing w:before="0" w:after="240"/>
        <w:jc w:val="both"/>
        <w:rPr/>
      </w:pPr>
      <w:r>
        <w:rPr>
          <w:rFonts w:ascii="Times New Roman;serif" w:hAnsi="Times New Roman;serif"/>
          <w:b w:val="false"/>
          <w:sz w:val="24"/>
          <w:u w:val="single"/>
        </w:rPr>
        <w:t>Cash Collateralization</w:t>
      </w:r>
      <w:r>
        <w:rPr>
          <w:rFonts w:ascii="Times New Roman;serif" w:hAnsi="Times New Roman;serif"/>
          <w:b w:val="false"/>
          <w:sz w:val="24"/>
        </w:rPr>
        <w:t xml:space="preserve">. If the Borrower shall be required to provide Cash Collateral for LC Exposure pursuant to </w:t>
      </w:r>
      <w:r>
        <w:rPr>
          <w:rFonts w:ascii="Times New Roman;serif" w:hAnsi="Times New Roman;serif"/>
          <w:b w:val="false"/>
          <w:sz w:val="24"/>
          <w:u w:val="single"/>
        </w:rPr>
        <w:t>Section 2.05(d)</w:t>
      </w:r>
      <w:r>
        <w:rPr>
          <w:rFonts w:ascii="Times New Roman;serif" w:hAnsi="Times New Roman;serif"/>
          <w:b w:val="false"/>
          <w:sz w:val="24"/>
        </w:rPr>
        <w:t xml:space="preserve">, </w:t>
      </w:r>
      <w:r>
        <w:rPr>
          <w:rFonts w:ascii="Times New Roman;serif" w:hAnsi="Times New Roman;serif"/>
          <w:b w:val="false"/>
          <w:sz w:val="24"/>
          <w:u w:val="single"/>
        </w:rPr>
        <w:t>Section 2.09(a)</w:t>
      </w:r>
      <w:r>
        <w:rPr>
          <w:rFonts w:ascii="Times New Roman;serif" w:hAnsi="Times New Roman;serif"/>
          <w:b w:val="false"/>
          <w:sz w:val="24"/>
        </w:rPr>
        <w:t xml:space="preserve">, </w:t>
      </w:r>
      <w:r>
        <w:rPr>
          <w:rFonts w:ascii="Times New Roman;serif" w:hAnsi="Times New Roman;serif"/>
          <w:b w:val="false"/>
          <w:sz w:val="24"/>
          <w:u w:val="single"/>
        </w:rPr>
        <w:t>Section 2.10(b)</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(c)</w:t>
      </w:r>
      <w:r>
        <w:rPr>
          <w:rFonts w:ascii="Times New Roman;serif" w:hAnsi="Times New Roman;serif"/>
          <w:b w:val="false"/>
          <w:sz w:val="24"/>
        </w:rPr>
        <w:t xml:space="preserve">, </w:t>
      </w:r>
      <w:r>
        <w:rPr>
          <w:rFonts w:ascii="Times New Roman;serif" w:hAnsi="Times New Roman;serif"/>
          <w:b w:val="false"/>
          <w:sz w:val="24"/>
          <w:u w:val="single"/>
        </w:rPr>
        <w:t>Section 2.20</w:t>
      </w:r>
      <w:r>
        <w:rPr/>
        <w:t xml:space="preserve"> </w:t>
      </w:r>
      <w:r>
        <w:rPr>
          <w:rFonts w:ascii="Times New Roman;serif" w:hAnsi="Times New Roman;serif"/>
          <w:b w:val="false"/>
          <w:sz w:val="24"/>
        </w:rPr>
        <w:t xml:space="preserve">or the last paragraph of </w:t>
      </w:r>
      <w:r>
        <w:rPr>
          <w:rFonts w:ascii="Times New Roman;serif" w:hAnsi="Times New Roman;serif"/>
          <w:b w:val="false"/>
          <w:sz w:val="24"/>
          <w:u w:val="single"/>
        </w:rPr>
        <w:t>Article VII</w:t>
      </w:r>
      <w:r>
        <w:rPr>
          <w:rFonts w:ascii="Times New Roman;serif" w:hAnsi="Times New Roman;serif"/>
          <w:b w:val="false"/>
          <w:sz w:val="24"/>
        </w:rPr>
        <w:t>, the Borrower shall immediately deposit into a segregated collateral account or accounts (herein, collectively, the “</w:t>
      </w:r>
      <w:r>
        <w:rPr>
          <w:rFonts w:ascii="Times New Roman;serif" w:hAnsi="Times New Roman;serif"/>
          <w:b w:val="false"/>
          <w:sz w:val="24"/>
          <w:u w:val="single"/>
        </w:rPr>
        <w:t>Letter of Credit Collateral Account</w:t>
      </w:r>
      <w:r>
        <w:rPr/>
        <w:t>”</w:t>
      </w:r>
      <w:r>
        <w:rPr>
          <w:rFonts w:ascii="Times New Roman;serif" w:hAnsi="Times New Roman;serif"/>
          <w:b w:val="false"/>
          <w:sz w:val="24"/>
        </w:rPr>
        <w:t xml:space="preserve">) in the name and under the dominion and control of the Administrative Agent Cash denominated in the Currency of the Letter of Credit under which such LC Exposure arises in an amount equal to the amount required under </w:t>
      </w:r>
      <w:r>
        <w:rPr>
          <w:rFonts w:ascii="Times New Roman;serif" w:hAnsi="Times New Roman;serif"/>
          <w:b w:val="false"/>
          <w:sz w:val="24"/>
          <w:u w:val="single"/>
        </w:rPr>
        <w:t>Section 2.09(a)</w:t>
      </w:r>
      <w:r>
        <w:rPr>
          <w:rFonts w:ascii="Times New Roman;serif" w:hAnsi="Times New Roman;serif"/>
          <w:b w:val="false"/>
          <w:sz w:val="24"/>
        </w:rPr>
        <w:t xml:space="preserve">, </w:t>
      </w:r>
      <w:r>
        <w:rPr>
          <w:rFonts w:ascii="Times New Roman;serif" w:hAnsi="Times New Roman;serif"/>
          <w:b w:val="false"/>
          <w:sz w:val="24"/>
          <w:u w:val="single"/>
        </w:rPr>
        <w:t>Section 2.10(b)</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(c)</w:t>
      </w:r>
      <w:r>
        <w:rPr>
          <w:rFonts w:ascii="Times New Roman;serif" w:hAnsi="Times New Roman;serif"/>
          <w:b w:val="false"/>
          <w:sz w:val="24"/>
        </w:rPr>
        <w:t xml:space="preserve">, </w:t>
      </w:r>
      <w:r>
        <w:rPr>
          <w:rFonts w:ascii="Times New Roman;serif" w:hAnsi="Times New Roman;serif"/>
          <w:b w:val="false"/>
          <w:sz w:val="24"/>
          <w:u w:val="single"/>
        </w:rPr>
        <w:t>Section 2.20</w:t>
      </w:r>
      <w:r>
        <w:rPr/>
        <w:t xml:space="preserve"> </w:t>
      </w:r>
      <w:r>
        <w:rPr>
          <w:rFonts w:ascii="Times New Roman;serif" w:hAnsi="Times New Roman;serif"/>
          <w:b w:val="false"/>
          <w:sz w:val="24"/>
        </w:rPr>
        <w:t xml:space="preserve">or the last paragraph of </w:t>
      </w:r>
      <w:r>
        <w:rPr>
          <w:rFonts w:ascii="Times New Roman;serif" w:hAnsi="Times New Roman;serif"/>
          <w:b w:val="false"/>
          <w:sz w:val="24"/>
          <w:u w:val="single"/>
        </w:rPr>
        <w:t>Article VII</w:t>
      </w:r>
      <w:r>
        <w:rPr>
          <w:rFonts w:ascii="Times New Roman;serif" w:hAnsi="Times New Roman;serif"/>
          <w:b w:val="false"/>
          <w:sz w:val="24"/>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pStyle w:val="TextBody"/>
        <w:bidi w:val="0"/>
        <w:spacing w:before="0" w:after="240"/>
        <w:jc w:val="both"/>
        <w:rPr>
          <w:rFonts w:ascii="Times New Roman" w:hAnsi="Times New Roman"/>
          <w:b w:val="false"/>
          <w:sz w:val="24"/>
        </w:rPr>
      </w:pPr>
      <w:r>
        <w:rPr>
          <w:rFonts w:ascii="Times New Roman" w:hAnsi="Times New Roman"/>
          <w:b w:val="false"/>
          <w:sz w:val="24"/>
        </w:rPr>
        <w:t>(l)</w:t>
      </w:r>
    </w:p>
    <w:p>
      <w:pPr>
        <w:pStyle w:val="TextBody"/>
        <w:bidi w:val="0"/>
        <w:spacing w:before="0" w:after="240"/>
        <w:jc w:val="both"/>
        <w:rPr/>
      </w:pPr>
      <w:r>
        <w:rPr>
          <w:rFonts w:ascii="Times New Roman;serif" w:hAnsi="Times New Roman;serif"/>
          <w:b w:val="false"/>
          <w:sz w:val="24"/>
          <w:u w:val="single"/>
        </w:rPr>
        <w:t>Additional Issuing Banks</w:t>
      </w:r>
      <w:r>
        <w:rPr>
          <w:rFonts w:ascii="Times New Roman;serif" w:hAnsi="Times New Roman;serif"/>
          <w:b w:val="false"/>
          <w:sz w:val="24"/>
        </w:rPr>
        <w:t xml:space="preserve">. From time to time, the Borrower may, by notice to the Administrative Agent, designate additional Extending Lenders as Issuing Banks, each of which agrees (in its sole discretion) to act in such capacity and is reasonably satisfactory to the Administrative Agent;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each such notice shall include an updated Schedule 2.05;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further</w:t>
      </w:r>
      <w:r>
        <w:rPr>
          <w:rFonts w:ascii="Times New Roman;serif" w:hAnsi="Times New Roman;serif"/>
          <w:b w:val="false"/>
          <w:sz w:val="24"/>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2.06.</w:t>
      </w:r>
    </w:p>
    <w:p>
      <w:pPr>
        <w:pStyle w:val="TextBody"/>
        <w:bidi w:val="0"/>
        <w:spacing w:before="0" w:after="240"/>
        <w:jc w:val="both"/>
        <w:rPr/>
      </w:pPr>
      <w:r>
        <w:rPr>
          <w:rFonts w:ascii="Times New Roman;serif" w:hAnsi="Times New Roman;serif"/>
          <w:b w:val="false"/>
          <w:sz w:val="24"/>
          <w:u w:val="single"/>
        </w:rPr>
        <w:t>Funding of Borrowings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Funding by Lenders</w:t>
      </w:r>
      <w:r>
        <w:rPr>
          <w:rFonts w:ascii="Times New Roman;serif" w:hAnsi="Times New Roman;serif"/>
          <w:b w:val="false"/>
          <w:sz w:val="24"/>
        </w:rPr>
        <w:t xml:space="preserve">. Each Lender shall make each Loan to be made by it hereunder on the proposed date thereof by wire transfer of immediately available funds by (i) in the case of any Loan (other than a Syndicated ABR Borrowing), 11:00 a.m. New York City time, and (ii) in the case of any Loan that is a Syndicated ABR Borrowing, 1:00 p.m. New York City time, in each case, to the account of the Administrative Agent most recently designated by it for such purpose by notice to the Lenders;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Swingline Loans shall be made as provided in </w:t>
      </w:r>
      <w:r>
        <w:rPr>
          <w:rFonts w:ascii="Times New Roman;serif" w:hAnsi="Times New Roman;serif"/>
          <w:b w:val="false"/>
          <w:sz w:val="24"/>
          <w:u w:val="single"/>
        </w:rPr>
        <w:t>Section 2.04</w:t>
      </w:r>
      <w:r>
        <w:rPr>
          <w:rFonts w:ascii="Times New Roman;serif" w:hAnsi="Times New Roman;serif"/>
          <w:b w:val="false"/>
          <w:sz w:val="24"/>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Syndicated ABR Borrowings made to finance the reimbursement of an LC Disbursement as provided in </w:t>
      </w:r>
      <w:r>
        <w:rPr>
          <w:rFonts w:ascii="Times New Roman;serif" w:hAnsi="Times New Roman;serif"/>
          <w:b w:val="false"/>
          <w:sz w:val="24"/>
          <w:u w:val="single"/>
        </w:rPr>
        <w:t>Section 2.05(f)</w:t>
      </w:r>
      <w:r>
        <w:rPr/>
        <w:t xml:space="preserve"> </w:t>
      </w:r>
      <w:r>
        <w:rPr>
          <w:rFonts w:ascii="Times New Roman;serif" w:hAnsi="Times New Roman;serif"/>
          <w:b w:val="false"/>
          <w:sz w:val="24"/>
        </w:rPr>
        <w:t>shall be remitted by the Administrative Agent to the applicable Issuing Bank.</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Presumption by the Administrative Agent</w:t>
      </w:r>
      <w:r>
        <w:rPr>
          <w:rFonts w:ascii="Times New Roman;serif" w:hAnsi="Times New Roman;serif"/>
          <w:b w:val="false"/>
          <w:sz w:val="24"/>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serif" w:hAnsi="Times New Roman;serif"/>
          <w:b w:val="false"/>
          <w:sz w:val="24"/>
          <w:u w:val="single"/>
        </w:rPr>
        <w:t>paragraph (a)</w:t>
      </w:r>
      <w:r>
        <w:rPr/>
        <w:t xml:space="preserve"> </w:t>
      </w:r>
      <w:r>
        <w:rPr>
          <w:rFonts w:ascii="Times New Roman;serif" w:hAnsi="Times New Roman;serif"/>
          <w:b w:val="false"/>
          <w:sz w:val="24"/>
        </w:rPr>
        <w:t>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2.07.</w:t>
      </w:r>
    </w:p>
    <w:p>
      <w:pPr>
        <w:pStyle w:val="TextBody"/>
        <w:bidi w:val="0"/>
        <w:spacing w:before="0" w:after="240"/>
        <w:jc w:val="both"/>
        <w:rPr/>
      </w:pPr>
      <w:r>
        <w:rPr>
          <w:rFonts w:ascii="Times New Roman;serif" w:hAnsi="Times New Roman;serif"/>
          <w:b w:val="false"/>
          <w:sz w:val="24"/>
          <w:u w:val="single"/>
        </w:rPr>
        <w:t>Interest Elections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Elections by the Borrower for Syndicated Borrowings</w:t>
      </w:r>
      <w:r>
        <w:rPr>
          <w:rFonts w:ascii="Times New Roman;serif" w:hAnsi="Times New Roman;serif"/>
          <w:b w:val="false"/>
          <w:sz w:val="24"/>
        </w:rPr>
        <w:t xml:space="preserve">. Subject to </w:t>
      </w:r>
      <w:r>
        <w:rPr>
          <w:rFonts w:ascii="Times New Roman;serif" w:hAnsi="Times New Roman;serif"/>
          <w:b w:val="false"/>
          <w:sz w:val="24"/>
          <w:u w:val="single"/>
        </w:rPr>
        <w:t>Section 2.03(d)</w:t>
      </w:r>
      <w:r>
        <w:rPr>
          <w:rFonts w:ascii="Times New Roman;serif" w:hAnsi="Times New Roman;serif"/>
          <w:b w:val="false"/>
          <w:sz w:val="24"/>
        </w:rPr>
        <w:t xml:space="preserve">, the Loans constituting each Syndicated Borrowing initially shall be of the Type specified in the applicable Borrowing Request and, in the case of a Term Benchmark Borrowing or RFR Borrowing, shall have the Interest Period specified in such Borrowing Request. Thereafter, the Borrower may elect to convert such Borrowing to a Borrowing of a different Type or to continue such Borrowing as a Borrowing of the same Type and, in the case of a Term Benchmark Borrowing or RFR Borrowing, may elect the Interest Period therefor, all as provided in this Section;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however</w:t>
      </w:r>
      <w:r>
        <w:rPr>
          <w:rFonts w:ascii="Times New Roman;serif" w:hAnsi="Times New Roman;serif"/>
          <w:b w:val="false"/>
          <w:sz w:val="24"/>
        </w:rPr>
        <w:t xml:space="preserve">, that (i) a Syndicated Borrowing of a Class may only be continued or converted into a Syndicated Borrowing of the same Class, (ii) a Syndicated Borrowing denominated in one Currency may not be continued as, or converted to, a Syndicated Borrowing in a different Currency, (iii) prior to the Extended Commitment Termination Date, no Term Benchmark Borrowing denominated in a Foreign Currency or RFR Borrowing may be continued if, after giving effect thereto, the aggregate Revolving Multicurrency Credit Exposures would exceed the aggregate Multicurrency Commitments, and (iv) a Term Benchmark Borrowing denominated in a Foreign Currency or RFR Borrowing may not be converted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Loans, which may not be converted or continued.</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Notice of Elections</w:t>
      </w:r>
      <w:r>
        <w:rPr>
          <w:rFonts w:ascii="Times New Roman;serif" w:hAnsi="Times New Roman;serif"/>
          <w:b w:val="false"/>
          <w:sz w:val="24"/>
        </w:rPr>
        <w:t xml:space="preserve">. To make an election pursuant to this Section, the Borrower shall notify the Administrative Agent of such election by telephone, delivery of a signed interest election request or email by the time that a Borrowing Request would be required under </w:t>
      </w:r>
      <w:r>
        <w:rPr>
          <w:rFonts w:ascii="Times New Roman;serif" w:hAnsi="Times New Roman;serif"/>
          <w:b w:val="false"/>
          <w:sz w:val="24"/>
          <w:u w:val="single"/>
        </w:rPr>
        <w:t>Section 2.03</w:t>
      </w:r>
      <w:r>
        <w:rPr/>
        <w:t xml:space="preserve"> </w:t>
      </w:r>
      <w:r>
        <w:rPr>
          <w:rFonts w:ascii="Times New Roman;serif" w:hAnsi="Times New Roman;serif"/>
          <w:b w:val="false"/>
          <w:sz w:val="24"/>
        </w:rPr>
        <w:t>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or electronic communication to the Administrative Agent of a written Interest Election Request in a form approved by the Administrative Agent and signed by the Borrower.</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Content of Interest Election Requests</w:t>
      </w:r>
      <w:r>
        <w:rPr>
          <w:rFonts w:ascii="Times New Roman;serif" w:hAnsi="Times New Roman;serif"/>
          <w:b w:val="false"/>
          <w:sz w:val="24"/>
        </w:rPr>
        <w:t xml:space="preserve">. Each telephonic and written Interest Election Request shall specify the following information in compliance with </w:t>
      </w:r>
      <w:r>
        <w:rPr>
          <w:rFonts w:ascii="Times New Roman;serif" w:hAnsi="Times New Roman;serif"/>
          <w:b w:val="false"/>
          <w:sz w:val="24"/>
          <w:u w:val="single"/>
        </w:rPr>
        <w:t>Section 2.02</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the Borrowing (including the Class of Commitment)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serif" w:hAnsi="Times New Roman;serif"/>
          <w:b w:val="false"/>
          <w:sz w:val="24"/>
          <w:u w:val="single"/>
        </w:rPr>
        <w:t>clauses (iii)</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(iv)</w:t>
      </w:r>
      <w:r>
        <w:rPr/>
        <w:t xml:space="preserve"> </w:t>
      </w:r>
      <w:r>
        <w:rPr>
          <w:rFonts w:ascii="Times New Roman;serif" w:hAnsi="Times New Roman;serif"/>
          <w:b w:val="false"/>
          <w:sz w:val="24"/>
        </w:rPr>
        <w:t>of this paragraph shall be specified for each resulting Borrowing);</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effective date of the election made pursuant to such Interest Election Request, which shall be a Business Day;</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whether, in the case of a Borrowing denominated in Dollars, the resulting Borrowing is to be an ABR Borrowing or a Term Benchmark Borrowing; and</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pPr>
      <w:r>
        <w:rPr>
          <w:rFonts w:ascii="Times New Roman;serif" w:hAnsi="Times New Roman;serif"/>
          <w:b w:val="false"/>
          <w:sz w:val="24"/>
        </w:rPr>
        <w:t xml:space="preserve">if the resulting Borrowing is a Term Benchmark Borrowing or RFR Borrowing, the Interest Period therefor after giving effect to such election, which shall be a period contemplated by the definition of the term “Interest Period” and permitted under </w:t>
      </w:r>
      <w:r>
        <w:rPr>
          <w:rFonts w:ascii="Times New Roman;serif" w:hAnsi="Times New Roman;serif"/>
          <w:b w:val="false"/>
          <w:sz w:val="24"/>
          <w:u w:val="single"/>
        </w:rPr>
        <w:t>Section 2.02(d)</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Notice by the Administrative Agent to the Lenders</w:t>
      </w:r>
      <w:r>
        <w:rPr>
          <w:rFonts w:ascii="Times New Roman;serif" w:hAnsi="Times New Roman;serif"/>
          <w:b w:val="false"/>
          <w:sz w:val="24"/>
        </w:rPr>
        <w:t>. Promptly following receipt of an Interest Election Request, the Administrative Agent shall advise each applicable Lender of the details thereof and of such Lender’s portion of each resulting Borrowing.</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Failure to Elect; Events of Default</w:t>
      </w:r>
      <w:r>
        <w:rPr>
          <w:rFonts w:ascii="Times New Roman;serif" w:hAnsi="Times New Roman;serif"/>
          <w:b w:val="false"/>
          <w:sz w:val="24"/>
        </w:rPr>
        <w:t xml:space="preserve">. If the Borrower fails to deliver a timely and complete Interest Election Request with respect to a Term Benchmark Borrowing or RFR Borrowing prior to the end of the Interest Period therefor, then, unless such Borrowing is repaid as provided herein, (i) if such Borrowing is denominated in Dollars, at the end of such Interest Period such Borrowing shall be converted to a Syndicated Term Benchmark Borrowing consistent with the existing Loan of the same Class having an Interest Period of one month, and (ii) if such Borrowing is denominated in a Foreign Currency, the Borrower shall be deemed to have selected an Interest Period of one month’s duration. Notwithstanding any contrary provision hereof (other than the last paragraph of Article VII),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or RFR Borrowing denominated in a Foreign Currency shall not have an Interest Period of more than one month’s duration.</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2.08.</w:t>
      </w:r>
    </w:p>
    <w:p>
      <w:pPr>
        <w:pStyle w:val="TextBody"/>
        <w:bidi w:val="0"/>
        <w:spacing w:before="0" w:after="240"/>
        <w:jc w:val="both"/>
        <w:rPr/>
      </w:pPr>
      <w:r>
        <w:rPr>
          <w:rFonts w:ascii="Times New Roman;serif" w:hAnsi="Times New Roman;serif"/>
          <w:b w:val="false"/>
          <w:sz w:val="24"/>
          <w:u w:val="single"/>
        </w:rPr>
        <w:t>Termination, Reduction or Increase of the Commitments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Scheduled Termination</w:t>
      </w:r>
      <w:r>
        <w:rPr>
          <w:rFonts w:ascii="Times New Roman;serif" w:hAnsi="Times New Roman;serif"/>
          <w:b w:val="false"/>
          <w:sz w:val="24"/>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Voluntary Termination or Reduction</w:t>
      </w:r>
      <w:r>
        <w:rPr>
          <w:rFonts w:ascii="Times New Roman;serif" w:hAnsi="Times New Roman;serif"/>
          <w:b w:val="false"/>
          <w:sz w:val="24"/>
        </w:rPr>
        <w:t xml:space="preserve">. The Borrower may at any time without premium or penalty terminate, or from time to time reduce, the Commitments of either Class of Commitment;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 each reduction of the Commitments of a Class shall be in an amount that is $10,000,000 (or, if less, the entire amount of the Commitments of such Class) or a larger multiple of $1,000,000 in excess thereof (or, if less, the entire amount of the Commitments of such Class) and (ii) the Borrower shall not terminate or reduce the Commitments of either Class of Commitment if, after giving effect to any concurrent prepayment of the Syndicated Loans of such Class in accordance with </w:t>
      </w:r>
      <w:r>
        <w:rPr>
          <w:rFonts w:ascii="Times New Roman;serif" w:hAnsi="Times New Roman;serif"/>
          <w:b w:val="false"/>
          <w:sz w:val="24"/>
          <w:u w:val="single"/>
        </w:rPr>
        <w:t>Section 2.10</w:t>
      </w:r>
      <w:r>
        <w:rPr>
          <w:rFonts w:ascii="Times New Roman;serif" w:hAnsi="Times New Roman;serif"/>
          <w:b w:val="false"/>
          <w:sz w:val="24"/>
        </w:rPr>
        <w:t xml:space="preserve">, the total Revolving Credit Exposures of such Class would exceed the total Commitments of such Class. Any such reduction of the Commitments below the principal amount of the Swingline Loans permitted under </w:t>
      </w:r>
      <w:r>
        <w:rPr>
          <w:rFonts w:ascii="Times New Roman;serif" w:hAnsi="Times New Roman;serif"/>
          <w:b w:val="false"/>
          <w:sz w:val="24"/>
          <w:u w:val="single"/>
        </w:rPr>
        <w:t>Section 2.04(a)(i)</w:t>
      </w:r>
      <w:r>
        <w:rPr/>
        <w:t xml:space="preserve"> </w:t>
      </w:r>
      <w:r>
        <w:rPr>
          <w:rFonts w:ascii="Times New Roman;serif" w:hAnsi="Times New Roman;serif"/>
          <w:b w:val="false"/>
          <w:sz w:val="24"/>
        </w:rPr>
        <w:t xml:space="preserve">and the Letters of Credit permitted under </w:t>
      </w:r>
      <w:r>
        <w:rPr>
          <w:rFonts w:ascii="Times New Roman;serif" w:hAnsi="Times New Roman;serif"/>
          <w:b w:val="false"/>
          <w:sz w:val="24"/>
          <w:u w:val="single"/>
        </w:rPr>
        <w:t>Section 2.05(c)(i)</w:t>
      </w:r>
      <w:r>
        <w:rPr/>
        <w:t xml:space="preserve"> </w:t>
      </w:r>
      <w:r>
        <w:rPr>
          <w:rFonts w:ascii="Times New Roman;serif" w:hAnsi="Times New Roman;serif"/>
          <w:b w:val="false"/>
          <w:sz w:val="24"/>
        </w:rPr>
        <w:t>shall result in a dollar-for-dollar reduction of such amounts as applicable.</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Notice of Voluntary Termination or Reduction</w:t>
      </w:r>
      <w:r>
        <w:rPr>
          <w:rFonts w:ascii="Times New Roman;serif" w:hAnsi="Times New Roman;serif"/>
          <w:b w:val="false"/>
          <w:sz w:val="24"/>
        </w:rPr>
        <w:t xml:space="preserve">. The Borrower shall notify the Administrative Agent of any election to terminate or reduce the Commitments under </w:t>
      </w:r>
      <w:r>
        <w:rPr>
          <w:rFonts w:ascii="Times New Roman;serif" w:hAnsi="Times New Roman;serif"/>
          <w:b w:val="false"/>
          <w:sz w:val="24"/>
          <w:u w:val="single"/>
        </w:rPr>
        <w:t>paragraph (b)</w:t>
      </w:r>
      <w:r>
        <w:rPr/>
        <w:t xml:space="preserve"> </w:t>
      </w:r>
      <w:r>
        <w:rPr>
          <w:rFonts w:ascii="Times New Roman;serif" w:hAnsi="Times New Roman;serif"/>
          <w:b w:val="false"/>
          <w:sz w:val="24"/>
        </w:rPr>
        <w:t xml:space="preserve">of this Section at least three (3)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serif" w:hAnsi="Times New Roman;serif"/>
          <w:b w:val="false"/>
          <w:sz w:val="24"/>
          <w:u w:val="single"/>
        </w:rPr>
        <w:t>provided</w:t>
      </w:r>
      <w:r>
        <w:rPr/>
        <w:t xml:space="preserve"> </w:t>
      </w:r>
      <w:r>
        <w:rPr>
          <w:rFonts w:ascii="Times New Roman;serif" w:hAnsi="Times New Roman;serif"/>
          <w:b w:val="false"/>
          <w:sz w:val="24"/>
        </w:rPr>
        <w:t>that a notice of termination of the Commitments of a Class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Effect of Termination or Reduction</w:t>
      </w:r>
      <w:r>
        <w:rPr>
          <w:rFonts w:ascii="Times New Roman;serif" w:hAnsi="Times New Roman;serif"/>
          <w:b w:val="false"/>
          <w:sz w:val="24"/>
        </w:rPr>
        <w:t xml:space="preserve">. Any termination or reduction of the Commitments of a Class of Commitments pursuant to </w:t>
      </w:r>
      <w:r>
        <w:rPr>
          <w:rFonts w:ascii="Times New Roman;serif" w:hAnsi="Times New Roman;serif"/>
          <w:b w:val="false"/>
          <w:sz w:val="24"/>
          <w:u w:val="single"/>
        </w:rPr>
        <w:t>clause (b)</w:t>
      </w:r>
      <w:r>
        <w:rPr/>
        <w:t xml:space="preserve"> </w:t>
      </w:r>
      <w:r>
        <w:rPr>
          <w:rFonts w:ascii="Times New Roman;serif" w:hAnsi="Times New Roman;serif"/>
          <w:b w:val="false"/>
          <w:sz w:val="24"/>
        </w:rPr>
        <w:t xml:space="preserve">shall be permanent. Each reduction of the Commitments of a Class of Commitments pursuant to </w:t>
      </w:r>
      <w:r>
        <w:rPr>
          <w:rFonts w:ascii="Times New Roman;serif" w:hAnsi="Times New Roman;serif"/>
          <w:b w:val="false"/>
          <w:sz w:val="24"/>
          <w:u w:val="single"/>
        </w:rPr>
        <w:t>clause (b)</w:t>
      </w:r>
      <w:r>
        <w:rPr/>
        <w:t xml:space="preserve"> </w:t>
      </w:r>
      <w:r>
        <w:rPr>
          <w:rFonts w:ascii="Times New Roman;serif" w:hAnsi="Times New Roman;serif"/>
          <w:b w:val="false"/>
          <w:sz w:val="24"/>
        </w:rPr>
        <w:t>shall be made ratably among the Lenders of such Class in accordance with their respective Commitments.</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Increase of the Commitments.</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u w:val="single"/>
        </w:rPr>
        <w:t>Requests for Increase by Borrower</w:t>
      </w:r>
      <w:r>
        <w:rPr>
          <w:rFonts w:ascii="Times New Roman;serif" w:hAnsi="Times New Roman;serif"/>
          <w:b w:val="false"/>
          <w:sz w:val="24"/>
        </w:rPr>
        <w:t xml:space="preserve">. The Borrower may, at any time, request that the Commitments hereunder of a Class of Commitments be increased (each such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proposed increase being a “</w:t>
      </w:r>
      <w:r>
        <w:rPr>
          <w:rFonts w:ascii="Times New Roman;serif" w:hAnsi="Times New Roman;serif"/>
          <w:b w:val="false"/>
          <w:sz w:val="24"/>
          <w:u w:val="single"/>
        </w:rPr>
        <w:t>Commitment Increase</w:t>
      </w:r>
      <w:r>
        <w:rPr/>
        <w:t>”</w:t>
      </w:r>
      <w:r>
        <w:rPr>
          <w:rFonts w:ascii="Times New Roman;serif" w:hAnsi="Times New Roman;serif"/>
          <w:b w:val="false"/>
          <w:sz w:val="24"/>
        </w:rPr>
        <w:t>) (</w:t>
      </w:r>
      <w:r>
        <w:rPr>
          <w:rFonts w:ascii="Times New Roman;serif" w:hAnsi="Times New Roman;serif"/>
          <w:b w:val="false"/>
          <w:sz w:val="24"/>
          <w:u w:val="single"/>
        </w:rPr>
        <w:t>provided</w:t>
      </w:r>
      <w:r>
        <w:rPr/>
        <w:t xml:space="preserve"> </w:t>
      </w:r>
      <w:r>
        <w:rPr>
          <w:rFonts w:ascii="Times New Roman;serif" w:hAnsi="Times New Roman;serif"/>
          <w:b w:val="false"/>
          <w:sz w:val="24"/>
        </w:rPr>
        <w:t>that in no event shall a Class of Non-Extended Loans be increased hereunder), upon notice to the Administrative Agent (who shall promptly notify the Lenders), which notice shall specify each existing Lender (each an “</w:t>
      </w:r>
      <w:r>
        <w:rPr>
          <w:rFonts w:ascii="Times New Roman;serif" w:hAnsi="Times New Roman;serif"/>
          <w:b w:val="false"/>
          <w:sz w:val="24"/>
          <w:u w:val="single"/>
        </w:rPr>
        <w:t>Increasing Lender</w:t>
      </w:r>
      <w:r>
        <w:rPr/>
        <w:t>”</w:t>
      </w:r>
      <w:r>
        <w:rPr>
          <w:rFonts w:ascii="Times New Roman;serif" w:hAnsi="Times New Roman;serif"/>
          <w:b w:val="false"/>
          <w:sz w:val="24"/>
        </w:rPr>
        <w:t>) and/or each additional lender (each an “</w:t>
      </w:r>
      <w:r>
        <w:rPr>
          <w:rFonts w:ascii="Times New Roman;serif" w:hAnsi="Times New Roman;serif"/>
          <w:b w:val="false"/>
          <w:sz w:val="24"/>
          <w:u w:val="single"/>
        </w:rPr>
        <w:t>Assuming Lender</w:t>
      </w:r>
      <w:r>
        <w:rPr/>
        <w:t>”</w:t>
      </w:r>
      <w:r>
        <w:rPr>
          <w:rFonts w:ascii="Times New Roman;serif" w:hAnsi="Times New Roman;serif"/>
          <w:b w:val="false"/>
          <w:sz w:val="24"/>
        </w:rPr>
        <w:t>) that shall have agreed to an additional Commitment and the date on which such increase is to be effective (the “</w:t>
      </w:r>
      <w:r>
        <w:rPr>
          <w:rFonts w:ascii="Times New Roman;serif" w:hAnsi="Times New Roman;serif"/>
          <w:b w:val="false"/>
          <w:sz w:val="24"/>
          <w:u w:val="single"/>
        </w:rPr>
        <w:t>Commitment Increase Date</w:t>
      </w:r>
      <w:r>
        <w:rPr/>
        <w:t>”</w:t>
      </w:r>
      <w:r>
        <w:rPr>
          <w:rFonts w:ascii="Times New Roman;serif" w:hAnsi="Times New Roman;serif"/>
          <w:b w:val="false"/>
          <w:sz w:val="24"/>
        </w:rPr>
        <w:t xml:space="preserve">), which shall be a Business Day at least three (3) Business Days (or such shorter period as the Administrative Agent may reasonably agree) after delivery of such notice and at least 30 days prior to the Extended Commitment Termination Date; </w:t>
      </w:r>
      <w:r>
        <w:rPr>
          <w:rFonts w:ascii="Times New Roman;serif" w:hAnsi="Times New Roman;serif"/>
          <w:b w:val="false"/>
          <w:sz w:val="24"/>
          <w:u w:val="single"/>
        </w:rPr>
        <w:t>provided</w:t>
      </w:r>
      <w:r>
        <w:rPr/>
        <w:t xml:space="preserve"> </w:t>
      </w:r>
      <w:r>
        <w:rPr>
          <w:rFonts w:ascii="Times New Roman;serif" w:hAnsi="Times New Roman;serif"/>
          <w:b w:val="false"/>
          <w:sz w:val="24"/>
        </w:rPr>
        <w:t>that: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immediately after giving effect to such Commitment Increase (including, if applicable, the substantially concurrent reduction of the Commitments of a Non-Extending Lender in accordance with </w:t>
      </w:r>
      <w:r>
        <w:rPr>
          <w:rFonts w:ascii="Times New Roman;serif" w:hAnsi="Times New Roman;serif"/>
          <w:b w:val="false"/>
          <w:sz w:val="24"/>
          <w:u w:val="single"/>
        </w:rPr>
        <w:t>Section 2.08(f)</w:t>
      </w:r>
      <w:r>
        <w:rPr>
          <w:rFonts w:ascii="Times New Roman;serif" w:hAnsi="Times New Roman;serif"/>
          <w:b w:val="false"/>
          <w:sz w:val="24"/>
        </w:rPr>
        <w:t>), the total Commitments of all of the Lenders hereunder shall not exceed $2,000,000,000;</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Assuming Lender shall be consented to by the Administrative Agent and each Issuing Bank (such consent not to be unreasonably withheld or delayed);</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 Default shall have occurred and be continuing on such Commitment Increase Date or shall result from the proposed Commitment Increase; and</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u w:val="single"/>
        </w:rPr>
        <w:t>Effectiveness of Commitment Increase by Borrower</w:t>
      </w:r>
      <w:r>
        <w:rPr>
          <w:rFonts w:ascii="Times New Roman;serif" w:hAnsi="Times New Roman;serif"/>
          <w:b w:val="false"/>
          <w:sz w:val="24"/>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Times New Roman;serif" w:hAnsi="Times New Roman;serif"/>
          <w:b w:val="false"/>
          <w:sz w:val="24"/>
          <w:u w:val="single"/>
        </w:rPr>
        <w:t>provided</w:t>
      </w:r>
      <w:r>
        <w:rPr/>
        <w:t xml:space="preserve"> </w:t>
      </w:r>
      <w:r>
        <w:rPr>
          <w:rFonts w:ascii="Times New Roman;serif" w:hAnsi="Times New Roman;serif"/>
          <w:b w:val="false"/>
          <w:sz w:val="24"/>
        </w:rPr>
        <w:t>that:</w:t>
      </w:r>
    </w:p>
    <w:p>
      <w:pPr>
        <w:pStyle w:val="TextBody"/>
        <w:bidi w:val="0"/>
        <w:spacing w:before="0" w:after="240"/>
        <w:jc w:val="both"/>
        <w:rPr>
          <w:rFonts w:ascii="Times New Roman" w:hAnsi="Times New Roman"/>
          <w:sz w:val="20"/>
        </w:rPr>
      </w:pPr>
      <w:r>
        <w:rPr>
          <w:rFonts w:ascii="Times New Roman;serif" w:hAnsi="Times New Roman;serif"/>
          <w:b w:val="false"/>
          <w:sz w:val="24"/>
        </w:rPr>
        <w:t>(x) the Administrative Agent shall have received on or prior to 11:00 a.m., New York City time, on such Commitment Increase Date (or on or prior to a time on an earlier date specified by the Administrative Agent) a certificate of a duly authorized officer of the Borrower stating that each of the applicable conditions to</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such Commitment Increase set forth in the foregoing </w:t>
      </w:r>
      <w:r>
        <w:rPr>
          <w:rFonts w:ascii="Times New Roman;serif" w:hAnsi="Times New Roman;serif"/>
          <w:b w:val="false"/>
          <w:sz w:val="24"/>
          <w:u w:val="single"/>
        </w:rPr>
        <w:t>paragraph (i)</w:t>
      </w:r>
      <w:r>
        <w:rPr>
          <w:rFonts w:ascii="Times New Roman" w:hAnsi="Times New Roman"/>
          <w:sz w:val="20"/>
        </w:rPr>
        <w:t xml:space="preserve"> </w:t>
      </w:r>
      <w:r>
        <w:rPr>
          <w:rFonts w:ascii="Times New Roman;serif" w:hAnsi="Times New Roman;serif"/>
          <w:b w:val="false"/>
          <w:sz w:val="24"/>
        </w:rPr>
        <w:t>has been satisfied; and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(y) 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pPr>
      <w:r>
        <w:rPr>
          <w:rFonts w:ascii="Times New Roman;serif" w:hAnsi="Times New Roman;serif"/>
          <w:b w:val="false"/>
          <w:sz w:val="24"/>
          <w:u w:val="single"/>
        </w:rPr>
        <w:t>Recordation into Register</w:t>
      </w:r>
      <w:r>
        <w:rPr>
          <w:rFonts w:ascii="Times New Roman;serif" w:hAnsi="Times New Roman;serif"/>
          <w:b w:val="false"/>
          <w:sz w:val="24"/>
        </w:rPr>
        <w:t xml:space="preserve">. Upon its receipt of an agreement referred to in </w:t>
      </w:r>
      <w:r>
        <w:rPr>
          <w:rFonts w:ascii="Times New Roman;serif" w:hAnsi="Times New Roman;serif"/>
          <w:b w:val="false"/>
          <w:sz w:val="24"/>
          <w:u w:val="single"/>
        </w:rPr>
        <w:t>clause (ii)(y)</w:t>
      </w:r>
      <w:r>
        <w:rPr/>
        <w:t xml:space="preserve"> </w:t>
      </w:r>
      <w:r>
        <w:rPr>
          <w:rFonts w:ascii="Times New Roman;serif" w:hAnsi="Times New Roman;serif"/>
          <w:b w:val="false"/>
          <w:sz w:val="24"/>
        </w:rPr>
        <w:t xml:space="preserve">above executed by an Assuming Lender or any Increasing Lender, together with the certificate referred to in </w:t>
      </w:r>
      <w:r>
        <w:rPr>
          <w:rFonts w:ascii="Times New Roman;serif" w:hAnsi="Times New Roman;serif"/>
          <w:b w:val="false"/>
          <w:sz w:val="24"/>
          <w:u w:val="single"/>
        </w:rPr>
        <w:t>clause (ii)(x)</w:t>
      </w:r>
      <w:r>
        <w:rPr/>
        <w:t xml:space="preserve"> </w:t>
      </w:r>
      <w:r>
        <w:rPr>
          <w:rFonts w:ascii="Times New Roman;serif" w:hAnsi="Times New Roman;serif"/>
          <w:b w:val="false"/>
          <w:sz w:val="24"/>
        </w:rPr>
        <w:t>above, the Administrative Agent shall, if such agreement has been completed, (x) accept such agreement, (y) record the information contained therein in the Register and (z) give prompt notice thereof to the Borrower.</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pPr>
      <w:r>
        <w:rPr>
          <w:rFonts w:ascii="Times New Roman;serif" w:hAnsi="Times New Roman;serif"/>
          <w:b w:val="false"/>
          <w:sz w:val="24"/>
          <w:u w:val="single"/>
        </w:rPr>
        <w:t>Adjustments of Borrowings upon Effectiveness of Increase</w:t>
      </w:r>
      <w:r>
        <w:rPr>
          <w:rFonts w:ascii="Times New Roman;serif" w:hAnsi="Times New Roman;serif"/>
          <w:b w:val="false"/>
          <w:sz w:val="24"/>
        </w:rPr>
        <w:t xml:space="preserve">. On the Commitment Increase Date, the Borrower shall (A) prepay the outstanding Loans (if any) of the affected Class of Commitments in full, (B) simultaneously borrow new Loans of such Class hereunder in an amount equal to such prepayment (which may also include the amount of any fees, expenses or amounts due by the Borrower on or prior to the Commitment Increase Date);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with respect to </w:t>
      </w:r>
      <w:r>
        <w:rPr>
          <w:rFonts w:ascii="Times New Roman;serif" w:hAnsi="Times New Roman;serif"/>
          <w:b w:val="false"/>
          <w:sz w:val="24"/>
          <w:u w:val="single"/>
        </w:rPr>
        <w:t>subclauses (A)</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(B)</w:t>
      </w:r>
      <w:r>
        <w:rPr>
          <w:rFonts w:ascii="Times New Roman;serif" w:hAnsi="Times New Roman;serif"/>
          <w:b w:val="false"/>
          <w:sz w:val="24"/>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Times New Roman;serif" w:hAnsi="Times New Roman;serif"/>
          <w:b w:val="false"/>
          <w:sz w:val="24"/>
          <w:u w:val="single"/>
        </w:rPr>
        <w:t>Section 2.15</w:t>
      </w:r>
      <w:r>
        <w:rPr/>
        <w:t xml:space="preserve"> </w:t>
      </w:r>
      <w:r>
        <w:rPr>
          <w:rFonts w:ascii="Times New Roman;serif" w:hAnsi="Times New Roman;serif"/>
          <w:b w:val="false"/>
          <w:sz w:val="24"/>
        </w:rPr>
        <w:t>as a result of any such prepayment. Concurrently therewith, the Lenders of such Class shall be deemed to have adjusted their participation interests in any outstanding Swingline Loans and Letters of Credit of such Class so that such interests are held ratably in accordance with their commitments of such Class as so increased.</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u w:val="single"/>
        </w:rPr>
        <w:t>Reduction of Non-Extending Lenders’ Commitment</w:t>
      </w:r>
      <w:r>
        <w:rPr>
          <w:rFonts w:ascii="Times New Roman;serif" w:hAnsi="Times New Roman;serif"/>
          <w:b w:val="false"/>
          <w:sz w:val="24"/>
        </w:rPr>
        <w:t xml:space="preserve">. Notwithstanding anything to the contrary herein (including </w:t>
      </w:r>
      <w:r>
        <w:rPr>
          <w:rFonts w:ascii="Times New Roman;serif" w:hAnsi="Times New Roman;serif"/>
          <w:b w:val="false"/>
          <w:sz w:val="24"/>
          <w:u w:val="single"/>
        </w:rPr>
        <w:t>Section 2.08(d)</w:t>
      </w:r>
      <w:r>
        <w:rPr>
          <w:rFonts w:ascii="Times New Roman;serif" w:hAnsi="Times New Roman;serif"/>
          <w:b w:val="false"/>
          <w:sz w:val="24"/>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The Borrower may at any time terminate, or from time to time reduce, the Commitment of any Non-Extending Lender without reducing the Commitments of any other Lender of the same Class of Commitments as such Non-Extending Lender; </w:t>
      </w:r>
      <w:r>
        <w:rPr>
          <w:rFonts w:ascii="Times New Roman;serif" w:hAnsi="Times New Roman;serif"/>
          <w:b w:val="false"/>
          <w:sz w:val="24"/>
          <w:u w:val="single"/>
        </w:rPr>
        <w:t>provided</w:t>
      </w:r>
      <w:r>
        <w:rPr/>
        <w:t xml:space="preserve"> </w:t>
      </w:r>
      <w:r>
        <w:rPr>
          <w:rFonts w:ascii="Times New Roman;serif" w:hAnsi="Times New Roman;serif"/>
          <w:b w:val="false"/>
          <w:sz w:val="24"/>
        </w:rPr>
        <w:t>that each reduction of the Commitment of a Non-Extending Lender hereunder shall be in an amount that is $10,000,000 or a larger multiple of $5,000,000 in excess thereof (or, in each case, the entire Commitment of such Non-Extending Lender).</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 xml:space="preserve">The Borrower shall notify the Administrative Agent of any election to terminate or reduce the Commitment of any Non-Extending Lender under this </w:t>
      </w:r>
      <w:r>
        <w:rPr>
          <w:rFonts w:ascii="Times New Roman;serif" w:hAnsi="Times New Roman;serif"/>
          <w:b w:val="false"/>
          <w:sz w:val="24"/>
          <w:u w:val="single"/>
        </w:rPr>
        <w:t>clause (f)</w:t>
      </w:r>
      <w:r>
        <w:rPr/>
        <w:t xml:space="preserve"> </w:t>
      </w:r>
      <w:r>
        <w:rPr>
          <w:rFonts w:ascii="Times New Roman;serif" w:hAnsi="Times New Roman;serif"/>
          <w:b w:val="false"/>
          <w:sz w:val="24"/>
        </w:rPr>
        <w:t xml:space="preserve">at least three (3)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Times New Roman;serif" w:hAnsi="Times New Roman;serif"/>
          <w:b w:val="false"/>
          <w:sz w:val="24"/>
          <w:u w:val="single"/>
        </w:rPr>
        <w:t>clause (f)</w:t>
      </w:r>
      <w:r>
        <w:rPr/>
        <w:t xml:space="preserve"> </w:t>
      </w:r>
      <w:r>
        <w:rPr>
          <w:rFonts w:ascii="Times New Roman;serif" w:hAnsi="Times New Roman;serif"/>
          <w:b w:val="false"/>
          <w:sz w:val="24"/>
        </w:rPr>
        <w:t>shall be irrevocable.</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pPr>
      <w:r>
        <w:rPr>
          <w:rFonts w:ascii="Times New Roman;serif" w:hAnsi="Times New Roman;serif"/>
          <w:b w:val="false"/>
          <w:sz w:val="24"/>
        </w:rPr>
        <w:t xml:space="preserve">Any termination or reduction of the Commitment of any Non-Extending Lender pursuant to this </w:t>
      </w:r>
      <w:r>
        <w:rPr>
          <w:rFonts w:ascii="Times New Roman;serif" w:hAnsi="Times New Roman;serif"/>
          <w:b w:val="false"/>
          <w:sz w:val="24"/>
          <w:u w:val="single"/>
        </w:rPr>
        <w:t>clause (f)</w:t>
      </w:r>
      <w:r>
        <w:rPr/>
        <w:t xml:space="preserve"> </w:t>
      </w:r>
      <w:r>
        <w:rPr>
          <w:rFonts w:ascii="Times New Roman;serif" w:hAnsi="Times New Roman;serif"/>
          <w:b w:val="false"/>
          <w:sz w:val="24"/>
        </w:rPr>
        <w:t xml:space="preserve">shall be permanent and shall be made concurrently with all required reallocation prepayments and cash collateralizations required under </w:t>
      </w:r>
      <w:r>
        <w:rPr>
          <w:rFonts w:ascii="Times New Roman;serif" w:hAnsi="Times New Roman;serif"/>
          <w:b w:val="false"/>
          <w:sz w:val="24"/>
          <w:u w:val="single"/>
        </w:rPr>
        <w:t>Section 2.20</w:t>
      </w:r>
      <w:r>
        <w:rPr>
          <w:rFonts w:ascii="Times New Roman;serif" w:hAnsi="Times New Roman;serif"/>
          <w:b w:val="false"/>
          <w:sz w:val="24"/>
        </w:rPr>
        <w: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2.09.</w:t>
      </w:r>
    </w:p>
    <w:p>
      <w:pPr>
        <w:pStyle w:val="TextBody"/>
        <w:bidi w:val="0"/>
        <w:spacing w:before="0" w:after="240"/>
        <w:jc w:val="both"/>
        <w:rPr/>
      </w:pPr>
      <w:r>
        <w:rPr>
          <w:rFonts w:ascii="Times New Roman;serif" w:hAnsi="Times New Roman;serif"/>
          <w:b w:val="false"/>
          <w:sz w:val="24"/>
          <w:u w:val="single"/>
        </w:rPr>
        <w:t>Repayment of Loans; Evidence of Debt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Repayment</w:t>
      </w:r>
      <w:r>
        <w:rPr>
          <w:rFonts w:ascii="Times New Roman;serif" w:hAnsi="Times New Roman;serif"/>
          <w:b w:val="false"/>
          <w:sz w:val="24"/>
        </w:rPr>
        <w:t>. The Borrower hereby unconditionally promises to pay the Loans of each Class of Final Maturity Date or Commitments, as applicable, as follows:</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the Administrative Agent for account of the Lenders of such Class of Final Maturity Date the outstanding principal amount of the Syndicated Loans of the Lenders of such Class of Final Maturity Date on the applicable Final Maturity Date; and</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 xml:space="preserve">to the applicable Swingline Lender the then unpaid principal amount of each Swingline Loan of each Class of Commitment denominated in Dollars made by such Swingline Lender, on the earlier of the Extended Commitment Termination Date and the first date after such Swingline Loan is made that is the 15th or last day of a calendar month and is at least ten (10) Business Days after such Swingline Loan is made; </w:t>
      </w:r>
      <w:r>
        <w:rPr>
          <w:rFonts w:ascii="Times New Roman;serif" w:hAnsi="Times New Roman;serif"/>
          <w:b w:val="false"/>
          <w:sz w:val="24"/>
          <w:u w:val="single"/>
        </w:rPr>
        <w:t>provided</w:t>
      </w:r>
      <w:r>
        <w:rPr/>
        <w:t xml:space="preserve"> </w:t>
      </w:r>
      <w:r>
        <w:rPr>
          <w:rFonts w:ascii="Times New Roman;serif" w:hAnsi="Times New Roman;serif"/>
          <w:b w:val="false"/>
          <w:sz w:val="24"/>
        </w:rPr>
        <w:t>that on each date that a Syndicated Borrowing of such Class of Commitment is made, the Borrower shall repay all Swingline Loans of such Class of Commitment then outstanding.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Manner of Payment</w:t>
      </w:r>
      <w:r>
        <w:rPr>
          <w:rFonts w:ascii="Times New Roman;serif" w:hAnsi="Times New Roman;serif"/>
          <w:b w:val="false"/>
          <w:sz w:val="24"/>
        </w:rPr>
        <w:t xml:space="preserve">. Prior to any repayment or prepayment of any Borrowings to any Lenders of any Class of Commitment hereunder, the Borrower shall select the Borrowing or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Borrowings of such Class to be paid and shall notify the Administrative Agent by telephone (confirmed by telecopy or electronic communication) of such selection not later than the time set forth in </w:t>
      </w:r>
      <w:r>
        <w:rPr>
          <w:rFonts w:ascii="Times New Roman;serif" w:hAnsi="Times New Roman;serif"/>
          <w:b w:val="false"/>
          <w:sz w:val="24"/>
          <w:u w:val="single"/>
        </w:rPr>
        <w:t>Section 2.10(e)</w:t>
      </w:r>
      <w:r>
        <w:rPr/>
        <w:t xml:space="preserve"> </w:t>
      </w:r>
      <w:r>
        <w:rPr>
          <w:rFonts w:ascii="Times New Roman;serif" w:hAnsi="Times New Roman;serif"/>
          <w:b w:val="false"/>
          <w:sz w:val="24"/>
        </w:rPr>
        <w:t xml:space="preserve">prior to the scheduled date of such repayment; </w:t>
      </w:r>
      <w:r>
        <w:rPr>
          <w:rFonts w:ascii="Times New Roman;serif" w:hAnsi="Times New Roman;serif"/>
          <w:b w:val="false"/>
          <w:sz w:val="24"/>
          <w:u w:val="single"/>
        </w:rPr>
        <w:t>provided</w:t>
      </w:r>
      <w:r>
        <w:rPr/>
        <w:t xml:space="preserve"> </w:t>
      </w:r>
      <w:r>
        <w:rPr>
          <w:rFonts w:ascii="Times New Roman;serif" w:hAnsi="Times New Roman;serif"/>
          <w:b w:val="false"/>
          <w:sz w:val="24"/>
        </w:rPr>
        <w:t>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Maintenance of Records by Lenders</w:t>
      </w:r>
      <w:r>
        <w:rPr>
          <w:rFonts w:ascii="Times New Roman;serif" w:hAnsi="Times New Roman;serif"/>
          <w:b w:val="false"/>
          <w:sz w:val="24"/>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Maintenance of Records by the Administrative Agent</w:t>
      </w:r>
      <w:r>
        <w:rPr>
          <w:rFonts w:ascii="Times New Roman;serif" w:hAnsi="Times New Roman;serif"/>
          <w:b w:val="false"/>
          <w:sz w:val="24"/>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Effect of Entries</w:t>
      </w:r>
      <w:r>
        <w:rPr>
          <w:rFonts w:ascii="Times New Roman;serif" w:hAnsi="Times New Roman;serif"/>
          <w:b w:val="false"/>
          <w:sz w:val="24"/>
        </w:rPr>
        <w:t xml:space="preserve">. The entries made in the records maintained pursuant to </w:t>
      </w:r>
      <w:r>
        <w:rPr>
          <w:rFonts w:ascii="Times New Roman;serif" w:hAnsi="Times New Roman;serif"/>
          <w:b w:val="false"/>
          <w:sz w:val="24"/>
          <w:u w:val="single"/>
        </w:rPr>
        <w:t>paragraph (c)</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(d)</w:t>
      </w:r>
      <w:r>
        <w:rPr/>
        <w:t xml:space="preserve"> </w:t>
      </w:r>
      <w:r>
        <w:rPr>
          <w:rFonts w:ascii="Times New Roman;serif" w:hAnsi="Times New Roman;serif"/>
          <w:b w:val="false"/>
          <w:sz w:val="24"/>
        </w:rPr>
        <w:t xml:space="preserve">of this Section shall be </w:t>
      </w:r>
      <w:r>
        <w:rPr>
          <w:rFonts w:ascii="Times New Roman;serif" w:hAnsi="Times New Roman;serif"/>
          <w:b w:val="false"/>
          <w:sz w:val="24"/>
          <w:u w:val="single"/>
        </w:rPr>
        <w:t>prima</w:t>
      </w:r>
      <w:r>
        <w:rPr/>
        <w:t xml:space="preserve"> </w:t>
      </w:r>
      <w:r>
        <w:rPr>
          <w:rFonts w:ascii="Times New Roman;serif" w:hAnsi="Times New Roman;serif"/>
          <w:b w:val="false"/>
          <w:sz w:val="24"/>
          <w:u w:val="single"/>
        </w:rPr>
        <w:t>facie</w:t>
      </w:r>
      <w:r>
        <w:rPr/>
        <w:t xml:space="preserve"> </w:t>
      </w:r>
      <w:r>
        <w:rPr>
          <w:rFonts w:ascii="Times New Roman;serif" w:hAnsi="Times New Roman;serif"/>
          <w:b w:val="false"/>
          <w:sz w:val="24"/>
        </w:rPr>
        <w:t xml:space="preserve">evidence, absent obvious error, of the existence and amounts of the obligations recorded therein; </w:t>
      </w:r>
      <w:r>
        <w:rPr>
          <w:rFonts w:ascii="Times New Roman;serif" w:hAnsi="Times New Roman;serif"/>
          <w:b w:val="false"/>
          <w:sz w:val="24"/>
          <w:u w:val="single"/>
        </w:rPr>
        <w:t>provided</w:t>
      </w:r>
      <w:r>
        <w:rPr/>
        <w:t xml:space="preserve"> </w:t>
      </w:r>
      <w:r>
        <w:rPr>
          <w:rFonts w:ascii="Times New Roman;serif" w:hAnsi="Times New Roman;serif"/>
          <w:b w:val="false"/>
          <w:sz w:val="24"/>
        </w:rPr>
        <w:t>that the failure of any Lender or the Administrative Agent to maintain such records or any error therein shall not in any manner affect the obligation of the Borrower to repay the Loans in accordance with the terms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u w:val="single"/>
        </w:rPr>
        <w:t>Promissory Notes</w:t>
      </w:r>
      <w:r>
        <w:rPr>
          <w:rFonts w:ascii="Times New Roman;serif" w:hAnsi="Times New Roman;serif"/>
          <w:b w:val="false"/>
          <w:sz w:val="24"/>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reasonably approved by the Administrative Agent. Thereafter, the Loans evidenced by such promissory note and interest thereon shall at all times (including after assignment pursuant to </w:t>
      </w:r>
      <w:r>
        <w:rPr>
          <w:rFonts w:ascii="Times New Roman;serif" w:hAnsi="Times New Roman;serif"/>
          <w:b w:val="false"/>
          <w:sz w:val="24"/>
          <w:u w:val="single"/>
        </w:rPr>
        <w:t>Section 9.04</w:t>
      </w:r>
      <w:r>
        <w:rPr>
          <w:rFonts w:ascii="Times New Roman;serif" w:hAnsi="Times New Roman;serif"/>
          <w:b w:val="false"/>
          <w:sz w:val="24"/>
        </w:rPr>
        <w:t>) be represented by one or more promissory notes in such form payable to the payee named therein (or, if such promissory note is a registered note, to such payee and its registered assigns).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2.10.</w:t>
      </w:r>
    </w:p>
    <w:p>
      <w:pPr>
        <w:pStyle w:val="TextBody"/>
        <w:bidi w:val="0"/>
        <w:spacing w:before="0" w:after="240"/>
        <w:jc w:val="both"/>
        <w:rPr/>
      </w:pPr>
      <w:r>
        <w:rPr>
          <w:rFonts w:ascii="Times New Roman;serif" w:hAnsi="Times New Roman;serif"/>
          <w:b w:val="false"/>
          <w:sz w:val="24"/>
          <w:u w:val="single"/>
        </w:rPr>
        <w:t>Prepayment of Loans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Optional Prepayments</w:t>
      </w:r>
      <w:r>
        <w:rPr>
          <w:rFonts w:ascii="Times New Roman;serif" w:hAnsi="Times New Roman;serif"/>
          <w:b w:val="false"/>
          <w:sz w:val="24"/>
        </w:rPr>
        <w:t xml:space="preserve">. The Borrower shall have the right at any time and from time to time to prepay any Borrowing in whole or in part, without premium or penalty except for payments under </w:t>
      </w:r>
      <w:r>
        <w:rPr>
          <w:rFonts w:ascii="Times New Roman;serif" w:hAnsi="Times New Roman;serif"/>
          <w:b w:val="false"/>
          <w:sz w:val="24"/>
          <w:u w:val="single"/>
        </w:rPr>
        <w:t>Section 2.15</w:t>
      </w:r>
      <w:r>
        <w:rPr>
          <w:rFonts w:ascii="Times New Roman;serif" w:hAnsi="Times New Roman;serif"/>
          <w:b w:val="false"/>
          <w:sz w:val="24"/>
        </w:rPr>
        <w:t xml:space="preserve">, subject to the requirements of this Section. Any prepayment of a Borrowing made in accordance with this </w:t>
      </w:r>
      <w:r>
        <w:rPr>
          <w:rFonts w:ascii="Times New Roman;serif" w:hAnsi="Times New Roman;serif"/>
          <w:b w:val="false"/>
          <w:sz w:val="24"/>
          <w:u w:val="single"/>
        </w:rPr>
        <w:t>clause (a)</w:t>
      </w:r>
      <w:r>
        <w:rPr/>
        <w:t xml:space="preserve"> </w:t>
      </w:r>
      <w:r>
        <w:rPr>
          <w:rFonts w:ascii="Times New Roman;serif" w:hAnsi="Times New Roman;serif"/>
          <w:b w:val="false"/>
          <w:sz w:val="24"/>
        </w:rPr>
        <w:t xml:space="preserve">shall be applied ratably among the Lenders of a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Class of Commitment unless such prepayment is made in connection with the reduction of Commitments in accordance with </w:t>
      </w:r>
      <w:r>
        <w:rPr>
          <w:rFonts w:ascii="Times New Roman;serif" w:hAnsi="Times New Roman;serif"/>
          <w:b w:val="false"/>
          <w:sz w:val="24"/>
          <w:u w:val="single"/>
        </w:rPr>
        <w:t>Section 2.08(b)</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(f)</w:t>
      </w:r>
      <w:r>
        <w:rPr/>
        <w:t xml:space="preserve"> </w:t>
      </w:r>
      <w:r>
        <w:rPr>
          <w:rFonts w:ascii="Times New Roman;serif" w:hAnsi="Times New Roman;serif"/>
          <w:b w:val="false"/>
          <w:sz w:val="24"/>
        </w:rPr>
        <w:t xml:space="preserve">in which case such prepayment shall be applied in accordance with </w:t>
      </w:r>
      <w:r>
        <w:rPr>
          <w:rFonts w:ascii="Times New Roman;serif" w:hAnsi="Times New Roman;serif"/>
          <w:b w:val="false"/>
          <w:sz w:val="24"/>
          <w:u w:val="single"/>
        </w:rPr>
        <w:t>Section 2.08(d)</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(f)</w:t>
      </w:r>
      <w:r>
        <w:rPr>
          <w:rFonts w:ascii="Times New Roman;serif" w:hAnsi="Times New Roman;serif"/>
          <w:b w:val="false"/>
          <w:sz w:val="24"/>
        </w:rPr>
        <w:t>, as applicable.</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Mandatory Prepayments due to Changes in Exchange Rates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u w:val="single"/>
        </w:rPr>
        <w:t>Determination of Amount Outstanding</w:t>
      </w:r>
      <w:r>
        <w:rPr>
          <w:rFonts w:ascii="Times New Roman;serif" w:hAnsi="Times New Roman;serif"/>
          <w:b w:val="false"/>
          <w:sz w:val="24"/>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u w:val="single"/>
        </w:rPr>
        <w:t>Prepayment</w:t>
      </w:r>
      <w:r>
        <w:rPr>
          <w:rFonts w:ascii="Times New Roman;serif" w:hAnsi="Times New Roman;serif"/>
          <w:b w:val="false"/>
          <w:sz w:val="24"/>
        </w:rPr>
        <w:t xml:space="preserve">. If on the date of such determination the aggregate Revolving Multicurrency Credit Exposure </w:t>
      </w:r>
      <w:r>
        <w:rPr>
          <w:rFonts w:ascii="Times New Roman;serif" w:hAnsi="Times New Roman;serif"/>
          <w:b w:val="false"/>
          <w:sz w:val="24"/>
          <w:u w:val="single"/>
        </w:rPr>
        <w:t>minus</w:t>
      </w:r>
      <w:r>
        <w:rPr/>
        <w:t xml:space="preserve"> </w:t>
      </w:r>
      <w:r>
        <w:rPr>
          <w:rFonts w:ascii="Times New Roman;serif" w:hAnsi="Times New Roman;serif"/>
          <w:b w:val="false"/>
          <w:sz w:val="24"/>
        </w:rPr>
        <w:t xml:space="preserve">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Loans of the Swingline Lenders with a Multicurrency Commitment (and/or provide Cash Collateral for Multicurrency LC Exposure as specified in </w:t>
      </w:r>
      <w:r>
        <w:rPr>
          <w:rFonts w:ascii="Times New Roman;serif" w:hAnsi="Times New Roman;serif"/>
          <w:b w:val="false"/>
          <w:sz w:val="24"/>
          <w:u w:val="single"/>
        </w:rPr>
        <w:t>Section 2.05(k)</w:t>
      </w:r>
      <w:r>
        <w:rPr>
          <w:rFonts w:ascii="Times New Roman;serif" w:hAnsi="Times New Roman;serif"/>
          <w:b w:val="false"/>
          <w:sz w:val="24"/>
        </w:rPr>
        <w:t>) within 15 Business Days following the Borrower’s receipt of such request in such amounts as shall be necessary so that after giving effect thereto the aggregate Revolving Multicurrency Credit Exposure does not exceed the Multicurrency Commitments.</w:t>
      </w:r>
    </w:p>
    <w:p>
      <w:pPr>
        <w:pStyle w:val="TextBody"/>
        <w:bidi w:val="0"/>
        <w:spacing w:before="0" w:after="240"/>
        <w:jc w:val="both"/>
        <w:rPr>
          <w:rFonts w:ascii="Times New Roman" w:hAnsi="Times New Roman"/>
          <w:sz w:val="20"/>
        </w:rPr>
      </w:pPr>
      <w:r>
        <w:rPr>
          <w:rFonts w:ascii="Times New Roman;serif" w:hAnsi="Times New Roman;serif"/>
          <w:b w:val="false"/>
          <w:sz w:val="24"/>
        </w:rPr>
        <w:t>For purposes hereof “</w:t>
      </w:r>
      <w:r>
        <w:rPr>
          <w:rFonts w:ascii="Times New Roman;serif" w:hAnsi="Times New Roman;serif"/>
          <w:b w:val="false"/>
          <w:sz w:val="24"/>
          <w:u w:val="single"/>
        </w:rPr>
        <w:t>Currency Valuation Notice</w:t>
      </w:r>
      <w:r>
        <w:rPr>
          <w:rFonts w:ascii="Times New Roman" w:hAnsi="Times New Roman"/>
          <w:sz w:val="20"/>
        </w:rPr>
        <w:t xml:space="preserve">” </w:t>
      </w:r>
      <w:r>
        <w:rPr>
          <w:rFonts w:ascii="Times New Roman;serif" w:hAnsi="Times New Roman;serif"/>
          <w:b w:val="false"/>
          <w:sz w:val="24"/>
        </w:rPr>
        <w:t>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Any prepayment pursuant to this paragraph shall be applied, </w:t>
      </w:r>
      <w:r>
        <w:rPr>
          <w:rFonts w:ascii="Times New Roman;serif" w:hAnsi="Times New Roman;serif"/>
          <w:b w:val="false"/>
          <w:sz w:val="24"/>
          <w:u w:val="single"/>
        </w:rPr>
        <w:t>first</w:t>
      </w:r>
      <w:r>
        <w:rPr>
          <w:rFonts w:ascii="Times New Roman" w:hAnsi="Times New Roman"/>
          <w:sz w:val="20"/>
        </w:rPr>
        <w:t xml:space="preserve"> </w:t>
      </w:r>
      <w:r>
        <w:rPr>
          <w:rFonts w:ascii="Times New Roman;serif" w:hAnsi="Times New Roman;serif"/>
          <w:b w:val="false"/>
          <w:sz w:val="24"/>
        </w:rPr>
        <w:t xml:space="preserve">to Swingline Multicurrency Loans outstanding, </w:t>
      </w:r>
      <w:r>
        <w:rPr>
          <w:rFonts w:ascii="Times New Roman;serif" w:hAnsi="Times New Roman;serif"/>
          <w:b w:val="false"/>
          <w:sz w:val="24"/>
          <w:u w:val="single"/>
        </w:rPr>
        <w:t>second</w:t>
      </w:r>
      <w:r>
        <w:rPr>
          <w:rFonts w:ascii="Times New Roman;serif" w:hAnsi="Times New Roman;serif"/>
          <w:b w:val="false"/>
          <w:sz w:val="24"/>
        </w:rPr>
        <w:t xml:space="preserve">, to Syndicated Multicurrency Loans outstanding and </w:t>
      </w:r>
      <w:r>
        <w:rPr>
          <w:rFonts w:ascii="Times New Roman;serif" w:hAnsi="Times New Roman;serif"/>
          <w:b w:val="false"/>
          <w:sz w:val="24"/>
          <w:u w:val="single"/>
        </w:rPr>
        <w:t>third</w:t>
      </w:r>
      <w:r>
        <w:rPr>
          <w:rFonts w:ascii="Times New Roman;serif" w:hAnsi="Times New Roman;serif"/>
          <w:b w:val="false"/>
          <w:sz w:val="24"/>
        </w:rPr>
        <w:t>, as cover for Multicurrency LC Exposure.</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Mandatory Prepayments due to Borrowing Base Deficiency</w:t>
      </w:r>
      <w:r>
        <w:rPr>
          <w:rFonts w:ascii="Times New Roman;serif" w:hAnsi="Times New Roman;serif"/>
          <w:b w:val="false"/>
          <w:sz w:val="24"/>
        </w:rPr>
        <w:t xml:space="preserve">. In the event that at any time any Borrowing Base Deficiency shall exist, the Borrower shall, within five (5) Business Days after delivery of the applicable Borrowing Base Certificate, prepay the Loans (or provide Cash Collateral for Letters of Credit as contemplated by </w:t>
      </w:r>
      <w:r>
        <w:rPr>
          <w:rFonts w:ascii="Times New Roman;serif" w:hAnsi="Times New Roman;serif"/>
          <w:b w:val="false"/>
          <w:sz w:val="24"/>
          <w:u w:val="single"/>
        </w:rPr>
        <w:t>Section 2.05(k)</w:t>
      </w:r>
      <w:r>
        <w:rPr>
          <w:rFonts w:ascii="Times New Roman;serif" w:hAnsi="Times New Roman;serif"/>
          <w:b w:val="false"/>
          <w:sz w:val="24"/>
        </w:rPr>
        <w:t xml:space="preserve">) or reduce Other Covered Indebtedness or any other Indebtedness that is included in the Covered Debt Amount at such time in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such amounts as shall be necessary so that such Borrowing Base Deficiency is cured; </w:t>
      </w:r>
      <w:r>
        <w:rPr>
          <w:rFonts w:ascii="Times New Roman;serif" w:hAnsi="Times New Roman;serif"/>
          <w:b w:val="false"/>
          <w:sz w:val="24"/>
          <w:u w:val="single"/>
        </w:rPr>
        <w:t>provided</w:t>
      </w:r>
      <w:r>
        <w:rPr/>
        <w:t xml:space="preserve"> </w:t>
      </w:r>
      <w:r>
        <w:rPr>
          <w:rFonts w:ascii="Times New Roman;serif" w:hAnsi="Times New Roman;serif"/>
          <w:b w:val="false"/>
          <w:sz w:val="24"/>
        </w:rPr>
        <w:t>that (i) the aggregate amount of such prepayment of Loans (and Cash Collateral for Letters of Credit) shall be at least equal to the Revolving Percentage times the aggregate prepayment of the Covered Debt Amount, and (ii) if, within five (5) Business Days after delivery of a Borrowing Base Certificate demonstrating such Borrowing Base Deficiency, the Borrower shall present the Administrative Agent with a reasonably feasible plan acceptable to the Required Lenders in their sole discretion to enable such Borrowing Base Deficiency to be cured within 30 Business Days (which 30-Business Day period shall include the five (5)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 (or any extended period consented to by the Administrative Agent in its sole discretion).</w:t>
      </w:r>
      <w:r>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Mandatory Prepayments During Amortization Period</w:t>
      </w:r>
      <w:r>
        <w:rPr>
          <w:rFonts w:ascii="Times New Roman;serif" w:hAnsi="Times New Roman;serif"/>
          <w:b w:val="false"/>
          <w:sz w:val="24"/>
        </w:rPr>
        <w:t>. During the period commencing on the date immediately following the Commitment Termination Date with respect to any Loans of any Lender or Lenders and ending on the Final Maturity Date with respect to the Loans of such Lender or Lenders:</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u w:val="single"/>
        </w:rPr>
        <w:t>Asset Disposition</w:t>
      </w:r>
      <w:r>
        <w:rPr>
          <w:rFonts w:ascii="Times New Roman;serif" w:hAnsi="Times New Roman;serif"/>
          <w:b w:val="false"/>
          <w:sz w:val="24"/>
        </w:rPr>
        <w:t xml:space="preserve">.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 Net Cash Proceeds no later than the fifth Business Day following the receipt of such Net Cash Proceeds (such prepayments to be applied as set forth in </w:t>
      </w:r>
      <w:r>
        <w:rPr>
          <w:rFonts w:ascii="Times New Roman;serif" w:hAnsi="Times New Roman;serif"/>
          <w:b w:val="false"/>
          <w:sz w:val="24"/>
          <w:u w:val="single"/>
        </w:rPr>
        <w:t>Section 2.09(b)</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u w:val="single"/>
        </w:rPr>
        <w:t>Equity Issuance</w:t>
      </w:r>
      <w:r>
        <w:rPr>
          <w:rFonts w:ascii="Times New Roman;serif" w:hAnsi="Times New Roman;serif"/>
          <w:b w:val="false"/>
          <w:sz w:val="24"/>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Times New Roman;serif" w:hAnsi="Times New Roman;serif"/>
          <w:b w:val="false"/>
          <w:sz w:val="24"/>
          <w:u w:val="single"/>
        </w:rPr>
        <w:t>Section 2.09(b)</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pPr>
      <w:r>
        <w:rPr>
          <w:rFonts w:ascii="Times New Roman;serif" w:hAnsi="Times New Roman;serif"/>
          <w:b w:val="false"/>
          <w:sz w:val="24"/>
          <w:u w:val="single"/>
        </w:rPr>
        <w:t>Indebtedness</w:t>
      </w:r>
      <w:r>
        <w:rPr>
          <w:rFonts w:ascii="Times New Roman;serif" w:hAnsi="Times New Roman;serif"/>
          <w:b w:val="false"/>
          <w:sz w:val="24"/>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serif" w:hAnsi="Times New Roman;serif"/>
          <w:b w:val="false"/>
          <w:sz w:val="24"/>
          <w:u w:val="single"/>
        </w:rPr>
        <w:t>Section 2.09(b)</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pPr>
      <w:r>
        <w:rPr>
          <w:rFonts w:ascii="Times New Roman;serif" w:hAnsi="Times New Roman;serif"/>
          <w:b w:val="false"/>
          <w:sz w:val="24"/>
          <w:u w:val="single"/>
        </w:rPr>
        <w:t>Extraordinary Receipt</w:t>
      </w:r>
      <w:r>
        <w:rPr>
          <w:rFonts w:ascii="Times New Roman;serif" w:hAnsi="Times New Roman;serif"/>
          <w:b w:val="false"/>
          <w:sz w:val="24"/>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Times New Roman;serif" w:hAnsi="Times New Roman;serif"/>
          <w:b w:val="false"/>
          <w:sz w:val="24"/>
          <w:u w:val="single"/>
        </w:rPr>
        <w:t>clauses (i)</w:t>
      </w:r>
      <w:r>
        <w:rPr>
          <w:rFonts w:ascii="Times New Roman;serif" w:hAnsi="Times New Roman;serif"/>
          <w:b w:val="false"/>
          <w:sz w:val="24"/>
        </w:rPr>
        <w:t xml:space="preserve">, </w:t>
      </w:r>
      <w:r>
        <w:rPr>
          <w:rFonts w:ascii="Times New Roman;serif" w:hAnsi="Times New Roman;serif"/>
          <w:b w:val="false"/>
          <w:sz w:val="24"/>
          <w:u w:val="single"/>
        </w:rPr>
        <w:t>(ii)</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(iii)</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Section 2.10(d)</w:t>
      </w:r>
      <w:r>
        <w:rPr>
          <w:rFonts w:ascii="Times New Roman;serif" w:hAnsi="Times New Roman;serif"/>
          <w:b w:val="false"/>
          <w:sz w:val="24"/>
        </w:rPr>
        <w:t xml:space="preserve">, the Borrower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serif" w:hAnsi="Times New Roman;serif"/>
          <w:b w:val="false"/>
          <w:sz w:val="24"/>
          <w:u w:val="single"/>
        </w:rPr>
        <w:t>Section 2.09(b)</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(v)</w:t>
      </w:r>
    </w:p>
    <w:p>
      <w:pPr>
        <w:pStyle w:val="TextBody"/>
        <w:bidi w:val="0"/>
        <w:spacing w:before="0" w:after="240"/>
        <w:jc w:val="both"/>
        <w:rPr/>
      </w:pPr>
      <w:r>
        <w:rPr>
          <w:rFonts w:ascii="Times New Roman;serif" w:hAnsi="Times New Roman;serif"/>
          <w:b w:val="false"/>
          <w:sz w:val="24"/>
          <w:u w:val="single"/>
        </w:rPr>
        <w:t>Return of Capital</w:t>
      </w:r>
      <w:r>
        <w:rPr>
          <w:rFonts w:ascii="Times New Roman;serif" w:hAnsi="Times New Roman;serif"/>
          <w:b w:val="false"/>
          <w:sz w:val="24"/>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Times New Roman;serif" w:hAnsi="Times New Roman;serif"/>
          <w:b w:val="false"/>
          <w:sz w:val="24"/>
          <w:u w:val="single"/>
        </w:rPr>
        <w:t>Section 2.15</w:t>
      </w:r>
      <w:r>
        <w:rPr>
          <w:rFonts w:ascii="Times New Roman;serif" w:hAnsi="Times New Roman;serif"/>
          <w:b w:val="false"/>
          <w:sz w:val="24"/>
        </w:rPr>
        <w:t xml:space="preserve">) no later than the fifth Business Day following the receipt of such Return of Capital (such prepayments to be applied as set forth in </w:t>
      </w:r>
      <w:r>
        <w:rPr>
          <w:rFonts w:ascii="Times New Roman;serif" w:hAnsi="Times New Roman;serif"/>
          <w:b w:val="false"/>
          <w:sz w:val="24"/>
          <w:u w:val="single"/>
        </w:rPr>
        <w:t>Section 2.09(b)</w:t>
      </w:r>
      <w:r>
        <w:rPr>
          <w:rFonts w:ascii="Times New Roman;serif" w:hAnsi="Times New Roman;serif"/>
          <w:b w:val="false"/>
          <w:sz w:val="24"/>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Notwithstanding the foregoing, (I) Net Cash Proceeds and Return of Capital required to be applied to the prepayment of the Loans pursuant to this </w:t>
      </w:r>
      <w:r>
        <w:rPr>
          <w:rFonts w:ascii="Times New Roman;serif" w:hAnsi="Times New Roman;serif"/>
          <w:b w:val="false"/>
          <w:sz w:val="24"/>
          <w:u w:val="single"/>
        </w:rPr>
        <w:t>Section 2.10(d)</w:t>
      </w:r>
      <w:r>
        <w:rPr>
          <w:rFonts w:ascii="Times New Roman" w:hAnsi="Times New Roman"/>
          <w:sz w:val="20"/>
        </w:rPr>
        <w:t xml:space="preserve"> </w:t>
      </w:r>
      <w:r>
        <w:rPr>
          <w:rFonts w:ascii="Times New Roman;serif" w:hAnsi="Times New Roman;serif"/>
          <w:b w:val="false"/>
          <w:sz w:val="24"/>
        </w:rPr>
        <w:t xml:space="preserve">shall (A) (I) from the period commencing on any Non-Extended Commitment Termination Date and ending on the Extended Commitment Termination Date, be applied ratably among the Non-Extending Lenders for which any Non-Extended Commitment Termination Date shall have occurred and (II) from the Extended Commitment Termination Date to the Extended Final Maturity Date, be applied in accordance with the Guarantee and Security Agreement and (B) exclude the amount necessary for the Borrower to make all required distributions (which shall be no less than the amount estimated in good faith by Borrower under </w:t>
      </w:r>
      <w:r>
        <w:rPr>
          <w:rFonts w:ascii="Times New Roman;serif" w:hAnsi="Times New Roman;serif"/>
          <w:b w:val="false"/>
          <w:sz w:val="24"/>
          <w:u w:val="single"/>
        </w:rPr>
        <w:t>Section 6.05(b)</w:t>
      </w:r>
      <w:r>
        <w:rPr>
          <w:rFonts w:ascii="Times New Roman" w:hAnsi="Times New Roman"/>
          <w:sz w:val="20"/>
        </w:rPr>
        <w:t xml:space="preserve"> </w:t>
      </w:r>
      <w:r>
        <w:rPr>
          <w:rFonts w:ascii="Times New Roman;serif" w:hAnsi="Times New Roman;serif"/>
          <w:b w:val="false"/>
          <w:sz w:val="24"/>
        </w:rPr>
        <w:t xml:space="preserve">herein) to maintain the status of a RIC under the Code and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(II) if the Loans to be prepaid pursuant to this </w:t>
      </w:r>
      <w:r>
        <w:rPr>
          <w:rFonts w:ascii="Times New Roman;serif" w:hAnsi="Times New Roman;serif"/>
          <w:b w:val="false"/>
          <w:sz w:val="24"/>
          <w:u w:val="single"/>
        </w:rPr>
        <w:t>Section 2.10(d)</w:t>
      </w:r>
      <w:r>
        <w:rPr>
          <w:rFonts w:ascii="Times New Roman" w:hAnsi="Times New Roman"/>
          <w:sz w:val="20"/>
        </w:rPr>
        <w:t xml:space="preserve"> </w:t>
      </w:r>
      <w:r>
        <w:rPr>
          <w:rFonts w:ascii="Times New Roman;serif" w:hAnsi="Times New Roman;serif"/>
          <w:b w:val="false"/>
          <w:sz w:val="24"/>
        </w:rPr>
        <w:t xml:space="preserve">are Term Benchmark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further</w:t>
      </w:r>
      <w:r>
        <w:rPr>
          <w:rFonts w:ascii="Times New Roman;serif" w:hAnsi="Times New Roman;serif"/>
          <w:b w:val="false"/>
          <w:sz w:val="24"/>
        </w:rPr>
        <w:t xml:space="preserve">, that the Administrative Agent may direct the application of such deposits as set forth in </w:t>
      </w:r>
      <w:r>
        <w:rPr>
          <w:rFonts w:ascii="Times New Roman;serif" w:hAnsi="Times New Roman;serif"/>
          <w:b w:val="false"/>
          <w:sz w:val="24"/>
          <w:u w:val="single"/>
        </w:rPr>
        <w:t>Section 2.09(b)</w:t>
      </w:r>
      <w:r>
        <w:rPr>
          <w:rFonts w:ascii="Times New Roman" w:hAnsi="Times New Roman"/>
          <w:sz w:val="20"/>
        </w:rPr>
        <w:t xml:space="preserve"> </w:t>
      </w:r>
      <w:r>
        <w:rPr>
          <w:rFonts w:ascii="Times New Roman;serif" w:hAnsi="Times New Roman;serif"/>
          <w:b w:val="false"/>
          <w:sz w:val="24"/>
        </w:rPr>
        <w:t xml:space="preserve">at any time and if the Administrative Agent does so, no amounts will be payable by the Borrower pursuant to </w:t>
      </w:r>
      <w:r>
        <w:rPr>
          <w:rFonts w:ascii="Times New Roman;serif" w:hAnsi="Times New Roman;serif"/>
          <w:b w:val="false"/>
          <w:sz w:val="24"/>
          <w:u w:val="single"/>
        </w:rPr>
        <w:t>Section 2.15</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Notices, Etc</w:t>
      </w:r>
      <w:r>
        <w:rPr>
          <w:rFonts w:ascii="Times New Roman;serif" w:hAnsi="Times New Roman;serif"/>
          <w:b w:val="false"/>
          <w:sz w:val="24"/>
        </w:rPr>
        <w:t xml:space="preserve">. The Borrower shall notify the Administrative Agent (and, in the case of prepayment of a Swingline Loan made by a Swingline Lender, such Swingline Lender) by telephone (confirmed by telecopy or electronic communication) of any prepayment hereunder (i) in the case of prepayment of a Term Benchmark Borrowing denominated in Dollars (other than in the case of a prepayment pursuant to Section 2.10(d)), not later than 11:00 a.m., New York City time, three (3) Business Days before the date of prepayment (or such shorter period as may be agreed to by the Administrative Agent), (ii) in the case of prepayment of a Term Benchmark Borrowing denominated in a Foreign Currency (other than in the case of a prepayment pursuant to Section 2.10(d)), not later than 11:00 a.m., London time, four (4) Business Days before the date of prepayment, (iii) in the case of prepayment of a RFR Borrowing (other than in the case of a prepayment pursuant to Section 2.10(d)), not later than 11:00 a.m., London time, four (4) Business Days before the date of prepayment, (iv) in the case of prepayment of a Syndicated ABR Borrowing (other than in the case of a prepayment pursuant to Section 2.10(d)), not later than 11:00 a.m., New York City time on the date of prepayment,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(v) in the case of prepayment of a Swingline Loan, not later than 11:00 a.m., New York City time, on the date of prepayment, and (vi) in the case of any prepayment pursuant to Section 2.10(d), not later than 1:00 p.m., New York City time, on the date of prepayment or, in each case of the notice periods described in this clause (e), such lesser period as the Administrative Agent may reasonably agree. Each such notice shall be irrevocable and shall specify the prepayment date, the principal amount of each Borrowing or portion thereof to be prepaid and, in the case of a mandatory prepayment, a reasonably detailed calculation of the amount of such prepayment; provided that, if (i) a notice of prepayment is given in connection with a conditional notice of reduction or termination of the Commitments of a Class as contemplated by Section 2.08, then such notice of prepayment may be revoked if such notice of reduction or termination is revoked in accordance with Section 2.08 and (ii) any notice given in connection with Section 2.10(d)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Section 2.02 or in the case of a Swingline Loan, as provided in Section 2.04,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Section 2.12 and shall be made in the manner specified in Section 2.09(b) unless such prepayment is made in connection with the reduction of Commitments in accordance with Section 2.08(b) or (f) in which case such prepayment shall be applied in accordance with Section 2.08(d) or (f), as applicable.</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2.11.</w:t>
      </w:r>
    </w:p>
    <w:p>
      <w:pPr>
        <w:pStyle w:val="TextBody"/>
        <w:bidi w:val="0"/>
        <w:spacing w:before="0" w:after="240"/>
        <w:jc w:val="both"/>
        <w:rPr/>
      </w:pPr>
      <w:r>
        <w:rPr>
          <w:rFonts w:ascii="Times New Roman;serif" w:hAnsi="Times New Roman;serif"/>
          <w:b w:val="false"/>
          <w:sz w:val="24"/>
          <w:u w:val="single"/>
        </w:rPr>
        <w:t>Fees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Commitment Fee</w:t>
      </w:r>
      <w:r>
        <w:rPr>
          <w:rFonts w:ascii="Times New Roman;serif" w:hAnsi="Times New Roman;serif"/>
          <w:b w:val="false"/>
          <w:sz w:val="24"/>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Letter of Credit Fees</w:t>
      </w:r>
      <w:r>
        <w:rPr>
          <w:rFonts w:ascii="Times New Roman;serif" w:hAnsi="Times New Roman;serif"/>
          <w:b w:val="false"/>
          <w:sz w:val="24"/>
        </w:rPr>
        <w:t xml:space="preserve">. The Borrower agrees to pay (i) to the Administrative Agent for account of each Lender a participation fee with respect to its participations in Letters of Credit of each Class of Commitments, which shall accrue at a rate per annum equal to, in the case of any Extending Lender, the Extended Applicable Margin and, in the case of any Non-Extending Lender, the Non-Extended Applicable Margin, in each case, applicable to interest on Term Benchmark Loans (or,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if such Letter of Credit is denominated in Sterling or Swiss Francs, RFR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serif" w:hAnsi="Times New Roman;serif"/>
          <w:b w:val="false"/>
          <w:sz w:val="24"/>
          <w:u w:val="single"/>
        </w:rPr>
        <w:t>provided</w:t>
      </w:r>
      <w:r>
        <w:rPr/>
        <w:t xml:space="preserve"> </w:t>
      </w:r>
      <w:r>
        <w:rPr>
          <w:rFonts w:ascii="Times New Roman;serif" w:hAnsi="Times New Roman;serif"/>
          <w:b w:val="false"/>
          <w:sz w:val="24"/>
        </w:rPr>
        <w:t>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(2)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Administrative Agent Fees</w:t>
      </w:r>
      <w:r>
        <w:rPr>
          <w:rFonts w:ascii="Times New Roman;serif" w:hAnsi="Times New Roman;serif"/>
          <w:b w:val="false"/>
          <w:sz w:val="24"/>
        </w:rPr>
        <w:t>. The Borrower agrees to pay to the Administrative Agent, for its own account, fees payable in the amounts and at the times separately agreed upon between the Borrower and the Administrative Agent.</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Payment of Fees</w:t>
      </w:r>
      <w:r>
        <w:rPr>
          <w:rFonts w:ascii="Times New Roman;serif" w:hAnsi="Times New Roman;serif"/>
          <w:b w:val="false"/>
          <w:sz w:val="24"/>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2.12.</w:t>
      </w:r>
    </w:p>
    <w:p>
      <w:pPr>
        <w:pStyle w:val="TextBody"/>
        <w:bidi w:val="0"/>
        <w:spacing w:before="0" w:after="240"/>
        <w:jc w:val="both"/>
        <w:rPr/>
      </w:pPr>
      <w:r>
        <w:rPr>
          <w:rFonts w:ascii="Times New Roman;serif" w:hAnsi="Times New Roman;serif"/>
          <w:b w:val="false"/>
          <w:sz w:val="24"/>
          <w:u w:val="single"/>
        </w:rPr>
        <w:t>Interest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ABR Loans</w:t>
      </w:r>
      <w:r>
        <w:rPr>
          <w:rFonts w:ascii="Times New Roman;serif" w:hAnsi="Times New Roman;serif"/>
          <w:b w:val="false"/>
          <w:sz w:val="24"/>
        </w:rPr>
        <w:t xml:space="preserve">. The Loans constituting each ABR Borrowing (including each Swingline Loan) that are made by the Extending Lenders shall bear interest at a rate per annum equal to the Alternate Base Rate </w:t>
      </w:r>
      <w:r>
        <w:rPr>
          <w:rFonts w:ascii="Times New Roman;serif" w:hAnsi="Times New Roman;serif"/>
          <w:b w:val="false"/>
          <w:sz w:val="24"/>
          <w:u w:val="single"/>
        </w:rPr>
        <w:t>plus</w:t>
      </w:r>
      <w:r>
        <w:rPr/>
        <w:t xml:space="preserve"> </w:t>
      </w:r>
      <w:r>
        <w:rPr>
          <w:rFonts w:ascii="Times New Roman;serif" w:hAnsi="Times New Roman;serif"/>
          <w:b w:val="false"/>
          <w:sz w:val="24"/>
        </w:rPr>
        <w:t xml:space="preserve">the Extended Applicable Margin. The Loans constituting each ABR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Borrowing (including each Swingline Loan) that are made by the Non-Extending Lenders shall bear interest at a rate per annum equal to the Alternate Base Rate </w:t>
      </w:r>
      <w:r>
        <w:rPr>
          <w:rFonts w:ascii="Times New Roman;serif" w:hAnsi="Times New Roman;serif"/>
          <w:b w:val="false"/>
          <w:sz w:val="24"/>
          <w:u w:val="single"/>
        </w:rPr>
        <w:t>plus</w:t>
      </w:r>
      <w:r>
        <w:rPr/>
        <w:t xml:space="preserve"> </w:t>
      </w:r>
      <w:r>
        <w:rPr>
          <w:rFonts w:ascii="Times New Roman;serif" w:hAnsi="Times New Roman;serif"/>
          <w:b w:val="false"/>
          <w:sz w:val="24"/>
        </w:rPr>
        <w:t>the Non-Extended Applicable Margin.</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Term Benchmark Loans</w:t>
      </w:r>
      <w:r>
        <w:rPr>
          <w:rFonts w:ascii="Times New Roman;serif" w:hAnsi="Times New Roman;serif"/>
          <w:b w:val="false"/>
          <w:sz w:val="24"/>
        </w:rPr>
        <w:t xml:space="preserve">. The Loans constituting each Term Benchmark Borrowing that are made by the Extending Lenders shall bear interest at a rate per annum equal to the Adjusted Term Benchmark Rate for the related Interest Period for such Borrowing </w:t>
      </w:r>
      <w:r>
        <w:rPr>
          <w:rFonts w:ascii="Times New Roman;serif" w:hAnsi="Times New Roman;serif"/>
          <w:b w:val="false"/>
          <w:sz w:val="24"/>
          <w:u w:val="single"/>
        </w:rPr>
        <w:t>plus</w:t>
      </w:r>
      <w:r>
        <w:rPr/>
        <w:t xml:space="preserve"> </w:t>
      </w:r>
      <w:r>
        <w:rPr>
          <w:rFonts w:ascii="Times New Roman;serif" w:hAnsi="Times New Roman;serif"/>
          <w:b w:val="false"/>
          <w:sz w:val="24"/>
        </w:rPr>
        <w:t xml:space="preserve">the Extended Applicable Margin. The Loans constituting each Term Benchmark Borrowing that are made by the Non-Extending Lenders shall bear interest at a rate per annum equal to the Term Benchmark Rate for the related Interest Period for such Borrowing </w:t>
      </w:r>
      <w:r>
        <w:rPr>
          <w:rFonts w:ascii="Times New Roman;serif" w:hAnsi="Times New Roman;serif"/>
          <w:b w:val="false"/>
          <w:sz w:val="24"/>
          <w:u w:val="single"/>
        </w:rPr>
        <w:t>plus</w:t>
      </w:r>
      <w:r>
        <w:rPr/>
        <w:t xml:space="preserve"> </w:t>
      </w:r>
      <w:r>
        <w:rPr>
          <w:rFonts w:ascii="Times New Roman;serif" w:hAnsi="Times New Roman;serif"/>
          <w:b w:val="false"/>
          <w:sz w:val="24"/>
        </w:rPr>
        <w:t>the Non-Extended Applicable Margin.</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RFR Loans</w:t>
      </w:r>
      <w:r>
        <w:rPr>
          <w:rFonts w:ascii="Times New Roman;serif" w:hAnsi="Times New Roman;serif"/>
          <w:b w:val="false"/>
          <w:sz w:val="24"/>
        </w:rPr>
        <w:t xml:space="preserve">. The Loans constituting each RFR Borrowing that are made by the Extending Lenders shall bear interest at a rate per annum equal to the RFR </w:t>
      </w:r>
      <w:r>
        <w:rPr>
          <w:rFonts w:ascii="Times New Roman;serif" w:hAnsi="Times New Roman;serif"/>
          <w:b w:val="false"/>
          <w:sz w:val="24"/>
          <w:u w:val="single"/>
        </w:rPr>
        <w:t>plus</w:t>
      </w:r>
      <w:r>
        <w:rPr/>
        <w:t xml:space="preserve"> </w:t>
      </w:r>
      <w:r>
        <w:rPr>
          <w:rFonts w:ascii="Times New Roman;serif" w:hAnsi="Times New Roman;serif"/>
          <w:b w:val="false"/>
          <w:sz w:val="24"/>
        </w:rPr>
        <w:t xml:space="preserve">the Extended Applicable Margin. The Loans constituting each RFR Borrowing that are made by the Non-Extending Lenders shall bear interest at a rate per annum equal to the Daily Simple RFR </w:t>
      </w:r>
      <w:r>
        <w:rPr>
          <w:rFonts w:ascii="Times New Roman;serif" w:hAnsi="Times New Roman;serif"/>
          <w:b w:val="false"/>
          <w:sz w:val="24"/>
          <w:u w:val="single"/>
        </w:rPr>
        <w:t>plus</w:t>
      </w:r>
      <w:r>
        <w:rPr/>
        <w:t xml:space="preserve"> </w:t>
      </w:r>
      <w:r>
        <w:rPr>
          <w:rFonts w:ascii="Times New Roman;serif" w:hAnsi="Times New Roman;serif"/>
          <w:b w:val="false"/>
          <w:sz w:val="24"/>
        </w:rPr>
        <w:t>the Non-Extended Applicable Margin.</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Default Interest</w:t>
      </w:r>
      <w:r>
        <w:rPr>
          <w:rFonts w:ascii="Times New Roman;serif" w:hAnsi="Times New Roman;serif"/>
          <w:b w:val="false"/>
          <w:sz w:val="24"/>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Times New Roman;serif" w:hAnsi="Times New Roman;serif"/>
          <w:b w:val="false"/>
          <w:sz w:val="24"/>
          <w:u w:val="single"/>
        </w:rPr>
        <w:t>plus</w:t>
      </w:r>
      <w:r>
        <w:rPr/>
        <w:t xml:space="preserve"> </w:t>
      </w:r>
      <w:r>
        <w:rPr>
          <w:rFonts w:ascii="Times New Roman;serif" w:hAnsi="Times New Roman;serif"/>
          <w:b w:val="false"/>
          <w:sz w:val="24"/>
        </w:rPr>
        <w:t xml:space="preserve">the rate otherwise applicable to such Loan as provided above, (ii) in the case of any Letter of Credit, 2% </w:t>
      </w:r>
      <w:r>
        <w:rPr>
          <w:rFonts w:ascii="Times New Roman;serif" w:hAnsi="Times New Roman;serif"/>
          <w:b w:val="false"/>
          <w:sz w:val="24"/>
          <w:u w:val="single"/>
        </w:rPr>
        <w:t>plus</w:t>
      </w:r>
      <w:r>
        <w:rPr/>
        <w:t xml:space="preserve"> </w:t>
      </w:r>
      <w:r>
        <w:rPr>
          <w:rFonts w:ascii="Times New Roman;serif" w:hAnsi="Times New Roman;serif"/>
          <w:b w:val="false"/>
          <w:sz w:val="24"/>
        </w:rPr>
        <w:t xml:space="preserve">the fee otherwise applicable to such Letter of Credit as provided in </w:t>
      </w:r>
      <w:r>
        <w:rPr>
          <w:rFonts w:ascii="Times New Roman;serif" w:hAnsi="Times New Roman;serif"/>
          <w:b w:val="false"/>
          <w:sz w:val="24"/>
          <w:u w:val="single"/>
        </w:rPr>
        <w:t>Section 2.11(b)(i)</w:t>
      </w:r>
      <w:r>
        <w:rPr>
          <w:rFonts w:ascii="Times New Roman;serif" w:hAnsi="Times New Roman;serif"/>
          <w:b w:val="false"/>
          <w:sz w:val="24"/>
        </w:rPr>
        <w:t xml:space="preserve">, or </w:t>
      </w:r>
      <w:r>
        <w:rPr>
          <w:rFonts w:ascii="Times New Roman;serif" w:hAnsi="Times New Roman;serif"/>
          <w:b w:val="false"/>
          <w:sz w:val="24"/>
          <w:u w:val="single"/>
        </w:rPr>
        <w:t>(iii)</w:t>
      </w:r>
      <w:r>
        <w:rPr/>
        <w:t xml:space="preserve"> </w:t>
      </w:r>
      <w:r>
        <w:rPr>
          <w:rFonts w:ascii="Times New Roman;serif" w:hAnsi="Times New Roman;serif"/>
          <w:b w:val="false"/>
          <w:sz w:val="24"/>
        </w:rPr>
        <w:t xml:space="preserve">in the case of any fee or other amount, 2% </w:t>
      </w:r>
      <w:r>
        <w:rPr>
          <w:rFonts w:ascii="Times New Roman;serif" w:hAnsi="Times New Roman;serif"/>
          <w:b w:val="false"/>
          <w:sz w:val="24"/>
          <w:u w:val="single"/>
        </w:rPr>
        <w:t>plus</w:t>
      </w:r>
      <w:r>
        <w:rPr/>
        <w:t xml:space="preserve"> </w:t>
      </w:r>
      <w:r>
        <w:rPr>
          <w:rFonts w:ascii="Times New Roman;serif" w:hAnsi="Times New Roman;serif"/>
          <w:b w:val="false"/>
          <w:sz w:val="24"/>
        </w:rPr>
        <w:t xml:space="preserve">the rate applicable to ABR Loans as provided in </w:t>
      </w:r>
      <w:r>
        <w:rPr>
          <w:rFonts w:ascii="Times New Roman;serif" w:hAnsi="Times New Roman;serif"/>
          <w:b w:val="false"/>
          <w:sz w:val="24"/>
          <w:u w:val="single"/>
        </w:rPr>
        <w:t>paragraph (a)</w:t>
      </w:r>
      <w:r>
        <w:rPr/>
        <w:t xml:space="preserve"> </w:t>
      </w:r>
      <w:r>
        <w:rPr>
          <w:rFonts w:ascii="Times New Roman;serif" w:hAnsi="Times New Roman;serif"/>
          <w:b w:val="false"/>
          <w:sz w:val="24"/>
        </w:rPr>
        <w:t>of this Section.</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Payment of Interest</w:t>
      </w:r>
      <w:r>
        <w:rPr>
          <w:rFonts w:ascii="Times New Roman;serif" w:hAnsi="Times New Roman;serif"/>
          <w:b w:val="false"/>
          <w:sz w:val="24"/>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 interest accrued pursuant to </w:t>
      </w:r>
      <w:r>
        <w:rPr>
          <w:rFonts w:ascii="Times New Roman;serif" w:hAnsi="Times New Roman;serif"/>
          <w:b w:val="false"/>
          <w:sz w:val="24"/>
          <w:u w:val="single"/>
        </w:rPr>
        <w:t>paragraph (d)</w:t>
      </w:r>
      <w:r>
        <w:rPr/>
        <w:t xml:space="preserve"> </w:t>
      </w:r>
      <w:r>
        <w:rPr>
          <w:rFonts w:ascii="Times New Roman;serif" w:hAnsi="Times New Roman;serif"/>
          <w:b w:val="false"/>
          <w:sz w:val="24"/>
        </w:rPr>
        <w:t>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u w:val="single"/>
        </w:rPr>
        <w:t>Computation</w:t>
      </w:r>
      <w:r>
        <w:rPr>
          <w:rFonts w:ascii="Times New Roman;serif" w:hAnsi="Times New Roman;serif"/>
          <w:b w:val="false"/>
          <w:sz w:val="24"/>
        </w:rPr>
        <w:t>. All interest hereunder shall be computed on the basis of a year of 360 days, except that interest computed (i) by reference to the Alternate Base Rate at times when the Alternate Base Rate is based on the Prime Rate and (ii) on Multicurrency Loans denominated in Sterling or Canadian Dollars shall be computed on the basis of a year of 365 days (or 366 days in a leap year), and in each case shall be payable for the actual number of days elapsed (including the first day but excluding the last day). The applicable Alternate Base Rate, Daily Simple RFR or Adjusted Term Benchmark Rate shall be determined by the Administrative Agent and such determination shall be conclusive absent manifest error.</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pPr>
      <w:r>
        <w:rPr>
          <w:rFonts w:ascii="Times New Roman;serif" w:hAnsi="Times New Roman;serif"/>
          <w:b w:val="false"/>
          <w:sz w:val="24"/>
          <w:u w:val="single"/>
        </w:rPr>
        <w:t>Conforming Changes</w:t>
      </w:r>
      <w:r>
        <w:rPr>
          <w:rFonts w:ascii="Times New Roman;serif" w:hAnsi="Times New Roman;serif"/>
          <w:b w:val="false"/>
          <w:sz w:val="24"/>
        </w:rPr>
        <w:t xml:space="preserve">. In connection with the use or administration of Term SOFR, the Administrative Agent will have the right to make Conforming Changes from time to time and,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2.13.</w:t>
      </w:r>
    </w:p>
    <w:p>
      <w:pPr>
        <w:pStyle w:val="TextBody"/>
        <w:bidi w:val="0"/>
        <w:spacing w:before="0" w:after="240"/>
        <w:jc w:val="both"/>
        <w:rPr/>
      </w:pPr>
      <w:r>
        <w:rPr>
          <w:rFonts w:ascii="Times New Roman;serif" w:hAnsi="Times New Roman;serif"/>
          <w:b w:val="false"/>
          <w:sz w:val="24"/>
          <w:u w:val="single"/>
        </w:rPr>
        <w:t>Inability to Determine Interest Rates.</w:t>
      </w:r>
      <w:r>
        <w:rPr/>
        <w:t xml:space="preserve"> </w:t>
      </w:r>
      <w:r>
        <w:rPr>
          <w:rFonts w:ascii="Times New Roman;serif" w:hAnsi="Times New Roman;serif"/>
          <w:b w:val="false"/>
          <w:sz w:val="24"/>
        </w:rPr>
        <w:t xml:space="preserve">Subject to </w:t>
      </w:r>
      <w:r>
        <w:rPr>
          <w:rFonts w:ascii="Times New Roman;serif" w:hAnsi="Times New Roman;serif"/>
          <w:b w:val="false"/>
          <w:sz w:val="24"/>
          <w:u w:val="single"/>
        </w:rPr>
        <w:t>Section 2.21</w:t>
      </w:r>
      <w:r>
        <w:rPr>
          <w:rFonts w:ascii="Times New Roman;serif" w:hAnsi="Times New Roman;serif"/>
          <w:b w:val="false"/>
          <w:sz w:val="24"/>
        </w:rPr>
        <w:t>, if, prior to the commencement of any Interest Period for any Term Benchmark Borrowing of a Class or at any time for an RFR Borrowing (the Currency of such Borrowing herein called the “</w:t>
      </w:r>
      <w:r>
        <w:rPr>
          <w:rFonts w:ascii="Times New Roman;serif" w:hAnsi="Times New Roman;serif"/>
          <w:b w:val="false"/>
          <w:sz w:val="24"/>
          <w:u w:val="single"/>
        </w:rPr>
        <w:t>Affected Currency</w:t>
      </w:r>
      <w:r>
        <w:rPr/>
        <w: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in the case of a Term Benchmark Borrowing, the Administrative Agent shall have determined (which determination shall be conclusive absent manifest error) the Adjusted Term Benchmark Rate for the Affected Currency cannot be determined pursuant to the definition thereof or (B) in the case of an RFR Borrowing, the Administrative Agent shall have determined (which determination shall be conclusive absent manifest error) that the Daily Simple RFR for the Affected Currency cannot be determined pursuant to the definition thereof; or</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in the case of a Term Benchmark Borrowing, the Administrative Agent shall have received notice from the Required Lenders of such Class of Commitments that the Adjusted Term Benchmark Rate for the Affected Currency for such Interest Period will not adequately and fairly reflect the cost to such Lenders of making or maintaining their respective Loans included in such Borrowing for such Interest Period or (B) in the case of an RFR Borrowing, the Administrative Agent shall have received notice from the Required Multicurrency Lenders that the Daily Simple RFR for the Affected Currency will not adequately and fairly reflect the cost to such Lenders of making or maintaining the Loans included in such RFR Borrowing;</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Term Benchmark Borrowing or RFR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 requests a Term Benchmark Borrowing denominated in Dollars, such Borrowing shall be made as a Syndicated ABR Borrowing, and (iii) if the Affected Currency is a Foreign Currency, (A) any Borrowing Request that requests a Term Benchmark Borrowing or RFR Borrowing denominated in the Affected Currency shall be ineffective, and (B) any outstanding Term Benchmark Borrowing or RFR Borrowing in the Affected Currency, at the Borrower’s election shall either (1) be converted into a Syndicated ABR Borrowing denominated in Dollars (in an amount equal to the Dollar Equivalent of such Affected Currency) immediately in the case of an RFR Borrowing or, in the case of a Term Benchmark Borrowing, at the end of the applicable Interest Period, or (2) be prepaid in full immediately in the case of an RFR Borrowing or, in the case of a Term Benchmark Borrowing, at the end of the applicable Interest Period;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if no election is made by the Borrower by the date that is three (3) Business Days after receipt by the Borrower of</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such notice or, in the case of a Term Benchmark Borrowing, the last day of the current Interest Period for the applicable Term Benchmark Loan, if earlier, the Borrower shall be deemed to have elected </w:t>
      </w:r>
      <w:r>
        <w:rPr>
          <w:rFonts w:ascii="Times New Roman;serif" w:hAnsi="Times New Roman;serif"/>
          <w:b w:val="false"/>
          <w:sz w:val="24"/>
          <w:u w:val="single"/>
        </w:rPr>
        <w:t>clause (1)</w:t>
      </w:r>
      <w:r>
        <w:rPr>
          <w:rFonts w:ascii="Times New Roman" w:hAnsi="Times New Roman"/>
          <w:sz w:val="20"/>
        </w:rPr>
        <w:t xml:space="preserve"> </w:t>
      </w:r>
      <w:r>
        <w:rPr>
          <w:rFonts w:ascii="Times New Roman;serif" w:hAnsi="Times New Roman;serif"/>
          <w:b w:val="false"/>
          <w:sz w:val="24"/>
        </w:rPr>
        <w:t>above.</w:t>
      </w:r>
      <w:r>
        <w:rPr>
          <w:rFonts w:ascii="Times New Roman" w:hAnsi="Times New Roman"/>
          <w:sz w:val="20"/>
        </w:rPr>
        <w:t xml:space="preserve">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2.14.</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Increased Costs.</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Increased Costs Generally</w:t>
      </w:r>
      <w:r>
        <w:rPr>
          <w:rFonts w:ascii="Times New Roman;serif" w:hAnsi="Times New Roman;serif"/>
          <w:b w:val="false"/>
          <w:sz w:val="24"/>
        </w:rPr>
        <w:t>. If any Change in Law shall:</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account of, or credit extended by, any Lender or any Issuing Bank; or</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impose on any Lender or any Issuing Bank any other condition, cost or expense (other than Taxes) affecting this Agreement or Term Benchmark Loans or RFR Loans made by such Lender or any Letter of Credit or participation in any such Loan or Letter of Credit;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and the result of any of the foregoing shall be to increase the cost to such Lenders of making, converting to, continuing or maintaining any Term Benchmark Loan or RFR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upon the request of such Lender or such Issuing Bank the Borrower will pay to such Lender or such Issuing Bank, as the case may be, in Dollars, such additional amount or amounts as will compensate such Lender or such Issuing Bank, as the case may be, for such additional costs incurred or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Capital and Liquidity Requirements</w:t>
      </w:r>
      <w:r>
        <w:rPr>
          <w:rFonts w:ascii="Times New Roman;serif" w:hAnsi="Times New Roman;serif"/>
          <w:b w:val="false"/>
          <w:sz w:val="24"/>
        </w:rPr>
        <w:t xml:space="preserve">.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upon the request of such Lender or such Issuing Bank, the Borrower will pay to such Lender or such Issuing Bank, as the case may be, in Dollars, such additional amount or amounts as will compensate such Lender or such Issuing Bank or such Lender’s or such Issuing Bank’s holding company for any such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Certificates from Lenders</w:t>
      </w:r>
      <w:r>
        <w:rPr>
          <w:rFonts w:ascii="Times New Roman;serif" w:hAnsi="Times New Roman;serif"/>
          <w:b w:val="false"/>
          <w:sz w:val="24"/>
        </w:rPr>
        <w:t xml:space="preserve">. A certificate of a Lender or an Issuing Bank (x) setting forth in reasonable detail the basis for and the calculation of the amount or amounts, in Dollars, necessary to compensate such Lender or such Issuing Bank or its holding company, as the case may be, as specified in </w:t>
      </w:r>
      <w:r>
        <w:rPr>
          <w:rFonts w:ascii="Times New Roman;serif" w:hAnsi="Times New Roman;serif"/>
          <w:b w:val="false"/>
          <w:sz w:val="24"/>
          <w:u w:val="single"/>
        </w:rPr>
        <w:t>paragraph (a)</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(b)</w:t>
      </w:r>
      <w:r>
        <w:rPr/>
        <w:t xml:space="preserve"> </w:t>
      </w:r>
      <w:r>
        <w:rPr>
          <w:rFonts w:ascii="Times New Roman;serif" w:hAnsi="Times New Roman;serif"/>
          <w:b w:val="false"/>
          <w:sz w:val="24"/>
        </w:rPr>
        <w:t>of this Section, (y) setting forth in reasonable detail the manner of determination of such amount or amounts and (z) certifying that such Lender of such Issuing Bank or its holding company, as the case may be, is generally claiming similar compensation from its other similar customers in similar circumstances, shall be promptly delivered to the Borrower and shall be conclusive absent manifest error. The Borrower shall pay such Lender or such Issuing Bank, as the case may be, the amount shown as due on any such certificate within ten (10) Business Days after receipt thereof.</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Delay in Requests</w:t>
      </w:r>
      <w:r>
        <w:rPr>
          <w:rFonts w:ascii="Times New Roman;serif" w:hAnsi="Times New Roman;serif"/>
          <w:b w:val="false"/>
          <w:sz w:val="24"/>
        </w:rPr>
        <w:t xml:space="preserve">. Failure or delay on the part of any Lender or any Issuing Bank to demand compensation pursuant to this Section shall not constitute a waiver of such Lender’s or such Issuing Bank’s right to demand such compensation;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further</w:t>
      </w:r>
      <w:r>
        <w:rPr>
          <w:rFonts w:ascii="Times New Roman;serif" w:hAnsi="Times New Roman;serif"/>
          <w:b w:val="false"/>
          <w:sz w:val="24"/>
        </w:rPr>
        <w:t>, that, if the Change in Law giving rise to such increased costs or reductions is retroactive, then the six-month period referred to above shall be extended to include the period of retroactive effect thereof.</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2.15.</w:t>
      </w:r>
    </w:p>
    <w:p>
      <w:pPr>
        <w:pStyle w:val="TextBody"/>
        <w:bidi w:val="0"/>
        <w:spacing w:before="0" w:after="240"/>
        <w:jc w:val="both"/>
        <w:rPr/>
      </w:pPr>
      <w:r>
        <w:rPr>
          <w:rFonts w:ascii="Times New Roman;serif" w:hAnsi="Times New Roman;serif"/>
          <w:b w:val="false"/>
          <w:sz w:val="24"/>
          <w:u w:val="single"/>
        </w:rPr>
        <w:t>Break Funding Payments</w:t>
      </w:r>
      <w:r>
        <w:rPr>
          <w:rFonts w:ascii="Times New Roman;serif" w:hAnsi="Times New Roman;serif"/>
          <w:b w:val="false"/>
          <w:sz w:val="24"/>
        </w:rPr>
        <w:t xml:space="preserve">. In the event of (a) the payment of any principal of any Term Benchmark Loan other than on the last day of an Interest Period therefor (including as a result of the occurrence of any Commitment Increase Date or an Event of Default), (b) the conversion of any Term Benchmark Loan other than on the last day of an Interest Period therefor, (c) the failure to borrow, convert, continue or prepay any Term Benchmark Loan on the date specified in any notice delivered pursuant hereto (including, in connection with any Commitment Increase Date, and regardless of whether such notice is permitted to be revocable under </w:t>
      </w:r>
      <w:r>
        <w:rPr>
          <w:rFonts w:ascii="Times New Roman;serif" w:hAnsi="Times New Roman;serif"/>
          <w:b w:val="false"/>
          <w:sz w:val="24"/>
          <w:u w:val="single"/>
        </w:rPr>
        <w:t>Section 2.10(e)</w:t>
      </w:r>
      <w:r>
        <w:rPr/>
        <w:t xml:space="preserve"> </w:t>
      </w:r>
      <w:r>
        <w:rPr>
          <w:rFonts w:ascii="Times New Roman;serif" w:hAnsi="Times New Roman;serif"/>
          <w:b w:val="false"/>
          <w:sz w:val="24"/>
        </w:rPr>
        <w:t xml:space="preserve">and is revoked in accordance herewith), or (d) the assignment as a result of a request by the Borrower pursuant to </w:t>
      </w:r>
      <w:r>
        <w:rPr>
          <w:rFonts w:ascii="Times New Roman;serif" w:hAnsi="Times New Roman;serif"/>
          <w:b w:val="false"/>
          <w:sz w:val="24"/>
          <w:u w:val="single"/>
        </w:rPr>
        <w:t>Section 2.18(b)</w:t>
      </w:r>
      <w:r>
        <w:rPr/>
        <w:t xml:space="preserve"> </w:t>
      </w:r>
      <w:r>
        <w:rPr>
          <w:rFonts w:ascii="Times New Roman;serif" w:hAnsi="Times New Roman;serif"/>
          <w:b w:val="false"/>
          <w:sz w:val="24"/>
        </w:rPr>
        <w:t>of any Term Benchmark Loan other than on the last day of an Interest Period therefor, then, in any such event, the Borrower shall compensate each affected Lender for such Lender’s loss, cost and reasonable expense attributable to such event (excluding loss of anticipated profits). In the case of a Term Benchmark Loan, the loss to any Lender attributable to any such event shall be deemed to include an amount determined by such Lender to be equal to the excess, if any, of:</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amount of interest that such Lender would pay for a deposit equal to the principal amount of such Loan denominated in the Currency of such Loan for the period from the date of such payment, conversion, failure or assignment to the last day of the then-current Interest Period for such Loan (or, in the case of a failure to borrow, convert or continue, the duration of the Interest Period that would have resulted from such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borrowing, conversion or continuation) if the interest rate payable on such deposit were equal to the Term Benchmark Rate for such Currency for such Interest Period, </w:t>
      </w:r>
      <w:r>
        <w:rPr>
          <w:rFonts w:ascii="Times New Roman;serif" w:hAnsi="Times New Roman;serif"/>
          <w:b w:val="false"/>
          <w:sz w:val="24"/>
          <w:u w:val="single"/>
        </w:rPr>
        <w:t>over</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Payment under this Section shall be made upon written request of a Lender delivered to the Borrower not later than five (5) Business Days following the payment, conversion, or failure to borrow, convert, continue or prepay that gives rise to a claim under this Section accompanied by a written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ten (10) Business Days after receipt thereof.</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2.16.</w:t>
      </w:r>
    </w:p>
    <w:p>
      <w:pPr>
        <w:pStyle w:val="TextBody"/>
        <w:bidi w:val="0"/>
        <w:spacing w:before="0" w:after="240"/>
        <w:jc w:val="both"/>
        <w:rPr/>
      </w:pPr>
      <w:r>
        <w:rPr>
          <w:rFonts w:ascii="Times New Roman;serif" w:hAnsi="Times New Roman;serif"/>
          <w:b w:val="false"/>
          <w:sz w:val="24"/>
          <w:u w:val="single"/>
        </w:rPr>
        <w:t>Taxes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Payments Free of Taxes</w:t>
      </w:r>
      <w:r>
        <w:rPr>
          <w:rFonts w:ascii="Times New Roman;serif" w:hAnsi="Times New Roman;serif"/>
          <w:b w:val="false"/>
          <w:sz w:val="24"/>
        </w:rPr>
        <w:t xml:space="preserve">. Any and all payments by or on account of any obligation of the Borrower hereunder or under any other Loan Document shall be made free and clear of and without deduction for any Taxes, except as required by applicable law; </w:t>
      </w:r>
      <w:r>
        <w:rPr>
          <w:rFonts w:ascii="Times New Roman;serif" w:hAnsi="Times New Roman;serif"/>
          <w:b w:val="false"/>
          <w:sz w:val="24"/>
          <w:u w:val="single"/>
        </w:rPr>
        <w:t>provided</w:t>
      </w:r>
      <w:r>
        <w:rPr/>
        <w:t xml:space="preserve"> </w:t>
      </w:r>
      <w:r>
        <w:rPr>
          <w:rFonts w:ascii="Times New Roman;serif" w:hAnsi="Times New Roman;serif"/>
          <w:b w:val="false"/>
          <w:sz w:val="24"/>
        </w:rPr>
        <w:t>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Payment of Other Taxes by the Borrower</w:t>
      </w:r>
      <w:r>
        <w:rPr>
          <w:rFonts w:ascii="Times New Roman;serif" w:hAnsi="Times New Roman;serif"/>
          <w:b w:val="false"/>
          <w:sz w:val="24"/>
        </w:rPr>
        <w:t>. In addition, the Borrower shall pay any Other Taxes to the relevant Governmental Authority in accordance with applicable law.</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Indemnification by the Borrower</w:t>
      </w:r>
      <w:r>
        <w:rPr>
          <w:rFonts w:ascii="Times New Roman;serif" w:hAnsi="Times New Roman;serif"/>
          <w:b w:val="false"/>
          <w:sz w:val="24"/>
        </w:rPr>
        <w:t>. The Borrower shall indemnify the Administrative Agent, each Lender and each Issuing Bank for and, within ten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Indemnification by the Lenders</w:t>
      </w:r>
      <w:r>
        <w:rPr>
          <w:rFonts w:ascii="Times New Roman;serif" w:hAnsi="Times New Roman;serif"/>
          <w:b w:val="false"/>
          <w:sz w:val="24"/>
        </w:rPr>
        <w:t xml:space="preserve">. Each Lender shall severally indemnify the Administrative Agent, within ten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serif" w:hAnsi="Times New Roman;serif"/>
          <w:b w:val="false"/>
          <w:sz w:val="24"/>
          <w:u w:val="single"/>
        </w:rPr>
        <w:t>Section 9.04(f)</w:t>
      </w:r>
      <w:r>
        <w:rPr/>
        <w:t xml:space="preserve"> </w:t>
      </w:r>
      <w:r>
        <w:rPr>
          <w:rFonts w:ascii="Times New Roman;serif" w:hAnsi="Times New Roman;serif"/>
          <w:b w:val="false"/>
          <w:sz w:val="24"/>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serif" w:hAnsi="Times New Roman;serif"/>
          <w:b w:val="false"/>
          <w:sz w:val="24"/>
          <w:u w:val="single"/>
        </w:rPr>
        <w:t>paragraph (d)</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Evidence of Payments</w:t>
      </w:r>
      <w:r>
        <w:rPr>
          <w:rFonts w:ascii="Times New Roman;serif" w:hAnsi="Times New Roman;serif"/>
          <w:b w:val="false"/>
          <w:sz w:val="24"/>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u w:val="single"/>
        </w:rPr>
        <w:t>Tax Documentation</w:t>
      </w:r>
      <w:r>
        <w:rPr>
          <w:rFonts w:ascii="Times New Roman;serif" w:hAnsi="Times New Roman;serif"/>
          <w:b w:val="false"/>
          <w:sz w:val="24"/>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sz w:val="24"/>
          <w:u w:val="single"/>
        </w:rPr>
        <w:t>Section 2.16(f)(ii)</w:t>
      </w:r>
      <w:r>
        <w:rPr/>
        <w:t xml:space="preserve"> </w:t>
      </w:r>
      <w:r>
        <w:rPr>
          <w:rFonts w:ascii="Times New Roman;serif" w:hAnsi="Times New Roman;serif"/>
          <w:b w:val="false"/>
          <w:sz w:val="24"/>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Without limiting the generality of the foregoing:</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 duly completed and executed copies of Internal Revenue Service Form W-8BEN or W-8BEN-E or any successor form claiming eligibility for benefits of an income tax treaty to which the United States is a party,</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(x) duly completed copies of Internal Revenue Service Form W-8ECI or any successor form certifying that the income receivable pursuant to this Agreement is effectively connected with the conduct of a trade or business in the United States,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(y) 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W-8BEN-E (or any successor form) certifying that the Foreign Lender is not a U.S. Person, or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(z) 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 xml:space="preserve">In addition, each Lender shall deliver such forms promptly upon the obsolescence, expiration or invalidity of any form previously delivered by such Lender; </w:t>
      </w:r>
      <w:r>
        <w:rPr>
          <w:rFonts w:ascii="Times New Roman;serif" w:hAnsi="Times New Roman;serif"/>
          <w:b w:val="false"/>
          <w:sz w:val="24"/>
          <w:u w:val="single"/>
        </w:rPr>
        <w:t>provided</w:t>
      </w:r>
      <w:r>
        <w:rPr/>
        <w:t xml:space="preserve"> </w:t>
      </w:r>
      <w:r>
        <w:rPr>
          <w:rFonts w:ascii="Times New Roman;serif" w:hAnsi="Times New Roman;serif"/>
          <w:b w:val="false"/>
          <w:sz w:val="24"/>
        </w:rPr>
        <w:t>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pPr>
      <w:r>
        <w:rPr>
          <w:rFonts w:ascii="Times New Roman;serif" w:hAnsi="Times New Roman;serif"/>
          <w:b w:val="false"/>
          <w:sz w:val="24"/>
          <w:u w:val="single"/>
        </w:rPr>
        <w:t>Documentation Required by FATCA</w:t>
      </w:r>
      <w:r>
        <w:rPr>
          <w:rFonts w:ascii="Times New Roman;serif" w:hAnsi="Times New Roman;serif"/>
          <w:b w:val="false"/>
          <w:sz w:val="24"/>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Times New Roman;serif" w:hAnsi="Times New Roman;serif"/>
          <w:b w:val="false"/>
          <w:sz w:val="24"/>
          <w:u w:val="single"/>
        </w:rPr>
        <w:t>Section 2.16(g)</w:t>
      </w:r>
      <w:r>
        <w:rPr>
          <w:rFonts w:ascii="Times New Roman;serif" w:hAnsi="Times New Roman;serif"/>
          <w:b w:val="false"/>
          <w:sz w:val="24"/>
        </w:rPr>
        <w:t>, “FATCA” shall include any amendments made to FATCA after the date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pPr>
      <w:r>
        <w:rPr>
          <w:rFonts w:ascii="Times New Roman;serif" w:hAnsi="Times New Roman;serif"/>
          <w:b w:val="false"/>
          <w:sz w:val="24"/>
          <w:u w:val="single"/>
        </w:rPr>
        <w:t>Treatment of Certain Refunds</w:t>
      </w:r>
      <w:r>
        <w:rPr>
          <w:rFonts w:ascii="Times New Roman;serif" w:hAnsi="Times New Roman;serif"/>
          <w:b w:val="false"/>
          <w:sz w:val="24"/>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Times New Roman;serif" w:hAnsi="Times New Roman;serif"/>
          <w:b w:val="false"/>
          <w:sz w:val="24"/>
          <w:u w:val="single"/>
        </w:rPr>
        <w:t>clause (h)</w:t>
      </w:r>
      <w:r>
        <w:rPr>
          <w:rFonts w:ascii="Times New Roman;serif" w:hAnsi="Times New Roman;serif"/>
          <w:b w:val="false"/>
          <w:sz w:val="24"/>
        </w:rPr>
        <w:t xml:space="preserve">, in no event will the Administrative Agent, any Lender or an Issuing Bank be required to pay any amount to Borrower pursuant to this </w:t>
      </w:r>
      <w:r>
        <w:rPr>
          <w:rFonts w:ascii="Times New Roman;serif" w:hAnsi="Times New Roman;serif"/>
          <w:b w:val="false"/>
          <w:sz w:val="24"/>
          <w:u w:val="single"/>
        </w:rPr>
        <w:t>clause (h)</w:t>
      </w:r>
      <w:r>
        <w:rPr>
          <w:rFonts w:ascii="Times New Roman;serif" w:hAnsi="Times New Roman;serif"/>
          <w:b w:val="false"/>
          <w:sz w:val="24"/>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2.17.</w:t>
      </w:r>
    </w:p>
    <w:p>
      <w:pPr>
        <w:pStyle w:val="TextBody"/>
        <w:bidi w:val="0"/>
        <w:spacing w:before="0" w:after="240"/>
        <w:jc w:val="both"/>
        <w:rPr/>
      </w:pPr>
      <w:r>
        <w:rPr>
          <w:rFonts w:ascii="Times New Roman;serif" w:hAnsi="Times New Roman;serif"/>
          <w:b w:val="false"/>
          <w:sz w:val="24"/>
          <w:u w:val="single"/>
        </w:rPr>
        <w:t>Payments Generally; Pro Rata Treatment: Sharing of Set-offs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Payments by the Borrower</w:t>
      </w:r>
      <w:r>
        <w:rPr>
          <w:rFonts w:ascii="Times New Roman;serif" w:hAnsi="Times New Roman;serif"/>
          <w:b w:val="false"/>
          <w:sz w:val="24"/>
        </w:rPr>
        <w:t xml:space="preserve">. The Borrower shall make each payment required to be made by it hereunder (whether of principal, interest, fees or reimbursement of LC Disbursements, or under </w:t>
      </w:r>
      <w:r>
        <w:rPr>
          <w:rFonts w:ascii="Times New Roman;serif" w:hAnsi="Times New Roman;serif"/>
          <w:b w:val="false"/>
          <w:sz w:val="24"/>
          <w:u w:val="single"/>
        </w:rPr>
        <w:t>Section 2.14</w:t>
      </w:r>
      <w:r>
        <w:rPr>
          <w:rFonts w:ascii="Times New Roman;serif" w:hAnsi="Times New Roman;serif"/>
          <w:b w:val="false"/>
          <w:sz w:val="24"/>
        </w:rPr>
        <w:t xml:space="preserve">, </w:t>
      </w:r>
      <w:r>
        <w:rPr>
          <w:rFonts w:ascii="Times New Roman;serif" w:hAnsi="Times New Roman;serif"/>
          <w:b w:val="false"/>
          <w:sz w:val="24"/>
          <w:u w:val="single"/>
        </w:rPr>
        <w:t>2.15</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2.16</w:t>
      </w:r>
      <w:r>
        <w:rPr>
          <w:rFonts w:ascii="Times New Roman;serif" w:hAnsi="Times New Roman;serif"/>
          <w:b w:val="false"/>
          <w:sz w:val="24"/>
        </w:rPr>
        <w:t xml:space="preserve">, or otherwise) or under any other Loan Document (except to the extent otherwise provided therein)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Times New Roman;serif" w:hAnsi="Times New Roman;serif"/>
          <w:b w:val="false"/>
          <w:sz w:val="24"/>
          <w:u w:val="single"/>
        </w:rPr>
        <w:t>Sections 2.14</w:t>
      </w:r>
      <w:r>
        <w:rPr>
          <w:rFonts w:ascii="Times New Roman;serif" w:hAnsi="Times New Roman;serif"/>
          <w:b w:val="false"/>
          <w:sz w:val="24"/>
        </w:rPr>
        <w:t xml:space="preserve">, </w:t>
      </w:r>
      <w:r>
        <w:rPr>
          <w:rFonts w:ascii="Times New Roman;serif" w:hAnsi="Times New Roman;serif"/>
          <w:b w:val="false"/>
          <w:sz w:val="24"/>
          <w:u w:val="single"/>
        </w:rPr>
        <w:t>2.15</w:t>
      </w:r>
      <w:r>
        <w:rPr>
          <w:rFonts w:ascii="Times New Roman;serif" w:hAnsi="Times New Roman;serif"/>
          <w:b w:val="false"/>
          <w:sz w:val="24"/>
        </w:rPr>
        <w:t xml:space="preserve">, </w:t>
      </w:r>
      <w:r>
        <w:rPr>
          <w:rFonts w:ascii="Times New Roman;serif" w:hAnsi="Times New Roman;serif"/>
          <w:b w:val="false"/>
          <w:sz w:val="24"/>
          <w:u w:val="single"/>
        </w:rPr>
        <w:t>2.16</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9.03</w:t>
      </w:r>
      <w:r>
        <w:rPr>
          <w:rFonts w:ascii="Times New Roman;serif" w:hAnsi="Times New Roman;serif"/>
          <w:b w:val="false"/>
          <w:sz w:val="24"/>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All amounts owing under this Agreement (including commitment fees, payments required under </w:t>
      </w:r>
      <w:r>
        <w:rPr>
          <w:rFonts w:ascii="Times New Roman;serif" w:hAnsi="Times New Roman;serif"/>
          <w:b w:val="false"/>
          <w:sz w:val="24"/>
          <w:u w:val="single"/>
        </w:rPr>
        <w:t>Section 2.14</w:t>
      </w:r>
      <w:r>
        <w:rPr>
          <w:rFonts w:ascii="Times New Roman;serif" w:hAnsi="Times New Roman;serif"/>
          <w:b w:val="false"/>
          <w:sz w:val="24"/>
        </w:rPr>
        <w:t xml:space="preserve">, and payments required under </w:t>
      </w:r>
      <w:r>
        <w:rPr>
          <w:rFonts w:ascii="Times New Roman;serif" w:hAnsi="Times New Roman;serif"/>
          <w:b w:val="false"/>
          <w:sz w:val="24"/>
          <w:u w:val="single"/>
        </w:rPr>
        <w:t>Section 2.15</w:t>
      </w:r>
      <w:r>
        <w:rPr>
          <w:rFonts w:ascii="Times New Roman" w:hAnsi="Times New Roman"/>
          <w:sz w:val="20"/>
        </w:rPr>
        <w:t xml:space="preserve"> </w:t>
      </w:r>
      <w:r>
        <w:rPr>
          <w:rFonts w:ascii="Times New Roman;serif" w:hAnsi="Times New Roman;serif"/>
          <w:b w:val="false"/>
          <w:sz w:val="24"/>
        </w:rPr>
        <w:t xml:space="preserve">relating to any Loan denominated in Dollars, but not including principal of and interest on any Loan denominated in any Foreign Currency or payments relating to any such Loan required under </w:t>
      </w:r>
      <w:r>
        <w:rPr>
          <w:rFonts w:ascii="Times New Roman;serif" w:hAnsi="Times New Roman;serif"/>
          <w:b w:val="false"/>
          <w:sz w:val="24"/>
          <w:u w:val="single"/>
        </w:rPr>
        <w:t>Section 2.15</w:t>
      </w:r>
      <w:r>
        <w:rPr>
          <w:rFonts w:ascii="Times New Roman;serif" w:hAnsi="Times New Roman;serif"/>
          <w:b w:val="false"/>
          <w:sz w:val="24"/>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pStyle w:val="TextBody"/>
        <w:bidi w:val="0"/>
        <w:spacing w:before="0" w:after="240"/>
        <w:jc w:val="both"/>
        <w:rPr>
          <w:rFonts w:ascii="Times New Roman" w:hAnsi="Times New Roman"/>
          <w:sz w:val="20"/>
        </w:rPr>
      </w:pPr>
      <w:r>
        <w:rPr>
          <w:rFonts w:ascii="Times New Roman;serif" w:hAnsi="Times New Roman;serif"/>
          <w:b w:val="false"/>
          <w:sz w:val="24"/>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Times New Roman;serif" w:hAnsi="Times New Roman;serif"/>
          <w:b w:val="false"/>
          <w:sz w:val="24"/>
          <w:u w:val="single"/>
        </w:rPr>
        <w:t>Original Currency</w:t>
      </w:r>
      <w:r>
        <w:rPr>
          <w:rFonts w:ascii="Times New Roman" w:hAnsi="Times New Roman"/>
          <w:sz w:val="20"/>
        </w:rPr>
        <w:t>”</w:t>
      </w:r>
      <w:r>
        <w:rPr>
          <w:rFonts w:ascii="Times New Roman;serif" w:hAnsi="Times New Roman;serif"/>
          <w:b w:val="false"/>
          <w:sz w:val="24"/>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Application of Insufficient Payments</w:t>
      </w:r>
      <w:r>
        <w:rPr>
          <w:rFonts w:ascii="Times New Roman;serif" w:hAnsi="Times New Roman;serif"/>
          <w:b w:val="false"/>
          <w:sz w:val="24"/>
        </w:rPr>
        <w:t>. If at any time insufficient funds are received by and available to the Administrative Agent to pay fully all amounts of principal, unreimbursed 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Pro Rata Treatment</w:t>
      </w:r>
      <w:r>
        <w:rPr>
          <w:rFonts w:ascii="Times New Roman;serif" w:hAnsi="Times New Roman;serif"/>
          <w:b w:val="false"/>
          <w:sz w:val="24"/>
        </w:rPr>
        <w:t xml:space="preserve">. Except to the extent otherwise provided herein: (i) other than with respect any Syndicated Borrowing requested pursuant to </w:t>
      </w:r>
      <w:r>
        <w:rPr>
          <w:rFonts w:ascii="Times New Roman;serif" w:hAnsi="Times New Roman;serif"/>
          <w:b w:val="false"/>
          <w:sz w:val="24"/>
          <w:u w:val="single"/>
        </w:rPr>
        <w:t>Section 2.20</w:t>
      </w:r>
      <w:r>
        <w:rPr>
          <w:rFonts w:ascii="Times New Roman;serif" w:hAnsi="Times New Roman;serif"/>
          <w:b w:val="false"/>
          <w:sz w:val="24"/>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Times New Roman;serif" w:hAnsi="Times New Roman;serif"/>
          <w:b w:val="false"/>
          <w:sz w:val="24"/>
          <w:u w:val="single"/>
        </w:rPr>
        <w:t>Section 2.11</w:t>
      </w:r>
      <w:r>
        <w:rPr/>
        <w:t xml:space="preserve"> </w:t>
      </w:r>
      <w:r>
        <w:rPr>
          <w:rFonts w:ascii="Times New Roman;serif" w:hAnsi="Times New Roman;serif"/>
          <w:b w:val="false"/>
          <w:sz w:val="24"/>
        </w:rPr>
        <w:t xml:space="preserve">shall be made for account of the Lenders of the applicable Class, and each termination or reduction of the amount of the Commitments of a Class of Commitments or Final Maturity Date under </w:t>
      </w:r>
      <w:r>
        <w:rPr>
          <w:rFonts w:ascii="Times New Roman;serif" w:hAnsi="Times New Roman;serif"/>
          <w:b w:val="false"/>
          <w:sz w:val="24"/>
          <w:u w:val="single"/>
        </w:rPr>
        <w:t>Section 2.08</w:t>
      </w:r>
      <w:r>
        <w:rPr/>
        <w:t xml:space="preserve"> </w:t>
      </w:r>
      <w:r>
        <w:rPr>
          <w:rFonts w:ascii="Times New Roman;serif" w:hAnsi="Times New Roman;serif"/>
          <w:b w:val="false"/>
          <w:sz w:val="24"/>
        </w:rPr>
        <w:t xml:space="preserve">shall be applied to the respective Commitments of the Lenders of such Class of Commitments or Final Maturity Date, pro rata according to the amounts of their respective Commitments of such Class of Commitments or Final Maturity Date; (ii) each Syndicated Borrowing of a Class of Commitments shall be allocated pro rata among the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Sharing of Payments by Lenders</w:t>
      </w:r>
      <w:r>
        <w:rPr>
          <w:rFonts w:ascii="Times New Roman;serif" w:hAnsi="Times New Roman;serif"/>
          <w:b w:val="false"/>
          <w:sz w:val="24"/>
        </w:rPr>
        <w:t xml:space="preserve">.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serif" w:hAnsi="Times New Roman;serif"/>
          <w:b w:val="false"/>
          <w:sz w:val="24"/>
          <w:u w:val="single"/>
        </w:rPr>
        <w:t>provided</w:t>
      </w:r>
      <w:r>
        <w:rPr/>
        <w:t xml:space="preserve"> </w:t>
      </w:r>
      <w:r>
        <w:rPr>
          <w:rFonts w:ascii="Times New Roman;serif" w:hAnsi="Times New Roman;serif"/>
          <w:b w:val="false"/>
          <w:sz w:val="24"/>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Presumptions of Payment</w:t>
      </w:r>
      <w:r>
        <w:rPr>
          <w:rFonts w:ascii="Times New Roman;serif" w:hAnsi="Times New Roman;serif"/>
          <w:b w:val="false"/>
          <w:sz w:val="24"/>
        </w:rPr>
        <w:t xml:space="preserve">.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distributed to it to but excluding the date of payment to the Administrative Agent at the Federal Funds Effective Rate.</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u w:val="single"/>
        </w:rPr>
        <w:t>Certain Deductions by the Administrative Agent</w:t>
      </w:r>
      <w:r>
        <w:rPr>
          <w:rFonts w:ascii="Times New Roman;serif" w:hAnsi="Times New Roman;serif"/>
          <w:b w:val="false"/>
          <w:sz w:val="24"/>
        </w:rPr>
        <w:t xml:space="preserve">. If any Lender shall fail to make any payment required to be made by it pursuant to </w:t>
      </w:r>
      <w:r>
        <w:rPr>
          <w:rFonts w:ascii="Times New Roman;serif" w:hAnsi="Times New Roman;serif"/>
          <w:b w:val="false"/>
          <w:sz w:val="24"/>
          <w:u w:val="single"/>
        </w:rPr>
        <w:t>Section 2.04(c)</w:t>
      </w:r>
      <w:r>
        <w:rPr>
          <w:rFonts w:ascii="Times New Roman;serif" w:hAnsi="Times New Roman;serif"/>
          <w:b w:val="false"/>
          <w:sz w:val="24"/>
        </w:rPr>
        <w:t xml:space="preserve">, </w:t>
      </w:r>
      <w:r>
        <w:rPr>
          <w:rFonts w:ascii="Times New Roman;serif" w:hAnsi="Times New Roman;serif"/>
          <w:b w:val="false"/>
          <w:sz w:val="24"/>
          <w:u w:val="single"/>
        </w:rPr>
        <w:t>2.05(e)</w:t>
      </w:r>
      <w:r>
        <w:rPr>
          <w:rFonts w:ascii="Times New Roman;serif" w:hAnsi="Times New Roman;serif"/>
          <w:b w:val="false"/>
          <w:sz w:val="24"/>
        </w:rPr>
        <w:t xml:space="preserve">, </w:t>
      </w:r>
      <w:r>
        <w:rPr>
          <w:rFonts w:ascii="Times New Roman;serif" w:hAnsi="Times New Roman;serif"/>
          <w:b w:val="false"/>
          <w:sz w:val="24"/>
          <w:u w:val="single"/>
        </w:rPr>
        <w:t>2.06(a)</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(b)</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2.17(e)</w:t>
      </w:r>
      <w:r>
        <w:rPr>
          <w:rFonts w:ascii="Times New Roman;serif" w:hAnsi="Times New Roman;serif"/>
          <w:b w:val="false"/>
          <w:sz w:val="24"/>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2.18.</w:t>
      </w:r>
    </w:p>
    <w:p>
      <w:pPr>
        <w:pStyle w:val="TextBody"/>
        <w:bidi w:val="0"/>
        <w:spacing w:before="0" w:after="240"/>
        <w:jc w:val="both"/>
        <w:rPr/>
      </w:pPr>
      <w:r>
        <w:rPr>
          <w:rFonts w:ascii="Times New Roman;serif" w:hAnsi="Times New Roman;serif"/>
          <w:b w:val="false"/>
          <w:sz w:val="24"/>
          <w:u w:val="single"/>
        </w:rPr>
        <w:t>Mitigation Obligations; Replacement of Lenders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Designation of a Different Lending Office</w:t>
      </w:r>
      <w:r>
        <w:rPr>
          <w:rFonts w:ascii="Times New Roman;serif" w:hAnsi="Times New Roman;serif"/>
          <w:b w:val="false"/>
          <w:sz w:val="24"/>
        </w:rPr>
        <w:t xml:space="preserve">. If any Lender requests compensation under </w:t>
      </w:r>
      <w:r>
        <w:rPr>
          <w:rFonts w:ascii="Times New Roman;serif" w:hAnsi="Times New Roman;serif"/>
          <w:b w:val="false"/>
          <w:sz w:val="24"/>
          <w:u w:val="single"/>
        </w:rPr>
        <w:t>Section 2.14</w:t>
      </w:r>
      <w:r>
        <w:rPr>
          <w:rFonts w:ascii="Times New Roman;serif" w:hAnsi="Times New Roman;serif"/>
          <w:b w:val="false"/>
          <w:sz w:val="24"/>
        </w:rPr>
        <w:t xml:space="preserve">, or if the Borrower is required to pay any additional amount to any Lender or any Governmental Authority for the account of any Lender pursuant to </w:t>
      </w:r>
      <w:r>
        <w:rPr>
          <w:rFonts w:ascii="Times New Roman;serif" w:hAnsi="Times New Roman;serif"/>
          <w:b w:val="false"/>
          <w:sz w:val="24"/>
          <w:u w:val="single"/>
        </w:rPr>
        <w:t>Section 2.16</w:t>
      </w:r>
      <w:r>
        <w:rPr>
          <w:rFonts w:ascii="Times New Roman;serif" w:hAnsi="Times New Roman;serif"/>
          <w:b w:val="false"/>
          <w:sz w:val="24"/>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serif" w:hAnsi="Times New Roman;serif"/>
          <w:b w:val="false"/>
          <w:sz w:val="24"/>
          <w:u w:val="single"/>
        </w:rPr>
        <w:t>Section 2.14</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2.16</w:t>
      </w:r>
      <w:r>
        <w:rPr>
          <w:rFonts w:ascii="Times New Roman;serif" w:hAnsi="Times New Roman;serif"/>
          <w:b w:val="false"/>
          <w:sz w:val="24"/>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Replacement of Lenders</w:t>
      </w:r>
      <w:r>
        <w:rPr>
          <w:rFonts w:ascii="Times New Roman;serif" w:hAnsi="Times New Roman;serif"/>
          <w:b w:val="false"/>
          <w:sz w:val="24"/>
        </w:rPr>
        <w:t xml:space="preserve">. If any Lender requests compensation under </w:t>
      </w:r>
      <w:r>
        <w:rPr>
          <w:rFonts w:ascii="Times New Roman;serif" w:hAnsi="Times New Roman;serif"/>
          <w:b w:val="false"/>
          <w:sz w:val="24"/>
          <w:u w:val="single"/>
        </w:rPr>
        <w:t>Section 2.14</w:t>
      </w:r>
      <w:r>
        <w:rPr>
          <w:rFonts w:ascii="Times New Roman;serif" w:hAnsi="Times New Roman;serif"/>
          <w:b w:val="false"/>
          <w:sz w:val="24"/>
        </w:rPr>
        <w:t xml:space="preserve">, or if the Borrower is required to pay any additional amount to any Lender or any Governmental Authority for account of any Lender pursuant to </w:t>
      </w:r>
      <w:r>
        <w:rPr>
          <w:rFonts w:ascii="Times New Roman;serif" w:hAnsi="Times New Roman;serif"/>
          <w:b w:val="false"/>
          <w:sz w:val="24"/>
          <w:u w:val="single"/>
        </w:rPr>
        <w:t>Section 2.16</w:t>
      </w:r>
      <w:r>
        <w:rPr>
          <w:rFonts w:ascii="Times New Roman;serif" w:hAnsi="Times New Roman;serif"/>
          <w:b w:val="false"/>
          <w:sz w:val="24"/>
        </w:rPr>
        <w:t xml:space="preserve">, or if any Lender becomes a Defaulting Lender or is a Non-Consenting Lender (as provided in </w:t>
      </w:r>
      <w:r>
        <w:rPr>
          <w:rFonts w:ascii="Times New Roman;serif" w:hAnsi="Times New Roman;serif"/>
          <w:b w:val="false"/>
          <w:sz w:val="24"/>
          <w:u w:val="single"/>
        </w:rPr>
        <w:t>Section 9.02(d)</w:t>
      </w:r>
      <w:r>
        <w:rPr>
          <w:rFonts w:ascii="Times New Roman;serif" w:hAnsi="Times New Roman;serif"/>
          <w:b w:val="false"/>
          <w:sz w:val="24"/>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serif" w:hAnsi="Times New Roman;serif"/>
          <w:b w:val="false"/>
          <w:sz w:val="24"/>
          <w:u w:val="single"/>
        </w:rPr>
        <w:t>Section 9.04</w:t>
      </w:r>
      <w:r>
        <w:rPr>
          <w:rFonts w:ascii="Times New Roman;serif" w:hAnsi="Times New Roman;serif"/>
          <w:b w:val="false"/>
          <w:sz w:val="24"/>
        </w:rPr>
        <w:t xml:space="preserve">), all its interests, rights and obligations under this Agreement to an assignee that shall assume such obligations (which assignee may be another Lender, if a Lender accepts such assignment);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 the Borrower shall have received the prior written consent of the Administrative Agent (and, if a Commitment is being assigned, each Issuing Bank and each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then due and payable) and (iii) in the case of any such assignment resulting from a claim for compensation under </w:t>
      </w:r>
      <w:r>
        <w:rPr>
          <w:rFonts w:ascii="Times New Roman;serif" w:hAnsi="Times New Roman;serif"/>
          <w:b w:val="false"/>
          <w:sz w:val="24"/>
          <w:u w:val="single"/>
        </w:rPr>
        <w:t>Section 2.14</w:t>
      </w:r>
      <w:r>
        <w:rPr/>
        <w:t xml:space="preserve"> </w:t>
      </w:r>
      <w:r>
        <w:rPr>
          <w:rFonts w:ascii="Times New Roman;serif" w:hAnsi="Times New Roman;serif"/>
          <w:b w:val="false"/>
          <w:sz w:val="24"/>
        </w:rPr>
        <w:t xml:space="preserve">or payments required to be made pursuant to </w:t>
      </w:r>
      <w:r>
        <w:rPr>
          <w:rFonts w:ascii="Times New Roman;serif" w:hAnsi="Times New Roman;serif"/>
          <w:b w:val="false"/>
          <w:sz w:val="24"/>
          <w:u w:val="single"/>
        </w:rPr>
        <w:t>Section 2.16</w:t>
      </w:r>
      <w:r>
        <w:rPr>
          <w:rFonts w:ascii="Times New Roman;serif" w:hAnsi="Times New Roman;serif"/>
          <w:b w:val="false"/>
          <w:sz w:val="24"/>
        </w:rPr>
        <w:t>, such assignment is reasonably expected at the time of such assignment request to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2.19.</w:t>
      </w:r>
    </w:p>
    <w:p>
      <w:pPr>
        <w:pStyle w:val="TextBody"/>
        <w:bidi w:val="0"/>
        <w:spacing w:before="0" w:after="240"/>
        <w:jc w:val="both"/>
        <w:rPr/>
      </w:pPr>
      <w:r>
        <w:rPr>
          <w:rFonts w:ascii="Times New Roman;serif" w:hAnsi="Times New Roman;serif"/>
          <w:b w:val="false"/>
          <w:sz w:val="24"/>
          <w:u w:val="single"/>
        </w:rPr>
        <w:t>Defaulting Lenders</w:t>
      </w:r>
      <w:r>
        <w:rPr>
          <w:rFonts w:ascii="Times New Roman;serif" w:hAnsi="Times New Roman;serif"/>
          <w:b w:val="false"/>
          <w:sz w:val="24"/>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Defaulting Lender Adjustments</w:t>
      </w:r>
      <w:r>
        <w:rPr>
          <w:rFonts w:ascii="Times New Roman;serif" w:hAnsi="Times New Roman;serif"/>
          <w:b w:val="false"/>
          <w:sz w:val="24"/>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u w:val="single"/>
        </w:rPr>
        <w:t>Defaulting Lender Waterfall</w:t>
      </w:r>
      <w:r>
        <w:rPr>
          <w:rFonts w:ascii="Times New Roman;serif" w:hAnsi="Times New Roman;serif"/>
          <w:b w:val="false"/>
          <w:sz w:val="24"/>
        </w:rPr>
        <w:t xml:space="preserve">. Any payment of principal, interest, fees or other amounts received by Administrative Agent for the account of such Defaulting Lender (whether voluntary or mandatory, at maturity, pursuant to </w:t>
      </w:r>
      <w:r>
        <w:rPr>
          <w:rFonts w:ascii="Times New Roman;serif" w:hAnsi="Times New Roman;serif"/>
          <w:b w:val="false"/>
          <w:sz w:val="24"/>
          <w:u w:val="single"/>
        </w:rPr>
        <w:t>Article VII</w:t>
      </w:r>
      <w:r>
        <w:rPr/>
        <w:t xml:space="preserve"> </w:t>
      </w:r>
      <w:r>
        <w:rPr>
          <w:rFonts w:ascii="Times New Roman;serif" w:hAnsi="Times New Roman;serif"/>
          <w:b w:val="false"/>
          <w:sz w:val="24"/>
        </w:rPr>
        <w:t xml:space="preserve">or otherwise) or received by Administrative Agent from a Defaulting Lender pursuant to </w:t>
      </w:r>
      <w:r>
        <w:rPr>
          <w:rFonts w:ascii="Times New Roman;serif" w:hAnsi="Times New Roman;serif"/>
          <w:b w:val="false"/>
          <w:sz w:val="24"/>
          <w:u w:val="single"/>
        </w:rPr>
        <w:t>Section 9.08</w:t>
      </w:r>
      <w:r>
        <w:rPr/>
        <w:t xml:space="preserve"> </w:t>
      </w:r>
      <w:r>
        <w:rPr>
          <w:rFonts w:ascii="Times New Roman;serif" w:hAnsi="Times New Roman;serif"/>
          <w:b w:val="false"/>
          <w:sz w:val="24"/>
        </w:rPr>
        <w:t xml:space="preserve">shall be applied at such time or times as may be determined by Administrative Agent as follows: </w:t>
      </w:r>
      <w:r>
        <w:rPr>
          <w:rFonts w:ascii="Times New Roman;serif" w:hAnsi="Times New Roman;serif"/>
          <w:b w:val="false"/>
          <w:i/>
          <w:sz w:val="24"/>
        </w:rPr>
        <w:t>first</w:t>
      </w:r>
      <w:r>
        <w:rPr>
          <w:rFonts w:ascii="Times New Roman;serif" w:hAnsi="Times New Roman;serif"/>
          <w:b w:val="false"/>
          <w:sz w:val="24"/>
        </w:rPr>
        <w:t xml:space="preserve">, to the payment of any amounts owing by such Defaulting Lender to Administrative Agent hereunder; </w:t>
      </w:r>
      <w:r>
        <w:rPr>
          <w:rFonts w:ascii="Times New Roman;serif" w:hAnsi="Times New Roman;serif"/>
          <w:b w:val="false"/>
          <w:i/>
          <w:sz w:val="24"/>
        </w:rPr>
        <w:t>second</w:t>
      </w:r>
      <w:r>
        <w:rPr>
          <w:rFonts w:ascii="Times New Roman;serif" w:hAnsi="Times New Roman;serif"/>
          <w:b w:val="false"/>
          <w:sz w:val="24"/>
        </w:rPr>
        <w:t xml:space="preserve">, to the payment on a pro rata basis of any amounts owing by such Defaulting Lender to any Issuing Bank or any Swingline Lender hereunder; </w:t>
      </w:r>
      <w:r>
        <w:rPr>
          <w:rFonts w:ascii="Times New Roman;serif" w:hAnsi="Times New Roman;serif"/>
          <w:b w:val="false"/>
          <w:i/>
          <w:sz w:val="24"/>
        </w:rPr>
        <w:t>third</w:t>
      </w:r>
      <w:r>
        <w:rPr>
          <w:rFonts w:ascii="Times New Roman;serif" w:hAnsi="Times New Roman;serif"/>
          <w:b w:val="false"/>
          <w:sz w:val="24"/>
        </w:rPr>
        <w:t xml:space="preserve">, to Cash Collateralize each Issuing Bank’s Fronting Exposure with respect to such Defaulting Lender in the manner described in </w:t>
      </w:r>
      <w:r>
        <w:rPr>
          <w:rFonts w:ascii="Times New Roman;serif" w:hAnsi="Times New Roman;serif"/>
          <w:b w:val="false"/>
          <w:sz w:val="24"/>
          <w:u w:val="single"/>
        </w:rPr>
        <w:t>Section 2.09(a)</w:t>
      </w:r>
      <w:r>
        <w:rPr>
          <w:rFonts w:ascii="Times New Roman;serif" w:hAnsi="Times New Roman;serif"/>
          <w:b w:val="false"/>
          <w:sz w:val="24"/>
        </w:rPr>
        <w:t xml:space="preserve">; </w:t>
      </w:r>
      <w:r>
        <w:rPr>
          <w:rFonts w:ascii="Times New Roman;serif" w:hAnsi="Times New Roman;serif"/>
          <w:b w:val="false"/>
          <w:i/>
          <w:sz w:val="24"/>
        </w:rPr>
        <w:t>fourth</w:t>
      </w:r>
      <w:r>
        <w:rPr>
          <w:rFonts w:ascii="Times New Roman;serif" w:hAnsi="Times New Roman;serif"/>
          <w:b w:val="false"/>
          <w:sz w:val="24"/>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Times New Roman;serif" w:hAnsi="Times New Roman;serif"/>
          <w:b w:val="false"/>
          <w:i/>
          <w:sz w:val="24"/>
        </w:rPr>
        <w:t>fifth</w:t>
      </w:r>
      <w:r>
        <w:rPr>
          <w:rFonts w:ascii="Times New Roman;serif" w:hAnsi="Times New Roman;serif"/>
          <w:b w:val="false"/>
          <w:sz w:val="24"/>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Times New Roman;serif" w:hAnsi="Times New Roman;serif"/>
          <w:b w:val="false"/>
          <w:sz w:val="24"/>
          <w:u w:val="single"/>
        </w:rPr>
        <w:t>Section 2.09(a)</w:t>
      </w:r>
      <w:r>
        <w:rPr>
          <w:rFonts w:ascii="Times New Roman;serif" w:hAnsi="Times New Roman;serif"/>
          <w:b w:val="false"/>
          <w:sz w:val="24"/>
        </w:rPr>
        <w:t xml:space="preserve">; </w:t>
      </w:r>
      <w:r>
        <w:rPr>
          <w:rFonts w:ascii="Times New Roman;serif" w:hAnsi="Times New Roman;serif"/>
          <w:b w:val="false"/>
          <w:i/>
          <w:sz w:val="24"/>
        </w:rPr>
        <w:t>sixth</w:t>
      </w:r>
      <w:r>
        <w:rPr>
          <w:rFonts w:ascii="Times New Roman;serif" w:hAnsi="Times New Roman;serif"/>
          <w:b w:val="false"/>
          <w:sz w:val="24"/>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Times New Roman;serif" w:hAnsi="Times New Roman;serif"/>
          <w:b w:val="false"/>
          <w:i/>
          <w:sz w:val="24"/>
        </w:rPr>
        <w:t>seventh</w:t>
      </w:r>
      <w:r>
        <w:rPr>
          <w:rFonts w:ascii="Times New Roman;serif" w:hAnsi="Times New Roman;serif"/>
          <w:b w:val="false"/>
          <w:sz w:val="24"/>
        </w:rPr>
        <w:t xml:space="preserve">,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serif" w:hAnsi="Times New Roman;serif"/>
          <w:b w:val="false"/>
          <w:i/>
          <w:sz w:val="24"/>
        </w:rPr>
        <w:t>eighth</w:t>
      </w:r>
      <w:r>
        <w:rPr>
          <w:rFonts w:ascii="Times New Roman;serif" w:hAnsi="Times New Roman;serif"/>
          <w:b w:val="false"/>
          <w:sz w:val="24"/>
        </w:rPr>
        <w:t xml:space="preserve">, to such Defaulting Lender or as otherwise directed by a court of competent jurisdiction;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Times New Roman;serif" w:hAnsi="Times New Roman;serif"/>
          <w:b w:val="false"/>
          <w:sz w:val="24"/>
          <w:u w:val="single"/>
        </w:rPr>
        <w:t>Section 4.02</w:t>
      </w:r>
      <w:r>
        <w:rPr/>
        <w:t xml:space="preserve"> </w:t>
      </w:r>
      <w:r>
        <w:rPr>
          <w:rFonts w:ascii="Times New Roman;serif" w:hAnsi="Times New Roman;serif"/>
          <w:b w:val="false"/>
          <w:sz w:val="24"/>
        </w:rPr>
        <w:t xml:space="preserve">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serif" w:hAnsi="Times New Roman;serif"/>
          <w:b w:val="false"/>
          <w:sz w:val="24"/>
          <w:u w:val="single"/>
        </w:rPr>
        <w:t>Section 2.19(a)(iii)</w:t>
      </w:r>
      <w:r>
        <w:rPr>
          <w:rFonts w:ascii="Times New Roman;serif" w:hAnsi="Times New Roman;serif"/>
          <w:b w:val="false"/>
          <w:sz w:val="24"/>
        </w:rPr>
        <w:t xml:space="preserve">.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sz w:val="24"/>
          <w:u w:val="single"/>
        </w:rPr>
        <w:t>Section 2.19(a)(i)</w:t>
      </w:r>
      <w:r>
        <w:rPr/>
        <w:t xml:space="preserve"> </w:t>
      </w:r>
      <w:r>
        <w:rPr>
          <w:rFonts w:ascii="Times New Roman;serif" w:hAnsi="Times New Roman;serif"/>
          <w:b w:val="false"/>
          <w:sz w:val="24"/>
        </w:rPr>
        <w:t>shall be deemed paid to and redirected by such Defaulting Lender, and each Lender irrevocably consents hereto.</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Certain Fees.</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No Defaulting Lender shall be entitled to receive any fee pursuant to </w:t>
      </w:r>
      <w:r>
        <w:rPr>
          <w:rFonts w:ascii="Times New Roman;serif" w:hAnsi="Times New Roman;serif"/>
          <w:b w:val="false"/>
          <w:sz w:val="24"/>
          <w:u w:val="single"/>
        </w:rPr>
        <w:t>Sections 2.11(a)</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(b)</w:t>
      </w:r>
      <w:r>
        <w:rPr/>
        <w:t xml:space="preserve"> </w:t>
      </w:r>
      <w:r>
        <w:rPr>
          <w:rFonts w:ascii="Times New Roman;serif" w:hAnsi="Times New Roman;serif"/>
          <w:b w:val="false"/>
          <w:sz w:val="24"/>
        </w:rPr>
        <w:t xml:space="preserve">for any period during which that Lender is a Defaulting Lender (and Borrower shall not be required to pay any such fee that otherwise would have been required to have been paid to that Defaulting Lender);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such Defaulting Lender shall be entitled to receive fees pursuant to </w:t>
      </w:r>
      <w:r>
        <w:rPr>
          <w:rFonts w:ascii="Times New Roman;serif" w:hAnsi="Times New Roman;serif"/>
          <w:b w:val="false"/>
          <w:sz w:val="24"/>
          <w:u w:val="single"/>
        </w:rPr>
        <w:t>Section 2.11(b)</w:t>
      </w:r>
      <w:r>
        <w:rPr/>
        <w:t xml:space="preserve"> </w:t>
      </w:r>
      <w:r>
        <w:rPr>
          <w:rFonts w:ascii="Times New Roman;serif" w:hAnsi="Times New Roman;serif"/>
          <w:b w:val="false"/>
          <w:sz w:val="24"/>
        </w:rPr>
        <w:t xml:space="preserve">for any period during which that Lender is a Defaulting Lender only to extent allocable to its Applicable Percentage of the stated amount of Letters of Credit for which it has provided Cash Collateral pursuant to </w:t>
      </w:r>
      <w:r>
        <w:rPr>
          <w:rFonts w:ascii="Times New Roman;serif" w:hAnsi="Times New Roman;serif"/>
          <w:b w:val="false"/>
          <w:sz w:val="24"/>
          <w:u w:val="single"/>
        </w:rPr>
        <w:t>Section 2.19(d)</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With respect to any </w:t>
      </w:r>
      <w:r>
        <w:rPr>
          <w:rFonts w:ascii="Times New Roman;serif" w:hAnsi="Times New Roman;serif"/>
          <w:b w:val="false"/>
          <w:sz w:val="24"/>
          <w:u w:val="single"/>
        </w:rPr>
        <w:t>Section 2.11(b)</w:t>
      </w:r>
      <w:r>
        <w:rPr/>
        <w:t xml:space="preserve"> </w:t>
      </w:r>
      <w:r>
        <w:rPr>
          <w:rFonts w:ascii="Times New Roman;serif" w:hAnsi="Times New Roman;serif"/>
          <w:b w:val="false"/>
          <w:sz w:val="24"/>
        </w:rPr>
        <w:t xml:space="preserve">fees not required to be paid to any Defaulting Lender pursuant to </w:t>
      </w:r>
      <w:r>
        <w:rPr>
          <w:rFonts w:ascii="Times New Roman;serif" w:hAnsi="Times New Roman;serif"/>
          <w:b w:val="false"/>
          <w:sz w:val="24"/>
          <w:u w:val="single"/>
        </w:rPr>
        <w:t>clause (A)</w:t>
      </w:r>
      <w:r>
        <w:rPr/>
        <w:t xml:space="preserve"> </w:t>
      </w:r>
      <w:r>
        <w:rPr>
          <w:rFonts w:ascii="Times New Roman;serif" w:hAnsi="Times New Roman;serif"/>
          <w:b w:val="false"/>
          <w:sz w:val="24"/>
        </w:rPr>
        <w:t xml:space="preserve">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serif" w:hAnsi="Times New Roman;serif"/>
          <w:b w:val="false"/>
          <w:sz w:val="24"/>
          <w:u w:val="single"/>
        </w:rPr>
        <w:t>clause (iii)</w:t>
      </w:r>
      <w:r>
        <w:rPr/>
        <w:t xml:space="preserve"> </w:t>
      </w:r>
      <w:r>
        <w:rPr>
          <w:rFonts w:ascii="Times New Roman;serif" w:hAnsi="Times New Roman;serif"/>
          <w:b w:val="false"/>
          <w:sz w:val="24"/>
        </w:rPr>
        <w:t>below, (y) pay to each Issuing Bank the amount of any such fee otherwise payable to such Defaulting Lender to the extent allocable to such Issuing Bank’s Fronting Exposure to such Defaulting Lender, and (z) not be required to pay the remaining amount of any such fee.</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pPr>
      <w:r>
        <w:rPr>
          <w:rFonts w:ascii="Times New Roman;serif" w:hAnsi="Times New Roman;serif"/>
          <w:b w:val="false"/>
          <w:sz w:val="24"/>
          <w:u w:val="single"/>
        </w:rPr>
        <w:t>Reallocation of Participations to Reduce Fronting Exposure</w:t>
      </w:r>
      <w:r>
        <w:rPr>
          <w:rFonts w:ascii="Times New Roman;serif" w:hAnsi="Times New Roman;serif"/>
          <w:b w:val="false"/>
          <w:sz w:val="24"/>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Times New Roman;serif" w:hAnsi="Times New Roman;serif"/>
          <w:b w:val="false"/>
          <w:sz w:val="24"/>
          <w:u w:val="single"/>
        </w:rPr>
        <w:t>Section 4.02</w:t>
      </w:r>
      <w:r>
        <w:rPr/>
        <w:t xml:space="preserve"> </w:t>
      </w:r>
      <w:r>
        <w:rPr>
          <w:rFonts w:ascii="Times New Roman;serif" w:hAnsi="Times New Roman;serif"/>
          <w:b w:val="false"/>
          <w:sz w:val="24"/>
        </w:rPr>
        <w:t xml:space="preserve">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Times New Roman;serif" w:hAnsi="Times New Roman;serif"/>
          <w:b w:val="false"/>
          <w:sz w:val="24"/>
          <w:u w:val="single"/>
        </w:rPr>
        <w:t>Section 9.17</w:t>
      </w:r>
      <w:r>
        <w:rPr>
          <w:rFonts w:ascii="Times New Roman;serif" w:hAnsi="Times New Roman;serif"/>
          <w:b w:val="false"/>
          <w:sz w:val="24"/>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pPr>
      <w:r>
        <w:rPr>
          <w:rFonts w:ascii="Times New Roman;serif" w:hAnsi="Times New Roman;serif"/>
          <w:b w:val="false"/>
          <w:sz w:val="24"/>
          <w:u w:val="single"/>
        </w:rPr>
        <w:t>Cash Collateral; Repayment of Swingline Loans</w:t>
      </w:r>
      <w:r>
        <w:rPr>
          <w:rFonts w:ascii="Times New Roman;serif" w:hAnsi="Times New Roman;serif"/>
          <w:b w:val="false"/>
          <w:sz w:val="24"/>
        </w:rPr>
        <w:t xml:space="preserve">. If the reallocation described in </w:t>
      </w:r>
      <w:r>
        <w:rPr>
          <w:rFonts w:ascii="Times New Roman;serif" w:hAnsi="Times New Roman;serif"/>
          <w:b w:val="false"/>
          <w:sz w:val="24"/>
          <w:u w:val="single"/>
        </w:rPr>
        <w:t>clause (iii)</w:t>
      </w:r>
      <w:r>
        <w:rPr/>
        <w:t xml:space="preserve"> </w:t>
      </w:r>
      <w:r>
        <w:rPr>
          <w:rFonts w:ascii="Times New Roman;serif" w:hAnsi="Times New Roman;serif"/>
          <w:b w:val="false"/>
          <w:sz w:val="24"/>
        </w:rPr>
        <w:t xml:space="preserve">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Times New Roman;serif" w:hAnsi="Times New Roman;serif"/>
          <w:b w:val="false"/>
          <w:sz w:val="24"/>
          <w:u w:val="single"/>
        </w:rPr>
        <w:t>Section 2.19(d)</w:t>
      </w:r>
      <w:r>
        <w:rPr/>
        <w:t xml:space="preserve"> </w:t>
      </w:r>
      <w:r>
        <w:rPr>
          <w:rFonts w:ascii="Times New Roman;serif" w:hAnsi="Times New Roman;serif"/>
          <w:b w:val="false"/>
          <w:sz w:val="24"/>
        </w:rPr>
        <w:t>or (z) make other arrangements reasonably satisfactory to the Administrative Agent, the Issuing Banks and the Swingline Lenders in their sole discretion to protect them against the risk of non-payment by such Defaulting Lender.</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Defaulting Lender Cure</w:t>
      </w:r>
      <w:r>
        <w:rPr>
          <w:rFonts w:ascii="Times New Roman;serif" w:hAnsi="Times New Roman;serif"/>
          <w:b w:val="false"/>
          <w:sz w:val="24"/>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serif" w:hAnsi="Times New Roman;serif"/>
          <w:b w:val="false"/>
          <w:sz w:val="24"/>
          <w:u w:val="single"/>
        </w:rPr>
        <w:t>Section 2.19(a)(iii)</w:t>
      </w:r>
      <w:r>
        <w:rPr>
          <w:rFonts w:ascii="Times New Roman;serif" w:hAnsi="Times New Roman;serif"/>
          <w:b w:val="false"/>
          <w:sz w:val="24"/>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no adjustments will be made retroactively with respect to fees accrued or payments made by or on behalf of Borrower while that Lender was a Defaulting Lender; and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further</w:t>
      </w:r>
      <w:r>
        <w:rPr>
          <w:rFonts w:ascii="Times New Roman;serif" w:hAnsi="Times New Roman;serif"/>
          <w:b w:val="false"/>
          <w:sz w:val="24"/>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New Swingline Loans/Letters of Credit</w:t>
      </w:r>
      <w:r>
        <w:rPr>
          <w:rFonts w:ascii="Times New Roman;serif" w:hAnsi="Times New Roman;serif"/>
          <w:b w:val="false"/>
          <w:sz w:val="24"/>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Times New Roman;serif" w:hAnsi="Times New Roman;serif"/>
          <w:b w:val="false"/>
          <w:sz w:val="24"/>
          <w:u w:val="single"/>
        </w:rPr>
        <w:t>clause (a)(iii)</w:t>
      </w:r>
      <w:r>
        <w:rPr/>
        <w:t xml:space="preserve"> </w:t>
      </w:r>
      <w:r>
        <w:rPr>
          <w:rFonts w:ascii="Times New Roman;serif" w:hAnsi="Times New Roman;serif"/>
          <w:b w:val="false"/>
          <w:sz w:val="24"/>
        </w:rPr>
        <w:t xml:space="preserve">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Times New Roman;serif" w:hAnsi="Times New Roman;serif"/>
          <w:b w:val="false"/>
          <w:sz w:val="24"/>
          <w:u w:val="single"/>
        </w:rPr>
        <w:t>clause (a)(iii)</w:t>
      </w:r>
      <w:r>
        <w:rPr/>
        <w:t xml:space="preserve"> </w:t>
      </w:r>
      <w:r>
        <w:rPr>
          <w:rFonts w:ascii="Times New Roman;serif" w:hAnsi="Times New Roman;serif"/>
          <w:b w:val="false"/>
          <w:sz w:val="24"/>
        </w:rPr>
        <w:t xml:space="preserve">above and such Defaulting Lender shall not participate therein except to the extent such Defaulting Lender’s participation has been or will be fully Cash Collateralized in accordance with </w:t>
      </w:r>
      <w:r>
        <w:rPr>
          <w:rFonts w:ascii="Times New Roman;serif" w:hAnsi="Times New Roman;serif"/>
          <w:b w:val="false"/>
          <w:sz w:val="24"/>
          <w:u w:val="single"/>
        </w:rPr>
        <w:t>Section 2.19(d)</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Cash Collateral</w:t>
      </w:r>
      <w:r>
        <w:rPr>
          <w:rFonts w:ascii="Times New Roman;serif" w:hAnsi="Times New Roman;serif"/>
          <w:b w:val="false"/>
          <w:sz w:val="24"/>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Times New Roman;serif" w:hAnsi="Times New Roman;serif"/>
          <w:b w:val="false"/>
          <w:sz w:val="24"/>
          <w:u w:val="single"/>
        </w:rPr>
        <w:t>Section 2.19(a)(iii)</w:t>
      </w:r>
      <w:r>
        <w:rPr/>
        <w:t xml:space="preserve"> </w:t>
      </w:r>
      <w:r>
        <w:rPr>
          <w:rFonts w:ascii="Times New Roman;serif" w:hAnsi="Times New Roman;serif"/>
          <w:b w:val="false"/>
          <w:sz w:val="24"/>
        </w:rPr>
        <w:t>and any Cash Collateral provided by such Defaulting Lender) in an amount not less than the Minimum Collateral Amount.</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u w:val="single"/>
        </w:rPr>
        <w:t>Grant of Security Interest</w:t>
      </w:r>
      <w:r>
        <w:rPr>
          <w:rFonts w:ascii="Times New Roman;serif" w:hAnsi="Times New Roman;serif"/>
          <w:b w:val="false"/>
          <w:sz w:val="24"/>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pursuant to </w:t>
      </w:r>
      <w:r>
        <w:rPr>
          <w:rFonts w:ascii="Times New Roman;serif" w:hAnsi="Times New Roman;serif"/>
          <w:b w:val="false"/>
          <w:sz w:val="24"/>
          <w:u w:val="single"/>
        </w:rPr>
        <w:t>clause (ii)</w:t>
      </w:r>
      <w:r>
        <w:rPr/>
        <w:t xml:space="preserve"> </w:t>
      </w:r>
      <w:r>
        <w:rPr>
          <w:rFonts w:ascii="Times New Roman;serif" w:hAnsi="Times New Roman;serif"/>
          <w:b w:val="false"/>
          <w:sz w:val="24"/>
        </w:rPr>
        <w:t>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u w:val="single"/>
        </w:rPr>
        <w:t>Application</w:t>
      </w:r>
      <w:r>
        <w:rPr>
          <w:rFonts w:ascii="Times New Roman;serif" w:hAnsi="Times New Roman;serif"/>
          <w:b w:val="false"/>
          <w:sz w:val="24"/>
        </w:rPr>
        <w:t xml:space="preserve">. Notwithstanding anything to the contrary contained in this Agreement, Cash Collateral provided under this </w:t>
      </w:r>
      <w:r>
        <w:rPr>
          <w:rFonts w:ascii="Times New Roman;serif" w:hAnsi="Times New Roman;serif"/>
          <w:b w:val="false"/>
          <w:sz w:val="24"/>
          <w:u w:val="single"/>
        </w:rPr>
        <w:t>Section 2.19</w:t>
      </w:r>
      <w:r>
        <w:rPr/>
        <w:t xml:space="preserve"> </w:t>
      </w:r>
      <w:r>
        <w:rPr>
          <w:rFonts w:ascii="Times New Roman;serif" w:hAnsi="Times New Roman;serif"/>
          <w:b w:val="false"/>
          <w:sz w:val="24"/>
        </w:rPr>
        <w:t>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pPr>
      <w:r>
        <w:rPr>
          <w:rFonts w:ascii="Times New Roman;serif" w:hAnsi="Times New Roman;serif"/>
          <w:b w:val="false"/>
          <w:sz w:val="24"/>
          <w:u w:val="single"/>
        </w:rPr>
        <w:t>Termination of Requirement</w:t>
      </w:r>
      <w:r>
        <w:rPr>
          <w:rFonts w:ascii="Times New Roman;serif" w:hAnsi="Times New Roman;serif"/>
          <w:b w:val="false"/>
          <w:sz w:val="24"/>
        </w:rPr>
        <w:t xml:space="preserve">. Cash Collateral (or the appropriate portion thereof) provided to reduce Issuing Bank’s Fronting Exposure shall no longer be required to be held as Cash Collateral pursuant to this </w:t>
      </w:r>
      <w:r>
        <w:rPr>
          <w:rFonts w:ascii="Times New Roman;serif" w:hAnsi="Times New Roman;serif"/>
          <w:b w:val="false"/>
          <w:sz w:val="24"/>
          <w:u w:val="single"/>
        </w:rPr>
        <w:t>Section 2.19</w:t>
      </w:r>
      <w:r>
        <w:rPr/>
        <w:t xml:space="preserve"> </w:t>
      </w:r>
      <w:r>
        <w:rPr>
          <w:rFonts w:ascii="Times New Roman;serif" w:hAnsi="Times New Roman;serif"/>
          <w:b w:val="false"/>
          <w:sz w:val="24"/>
        </w:rPr>
        <w:t xml:space="preserve">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subject to the other provisions of this </w:t>
      </w:r>
      <w:r>
        <w:rPr>
          <w:rFonts w:ascii="Times New Roman;serif" w:hAnsi="Times New Roman;serif"/>
          <w:b w:val="false"/>
          <w:sz w:val="24"/>
          <w:u w:val="single"/>
        </w:rPr>
        <w:t>Section 2.19</w:t>
      </w:r>
      <w:r>
        <w:rPr>
          <w:rFonts w:ascii="Times New Roman;serif" w:hAnsi="Times New Roman;serif"/>
          <w:b w:val="false"/>
          <w:sz w:val="24"/>
        </w:rPr>
        <w:t xml:space="preserve">, the Person providing Cash Collateral and each Issuing Bank may agree that Cash Collateral shall be held to support future anticipated Fronting Exposure;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further</w:t>
      </w:r>
      <w:r>
        <w:rPr>
          <w:rFonts w:ascii="Times New Roman;serif" w:hAnsi="Times New Roman;serif"/>
          <w:b w:val="false"/>
          <w:sz w:val="24"/>
        </w:rPr>
        <w:t>, that to the extent that such Cash Collateral was provided by Borrower, such Cash Collateral shall remain subject to the security interest granted pursuant to the Loan Documents.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2.20.</w:t>
      </w:r>
    </w:p>
    <w:p>
      <w:pPr>
        <w:pStyle w:val="TextBody"/>
        <w:bidi w:val="0"/>
        <w:spacing w:before="0" w:after="240"/>
        <w:jc w:val="both"/>
        <w:rPr/>
      </w:pPr>
      <w:r>
        <w:rPr>
          <w:rFonts w:ascii="Times New Roman;serif" w:hAnsi="Times New Roman;serif"/>
          <w:b w:val="false"/>
          <w:sz w:val="24"/>
          <w:u w:val="single"/>
        </w:rPr>
        <w:t>Reallocation Following a Non-Extended Commitment Termination Date</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Reallocation of Participations and Loans.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Notwithstanding anything to the contrary herein, (a) in connection with the reduction or termination of any Non-Extending Lender’s Commitments in accordance with </w:t>
      </w:r>
      <w:r>
        <w:rPr>
          <w:rFonts w:ascii="Times New Roman;serif" w:hAnsi="Times New Roman;serif"/>
          <w:b w:val="false"/>
          <w:sz w:val="24"/>
          <w:u w:val="single"/>
        </w:rPr>
        <w:t>Section 2.08(f)</w:t>
      </w:r>
      <w:r>
        <w:rPr/>
        <w:t xml:space="preserve"> </w:t>
      </w:r>
      <w:r>
        <w:rPr>
          <w:rFonts w:ascii="Times New Roman;serif" w:hAnsi="Times New Roman;serif"/>
          <w:b w:val="false"/>
          <w:sz w:val="24"/>
        </w:rPr>
        <w:t xml:space="preserve">on any date prior to the Non-Extended Commitment Termination Date for such Non-Extending Lender, the Borrower shall be permitted to request a Dollar Loan be made ratably among the Extending Lenders and Non-Extending Lenders for which the Non-Extended Commitment Termination Date shall not have occurred in accordance with the provisions of </w:t>
      </w:r>
      <w:r>
        <w:rPr>
          <w:rFonts w:ascii="Times New Roman;serif" w:hAnsi="Times New Roman;serif"/>
          <w:b w:val="false"/>
          <w:sz w:val="24"/>
          <w:u w:val="single"/>
        </w:rPr>
        <w:t>Sections 2.02</w:t>
      </w:r>
      <w:r>
        <w:rPr>
          <w:rFonts w:ascii="Times New Roman;serif" w:hAnsi="Times New Roman;serif"/>
          <w:b w:val="false"/>
          <w:sz w:val="24"/>
        </w:rPr>
        <w:t xml:space="preserve">, </w:t>
      </w:r>
      <w:r>
        <w:rPr>
          <w:rFonts w:ascii="Times New Roman;serif" w:hAnsi="Times New Roman;serif"/>
          <w:b w:val="false"/>
          <w:sz w:val="24"/>
          <w:u w:val="single"/>
        </w:rPr>
        <w:t>2.03</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2.17(c)</w:t>
      </w:r>
      <w:r>
        <w:rPr/>
        <w:t xml:space="preserve"> </w:t>
      </w:r>
      <w:r>
        <w:rPr>
          <w:rFonts w:ascii="Times New Roman;serif" w:hAnsi="Times New Roman;serif"/>
          <w:b w:val="false"/>
          <w:sz w:val="24"/>
        </w:rPr>
        <w:t xml:space="preserve">in an amount up to the amount by which such Non-Extending Lender’s Revolving Credit Exposure exceeds such Non-Extending Lender’s Commitments after giving effect to such Commitment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reduction and (b) on any date following the Non-Extended Commitment Termination Date for any Non-Extending Lender until the Extended Commitment Termination Date, the Borrower shall be permitted to request a Dollar Loan to be made ratably among the Extending Lenders and Non-Extending Lenders for which the Non-Extended Commitment Termination Date shall not have occurred in accordance with </w:t>
      </w:r>
      <w:r>
        <w:rPr>
          <w:rFonts w:ascii="Times New Roman;serif" w:hAnsi="Times New Roman;serif"/>
          <w:b w:val="false"/>
          <w:sz w:val="24"/>
          <w:u w:val="single"/>
        </w:rPr>
        <w:t>Sections 2.02</w:t>
      </w:r>
      <w:r>
        <w:rPr>
          <w:rFonts w:ascii="Times New Roman;serif" w:hAnsi="Times New Roman;serif"/>
          <w:b w:val="false"/>
          <w:sz w:val="24"/>
        </w:rPr>
        <w:t xml:space="preserve">, </w:t>
      </w:r>
      <w:r>
        <w:rPr>
          <w:rFonts w:ascii="Times New Roman;serif" w:hAnsi="Times New Roman;serif"/>
          <w:b w:val="false"/>
          <w:sz w:val="24"/>
          <w:u w:val="single"/>
        </w:rPr>
        <w:t>2.03</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2.17(c)</w:t>
      </w:r>
      <w:r>
        <w:rPr/>
        <w:t xml:space="preserve"> </w:t>
      </w:r>
      <w:r>
        <w:rPr>
          <w:rFonts w:ascii="Times New Roman;serif" w:hAnsi="Times New Roman;serif"/>
          <w:b w:val="false"/>
          <w:sz w:val="24"/>
        </w:rPr>
        <w:t xml:space="preserve">in an amount up to the Revolving Credit Exposure of each Non-Extending Lender for which the Non-Extended Commitment Termination Date shall have occurred, in each case, so long as (x) the conditions set forth in </w:t>
      </w:r>
      <w:r>
        <w:rPr>
          <w:rFonts w:ascii="Times New Roman;serif" w:hAnsi="Times New Roman;serif"/>
          <w:b w:val="false"/>
          <w:sz w:val="24"/>
          <w:u w:val="single"/>
        </w:rPr>
        <w:t>Section 4.02</w:t>
      </w:r>
      <w:r>
        <w:rPr/>
        <w:t xml:space="preserve"> </w:t>
      </w:r>
      <w:r>
        <w:rPr>
          <w:rFonts w:ascii="Times New Roman;serif" w:hAnsi="Times New Roman;serif"/>
          <w:b w:val="false"/>
          <w:sz w:val="24"/>
        </w:rPr>
        <w:t>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 xml:space="preserve">All or any part of each Non-Extending Lender’s participation in Letters of Credit and Swingline Loans shall be reallocated on (A) any date on which the Commitment of such Non-Extending Lender is reduced or terminated pursuant to </w:t>
      </w:r>
      <w:r>
        <w:rPr>
          <w:rFonts w:ascii="Times New Roman;serif" w:hAnsi="Times New Roman;serif"/>
          <w:b w:val="false"/>
          <w:sz w:val="24"/>
          <w:u w:val="single"/>
        </w:rPr>
        <w:t>Section 2.08(f)</w:t>
      </w:r>
      <w:r>
        <w:rPr/>
        <w:t xml:space="preserve"> </w:t>
      </w:r>
      <w:r>
        <w:rPr>
          <w:rFonts w:ascii="Times New Roman;serif" w:hAnsi="Times New Roman;serif"/>
          <w:b w:val="false"/>
          <w:sz w:val="24"/>
        </w:rPr>
        <w:t xml:space="preserve">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Times New Roman;serif" w:hAnsi="Times New Roman;serif"/>
          <w:b w:val="false"/>
          <w:sz w:val="24"/>
          <w:u w:val="single"/>
        </w:rPr>
        <w:t>Section 4.02</w:t>
      </w:r>
      <w:r>
        <w:rPr/>
        <w:t xml:space="preserve"> </w:t>
      </w:r>
      <w:r>
        <w:rPr>
          <w:rFonts w:ascii="Times New Roman;serif" w:hAnsi="Times New Roman;serif"/>
          <w:b w:val="false"/>
          <w:sz w:val="24"/>
        </w:rPr>
        <w:t>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Cash Collateral; Repayment of Swingline Loans</w:t>
      </w:r>
      <w:r>
        <w:rPr>
          <w:rFonts w:ascii="Times New Roman;serif" w:hAnsi="Times New Roman;serif"/>
          <w:b w:val="false"/>
          <w:sz w:val="24"/>
        </w:rPr>
        <w:t xml:space="preserve">. If any Loan related to the reduction or termination of a Non-Extending Lender’s Commitment prior to the Non-Extended Commitment Termination Date described in </w:t>
      </w:r>
      <w:r>
        <w:rPr>
          <w:rFonts w:ascii="Times New Roman;serif" w:hAnsi="Times New Roman;serif"/>
          <w:b w:val="false"/>
          <w:sz w:val="24"/>
          <w:u w:val="single"/>
        </w:rPr>
        <w:t>clause (a)(i)</w:t>
      </w:r>
      <w:r>
        <w:rPr/>
        <w:t xml:space="preserve"> </w:t>
      </w:r>
      <w:r>
        <w:rPr>
          <w:rFonts w:ascii="Times New Roman;serif" w:hAnsi="Times New Roman;serif"/>
          <w:b w:val="false"/>
          <w:sz w:val="24"/>
        </w:rPr>
        <w:t xml:space="preserve">above or any reallocation described in </w:t>
      </w:r>
      <w:r>
        <w:rPr>
          <w:rFonts w:ascii="Times New Roman;serif" w:hAnsi="Times New Roman;serif"/>
          <w:b w:val="false"/>
          <w:sz w:val="24"/>
          <w:u w:val="single"/>
        </w:rPr>
        <w:t>clause (a)(ii)</w:t>
      </w:r>
      <w:r>
        <w:rPr/>
        <w:t xml:space="preserve"> </w:t>
      </w:r>
      <w:r>
        <w:rPr>
          <w:rFonts w:ascii="Times New Roman;serif" w:hAnsi="Times New Roman;serif"/>
          <w:b w:val="false"/>
          <w:sz w:val="24"/>
        </w:rPr>
        <w:t xml:space="preserve">above cannot, or can only partially, be effected, the Borrower shall, not later than (i) with respect to any reduction or termination of a Non-Extending Lender’s Commitment pursuant to </w:t>
      </w:r>
      <w:r>
        <w:rPr>
          <w:rFonts w:ascii="Times New Roman;serif" w:hAnsi="Times New Roman;serif"/>
          <w:b w:val="false"/>
          <w:sz w:val="24"/>
          <w:u w:val="single"/>
        </w:rPr>
        <w:t>Section 2.08(f)</w:t>
      </w:r>
      <w:r>
        <w:rPr>
          <w:rFonts w:ascii="Times New Roman;serif" w:hAnsi="Times New Roman;serif"/>
          <w:b w:val="false"/>
          <w:sz w:val="24"/>
        </w:rPr>
        <w:t xml:space="preserve">, the date of such Commitment reduction or termination or, (ii) with respect to any reallocation of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Times New Roman;serif" w:hAnsi="Times New Roman;serif"/>
          <w:b w:val="false"/>
          <w:sz w:val="24"/>
          <w:u w:val="single"/>
        </w:rPr>
        <w:t>clause (a)(ii)</w:t>
      </w:r>
      <w:r>
        <w:rPr/>
        <w:t xml:space="preserve"> </w:t>
      </w:r>
      <w:r>
        <w:rPr>
          <w:rFonts w:ascii="Times New Roman;serif" w:hAnsi="Times New Roman;serif"/>
          <w:b w:val="false"/>
          <w:sz w:val="24"/>
        </w:rPr>
        <w:t xml:space="preserve">above, (y) provide Cash Collateral in an amount equal to the amount by which the participation obligations of such Non-Extending Lenders in Letters of Credit have not been reallocated pursuant to </w:t>
      </w:r>
      <w:r>
        <w:rPr>
          <w:rFonts w:ascii="Times New Roman;serif" w:hAnsi="Times New Roman;serif"/>
          <w:b w:val="false"/>
          <w:sz w:val="24"/>
          <w:u w:val="single"/>
        </w:rPr>
        <w:t>clause (a)(ii)</w:t>
      </w:r>
      <w:r>
        <w:rPr/>
        <w:t xml:space="preserve"> </w:t>
      </w:r>
      <w:r>
        <w:rPr>
          <w:rFonts w:ascii="Times New Roman;serif" w:hAnsi="Times New Roman;serif"/>
          <w:b w:val="false"/>
          <w:sz w:val="24"/>
        </w:rPr>
        <w:t xml:space="preserve">above and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Times New Roman;serif" w:hAnsi="Times New Roman;serif"/>
          <w:b w:val="false"/>
          <w:sz w:val="24"/>
          <w:u w:val="single"/>
        </w:rPr>
        <w:t>clause (a)(i)(z) above</w:t>
      </w:r>
      <w:r>
        <w:rPr/>
        <w:t xml:space="preserve"> </w:t>
      </w:r>
      <w:r>
        <w:rPr>
          <w:rFonts w:ascii="Times New Roman;serif" w:hAnsi="Times New Roman;serif"/>
          <w:b w:val="false"/>
          <w:sz w:val="24"/>
        </w:rPr>
        <w:t>exceeds such Non-Extending Lender’s Commitment after giving effect to any reduction in such Non-Extending Lender’s Commitment.</w:t>
      </w:r>
      <w:r>
        <w:rPr/>
        <w:t xml:space="preserve">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2.21.</w:t>
      </w:r>
    </w:p>
    <w:p>
      <w:pPr>
        <w:pStyle w:val="TextBody"/>
        <w:bidi w:val="0"/>
        <w:spacing w:before="0" w:after="240"/>
        <w:jc w:val="both"/>
        <w:rPr/>
      </w:pPr>
      <w:r>
        <w:rPr>
          <w:rFonts w:ascii="Times New Roman;serif" w:hAnsi="Times New Roman;serif"/>
          <w:b w:val="false"/>
          <w:sz w:val="24"/>
          <w:u w:val="single"/>
        </w:rPr>
        <w:t>Effect of Benchmark Transition Event</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Benchmark Replacement.</w:t>
      </w:r>
      <w:r>
        <w:rPr/>
        <w:t xml:space="preserve"> </w:t>
      </w:r>
      <w:r>
        <w:rPr>
          <w:rFonts w:ascii="Times New Roman;serif" w:hAnsi="Times New Roman;serif"/>
          <w:b w:val="false"/>
          <w:sz w:val="24"/>
        </w:rPr>
        <w:t>Notwithstanding anything to the contrary herein or in any other Loan Document, if a Benchmark Transition Event or an Other Benchmark Rate Election and its related Benchmark Replacement Date have occurred prior to any setting of the then-current Benchmark for a 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 provided to the Lenders (which, in the case of a Benchmark Replacement in connection with an Other Benchmark Rate Election, may be delivered on the same day that notice of such Other Benchmark Rate Election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 If the Benchmark Replacement is Daily Simple SOFR, all interest payments will be payable on a quarterly basis.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Benchmark Replacement Conforming Changes</w:t>
      </w:r>
      <w:r>
        <w:rPr>
          <w:rFonts w:ascii="Times New Roman;serif" w:hAnsi="Times New Roman;serif"/>
          <w:b w:val="false"/>
          <w:sz w:val="24"/>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Notices; Standards for Decisions and Determinations</w:t>
      </w:r>
      <w:r>
        <w:rPr>
          <w:rFonts w:ascii="Times New Roman;serif" w:hAnsi="Times New Roman;serif"/>
          <w:b w:val="false"/>
          <w:sz w:val="24"/>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serif" w:hAnsi="Times New Roman;serif"/>
          <w:b w:val="false"/>
          <w:sz w:val="24"/>
          <w:u w:val="single"/>
        </w:rPr>
        <w:t>clause (d)</w:t>
      </w:r>
      <w:r>
        <w:rPr/>
        <w:t xml:space="preserve"> </w:t>
      </w:r>
      <w:r>
        <w:rPr>
          <w:rFonts w:ascii="Times New Roman;serif" w:hAnsi="Times New Roman;serif"/>
          <w:b w:val="false"/>
          <w:sz w:val="24"/>
        </w:rPr>
        <w:t xml:space="preserve">below and (y) the commencement of any Benchmark Unavailability Period. Any determination, decision or election that may be made by the Administrative Agent or, if applicable, any Lender (or group of Lenders) pursuant to this </w:t>
      </w:r>
      <w:r>
        <w:rPr>
          <w:rFonts w:ascii="Times New Roman;serif" w:hAnsi="Times New Roman;serif"/>
          <w:b w:val="false"/>
          <w:sz w:val="24"/>
          <w:u w:val="single"/>
        </w:rPr>
        <w:t>Section 2.21</w:t>
      </w:r>
      <w:r>
        <w:rPr>
          <w:rFonts w:ascii="Times New Roman;serif" w:hAnsi="Times New Roman;serif"/>
          <w:b w:val="false"/>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sz w:val="24"/>
          <w:u w:val="single"/>
        </w:rPr>
        <w:t>Section 2.21</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Unavailability of Tenor of Benchmark</w:t>
      </w:r>
      <w:r>
        <w:rPr>
          <w:rFonts w:ascii="Times New Roman;serif" w:hAnsi="Times New Roman;serif"/>
          <w:b w:val="false"/>
          <w:sz w:val="24"/>
        </w:rPr>
        <w:t>. Notwithstanding anything to the contrary herein or in any other Loan Document, at any time (including in connection with the implementation of a Benchmark Replacement), (i) if the then-current Benchmark for a Currency is a term rate (including the Term SOFR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not or will not be representative for a Benchmark for such Currency (including a Benchmark Replacement), then the Administrative Agent may modify the definition of “Interest Period” (or any similar or analogous definition) for all Benchmark settings for such Currency at or after such time to reinstate such previously removed tenor.</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Benchmark Unavailability Period</w:t>
      </w:r>
      <w:r>
        <w:rPr>
          <w:rFonts w:ascii="Times New Roman;serif" w:hAnsi="Times New Roman;serif"/>
          <w:b w:val="false"/>
          <w:sz w:val="24"/>
        </w:rPr>
        <w:t xml:space="preserve">. Upon the Borrower’s receipt of notice of the commencement of a Benchmark Unavailability Period, the Borrower may revoke any pending request for a Term Benchmark Borrowing or RFR Borrowing of, conversion to or continuation of Term Benchmark Loans or RFR Loans in each affected Currency to be made, converted or continued during any Benchmark Unavailability Period and, failing that, (i)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and (iii) if the affected Currency is a Foreign Currency, (A) any Borrowing Request that requests a Term Benchmark Borrowing or RFR Borrowing denominated in the affected Currency, at the Borrower’s election, shall either (1) be converted into an ABR Borrowing denominated in Dollars (in an amount equal to the Dollar Equivalent of such affected Currency) immediately in the case of an RFR Borrowing or, in the case of a Term Benchmark Borrowing, at the end of the applicable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Interest Period, or (2) be prepaid in full immediately in the case of an RFR Borrowing or, in the case of a Term Benchmark Borrowing, at the end of the applicable Interest Period; </w:t>
      </w:r>
      <w:r>
        <w:rPr>
          <w:rFonts w:ascii="Times New Roman;serif" w:hAnsi="Times New Roman;serif"/>
          <w:b w:val="false"/>
          <w:sz w:val="24"/>
          <w:u w:val="single"/>
        </w:rPr>
        <w:t>provided</w:t>
      </w:r>
      <w:r>
        <w:rPr/>
        <w:t xml:space="preserve"> </w:t>
      </w:r>
      <w:r>
        <w:rPr>
          <w:rFonts w:ascii="Times New Roman;serif" w:hAnsi="Times New Roman;serif"/>
          <w:b w:val="false"/>
          <w:sz w:val="24"/>
        </w:rPr>
        <w:t>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clause (1) above.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ARTICLE III</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br/>
        <w:br/>
        <w:t>REPRESENTATIONS AND WARRANTIES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Borrower represents and warrants to the Lenders that: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3.01.</w:t>
      </w:r>
    </w:p>
    <w:p>
      <w:pPr>
        <w:pStyle w:val="TextBody"/>
        <w:bidi w:val="0"/>
        <w:spacing w:before="0" w:after="240"/>
        <w:jc w:val="both"/>
        <w:rPr/>
      </w:pPr>
      <w:r>
        <w:rPr>
          <w:rFonts w:ascii="Times New Roman;serif" w:hAnsi="Times New Roman;serif"/>
          <w:b w:val="false"/>
          <w:sz w:val="24"/>
          <w:u w:val="single"/>
        </w:rPr>
        <w:t>Organization; Powers</w:t>
      </w:r>
      <w:r>
        <w:rPr>
          <w:rFonts w:ascii="Times New Roman;serif" w:hAnsi="Times New Roman;serif"/>
          <w:b w:val="false"/>
          <w:sz w:val="24"/>
        </w:rPr>
        <w:t>. Each of the Borrower and its Subsidiaries is (a) duly organized, validly existing and in good standing under the laws of the jurisdiction of its organization, (b) has all requisite power and authority to carry on its business as now conducted and, (c) is qualified to do business in, and is in good standing in, every jurisdiction where such qualification is required of the Borrower or such Subsidiary, as applicable, except where the failure to comply with this clause (c) would not reasonably be expected to result in a Material Adverse Effect.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3.02.</w:t>
      </w:r>
    </w:p>
    <w:p>
      <w:pPr>
        <w:pStyle w:val="TextBody"/>
        <w:bidi w:val="0"/>
        <w:spacing w:before="0" w:after="240"/>
        <w:jc w:val="both"/>
        <w:rPr/>
      </w:pPr>
      <w:r>
        <w:rPr>
          <w:rFonts w:ascii="Times New Roman;serif" w:hAnsi="Times New Roman;serif"/>
          <w:b w:val="false"/>
          <w:sz w:val="24"/>
          <w:u w:val="single"/>
        </w:rPr>
        <w:t>Authorization; Enforceability</w:t>
      </w:r>
      <w:r>
        <w:rPr>
          <w:rFonts w:ascii="Times New Roman;serif" w:hAnsi="Times New Roman;serif"/>
          <w:b w:val="false"/>
          <w:sz w:val="24"/>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3.03.</w:t>
      </w:r>
    </w:p>
    <w:p>
      <w:pPr>
        <w:pStyle w:val="TextBody"/>
        <w:bidi w:val="0"/>
        <w:spacing w:before="0" w:after="240"/>
        <w:jc w:val="both"/>
        <w:rPr/>
      </w:pPr>
      <w:r>
        <w:rPr>
          <w:rFonts w:ascii="Times New Roman;serif" w:hAnsi="Times New Roman;serif"/>
          <w:b w:val="false"/>
          <w:sz w:val="24"/>
          <w:u w:val="single"/>
        </w:rPr>
        <w:t>Governmental Approvals; No Conflicts.</w:t>
      </w:r>
      <w:r>
        <w:rPr/>
        <w:t xml:space="preserve"> </w:t>
      </w:r>
      <w:r>
        <w:rPr>
          <w:rFonts w:ascii="Times New Roman;serif" w:hAnsi="Times New Roman;serif"/>
          <w:b w:val="false"/>
          <w:sz w:val="24"/>
        </w:rPr>
        <w:t>The Transactions (a) do not require any consent or approval of, registration or filing with, or any other action by, any Governmental Authority, except for (i) such as have been or will be obtained or made and are or will be in full force and effect and (ii) filings and recordings in respect of the Liens created pursuant to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in each case, except as would not reasonably be expected to have a Material Adverse Effect, and (d) except for the Liens created pursuant to this Agreement or the Security Documents, will not result in the creation or imposition of any Lien on any asset of the Borrower or any Obligor.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3.04.</w:t>
      </w:r>
    </w:p>
    <w:p>
      <w:pPr>
        <w:pStyle w:val="TextBody"/>
        <w:bidi w:val="0"/>
        <w:spacing w:before="0" w:after="240"/>
        <w:jc w:val="both"/>
        <w:rPr/>
      </w:pPr>
      <w:r>
        <w:rPr>
          <w:rFonts w:ascii="Times New Roman;serif" w:hAnsi="Times New Roman;serif"/>
          <w:b w:val="false"/>
          <w:sz w:val="24"/>
          <w:u w:val="single"/>
        </w:rPr>
        <w:t>Financial Condition; No Material Adverse Change</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Financial Statements</w:t>
      </w:r>
      <w:r>
        <w:rPr>
          <w:rFonts w:ascii="Times New Roman;serif" w:hAnsi="Times New Roman;serif"/>
          <w:b w:val="false"/>
          <w:sz w:val="24"/>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No Material Adverse Change</w:t>
      </w:r>
      <w:r>
        <w:rPr>
          <w:rFonts w:ascii="Times New Roman;serif" w:hAnsi="Times New Roman;serif"/>
          <w:b w:val="false"/>
          <w:sz w:val="24"/>
        </w:rPr>
        <w:t>. Since the date of the most recent Applicable Financial Statements, there has not been any event, development or circumstance (herein, a “</w:t>
      </w:r>
      <w:r>
        <w:rPr>
          <w:rFonts w:ascii="Times New Roman;serif" w:hAnsi="Times New Roman;serif"/>
          <w:b w:val="false"/>
          <w:sz w:val="24"/>
          <w:u w:val="single"/>
        </w:rPr>
        <w:t>Material Adverse Change</w:t>
      </w:r>
      <w:r>
        <w:rPr/>
        <w:t>”</w:t>
      </w:r>
      <w:r>
        <w:rPr>
          <w:rFonts w:ascii="Times New Roman;serif" w:hAnsi="Times New Roman;serif"/>
          <w:b w:val="false"/>
          <w:sz w:val="24"/>
        </w:rPr>
        <w:t xml:space="preserve">) that has had or would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3.05.</w:t>
      </w:r>
    </w:p>
    <w:p>
      <w:pPr>
        <w:pStyle w:val="TextBody"/>
        <w:bidi w:val="0"/>
        <w:spacing w:before="0" w:after="240"/>
        <w:jc w:val="both"/>
        <w:rPr/>
      </w:pPr>
      <w:r>
        <w:rPr>
          <w:rFonts w:ascii="Times New Roman;serif" w:hAnsi="Times New Roman;serif"/>
          <w:b w:val="false"/>
          <w:sz w:val="24"/>
          <w:u w:val="single"/>
        </w:rPr>
        <w:t>Litigation</w:t>
      </w:r>
      <w:r>
        <w:rPr>
          <w:rFonts w:ascii="Times New Roman;serif" w:hAnsi="Times New Roman;serif"/>
          <w:b w:val="false"/>
          <w:sz w:val="24"/>
        </w:rPr>
        <w:t>. There are no actions, suits, investigations or proceedings by or before any arbitrator or Governmental Authority now pending against or, to the knowledge of the Borrower, threatened in writing against or affecting the Borrower or any of its Subsidiaries (i) as to which there is a reasonable possibility of an adverse determination and that, if adversely determined, would reasonably be expected, individually or in the aggregate, to result in a Material Adverse Effect or (ii) that directly involve this Agreement or the Transactions (other than any action brought by the Borrower against a Defaulting Lender).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3.06.</w:t>
      </w:r>
    </w:p>
    <w:p>
      <w:pPr>
        <w:pStyle w:val="TextBody"/>
        <w:bidi w:val="0"/>
        <w:spacing w:before="0" w:after="240"/>
        <w:jc w:val="both"/>
        <w:rPr/>
      </w:pPr>
      <w:r>
        <w:rPr>
          <w:rFonts w:ascii="Times New Roman;serif" w:hAnsi="Times New Roman;serif"/>
          <w:b w:val="false"/>
          <w:sz w:val="24"/>
          <w:u w:val="single"/>
        </w:rPr>
        <w:t>Compliance with Laws and Agreements</w:t>
      </w:r>
      <w:r>
        <w:rPr>
          <w:rFonts w:ascii="Times New Roman;serif" w:hAnsi="Times New Roman;serif"/>
          <w:b w:val="false"/>
          <w:sz w:val="24"/>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Neither the Borrower nor any other Obligor is subject to any contract or other arrangement, the performance of which by the Borrower or such Obligor would reasonably be expected to result in a Material Adverse Effect.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3.07.</w:t>
      </w:r>
    </w:p>
    <w:p>
      <w:pPr>
        <w:pStyle w:val="TextBody"/>
        <w:bidi w:val="0"/>
        <w:spacing w:before="0" w:after="240"/>
        <w:jc w:val="both"/>
        <w:rPr/>
      </w:pPr>
      <w:r>
        <w:rPr>
          <w:rFonts w:ascii="Times New Roman;serif" w:hAnsi="Times New Roman;serif"/>
          <w:b w:val="false"/>
          <w:sz w:val="24"/>
          <w:u w:val="single"/>
        </w:rPr>
        <w:t>Taxes</w:t>
      </w:r>
      <w:r>
        <w:rPr>
          <w:rFonts w:ascii="Times New Roman;serif" w:hAnsi="Times New Roman;serif"/>
          <w:b w:val="false"/>
          <w:sz w:val="24"/>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3.08.</w:t>
      </w:r>
    </w:p>
    <w:p>
      <w:pPr>
        <w:pStyle w:val="TextBody"/>
        <w:bidi w:val="0"/>
        <w:spacing w:before="0" w:after="240"/>
        <w:jc w:val="both"/>
        <w:rPr/>
      </w:pPr>
      <w:r>
        <w:rPr>
          <w:rFonts w:ascii="Times New Roman;serif" w:hAnsi="Times New Roman;serif"/>
          <w:b w:val="false"/>
          <w:sz w:val="24"/>
          <w:u w:val="single"/>
        </w:rPr>
        <w:t>ERISA</w:t>
      </w:r>
      <w:r>
        <w:rPr>
          <w:rFonts w:ascii="Times New Roman;serif" w:hAnsi="Times New Roman;serif"/>
          <w:b w:val="false"/>
          <w:sz w:val="24"/>
        </w:rPr>
        <w:t>. No ERISA Event has occurred or is reasonably expected to occur that, when taken together with all other such ERISA Events for which liability is reasonably expected to occur, would reasonably be expected to result in a Material Adverse Effect.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3.09.</w:t>
      </w:r>
    </w:p>
    <w:p>
      <w:pPr>
        <w:pStyle w:val="TextBody"/>
        <w:bidi w:val="0"/>
        <w:spacing w:before="0" w:after="240"/>
        <w:jc w:val="both"/>
        <w:rPr/>
      </w:pPr>
      <w:r>
        <w:rPr>
          <w:rFonts w:ascii="Times New Roman;serif" w:hAnsi="Times New Roman;serif"/>
          <w:b w:val="false"/>
          <w:sz w:val="24"/>
          <w:u w:val="single"/>
        </w:rPr>
        <w:t>Disclosure</w:t>
      </w:r>
      <w:r>
        <w:rPr/>
        <w:t xml:space="preserve"> </w:t>
      </w:r>
      <w:r>
        <w:rPr>
          <w:rFonts w:ascii="Times New Roman;serif" w:hAnsi="Times New Roman;serif"/>
          <w:b w:val="false"/>
          <w:sz w:val="24"/>
        </w:rPr>
        <w:t xml:space="preserve">As of the Effective Date, the Borrower has disclosed to the Lenders all agreements, instruments and corporate or other restrictions to which it or any of its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Subsidiaries is subject, and all other matters known to it, that, individually or in the aggregate, could reasonably be expected to result in a Material Adverse Effect. As of the Effective Date,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Times New Roman;serif" w:hAnsi="Times New Roman;serif"/>
          <w:b w:val="false"/>
          <w:sz w:val="24"/>
          <w:u w:val="single"/>
        </w:rPr>
        <w:t>provided</w:t>
      </w:r>
      <w:r>
        <w:rPr/>
        <w:t xml:space="preserve"> </w:t>
      </w:r>
      <w:r>
        <w:rPr>
          <w:rFonts w:ascii="Times New Roman;serif" w:hAnsi="Times New Roman;serif"/>
          <w:b w:val="false"/>
          <w:sz w:val="24"/>
        </w:rPr>
        <w:t>that with respect to projected financial information, the Borrower represents only that such information was prepared in good faith based upon assumptions believed to be reasonable at the time.</w:t>
      </w:r>
      <w:r>
        <w:rPr/>
        <w:t xml:space="preserve">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3.10.</w:t>
      </w:r>
    </w:p>
    <w:p>
      <w:pPr>
        <w:pStyle w:val="TextBody"/>
        <w:bidi w:val="0"/>
        <w:spacing w:before="0" w:after="240"/>
        <w:jc w:val="both"/>
        <w:rPr/>
      </w:pPr>
      <w:r>
        <w:rPr>
          <w:rFonts w:ascii="Times New Roman;serif" w:hAnsi="Times New Roman;serif"/>
          <w:b w:val="false"/>
          <w:sz w:val="24"/>
          <w:u w:val="single"/>
        </w:rPr>
        <w:t>Investment Company Act; Margin Regulations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Status as Business Development Company</w:t>
      </w:r>
      <w:r>
        <w:rPr>
          <w:rFonts w:ascii="Times New Roman;serif" w:hAnsi="Times New Roman;serif"/>
          <w:b w:val="false"/>
          <w:sz w:val="24"/>
        </w:rPr>
        <w:t>. The Borrower has elected to be regulated as a “business development company” within the meaning of the Investment Company Act and qualifies as a RIC.</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Compliance with Investment Company Act</w:t>
      </w:r>
      <w:r>
        <w:rPr>
          <w:rFonts w:ascii="Times New Roman;serif" w:hAnsi="Times New Roman;serif"/>
          <w:b w:val="false"/>
          <w:sz w:val="24"/>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Investment Policies</w:t>
      </w:r>
      <w:r>
        <w:rPr>
          <w:rFonts w:ascii="Times New Roman;serif" w:hAnsi="Times New Roman;serif"/>
          <w:b w:val="false"/>
          <w:sz w:val="24"/>
        </w:rPr>
        <w:t>. The Borrower is in compliance in all respects with the Investment Policies (after giving effect to any Permitted Policy Amendments), except to the extent that the failure to so comply would not reasonably be expected to have a Material Adverse Effect.</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Use of Credit</w:t>
      </w:r>
      <w:r>
        <w:rPr>
          <w:rFonts w:ascii="Times New Roman;serif" w:hAnsi="Times New Roman;serif"/>
          <w:b w:val="false"/>
          <w:sz w:val="24"/>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 (provided that so long as no violation of Regulation U would result therefrom and the Borrower intends to immediately retire any whole or fractional shares of its common stock purchased, the Borrower may use proceeds of the Loans to purchase its common stock in connection with the redemption (or buyback) of its shares).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3.11.</w:t>
      </w:r>
    </w:p>
    <w:p>
      <w:pPr>
        <w:pStyle w:val="TextBody"/>
        <w:bidi w:val="0"/>
        <w:spacing w:before="0" w:after="240"/>
        <w:jc w:val="both"/>
        <w:rPr/>
      </w:pPr>
      <w:r>
        <w:rPr>
          <w:rFonts w:ascii="Times New Roman;serif" w:hAnsi="Times New Roman;serif"/>
          <w:b w:val="false"/>
          <w:sz w:val="24"/>
          <w:u w:val="single"/>
        </w:rPr>
        <w:t>Material Agreements and Liens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Material Agreements</w:t>
      </w:r>
      <w:r>
        <w:rPr>
          <w:rFonts w:ascii="Times New Roman;serif" w:hAnsi="Times New Roman;serif"/>
          <w:b w:val="false"/>
          <w:sz w:val="24"/>
        </w:rPr>
        <w:t xml:space="preserve">. </w:t>
      </w:r>
      <w:r>
        <w:rPr>
          <w:rFonts w:ascii="Times New Roman;serif" w:hAnsi="Times New Roman;serif"/>
          <w:b w:val="false"/>
          <w:sz w:val="24"/>
          <w:u w:val="single"/>
        </w:rPr>
        <w:t>Part A</w:t>
      </w:r>
      <w:r>
        <w:rPr/>
        <w:t xml:space="preserve"> </w:t>
      </w:r>
      <w:r>
        <w:rPr>
          <w:rFonts w:ascii="Times New Roman;serif" w:hAnsi="Times New Roman;serif"/>
          <w:b w:val="false"/>
          <w:sz w:val="24"/>
        </w:rPr>
        <w:t xml:space="preserve">of </w:t>
      </w:r>
      <w:r>
        <w:rPr>
          <w:rFonts w:ascii="Times New Roman;serif" w:hAnsi="Times New Roman;serif"/>
          <w:b w:val="false"/>
          <w:sz w:val="24"/>
          <w:u w:val="single"/>
        </w:rPr>
        <w:t>Schedule 3.11</w:t>
      </w:r>
      <w:r>
        <w:rPr/>
        <w:t xml:space="preserve"> </w:t>
      </w:r>
      <w:r>
        <w:rPr>
          <w:rFonts w:ascii="Times New Roman;serif" w:hAnsi="Times New Roman;serif"/>
          <w:b w:val="false"/>
          <w:sz w:val="24"/>
        </w:rPr>
        <w:t xml:space="preserve">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 credit) to, or guarantee by, the Borrower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or any of its Subsidiaries outstanding as of the Original Effective Date, and the aggregate principal or face amount outstanding or that is, or may become, outstanding under each such arrangement is correctly described in </w:t>
      </w:r>
      <w:r>
        <w:rPr>
          <w:rFonts w:ascii="Times New Roman;serif" w:hAnsi="Times New Roman;serif"/>
          <w:b w:val="false"/>
          <w:sz w:val="24"/>
          <w:u w:val="single"/>
        </w:rPr>
        <w:t>Part A</w:t>
      </w:r>
      <w:r>
        <w:rPr/>
        <w:t xml:space="preserve"> </w:t>
      </w:r>
      <w:r>
        <w:rPr>
          <w:rFonts w:ascii="Times New Roman;serif" w:hAnsi="Times New Roman;serif"/>
          <w:b w:val="false"/>
          <w:sz w:val="24"/>
        </w:rPr>
        <w:t xml:space="preserve">of </w:t>
      </w:r>
      <w:r>
        <w:rPr>
          <w:rFonts w:ascii="Times New Roman;serif" w:hAnsi="Times New Roman;serif"/>
          <w:b w:val="false"/>
          <w:sz w:val="24"/>
          <w:u w:val="single"/>
        </w:rPr>
        <w:t>Schedule 3.11</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Liens</w:t>
      </w:r>
      <w:r>
        <w:rPr>
          <w:rFonts w:ascii="Times New Roman;serif" w:hAnsi="Times New Roman;serif"/>
          <w:b w:val="false"/>
          <w:sz w:val="24"/>
        </w:rPr>
        <w:t xml:space="preserve">. </w:t>
      </w:r>
      <w:r>
        <w:rPr>
          <w:rFonts w:ascii="Times New Roman;serif" w:hAnsi="Times New Roman;serif"/>
          <w:b w:val="false"/>
          <w:sz w:val="24"/>
          <w:u w:val="single"/>
        </w:rPr>
        <w:t>Part B</w:t>
      </w:r>
      <w:r>
        <w:rPr/>
        <w:t xml:space="preserve"> </w:t>
      </w:r>
      <w:r>
        <w:rPr>
          <w:rFonts w:ascii="Times New Roman;serif" w:hAnsi="Times New Roman;serif"/>
          <w:b w:val="false"/>
          <w:sz w:val="24"/>
        </w:rPr>
        <w:t xml:space="preserve">of </w:t>
      </w:r>
      <w:r>
        <w:rPr>
          <w:rFonts w:ascii="Times New Roman;serif" w:hAnsi="Times New Roman;serif"/>
          <w:b w:val="false"/>
          <w:sz w:val="24"/>
          <w:u w:val="single"/>
        </w:rPr>
        <w:t>Schedule 3.11</w:t>
      </w:r>
      <w:r>
        <w:rPr/>
        <w:t xml:space="preserve"> </w:t>
      </w:r>
      <w:r>
        <w:rPr>
          <w:rFonts w:ascii="Times New Roman;serif" w:hAnsi="Times New Roman;serif"/>
          <w:b w:val="false"/>
          <w:sz w:val="24"/>
        </w:rPr>
        <w:t xml:space="preserve">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Times New Roman;serif" w:hAnsi="Times New Roman;serif"/>
          <w:b w:val="false"/>
          <w:sz w:val="24"/>
          <w:u w:val="single"/>
        </w:rPr>
        <w:t>Part B</w:t>
      </w:r>
      <w:r>
        <w:rPr/>
        <w:t xml:space="preserve"> </w:t>
      </w:r>
      <w:r>
        <w:rPr>
          <w:rFonts w:ascii="Times New Roman;serif" w:hAnsi="Times New Roman;serif"/>
          <w:b w:val="false"/>
          <w:sz w:val="24"/>
        </w:rPr>
        <w:t xml:space="preserve">of </w:t>
      </w:r>
      <w:r>
        <w:rPr>
          <w:rFonts w:ascii="Times New Roman;serif" w:hAnsi="Times New Roman;serif"/>
          <w:b w:val="false"/>
          <w:sz w:val="24"/>
          <w:u w:val="single"/>
        </w:rPr>
        <w:t>Schedule 3.11</w:t>
      </w:r>
      <w:r>
        <w:rPr>
          <w:rFonts w:ascii="Times New Roman;serif" w:hAnsi="Times New Roman;serif"/>
          <w:b w:val="false"/>
          <w:sz w:val="24"/>
        </w:rPr>
        <w: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3.12.</w:t>
      </w:r>
    </w:p>
    <w:p>
      <w:pPr>
        <w:pStyle w:val="TextBody"/>
        <w:bidi w:val="0"/>
        <w:spacing w:before="0" w:after="240"/>
        <w:jc w:val="both"/>
        <w:rPr/>
      </w:pPr>
      <w:r>
        <w:rPr>
          <w:rFonts w:ascii="Times New Roman;serif" w:hAnsi="Times New Roman;serif"/>
          <w:b w:val="false"/>
          <w:sz w:val="24"/>
          <w:u w:val="single"/>
        </w:rPr>
        <w:t>Subsidiaries and Investments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Subsidiaries</w:t>
      </w:r>
      <w:r>
        <w:rPr>
          <w:rFonts w:ascii="Times New Roman;serif" w:hAnsi="Times New Roman;serif"/>
          <w:b w:val="false"/>
          <w:sz w:val="24"/>
        </w:rPr>
        <w:t xml:space="preserve">. Set forth on </w:t>
      </w:r>
      <w:r>
        <w:rPr>
          <w:rFonts w:ascii="Times New Roman;serif" w:hAnsi="Times New Roman;serif"/>
          <w:b w:val="false"/>
          <w:sz w:val="24"/>
          <w:u w:val="single"/>
        </w:rPr>
        <w:t>Schedule 3.12(a)</w:t>
      </w:r>
      <w:r>
        <w:rPr/>
        <w:t xml:space="preserve"> </w:t>
      </w:r>
      <w:r>
        <w:rPr>
          <w:rFonts w:ascii="Times New Roman;serif" w:hAnsi="Times New Roman;serif"/>
          <w:b w:val="false"/>
          <w:sz w:val="24"/>
        </w:rPr>
        <w:t>is a list of the Borrower’s Subsidiaries as of the Original Effective Date.</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Investments</w:t>
      </w:r>
      <w:r>
        <w:rPr>
          <w:rFonts w:ascii="Times New Roman;serif" w:hAnsi="Times New Roman;serif"/>
          <w:b w:val="false"/>
          <w:sz w:val="24"/>
        </w:rPr>
        <w:t xml:space="preserve">. Set forth on </w:t>
      </w:r>
      <w:r>
        <w:rPr>
          <w:rFonts w:ascii="Times New Roman;serif" w:hAnsi="Times New Roman;serif"/>
          <w:b w:val="false"/>
          <w:sz w:val="24"/>
          <w:u w:val="single"/>
        </w:rPr>
        <w:t>Schedule 3.12(b)</w:t>
      </w:r>
      <w:r>
        <w:rPr/>
        <w:t xml:space="preserve"> </w:t>
      </w:r>
      <w:r>
        <w:rPr>
          <w:rFonts w:ascii="Times New Roman;serif" w:hAnsi="Times New Roman;serif"/>
          <w:b w:val="false"/>
          <w:sz w:val="24"/>
        </w:rPr>
        <w:t xml:space="preserve">is a complete and correct list, as of the Original Effective Date, of all Investments (other than Investments of the types referred to in </w:t>
      </w:r>
      <w:r>
        <w:rPr>
          <w:rFonts w:ascii="Times New Roman;serif" w:hAnsi="Times New Roman;serif"/>
          <w:b w:val="false"/>
          <w:sz w:val="24"/>
          <w:u w:val="single"/>
        </w:rPr>
        <w:t>clauses (b)</w:t>
      </w:r>
      <w:r>
        <w:rPr>
          <w:rFonts w:ascii="Times New Roman;serif" w:hAnsi="Times New Roman;serif"/>
          <w:b w:val="false"/>
          <w:sz w:val="24"/>
        </w:rPr>
        <w:t xml:space="preserve">, </w:t>
      </w:r>
      <w:r>
        <w:rPr>
          <w:rFonts w:ascii="Times New Roman;serif" w:hAnsi="Times New Roman;serif"/>
          <w:b w:val="false"/>
          <w:sz w:val="24"/>
          <w:u w:val="single"/>
        </w:rPr>
        <w:t>(c)</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(d)</w:t>
      </w:r>
      <w:r>
        <w:rPr/>
        <w:t xml:space="preserve"> </w:t>
      </w:r>
      <w:r>
        <w:rPr>
          <w:rFonts w:ascii="Times New Roman;serif" w:hAnsi="Times New Roman;serif"/>
          <w:b w:val="false"/>
          <w:sz w:val="24"/>
        </w:rPr>
        <w:t xml:space="preserve">of </w:t>
      </w:r>
      <w:r>
        <w:rPr>
          <w:rFonts w:ascii="Times New Roman;serif" w:hAnsi="Times New Roman;serif"/>
          <w:b w:val="false"/>
          <w:sz w:val="24"/>
          <w:u w:val="single"/>
        </w:rPr>
        <w:t>Section 6.04</w:t>
      </w:r>
      <w:r>
        <w:rPr>
          <w:rFonts w:ascii="Times New Roman;serif" w:hAnsi="Times New Roman;serif"/>
          <w:b w:val="false"/>
          <w:sz w:val="24"/>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Times New Roman;serif" w:hAnsi="Times New Roman;serif"/>
          <w:b w:val="false"/>
          <w:sz w:val="24"/>
          <w:u w:val="single"/>
        </w:rPr>
        <w:t>Schedule 3.12</w:t>
      </w:r>
      <w:r>
        <w:rPr>
          <w:rFonts w:ascii="Times New Roman;serif" w:hAnsi="Times New Roman;serif"/>
          <w:b w:val="false"/>
          <w:sz w:val="24"/>
        </w:rPr>
        <w:t>, each of the Borrower and any of the Subsidiary Guarantors owned, free and clear of all Liens (other than Liens created pursuant to this Agreement or the Security Documents and Permitted Liens), all such Investments as of such date.</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3.13.</w:t>
      </w:r>
    </w:p>
    <w:p>
      <w:pPr>
        <w:pStyle w:val="TextBody"/>
        <w:bidi w:val="0"/>
        <w:spacing w:before="0" w:after="240"/>
        <w:jc w:val="both"/>
        <w:rPr/>
      </w:pPr>
      <w:r>
        <w:rPr>
          <w:rFonts w:ascii="Times New Roman;serif" w:hAnsi="Times New Roman;serif"/>
          <w:b w:val="false"/>
          <w:sz w:val="24"/>
          <w:u w:val="single"/>
        </w:rPr>
        <w:t>Properties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Title Generally</w:t>
      </w:r>
      <w:r>
        <w:rPr>
          <w:rFonts w:ascii="Times New Roman;serif" w:hAnsi="Times New Roman;serif"/>
          <w:b w:val="false"/>
          <w:sz w:val="24"/>
        </w:rPr>
        <w:t>. Each of the Borrower and the Subsidiary Guarantors has good title to, or valid leasehold interests in, all its real and personal property material to its business, taken as a whole, except for minor defects in title that do not interfere with its ability to conduct its business, taken as a whole, as currently conducted or to utilize such properties for their intended purposes except where failure to have title or leasehold interests would not reasonably be expected to have a Material Adverse Effect.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Intellectual Property</w:t>
      </w:r>
      <w:r>
        <w:rPr>
          <w:rFonts w:ascii="Times New Roman;serif" w:hAnsi="Times New Roman;serif"/>
          <w:b w:val="false"/>
          <w:sz w:val="24"/>
        </w:rPr>
        <w:t>. Each of the Borrower and its Subsidiaries (other than any Financing Subsidiary) owns, or is licensed to use, all trademarks, tradenames, copyrights, patents and other intellectual property material to its business, taken as a whole, and the use thereof by the Borrower and its Subsidiaries (other than any Financing Subsidiary) does not infringe upon the rights of any other Person, except for any such infringements that, individually or in the aggregate, would not reasonably be expected to result in a Material Adverse Effect.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3.14.</w:t>
      </w:r>
    </w:p>
    <w:p>
      <w:pPr>
        <w:pStyle w:val="TextBody"/>
        <w:bidi w:val="0"/>
        <w:spacing w:before="0" w:after="240"/>
        <w:jc w:val="both"/>
        <w:rPr/>
      </w:pPr>
      <w:r>
        <w:rPr>
          <w:rFonts w:ascii="Times New Roman;serif" w:hAnsi="Times New Roman;serif"/>
          <w:b w:val="false"/>
          <w:sz w:val="24"/>
          <w:u w:val="single"/>
        </w:rPr>
        <w:t>Affiliate Agreements</w:t>
      </w:r>
      <w:r>
        <w:rPr>
          <w:rFonts w:ascii="Times New Roman;serif" w:hAnsi="Times New Roman;serif"/>
          <w:b w:val="false"/>
          <w:sz w:val="24"/>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3.15.</w:t>
      </w:r>
    </w:p>
    <w:p>
      <w:pPr>
        <w:pStyle w:val="TextBody"/>
        <w:bidi w:val="0"/>
        <w:spacing w:before="0" w:after="240"/>
        <w:jc w:val="both"/>
        <w:rPr/>
      </w:pPr>
      <w:r>
        <w:rPr>
          <w:rFonts w:ascii="Times New Roman;serif" w:hAnsi="Times New Roman;serif"/>
          <w:b w:val="false"/>
          <w:sz w:val="24"/>
          <w:u w:val="single"/>
        </w:rPr>
        <w:t>Sanctions</w:t>
      </w:r>
      <w:r>
        <w:rPr>
          <w:rFonts w:ascii="Times New Roman;serif" w:hAnsi="Times New Roman;serif"/>
          <w:b w:val="false"/>
          <w:sz w:val="24"/>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None of the Borrower or any of its Subsidiaries, nor, to the knowledge of the Borrower, any of their respective directors, officers or authorized signors (i) is a person on the list of Specially Designated Nationals and Blocked Persons or the subject or target of, the limitations or prohibitions (collectively, “</w:t>
      </w:r>
      <w:r>
        <w:rPr>
          <w:rFonts w:ascii="Times New Roman;serif" w:hAnsi="Times New Roman;serif"/>
          <w:b w:val="false"/>
          <w:sz w:val="24"/>
          <w:u w:val="single"/>
        </w:rPr>
        <w:t>Sanctions</w:t>
      </w:r>
      <w:r>
        <w:rPr/>
        <w:t>”</w:t>
      </w:r>
      <w:r>
        <w:rPr>
          <w:rFonts w:ascii="Times New Roman;serif" w:hAnsi="Times New Roman;serif"/>
          <w:b w:val="false"/>
          <w:sz w:val="24"/>
        </w:rPr>
        <w:t>) under (A) any U.S. Department of Treasury’s Office of Foreign Assets Control or U.S. Department of State regulation or executive order or (B) any international economic sanction administered or enforced by the United Nations Security Council, His Majesty’s Treasury or the European Union or (ii) is located, organized or resident in a Sanctioned Country.</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3.16.</w:t>
      </w:r>
    </w:p>
    <w:p>
      <w:pPr>
        <w:pStyle w:val="TextBody"/>
        <w:bidi w:val="0"/>
        <w:spacing w:before="0" w:after="240"/>
        <w:jc w:val="both"/>
        <w:rPr/>
      </w:pPr>
      <w:r>
        <w:rPr>
          <w:rFonts w:ascii="Times New Roman;serif" w:hAnsi="Times New Roman;serif"/>
          <w:b w:val="false"/>
          <w:sz w:val="24"/>
          <w:u w:val="single"/>
        </w:rPr>
        <w:t>Patriot Act</w:t>
      </w:r>
      <w:r>
        <w:rPr>
          <w:rFonts w:ascii="Times New Roman;serif" w:hAnsi="Times New Roman;serif"/>
          <w:b w:val="false"/>
          <w:sz w:val="24"/>
        </w:rPr>
        <w:t>.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Times New Roman;serif" w:hAnsi="Times New Roman;serif"/>
          <w:b w:val="false"/>
          <w:sz w:val="24"/>
          <w:u w:val="single"/>
        </w:rPr>
        <w:t>Anti-Corruption Laws</w:t>
      </w:r>
      <w:r>
        <w:rPr/>
        <w:t>”</w:t>
      </w:r>
      <w:r>
        <w:rPr>
          <w:rFonts w:ascii="Times New Roman;serif" w:hAnsi="Times New Roman;serif"/>
          <w:b w:val="false"/>
          <w:sz w:val="24"/>
        </w:rPr>
        <w:t>) or (ii) for the purpose of financing the activities in or with any Sanctioned Country, or of any Person, at the time of such financing (A) the subject or target of any Sanctions or (B) located, organized or resident in a Sanctioned Country, in each case as would result in a violation of Sanctions.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3.17.</w:t>
      </w:r>
    </w:p>
    <w:p>
      <w:pPr>
        <w:pStyle w:val="TextBody"/>
        <w:bidi w:val="0"/>
        <w:spacing w:before="0" w:after="240"/>
        <w:jc w:val="both"/>
        <w:rPr/>
      </w:pPr>
      <w:r>
        <w:rPr>
          <w:rFonts w:ascii="Times New Roman;serif" w:hAnsi="Times New Roman;serif"/>
          <w:b w:val="false"/>
          <w:sz w:val="24"/>
          <w:u w:val="single"/>
        </w:rPr>
        <w:t>Collateral Documents</w:t>
      </w:r>
      <w:r>
        <w:rPr>
          <w:rFonts w:ascii="Times New Roman;serif" w:hAnsi="Times New Roman;serif"/>
          <w:b w:val="false"/>
          <w:sz w:val="24"/>
        </w:rPr>
        <w:t xml:space="preserve">. The provisions of the Security Documents are effective to create in favor of the Collateral Agent a legal, valid and enforceable first priority Lien (subject to Liens permitted by </w:t>
      </w:r>
      <w:r>
        <w:rPr>
          <w:rFonts w:ascii="Times New Roman;serif" w:hAnsi="Times New Roman;serif"/>
          <w:b w:val="false"/>
          <w:sz w:val="24"/>
          <w:u w:val="single"/>
        </w:rPr>
        <w:t>Section 6.02</w:t>
      </w:r>
      <w:r>
        <w:rPr>
          <w:rFonts w:ascii="Times New Roman;serif" w:hAnsi="Times New Roman;serif"/>
          <w:b w:val="false"/>
          <w:sz w:val="24"/>
        </w:rPr>
        <w:t xml:space="preserve">) on all right, title and interest of the Borrower and each Subsidiary Guarantor in the Collateral described therein except for any failure that would not constitute an Event of Default under clause (q) of Article VII. Except for filings completed on or prior to the Effective Date and as contemplated hereby and by the Security Documents and the taking of possession or control by the Collateral Agent of the Collateral with respect to which a security interest may be perfected by possession or control, no filing or other action will be necessary to perfect such Liens, to the extent required thereunder, except for the failure to make any filing or take any other action that would not constitute an Event of Default under clause (q) of Article VII.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3.18.</w:t>
      </w:r>
    </w:p>
    <w:p>
      <w:pPr>
        <w:pStyle w:val="TextBody"/>
        <w:bidi w:val="0"/>
        <w:spacing w:before="0" w:after="240"/>
        <w:jc w:val="both"/>
        <w:rPr/>
      </w:pPr>
      <w:r>
        <w:rPr>
          <w:rFonts w:ascii="Times New Roman;serif" w:hAnsi="Times New Roman;serif"/>
          <w:b w:val="false"/>
          <w:sz w:val="24"/>
          <w:u w:val="single"/>
        </w:rPr>
        <w:t>EEA Financial Institutions</w:t>
      </w:r>
      <w:r>
        <w:rPr>
          <w:rFonts w:ascii="Times New Roman;serif" w:hAnsi="Times New Roman;serif"/>
          <w:b w:val="false"/>
          <w:sz w:val="24"/>
        </w:rPr>
        <w:t>. Neither the Borrower nor any Subsidiary is an EEA Financial Institution.</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ARTICLE IV</w:t>
      </w:r>
    </w:p>
    <w:p>
      <w:pPr>
        <w:pStyle w:val="TextBody"/>
        <w:bidi w:val="0"/>
        <w:spacing w:before="0" w:after="240"/>
        <w:jc w:val="center"/>
        <w:rPr/>
      </w:pPr>
      <w:r>
        <w:rPr>
          <w:rFonts w:ascii="Times New Roman;serif" w:hAnsi="Times New Roman;serif"/>
          <w:b w:val="false"/>
          <w:sz w:val="24"/>
        </w:rPr>
        <w:br/>
        <w:br/>
      </w:r>
      <w:r>
        <w:rPr>
          <w:rFonts w:ascii="Times New Roman;serif" w:hAnsi="Times New Roman;serif"/>
          <w:b w:val="false"/>
          <w:caps/>
          <w:sz w:val="24"/>
          <w:u w:val="single"/>
        </w:rPr>
        <w:t>CONDITIONS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4.01.</w:t>
      </w:r>
    </w:p>
    <w:p>
      <w:pPr>
        <w:pStyle w:val="TextBody"/>
        <w:bidi w:val="0"/>
        <w:spacing w:before="0" w:after="240"/>
        <w:jc w:val="both"/>
        <w:rPr/>
      </w:pPr>
      <w:r>
        <w:rPr>
          <w:rFonts w:ascii="Times New Roman;serif" w:hAnsi="Times New Roman;serif"/>
          <w:b w:val="false"/>
          <w:sz w:val="24"/>
          <w:u w:val="single"/>
        </w:rPr>
        <w:t>Effective Date</w:t>
      </w:r>
      <w:r>
        <w:rPr>
          <w:rFonts w:ascii="Times New Roman;serif" w:hAnsi="Times New Roman;serif"/>
          <w:b w:val="false"/>
          <w:sz w:val="24"/>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Times New Roman;serif" w:hAnsi="Times New Roman;serif"/>
          <w:b w:val="false"/>
          <w:sz w:val="24"/>
          <w:u w:val="single"/>
        </w:rPr>
        <w:t>Section 9.02</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Documents</w:t>
      </w:r>
      <w:r>
        <w:rPr>
          <w:rFonts w:ascii="Times New Roman;serif" w:hAnsi="Times New Roman;serif"/>
          <w:b w:val="false"/>
          <w:sz w:val="24"/>
        </w:rPr>
        <w:t>. Administrative Agent shall have received each of the following documents, each of which shall be satisfactory to the Administrative Agent (and to the extent specified below to each Lender) in form and substance:</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u w:val="single"/>
        </w:rPr>
        <w:t>Executed Counterparts</w:t>
      </w:r>
      <w:r>
        <w:rPr>
          <w:rFonts w:ascii="Times New Roman;serif" w:hAnsi="Times New Roman;serif"/>
          <w:b w:val="false"/>
          <w:sz w:val="24"/>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u w:val="single"/>
        </w:rPr>
        <w:t>Opinion of Counsel to the Borrower</w:t>
      </w:r>
      <w:r>
        <w:rPr>
          <w:rFonts w:ascii="Times New Roman;serif" w:hAnsi="Times New Roman;serif"/>
          <w:b w:val="false"/>
          <w:sz w:val="24"/>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pPr>
      <w:r>
        <w:rPr>
          <w:rFonts w:ascii="Times New Roman;serif" w:hAnsi="Times New Roman;serif"/>
          <w:b w:val="false"/>
          <w:sz w:val="24"/>
          <w:u w:val="single"/>
        </w:rPr>
        <w:t>Corporate Documents</w:t>
      </w:r>
      <w:r>
        <w:rPr>
          <w:rFonts w:ascii="Times New Roman;serif" w:hAnsi="Times New Roman;serif"/>
          <w:b w:val="false"/>
          <w:sz w:val="24"/>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(iv) </w:t>
      </w:r>
      <w:r>
        <w:rPr>
          <w:rFonts w:ascii="Times New Roman;serif" w:hAnsi="Times New Roman;serif"/>
          <w:b w:val="false"/>
          <w:sz w:val="24"/>
          <w:u w:val="single"/>
        </w:rPr>
        <w:t>Officer’s Certificate</w:t>
      </w:r>
      <w:r>
        <w:rPr>
          <w:rFonts w:ascii="Times New Roman;serif" w:hAnsi="Times New Roman;serif"/>
          <w:b w:val="false"/>
          <w:sz w:val="24"/>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Times New Roman;serif" w:hAnsi="Times New Roman;serif"/>
          <w:b w:val="false"/>
          <w:sz w:val="24"/>
          <w:u w:val="single"/>
        </w:rPr>
        <w:t>Section 4.02</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Fees and Expenses</w:t>
      </w:r>
      <w:r>
        <w:rPr>
          <w:rFonts w:ascii="Times New Roman;serif" w:hAnsi="Times New Roman;serif"/>
          <w:b w:val="false"/>
          <w:sz w:val="24"/>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4.02.</w:t>
      </w:r>
    </w:p>
    <w:p>
      <w:pPr>
        <w:pStyle w:val="TextBody"/>
        <w:bidi w:val="0"/>
        <w:spacing w:before="0" w:after="240"/>
        <w:jc w:val="both"/>
        <w:rPr/>
      </w:pPr>
      <w:r>
        <w:rPr>
          <w:rFonts w:ascii="Times New Roman;serif" w:hAnsi="Times New Roman;serif"/>
          <w:b w:val="false"/>
          <w:sz w:val="24"/>
          <w:u w:val="single"/>
        </w:rPr>
        <w:t>Each Credit Event</w:t>
      </w:r>
      <w:r>
        <w:rPr>
          <w:rFonts w:ascii="Times New Roman;serif" w:hAnsi="Times New Roman;serif"/>
          <w:b w:val="false"/>
          <w:sz w:val="24"/>
        </w:rPr>
        <w:t>. The obligation of each Lender to make any Loan, and of each Issuing Bank to issue, amend, renew or extend any Letter of Credit, is additionally subject to the satisfaction of the following conditions:</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 all respects) on and as of the date of such Loan or the date of issuance, amendment, renewal or extension of such Letter of Credit, as applicable, or, as to any such representation or warranty that refers to a specific date, as of such specific date;</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at the time of and immediately after giving effect to such Loan or the issuance, amendment, renewal or extension of such Letter of Credit, as applicable, no Default shall have occurred and be continuing; and </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Borrowing (but, for the avoidance of doubt, not a continuation or conversion thereof) and each issuance, renewal or extension of a Letter of Credit shall be deemed to constitute a representation and warranty by the Borrower on the date thereof as to the matters specified in the preceding sentence.</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ARTICLE V</w:t>
      </w:r>
    </w:p>
    <w:p>
      <w:pPr>
        <w:pStyle w:val="TextBody"/>
        <w:bidi w:val="0"/>
        <w:spacing w:before="0" w:after="240"/>
        <w:jc w:val="center"/>
        <w:rPr/>
      </w:pPr>
      <w:r>
        <w:rPr>
          <w:rFonts w:ascii="Times New Roman;serif" w:hAnsi="Times New Roman;serif"/>
          <w:b w:val="false"/>
          <w:sz w:val="24"/>
        </w:rPr>
        <w:br/>
        <w:br/>
      </w:r>
      <w:r>
        <w:rPr>
          <w:rFonts w:ascii="Times New Roman;serif" w:hAnsi="Times New Roman;serif"/>
          <w:b w:val="false"/>
          <w:caps/>
          <w:sz w:val="24"/>
          <w:u w:val="single"/>
        </w:rPr>
        <w:t>AFFIRMATIVE COVENANTS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Until the Commitments have expired or been terminated and the principal of and accrued interest on each Loan and all fees payable hereunder (other than Unasserted Contingent Obligations) shall have been paid in full and all Letters of Credit shall have expired, been terminated, Cash Collateralized or backstopped and all LC Disbursements shall have been reimbursed, the Borrower covenants and agrees with the Lenders that: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5.01.</w:t>
      </w:r>
    </w:p>
    <w:p>
      <w:pPr>
        <w:pStyle w:val="TextBody"/>
        <w:bidi w:val="0"/>
        <w:spacing w:before="0" w:after="240"/>
        <w:jc w:val="both"/>
        <w:rPr/>
      </w:pPr>
      <w:r>
        <w:rPr>
          <w:rFonts w:ascii="Times New Roman;serif" w:hAnsi="Times New Roman;serif"/>
          <w:b w:val="false"/>
          <w:sz w:val="24"/>
          <w:u w:val="single"/>
        </w:rPr>
        <w:t>Financial Statements and Other Information</w:t>
      </w:r>
      <w:r>
        <w:rPr>
          <w:rFonts w:ascii="Times New Roman;serif" w:hAnsi="Times New Roman;serif"/>
          <w:b w:val="false"/>
          <w:sz w:val="24"/>
        </w:rPr>
        <w:t>. The Borrower will furnish to the Administrative Agent (for distribution to each Lender):</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within 90 days after the end of each fiscal year of the Borrower (or such longer period permitted pursuant to any orders, declarations, laws, regulations or letters issued by the Securities and Exchange Commission or any other government or regulatory authority, not to exceed one hundred twenty (120)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(except as disclosed therein) consistently applied;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the requirements set forth in this </w:t>
      </w:r>
      <w:r>
        <w:rPr>
          <w:rFonts w:ascii="Times New Roman;serif" w:hAnsi="Times New Roman;serif"/>
          <w:b w:val="false"/>
          <w:sz w:val="24"/>
          <w:u w:val="single"/>
        </w:rPr>
        <w:t>clause (a)</w:t>
      </w:r>
      <w:r>
        <w:rPr/>
        <w:t xml:space="preserve"> </w:t>
      </w:r>
      <w:r>
        <w:rPr>
          <w:rFonts w:ascii="Times New Roman;serif" w:hAnsi="Times New Roman;serif"/>
          <w:b w:val="false"/>
          <w:sz w:val="24"/>
        </w:rPr>
        <w:t xml:space="preserve">may be fulfilled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by providing to the Administrative Agent the report of the Borrower to the SEC on Form 10-K for the applicable fiscal year;</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within 45 days after the end of each of the first three fiscal quarters of each fiscal year of the Borrower (or such longer period permitted pursuant to any orders, declarations, laws, regulations or letters issued by the SEC or any other government or regulatory authority, not to exceed seventy-five (75) days after the end of each of the first three (3)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(except as disclosed therein) consistently applied, subject to normal year-end audit adjustments and the absence of footnotes;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the requirements set forth in this </w:t>
      </w:r>
      <w:r>
        <w:rPr>
          <w:rFonts w:ascii="Times New Roman;serif" w:hAnsi="Times New Roman;serif"/>
          <w:b w:val="false"/>
          <w:sz w:val="24"/>
          <w:u w:val="single"/>
        </w:rPr>
        <w:t>clause (b)</w:t>
      </w:r>
      <w:r>
        <w:rPr/>
        <w:t xml:space="preserve"> </w:t>
      </w:r>
      <w:r>
        <w:rPr>
          <w:rFonts w:ascii="Times New Roman;serif" w:hAnsi="Times New Roman;serif"/>
          <w:b w:val="false"/>
          <w:sz w:val="24"/>
        </w:rPr>
        <w:t>may be fulfilled by providing to the Administrative Agent the report of the Borrower to the SEC on Form 10-Q for the applicable quarterly period;</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 xml:space="preserve">concurrently with any delivery of financial statements under </w:t>
      </w:r>
      <w:r>
        <w:rPr>
          <w:rFonts w:ascii="Times New Roman;serif" w:hAnsi="Times New Roman;serif"/>
          <w:b w:val="false"/>
          <w:sz w:val="24"/>
          <w:u w:val="single"/>
        </w:rPr>
        <w:t>clause (a)</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(b)</w:t>
      </w:r>
      <w:r>
        <w:rPr/>
        <w:t xml:space="preserve"> </w:t>
      </w:r>
      <w:r>
        <w:rPr>
          <w:rFonts w:ascii="Times New Roman;serif" w:hAnsi="Times New Roman;serif"/>
          <w:b w:val="false"/>
          <w:sz w:val="24"/>
        </w:rPr>
        <w:t xml:space="preserve">of this Section, a certificate of a Financial Officer of the Borrower (i) certifying as to whether the Borrower has knowledge that a Default has occurred during the applicable period and, if a Default has occurred and is continuing, specifying the details thereof and any action taken or proposed to be taken with respect thereto, (ii) setting forth reasonably detailed calculations demonstrating compliance with </w:t>
      </w:r>
      <w:r>
        <w:rPr>
          <w:rFonts w:ascii="Times New Roman;serif" w:hAnsi="Times New Roman;serif"/>
          <w:b w:val="false"/>
          <w:sz w:val="24"/>
          <w:u w:val="single"/>
        </w:rPr>
        <w:t>Sections 6.01</w:t>
      </w:r>
      <w:r>
        <w:rPr>
          <w:rFonts w:ascii="Times New Roman;serif" w:hAnsi="Times New Roman;serif"/>
          <w:b w:val="false"/>
          <w:sz w:val="24"/>
        </w:rPr>
        <w:t xml:space="preserve">, </w:t>
      </w:r>
      <w:r>
        <w:rPr>
          <w:rFonts w:ascii="Times New Roman;serif" w:hAnsi="Times New Roman;serif"/>
          <w:b w:val="false"/>
          <w:sz w:val="24"/>
          <w:u w:val="single"/>
        </w:rPr>
        <w:t>6.02</w:t>
      </w:r>
      <w:r>
        <w:rPr>
          <w:rFonts w:ascii="Times New Roman;serif" w:hAnsi="Times New Roman;serif"/>
          <w:b w:val="false"/>
          <w:sz w:val="24"/>
        </w:rPr>
        <w:t xml:space="preserve">, </w:t>
      </w:r>
      <w:r>
        <w:rPr>
          <w:rFonts w:ascii="Times New Roman;serif" w:hAnsi="Times New Roman;serif"/>
          <w:b w:val="false"/>
          <w:sz w:val="24"/>
          <w:u w:val="single"/>
        </w:rPr>
        <w:t>6.04</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6.07</w:t>
      </w:r>
      <w:r>
        <w:rPr/>
        <w:t xml:space="preserve"> </w:t>
      </w:r>
      <w:r>
        <w:rPr>
          <w:rFonts w:ascii="Times New Roman;serif" w:hAnsi="Times New Roman;serif"/>
          <w:b w:val="false"/>
          <w:sz w:val="24"/>
        </w:rPr>
        <w:t xml:space="preserve">and (iii) stating whether any change in GAAP as applied by (or in the application of GAAP by) the Borrower has occurred since the Effective Date (but only if the Borrower has not previously reported such change to the Administrative Agent and if such change has had a material effect on the financial statements) and, if any such change has occurred, specifying the effect (unless such effect has been previously reported) as determined by the Borrower of such change on the financial statements accompanying such certificate; </w:t>
      </w:r>
      <w:r>
        <w:rPr>
          <w:rFonts w:ascii="Times New Roman;serif" w:hAnsi="Times New Roman;serif"/>
          <w:b w:val="false"/>
          <w:sz w:val="24"/>
          <w:u w:val="single"/>
        </w:rPr>
        <w:t>provided</w:t>
      </w:r>
      <w:r>
        <w:rPr/>
        <w:t xml:space="preserve"> </w:t>
      </w:r>
      <w:r>
        <w:rPr>
          <w:rFonts w:ascii="Times New Roman;serif" w:hAnsi="Times New Roman;serif"/>
          <w:b w:val="false"/>
          <w:sz w:val="24"/>
        </w:rPr>
        <w:t>that the requirements set forth in this clause (c)(iii) may be fulfilled by providing to the Administrative Agent the report of the Borrower to the SEC on Form 10-Q for the applicable quarterly period;</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rPr>
        <w:t xml:space="preserve">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w:t>
      </w:r>
      <w:r>
        <w:rPr>
          <w:rFonts w:ascii="Times New Roman;serif" w:hAnsi="Times New Roman;serif"/>
          <w:b w:val="false"/>
          <w:sz w:val="24"/>
          <w:u w:val="single"/>
        </w:rPr>
        <w:t>Section 6.05(d)</w:t>
      </w:r>
      <w:r>
        <w:rPr>
          <w:rFonts w:ascii="Times New Roman;serif" w:hAnsi="Times New Roman;serif"/>
          <w:b w:val="false"/>
          <w:sz w:val="24"/>
        </w:rPr>
        <w:t xml:space="preserve">, such Borrowing Base Certificate shall certify that the condition set forth in </w:t>
      </w:r>
      <w:r>
        <w:rPr>
          <w:rFonts w:ascii="Times New Roman;serif" w:hAnsi="Times New Roman;serif"/>
          <w:b w:val="false"/>
          <w:sz w:val="24"/>
          <w:u w:val="single"/>
        </w:rPr>
        <w:t>Section 6.05(d)(x)</w:t>
      </w:r>
      <w:r>
        <w:rPr/>
        <w:t xml:space="preserve"> </w:t>
      </w:r>
      <w:r>
        <w:rPr>
          <w:rFonts w:ascii="Times New Roman;serif" w:hAnsi="Times New Roman;serif"/>
          <w:b w:val="false"/>
          <w:sz w:val="24"/>
        </w:rPr>
        <w:t>was satisfied on the date of each such Restricted Payment;</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promptly but no later than five (5)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Borrowing Base Deficiency as of the date not earlier than one Business Day prior to the date the Borrowing Base Certificate is delivered pursuant to this paragraph;</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promptly upon receipt thereof, copies of all significant written reports submitted to management or the board of directors of the Borrower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 (other than the periodic reports that the Borrower’s independent auditors provide, in the ordinary course, to the audit committee of the Borrower’s board of directors);</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(acting through the Administrative Agent) may reasonably request.</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Borrower and each Lender acknowledge that certain of the Lenders may be Public Lenders and, if documents or notices required to be delivered pursuant to this </w:t>
      </w:r>
      <w:r>
        <w:rPr>
          <w:rFonts w:ascii="Times New Roman;serif" w:hAnsi="Times New Roman;serif"/>
          <w:b w:val="false"/>
          <w:sz w:val="24"/>
          <w:u w:val="single"/>
        </w:rPr>
        <w:t>Section 5.01</w:t>
      </w:r>
      <w:r>
        <w:rPr/>
        <w:t xml:space="preserve"> </w:t>
      </w:r>
      <w:r>
        <w:rPr>
          <w:rFonts w:ascii="Times New Roman;serif" w:hAnsi="Times New Roman;serif"/>
          <w:b w:val="false"/>
          <w:sz w:val="24"/>
        </w:rPr>
        <w:t>or otherwise are being distributed through IntraLinks/IntraAgency, SyndTrak or another relevant website or other information platform (the “</w:t>
      </w:r>
      <w:r>
        <w:rPr>
          <w:rFonts w:ascii="Times New Roman;serif" w:hAnsi="Times New Roman;serif"/>
          <w:b w:val="false"/>
          <w:sz w:val="24"/>
          <w:u w:val="single"/>
        </w:rPr>
        <w:t>Platform</w:t>
      </w:r>
      <w:r>
        <w:rPr/>
        <w:t>”</w:t>
      </w:r>
      <w:r>
        <w:rPr>
          <w:rFonts w:ascii="Times New Roman;serif" w:hAnsi="Times New Roman;serif"/>
          <w:b w:val="false"/>
          <w:sz w:val="24"/>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Times New Roman;serif" w:hAnsi="Times New Roman;serif"/>
          <w:b w:val="false"/>
          <w:sz w:val="24"/>
          <w:u w:val="single"/>
        </w:rPr>
        <w:t>Section 5.01</w:t>
      </w:r>
      <w:r>
        <w:rPr/>
        <w:t xml:space="preserve"> </w:t>
      </w:r>
      <w:r>
        <w:rPr>
          <w:rFonts w:ascii="Times New Roman;serif" w:hAnsi="Times New Roman;serif"/>
          <w:b w:val="false"/>
          <w:sz w:val="24"/>
        </w:rPr>
        <w:t xml:space="preserve">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Times New Roman;serif" w:hAnsi="Times New Roman;serif"/>
          <w:b w:val="false"/>
          <w:sz w:val="24"/>
          <w:u w:val="single"/>
        </w:rPr>
        <w:t>Section 5.13</w:t>
      </w:r>
      <w:r>
        <w:rPr/>
        <w:t xml:space="preserve"> </w:t>
      </w:r>
      <w:r>
        <w:rPr>
          <w:rFonts w:ascii="Times New Roman;serif" w:hAnsi="Times New Roman;serif"/>
          <w:b w:val="false"/>
          <w:sz w:val="24"/>
        </w:rPr>
        <w:t>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(j)</w:t>
      </w:r>
    </w:p>
    <w:p>
      <w:pPr>
        <w:pStyle w:val="TextBody"/>
        <w:bidi w:val="0"/>
        <w:spacing w:before="0" w:after="240"/>
        <w:jc w:val="both"/>
        <w:rPr/>
      </w:pPr>
      <w:r>
        <w:rPr>
          <w:rFonts w:ascii="Times New Roman;serif" w:hAnsi="Times New Roman;serif"/>
          <w:b w:val="false"/>
          <w:sz w:val="24"/>
        </w:rPr>
        <w:t xml:space="preserve">Notwithstanding anything to the contrary herein, the requirements to deliver documents set forth in </w:t>
      </w:r>
      <w:r>
        <w:rPr>
          <w:rFonts w:ascii="Times New Roman;serif" w:hAnsi="Times New Roman;serif"/>
          <w:b w:val="false"/>
          <w:sz w:val="24"/>
          <w:u w:val="single"/>
        </w:rPr>
        <w:t>Section 5.01(a)</w:t>
      </w:r>
      <w:r>
        <w:rPr>
          <w:rFonts w:ascii="Times New Roman;serif" w:hAnsi="Times New Roman;serif"/>
          <w:b w:val="false"/>
          <w:sz w:val="24"/>
        </w:rPr>
        <w:t xml:space="preserve">, </w:t>
      </w:r>
      <w:r>
        <w:rPr>
          <w:rFonts w:ascii="Times New Roman;serif" w:hAnsi="Times New Roman;serif"/>
          <w:b w:val="false"/>
          <w:sz w:val="24"/>
          <w:u w:val="single"/>
        </w:rPr>
        <w:t>(b)</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(g)</w:t>
      </w:r>
      <w:r>
        <w:rPr/>
        <w:t xml:space="preserve"> </w:t>
      </w:r>
      <w:r>
        <w:rPr>
          <w:rFonts w:ascii="Times New Roman;serif" w:hAnsi="Times New Roman;serif"/>
          <w:b w:val="false"/>
          <w:sz w:val="24"/>
        </w:rPr>
        <w:t xml:space="preserve">will be fulfilled by filing by the Borrower of the applicable documents for public availability on the SEC’s Electronic Data Gathering and Retrieval system; </w:t>
      </w:r>
      <w:r>
        <w:rPr>
          <w:rFonts w:ascii="Times New Roman;serif" w:hAnsi="Times New Roman;serif"/>
          <w:b w:val="false"/>
          <w:sz w:val="24"/>
          <w:u w:val="single"/>
        </w:rPr>
        <w:t>provided</w:t>
      </w:r>
      <w:r>
        <w:rPr>
          <w:rFonts w:ascii="Times New Roman;serif" w:hAnsi="Times New Roman;serif"/>
          <w:b w:val="false"/>
          <w:sz w:val="24"/>
        </w:rPr>
        <w:t>, that the Borrower shall notify the Administrative Agent (by telecopier or electronic mail) of the posting of any such documents.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5.02.</w:t>
      </w:r>
    </w:p>
    <w:p>
      <w:pPr>
        <w:pStyle w:val="TextBody"/>
        <w:bidi w:val="0"/>
        <w:spacing w:before="0" w:after="240"/>
        <w:jc w:val="both"/>
        <w:rPr/>
      </w:pPr>
      <w:r>
        <w:rPr>
          <w:rFonts w:ascii="Times New Roman;serif" w:hAnsi="Times New Roman;serif"/>
          <w:b w:val="false"/>
          <w:sz w:val="24"/>
          <w:u w:val="single"/>
        </w:rPr>
        <w:t>Notices of Material Events</w:t>
      </w:r>
      <w:r>
        <w:rPr>
          <w:rFonts w:ascii="Times New Roman;serif" w:hAnsi="Times New Roman;serif"/>
          <w:b w:val="false"/>
          <w:sz w:val="24"/>
        </w:rPr>
        <w:t xml:space="preserve">. The Borrower will furnish to the Administrative Agent (for distribution to each Lender) prompt written notice upon any Responsible Officer obtaining knowledge of the following: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occurrence of any Default;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filing or commencement of any action, suit or proceeding by or before any arbitrator or Governmental Authority against the Borrower or any of its Subsidiaries that, if adversely determined, would reasonably be expected to result in a Material Adverse Effect;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occurrence of any ERISA Event that, alone or together with any other ERISA Events that have occurred after the Effective Date, would reasonably be expected to result in liability of the Borrower and its Subsidiaries in an aggregate amount exceeding $50,000,000; and</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other development (excluding matters of a general economic, financial or political nature to the extent that they could not reasonably be expected to have a disproportionate effect on the Borrower) that results in, or would reasonably be expected to result in, a Material Adverse Effect.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5.03.</w:t>
      </w:r>
    </w:p>
    <w:p>
      <w:pPr>
        <w:pStyle w:val="TextBody"/>
        <w:bidi w:val="0"/>
        <w:spacing w:before="0" w:after="240"/>
        <w:jc w:val="both"/>
        <w:rPr/>
      </w:pPr>
      <w:r>
        <w:rPr>
          <w:rFonts w:ascii="Times New Roman;serif" w:hAnsi="Times New Roman;serif"/>
          <w:b w:val="false"/>
          <w:sz w:val="24"/>
          <w:u w:val="single"/>
        </w:rPr>
        <w:t>Existence: Conduct of Business</w:t>
      </w:r>
      <w:r>
        <w:rPr>
          <w:rFonts w:ascii="Times New Roman;serif" w:hAnsi="Times New Roman;serif"/>
          <w:b w:val="false"/>
          <w:sz w:val="24"/>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the foregoing shall not prohibit any merger, consolidation, liquidation or dissolution not prohibited under </w:t>
      </w:r>
      <w:r>
        <w:rPr>
          <w:rFonts w:ascii="Times New Roman;serif" w:hAnsi="Times New Roman;serif"/>
          <w:b w:val="false"/>
          <w:sz w:val="24"/>
          <w:u w:val="single"/>
        </w:rPr>
        <w:t>Section 6.03</w:t>
      </w:r>
      <w:r>
        <w:rPr>
          <w:rFonts w:ascii="Times New Roman;serif" w:hAnsi="Times New Roman;serif"/>
          <w:b w:val="false"/>
          <w:sz w:val="24"/>
        </w:rPr>
        <w: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5.04.</w:t>
      </w:r>
    </w:p>
    <w:p>
      <w:pPr>
        <w:pStyle w:val="TextBody"/>
        <w:bidi w:val="0"/>
        <w:spacing w:before="0" w:after="240"/>
        <w:jc w:val="both"/>
        <w:rPr/>
      </w:pPr>
      <w:r>
        <w:rPr>
          <w:rFonts w:ascii="Times New Roman;serif" w:hAnsi="Times New Roman;serif"/>
          <w:b w:val="false"/>
          <w:sz w:val="24"/>
          <w:u w:val="single"/>
        </w:rPr>
        <w:t>Payment of Obligations</w:t>
      </w:r>
      <w:r>
        <w:rPr>
          <w:rFonts w:ascii="Times New Roman;serif" w:hAnsi="Times New Roman;serif"/>
          <w:b w:val="false"/>
          <w:sz w:val="24"/>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5.05.</w:t>
      </w:r>
    </w:p>
    <w:p>
      <w:pPr>
        <w:pStyle w:val="TextBody"/>
        <w:bidi w:val="0"/>
        <w:spacing w:before="0" w:after="240"/>
        <w:jc w:val="both"/>
        <w:rPr/>
      </w:pPr>
      <w:r>
        <w:rPr>
          <w:rFonts w:ascii="Times New Roman;serif" w:hAnsi="Times New Roman;serif"/>
          <w:b w:val="false"/>
          <w:sz w:val="24"/>
          <w:u w:val="single"/>
        </w:rPr>
        <w:t>Maintenance of Properties; Insurance</w:t>
      </w:r>
      <w:r>
        <w:rPr>
          <w:rFonts w:ascii="Times New Roman;serif" w:hAnsi="Times New Roman;serif"/>
          <w:b w:val="false"/>
          <w:sz w:val="24"/>
        </w:rPr>
        <w:t>. The Borrower will, and will cause each of its Subsidiaries (other than Immaterial Subsidiaries) to, (a) keep and maintain all property material to the conduct of its business in good working order and condition, ordinary wear and tear excepted except where failure to keep or maintain would not reasonably be expected to result in a Material Adverse Effect; provided that the foregoing shall not prohibit any merger, consolidation, liquidation or dissolution not prohibited under Section 6.03, and (b) maintain, with financially sound and reputable insurance companies, insurance in such amounts and against such risks as are customarily maintained by companies engaged in the same or similar businesses operating in the same or similar locations.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5.06.</w:t>
      </w:r>
    </w:p>
    <w:p>
      <w:pPr>
        <w:pStyle w:val="TextBody"/>
        <w:bidi w:val="0"/>
        <w:spacing w:before="0" w:after="240"/>
        <w:jc w:val="both"/>
        <w:rPr/>
      </w:pPr>
      <w:r>
        <w:rPr>
          <w:rFonts w:ascii="Times New Roman;serif" w:hAnsi="Times New Roman;serif"/>
          <w:b w:val="false"/>
          <w:sz w:val="24"/>
          <w:u w:val="single"/>
        </w:rPr>
        <w:t>Books and Records; Inspection and Audit Rights</w:t>
      </w:r>
      <w:r>
        <w:rPr>
          <w:rFonts w:ascii="Times New Roman;serif" w:hAnsi="Times New Roman;serif"/>
          <w:b w:val="false"/>
          <w:sz w:val="24"/>
        </w:rPr>
        <w:t xml:space="preserve">. The Borrower will, and will cause each of its Subsidiaries to, keep books of record and account in accordance with GAAP in all material respects. The Borrower will, and will cause each other Obligor to, permit any representatives designated by the Administrative Agent or any Lender, upon reasonable prior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notice, to visit and inspect its properties during business hours, to examine and make extracts from its books and records (but only to the extent the Borrower is not prohibited from disclosing such information or providing access to such information pursuant to applicable law or an agreement any Obligor entered into with a third party in the ordinary course of its business),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Times New Roman;serif" w:hAnsi="Times New Roman;serif"/>
          <w:b w:val="false"/>
          <w:sz w:val="24"/>
          <w:u w:val="single"/>
        </w:rPr>
        <w:t>provided</w:t>
      </w:r>
      <w:r>
        <w:rPr/>
        <w:t xml:space="preserve"> </w:t>
      </w:r>
      <w:r>
        <w:rPr>
          <w:rFonts w:ascii="Times New Roman;serif" w:hAnsi="Times New Roman;serif"/>
          <w:b w:val="false"/>
          <w:sz w:val="24"/>
        </w:rPr>
        <w:t>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5.07.</w:t>
      </w:r>
    </w:p>
    <w:p>
      <w:pPr>
        <w:pStyle w:val="TextBody"/>
        <w:bidi w:val="0"/>
        <w:spacing w:before="0" w:after="240"/>
        <w:jc w:val="both"/>
        <w:rPr/>
      </w:pPr>
      <w:r>
        <w:rPr>
          <w:rFonts w:ascii="Times New Roman;serif" w:hAnsi="Times New Roman;serif"/>
          <w:b w:val="false"/>
          <w:sz w:val="24"/>
          <w:u w:val="single"/>
        </w:rPr>
        <w:t>Compliance with Laws</w:t>
      </w:r>
      <w:r>
        <w:rPr>
          <w:rFonts w:ascii="Times New Roman;serif" w:hAnsi="Times New Roman;serif"/>
          <w:b w:val="false"/>
          <w:sz w:val="24"/>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5.08.</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Certain Obligations Respecting Subsidiaries; Further Assurances.</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Subsidiary Guarantors</w:t>
      </w:r>
      <w:r>
        <w:rPr>
          <w:rFonts w:ascii="Times New Roman;serif" w:hAnsi="Times New Roman;serif"/>
          <w:b w:val="false"/>
          <w:sz w:val="24"/>
        </w:rPr>
        <w:t xml:space="preserve">.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(unless waived by the Administrative Agent) and other documents as is consistent with those delivered by the Borrower pursuant to </w:t>
      </w:r>
      <w:r>
        <w:rPr>
          <w:rFonts w:ascii="Times New Roman;serif" w:hAnsi="Times New Roman;serif"/>
          <w:b w:val="false"/>
          <w:sz w:val="24"/>
          <w:u w:val="single"/>
        </w:rPr>
        <w:t>Section 4.01</w:t>
      </w:r>
      <w:r>
        <w:rPr/>
        <w:t xml:space="preserve"> </w:t>
      </w:r>
      <w:r>
        <w:rPr>
          <w:rFonts w:ascii="Times New Roman;serif" w:hAnsi="Times New Roman;serif"/>
          <w:b w:val="false"/>
          <w:sz w:val="24"/>
        </w:rPr>
        <w:t>upon the Effective Date or as the Administrative Agent shall have reasonably requested.</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Ownership of Subsidiaries</w:t>
      </w:r>
      <w:r>
        <w:rPr>
          <w:rFonts w:ascii="Times New Roman;serif" w:hAnsi="Times New Roman;serif"/>
          <w:b w:val="false"/>
          <w:sz w:val="24"/>
        </w:rPr>
        <w:t>. The Borrower will, and will cause each of its Subsidiaries to, take such action from time to time as shall be necessary to ensure that each of its Subsidiaries is a wholly owned Subsidiary.</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Further Assurances</w:t>
      </w:r>
      <w:r>
        <w:rPr>
          <w:rFonts w:ascii="Times New Roman;serif" w:hAnsi="Times New Roman;serif"/>
          <w:b w:val="false"/>
          <w:sz w:val="24"/>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with the Borrower) and the holders of any Secured Longer-Term Indebtedness or Secured Shorter-Term Indebtedness, perfected security interests and Liens in the Collateral;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any such security interest or Lien shall be subject to the relevant requirements of the Security Documents, (ii) in the case of any Portfolio Investment consisting of a Bank Loan (as defined in </w:t>
      </w:r>
      <w:r>
        <w:rPr>
          <w:rFonts w:ascii="Times New Roman;serif" w:hAnsi="Times New Roman;serif"/>
          <w:b w:val="false"/>
          <w:sz w:val="24"/>
          <w:u w:val="single"/>
        </w:rPr>
        <w:t>Section 5.13</w:t>
      </w:r>
      <w:r>
        <w:rPr>
          <w:rFonts w:ascii="Times New Roman;serif" w:hAnsi="Times New Roman;serif"/>
          <w:b w:val="false"/>
          <w:sz w:val="24"/>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if an Event of Default has occurred and is continuing,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5.09.</w:t>
      </w:r>
    </w:p>
    <w:p>
      <w:pPr>
        <w:pStyle w:val="TextBody"/>
        <w:bidi w:val="0"/>
        <w:spacing w:before="0" w:after="240"/>
        <w:jc w:val="both"/>
        <w:rPr/>
      </w:pPr>
      <w:r>
        <w:rPr>
          <w:rFonts w:ascii="Times New Roman;serif" w:hAnsi="Times New Roman;serif"/>
          <w:b w:val="false"/>
          <w:sz w:val="24"/>
          <w:u w:val="single"/>
        </w:rPr>
        <w:t>Use of Proceeds</w:t>
      </w:r>
      <w:r>
        <w:rPr>
          <w:rFonts w:ascii="Times New Roman;serif" w:hAnsi="Times New Roman;serif"/>
          <w:b w:val="false"/>
          <w:sz w:val="24"/>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w:t>
      </w:r>
      <w:r>
        <w:rPr>
          <w:rFonts w:ascii="Times New Roman;serif" w:hAnsi="Times New Roman;serif"/>
          <w:b w:val="false"/>
          <w:sz w:val="24"/>
          <w:u w:val="single"/>
        </w:rPr>
        <w:t>Section 3.16</w:t>
      </w:r>
      <w:r>
        <w:rPr>
          <w:rFonts w:ascii="Times New Roman;serif" w:hAnsi="Times New Roman;serif"/>
          <w:b w:val="false"/>
          <w:sz w:val="24"/>
        </w:rPr>
        <w:t>. Margin Stock shall be purchased by the Obligors only with the proceeds of Indebtedness not directly or indirectly secured by Margin Stock, or with the proceeds of equity capital of the Borrower.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5.10.</w:t>
      </w:r>
    </w:p>
    <w:p>
      <w:pPr>
        <w:pStyle w:val="TextBody"/>
        <w:bidi w:val="0"/>
        <w:spacing w:before="0" w:after="240"/>
        <w:jc w:val="both"/>
        <w:rPr/>
      </w:pPr>
      <w:r>
        <w:rPr>
          <w:rFonts w:ascii="Times New Roman;serif" w:hAnsi="Times New Roman;serif"/>
          <w:b w:val="false"/>
          <w:sz w:val="24"/>
          <w:u w:val="single"/>
        </w:rPr>
        <w:t>Status of RIC and BDC</w:t>
      </w:r>
      <w:r>
        <w:rPr>
          <w:rFonts w:ascii="Times New Roman;serif" w:hAnsi="Times New Roman;serif"/>
          <w:b w:val="false"/>
          <w:sz w:val="24"/>
        </w:rPr>
        <w:t>. The Borrower shall at all times, subject to applicable grace periods set forth in the Code, maintain its status as a RIC under the Code, and as a “business development company” under the Investment Company Act.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5.11.</w:t>
      </w:r>
    </w:p>
    <w:p>
      <w:pPr>
        <w:pStyle w:val="TextBody"/>
        <w:bidi w:val="0"/>
        <w:spacing w:before="0" w:after="240"/>
        <w:jc w:val="both"/>
        <w:rPr/>
      </w:pPr>
      <w:r>
        <w:rPr>
          <w:rFonts w:ascii="Times New Roman;serif" w:hAnsi="Times New Roman;serif"/>
          <w:b w:val="false"/>
          <w:sz w:val="24"/>
          <w:u w:val="single"/>
        </w:rPr>
        <w:t>Investment Policies</w:t>
      </w:r>
      <w:r>
        <w:rPr>
          <w:rFonts w:ascii="Times New Roman;serif" w:hAnsi="Times New Roman;serif"/>
          <w:b w:val="false"/>
          <w:sz w:val="24"/>
        </w:rPr>
        <w:t>. The Borrower shall at all times be in compliance in all material respects with its Investment Policies (after giving effect to any Permitted Policy Amendments).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5.12.</w:t>
      </w:r>
    </w:p>
    <w:p>
      <w:pPr>
        <w:pStyle w:val="TextBody"/>
        <w:bidi w:val="0"/>
        <w:spacing w:before="0" w:after="240"/>
        <w:jc w:val="both"/>
        <w:rPr/>
      </w:pPr>
      <w:r>
        <w:rPr>
          <w:rFonts w:ascii="Times New Roman;serif" w:hAnsi="Times New Roman;serif"/>
          <w:b w:val="false"/>
          <w:sz w:val="24"/>
          <w:u w:val="single"/>
        </w:rPr>
        <w:t>Portfolio Valuation and Diversification Etc</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Industry Classification Groups</w:t>
      </w:r>
      <w:r>
        <w:rPr>
          <w:rFonts w:ascii="Times New Roman;serif" w:hAnsi="Times New Roman;serif"/>
          <w:b w:val="false"/>
          <w:sz w:val="24"/>
        </w:rPr>
        <w:t xml:space="preserve">. For purposes of this Agreement, the Borrower shall assign each Portfolio Investment to an Industry Classification Group. To the extent that any Portfolio Investment is not correlated with the risks of other Portfolio Investments in an Industry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Portfolio Valuation Etc.</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u w:val="single"/>
        </w:rPr>
        <w:t>Settlement Date Basis</w:t>
      </w:r>
      <w:r>
        <w:rPr>
          <w:rFonts w:ascii="Times New Roman;serif" w:hAnsi="Times New Roman;serif"/>
          <w:b w:val="false"/>
          <w:sz w:val="24"/>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Times New Roman;serif" w:hAnsi="Times New Roman;serif"/>
          <w:b w:val="false"/>
          <w:sz w:val="24"/>
          <w:u w:val="single"/>
        </w:rPr>
        <w:t>provided</w:t>
      </w:r>
      <w:r>
        <w:rPr/>
        <w:t xml:space="preserve"> </w:t>
      </w:r>
      <w:r>
        <w:rPr>
          <w:rFonts w:ascii="Times New Roman;serif" w:hAnsi="Times New Roman;serif"/>
          <w:b w:val="false"/>
          <w:sz w:val="24"/>
        </w:rPr>
        <w:t>that no such investment shall be included as a Portfolio Investment to the extent it has not been paid for in full.</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u w:val="single"/>
        </w:rPr>
        <w:t>Determination of Values</w:t>
      </w:r>
      <w:r>
        <w:rPr>
          <w:rFonts w:ascii="Times New Roman;serif" w:hAnsi="Times New Roman;serif"/>
          <w:b w:val="false"/>
          <w:sz w:val="24"/>
        </w:rPr>
        <w:t>. The Borrower will conduct reviews of the value to be assigned to each of its Portfolio Investments as follows:</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Quoted Investments - External Review</w:t>
      </w:r>
      <w:r>
        <w:rPr>
          <w:rFonts w:ascii="Times New Roman;serif" w:hAnsi="Times New Roman;serif"/>
          <w:b w:val="false"/>
          <w:sz w:val="24"/>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 in the case of public and 144A securities, the average of the bid prices as determined by two Approved Dealers selected by the Borrower,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(x) in the case of bank loans, the bid price as determined by one Approved Dealer selected by the Borrower,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(y) in the case of any Portfolio Investment traded on an exchange, the closing price for such Portfolio Investment most recently posted on such exchange, and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(z) in the case of any other Portfolio Investment, the fair market value thereof as determined by an Approved Pricing Service selected by the Borrower; and</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Unquoted Investments- External Review</w:t>
      </w:r>
      <w:r>
        <w:rPr>
          <w:rFonts w:ascii="Times New Roman;serif" w:hAnsi="Times New Roman;serif"/>
          <w:b w:val="false"/>
          <w:sz w:val="24"/>
        </w:rPr>
        <w:t xml:space="preserve">.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Borrower in its sole discretion (with respect to such Portfolio Investment) (each, a “</w:t>
      </w:r>
      <w:r>
        <w:rPr>
          <w:rFonts w:ascii="Times New Roman;serif" w:hAnsi="Times New Roman;serif"/>
          <w:b w:val="false"/>
          <w:sz w:val="24"/>
          <w:u w:val="single"/>
        </w:rPr>
        <w:t>Testing Quarter</w:t>
      </w:r>
      <w:r>
        <w:rPr/>
        <w:t>”</w:t>
      </w:r>
      <w:r>
        <w:rPr>
          <w:rFonts w:ascii="Times New Roman;serif" w:hAnsi="Times New Roman;serif"/>
          <w:b w:val="false"/>
          <w:sz w:val="24"/>
        </w:rPr>
        <w:t xml:space="preserve">); </w:t>
      </w:r>
      <w:r>
        <w:rPr>
          <w:rFonts w:ascii="Times New Roman;serif" w:hAnsi="Times New Roman;serif"/>
          <w:b w:val="false"/>
          <w:sz w:val="24"/>
          <w:u w:val="single"/>
        </w:rPr>
        <w:t>provided</w:t>
      </w:r>
      <w:r>
        <w:rPr/>
        <w:t xml:space="preserve"> </w:t>
      </w:r>
      <w:r>
        <w:rPr>
          <w:rFonts w:ascii="Times New Roman;serif" w:hAnsi="Times New Roman;serif"/>
          <w:b w:val="false"/>
          <w:sz w:val="24"/>
        </w:rPr>
        <w:t>that:</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(x) 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Times New Roman;serif" w:hAnsi="Times New Roman;serif"/>
          <w:b w:val="false"/>
          <w:sz w:val="24"/>
          <w:u w:val="single"/>
        </w:rPr>
        <w:t>sub-clause (B)</w:t>
      </w:r>
      <w:r>
        <w:rPr>
          <w:rFonts w:ascii="Times New Roman" w:hAnsi="Times New Roman"/>
          <w:sz w:val="20"/>
        </w:rPr>
        <w:t xml:space="preserve"> </w:t>
      </w:r>
      <w:r>
        <w:rPr>
          <w:rFonts w:ascii="Times New Roman;serif" w:hAnsi="Times New Roman;serif"/>
          <w:b w:val="false"/>
          <w:sz w:val="24"/>
        </w:rPr>
        <w:t>as at the last day of the next succeeding Testing Quarter with respect to such Portfolio Investment;</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(y) 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(z) no Testing Quarter with respect to any Portfolio Investment for which market quotations are not readily available shall end more than six months following the end of the immediately preceding Testing Quarter for such Portfolio Investment.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Internal Review</w:t>
      </w:r>
      <w:r>
        <w:rPr>
          <w:rFonts w:ascii="Times New Roman;serif" w:hAnsi="Times New Roman;serif"/>
          <w:b w:val="false"/>
          <w:sz w:val="24"/>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Times New Roman;serif" w:hAnsi="Times New Roman;serif"/>
          <w:b w:val="false"/>
          <w:sz w:val="24"/>
          <w:u w:val="single"/>
        </w:rPr>
        <w:t>Section 5.12(b)(ii)(C)</w:t>
      </w:r>
      <w:r>
        <w:rPr/>
        <w:t xml:space="preserve"> </w:t>
      </w:r>
      <w:r>
        <w:rPr>
          <w:rFonts w:ascii="Times New Roman;serif" w:hAnsi="Times New Roman;serif"/>
          <w:b w:val="false"/>
          <w:sz w:val="24"/>
        </w:rPr>
        <w:t xml:space="preserve">is lower than the value of such Portfolio Investment as most recently determined pursuant to </w:t>
      </w:r>
      <w:r>
        <w:rPr>
          <w:rFonts w:ascii="Times New Roman;serif" w:hAnsi="Times New Roman;serif"/>
          <w:b w:val="false"/>
          <w:sz w:val="24"/>
          <w:u w:val="single"/>
        </w:rPr>
        <w:t>Section 5.12(b)(ii)(A)</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(B)</w:t>
      </w:r>
      <w:r>
        <w:rPr>
          <w:rFonts w:ascii="Times New Roman;serif" w:hAnsi="Times New Roman;serif"/>
          <w:b w:val="false"/>
          <w:sz w:val="24"/>
        </w:rPr>
        <w:t xml:space="preserve">, such lower value shall be deemed to be the “Value” of such Portfolio Investment for purposes hereof; </w:t>
      </w:r>
      <w:r>
        <w:rPr>
          <w:rFonts w:ascii="Times New Roman;serif" w:hAnsi="Times New Roman;serif"/>
          <w:b w:val="false"/>
          <w:sz w:val="24"/>
          <w:u w:val="single"/>
        </w:rPr>
        <w:t>provided</w:t>
      </w:r>
      <w:r>
        <w:rPr/>
        <w:t xml:space="preserve"> </w:t>
      </w:r>
      <w:r>
        <w:rPr>
          <w:rFonts w:ascii="Times New Roman;serif" w:hAnsi="Times New Roman;serif"/>
          <w:b w:val="false"/>
          <w:sz w:val="24"/>
        </w:rPr>
        <w:t>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Failure to Determine Values</w:t>
      </w:r>
      <w:r>
        <w:rPr>
          <w:rFonts w:ascii="Times New Roman;serif" w:hAnsi="Times New Roman;serif"/>
          <w:b w:val="false"/>
          <w:sz w:val="24"/>
        </w:rPr>
        <w:t xml:space="preserve">. If the Borrower shall fail to determine the value of any Portfolio Investment as at any date pursuant to the requirements of the foregoing </w:t>
      </w:r>
      <w:r>
        <w:rPr>
          <w:rFonts w:ascii="Times New Roman;serif" w:hAnsi="Times New Roman;serif"/>
          <w:b w:val="false"/>
          <w:sz w:val="24"/>
          <w:u w:val="single"/>
        </w:rPr>
        <w:t>sub-clauses (A)</w:t>
      </w:r>
      <w:r>
        <w:rPr>
          <w:rFonts w:ascii="Times New Roman;serif" w:hAnsi="Times New Roman;serif"/>
          <w:b w:val="false"/>
          <w:sz w:val="24"/>
        </w:rPr>
        <w:t xml:space="preserve">, </w:t>
      </w:r>
      <w:r>
        <w:rPr>
          <w:rFonts w:ascii="Times New Roman;serif" w:hAnsi="Times New Roman;serif"/>
          <w:b w:val="false"/>
          <w:sz w:val="24"/>
          <w:u w:val="single"/>
        </w:rPr>
        <w:t>(B)</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(C)</w:t>
      </w:r>
      <w:r>
        <w:rPr>
          <w:rFonts w:ascii="Times New Roman;serif" w:hAnsi="Times New Roman;serif"/>
          <w:b w:val="false"/>
          <w:sz w:val="24"/>
        </w:rPr>
        <w:t>, then the “Value” of such Portfolio Investment as at such date shall be deemed to be zero.</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Testing of Values. </w:t>
      </w:r>
    </w:p>
    <w:p>
      <w:pPr>
        <w:pStyle w:val="TextBody"/>
        <w:bidi w:val="0"/>
        <w:spacing w:before="0" w:after="240"/>
        <w:jc w:val="both"/>
        <w:rPr>
          <w:rFonts w:ascii="Times New Roman" w:hAnsi="Times New Roman"/>
          <w:sz w:val="20"/>
        </w:rPr>
      </w:pPr>
      <w:r>
        <w:rPr>
          <w:rFonts w:ascii="Times New Roman;serif" w:hAnsi="Times New Roman;serif"/>
          <w:b w:val="false"/>
          <w:sz w:val="24"/>
        </w:rPr>
        <w:t>(x) For the second calendar month immediately following the end of each fiscal quarter (the last such fiscal quarter is referred to herein as, the “</w:t>
      </w:r>
      <w:r>
        <w:rPr>
          <w:rFonts w:ascii="Times New Roman;serif" w:hAnsi="Times New Roman;serif"/>
          <w:b w:val="false"/>
          <w:sz w:val="24"/>
          <w:u w:val="single"/>
        </w:rPr>
        <w:t>Testing Period</w:t>
      </w:r>
      <w:r>
        <w:rPr>
          <w:rFonts w:ascii="Times New Roman" w:hAnsi="Times New Roman"/>
          <w:sz w:val="20"/>
        </w:rPr>
        <w:t>”</w:t>
      </w:r>
      <w:r>
        <w:rPr>
          <w:rFonts w:ascii="Times New Roman;serif" w:hAnsi="Times New Roman;serif"/>
          <w:b w:val="false"/>
          <w:sz w:val="24"/>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Times New Roman;serif" w:hAnsi="Times New Roman;serif"/>
          <w:b w:val="false"/>
          <w:sz w:val="24"/>
          <w:u w:val="single"/>
        </w:rPr>
        <w:t>sub-clause (F)</w:t>
      </w:r>
      <w:r>
        <w:rPr>
          <w:rFonts w:ascii="Times New Roman" w:hAnsi="Times New Roman"/>
          <w:sz w:val="20"/>
        </w:rPr>
        <w:t xml:space="preserve"> </w:t>
      </w:r>
      <w:r>
        <w:rPr>
          <w:rFonts w:ascii="Times New Roman;serif" w:hAnsi="Times New Roman;serif"/>
          <w:b w:val="false"/>
          <w:sz w:val="24"/>
        </w:rPr>
        <w:t>below.</w:t>
      </w:r>
    </w:p>
    <w:p>
      <w:pPr>
        <w:pStyle w:val="TextBody"/>
        <w:bidi w:val="0"/>
        <w:spacing w:before="0" w:after="240"/>
        <w:jc w:val="both"/>
        <w:rPr>
          <w:rFonts w:ascii="Times New Roman" w:hAnsi="Times New Roman"/>
          <w:sz w:val="20"/>
        </w:rPr>
      </w:pPr>
      <w:r>
        <w:rPr>
          <w:rFonts w:ascii="Times New Roman;serif" w:hAnsi="Times New Roman;serif"/>
          <w:b w:val="false"/>
          <w:sz w:val="24"/>
        </w:rPr>
        <w:t>(y) 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Times New Roman;serif" w:hAnsi="Times New Roman;serif"/>
          <w:b w:val="false"/>
          <w:sz w:val="24"/>
          <w:u w:val="single"/>
        </w:rPr>
        <w:t>Administrative Agent Appraisal Testing Period</w:t>
      </w:r>
      <w:r>
        <w:rPr>
          <w:rFonts w:ascii="Times New Roman" w:hAnsi="Times New Roman"/>
          <w:sz w:val="20"/>
        </w:rPr>
        <w:t>”</w:t>
      </w:r>
      <w:r>
        <w:rPr>
          <w:rFonts w:ascii="Times New Roman;serif" w:hAnsi="Times New Roman;serif"/>
          <w:b w:val="false"/>
          <w:sz w:val="24"/>
        </w:rPr>
        <w:t>) and would be reflected in the Borrowing Base Certificate for such month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such Approved Third-Party Appraiser delivers such valuation at least seven (7) Business Days before the 20</w:t>
      </w:r>
      <w:r>
        <w:rPr>
          <w:rFonts w:ascii="Times New Roman;serif" w:hAnsi="Times New Roman;serif"/>
          <w:b w:val="false"/>
          <w:sz w:val="16"/>
        </w:rPr>
        <w:t>th</w:t>
      </w:r>
      <w:r>
        <w:rPr>
          <w:rFonts w:ascii="Times New Roman" w:hAnsi="Times New Roman"/>
          <w:sz w:val="20"/>
        </w:rPr>
        <w:t xml:space="preserve"> </w:t>
      </w:r>
      <w:r>
        <w:rPr>
          <w:rFonts w:ascii="Times New Roman;serif" w:hAnsi="Times New Roman;serif"/>
          <w:b w:val="false"/>
          <w:sz w:val="24"/>
        </w:rPr>
        <w:t>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For the avoidance of doubt, all calculations of value pursuant to this </w:t>
      </w:r>
      <w:r>
        <w:rPr>
          <w:rFonts w:ascii="Times New Roman;serif" w:hAnsi="Times New Roman;serif"/>
          <w:b w:val="false"/>
          <w:sz w:val="24"/>
          <w:u w:val="single"/>
        </w:rPr>
        <w:t>Section 5.12(b)(ii)(E)</w:t>
      </w:r>
      <w:r>
        <w:rPr>
          <w:rFonts w:ascii="Times New Roman" w:hAnsi="Times New Roman"/>
          <w:sz w:val="20"/>
        </w:rPr>
        <w:t xml:space="preserve"> </w:t>
      </w:r>
      <w:r>
        <w:rPr>
          <w:rFonts w:ascii="Times New Roman;serif" w:hAnsi="Times New Roman;serif"/>
          <w:b w:val="false"/>
          <w:sz w:val="24"/>
        </w:rPr>
        <w:t>shall be determined without application of the Advance Rates.</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u w:val="single"/>
        </w:rPr>
        <w:t>Valuation Dispute Resolution</w:t>
      </w:r>
      <w:r>
        <w:rPr>
          <w:rFonts w:ascii="Times New Roman;serif" w:hAnsi="Times New Roman;serif"/>
          <w:b w:val="false"/>
          <w:sz w:val="24"/>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Times New Roman;serif" w:hAnsi="Times New Roman;serif"/>
          <w:b w:val="false"/>
          <w:sz w:val="24"/>
          <w:u w:val="single"/>
        </w:rPr>
        <w:t>Section 5.12(b)(ii)(B)</w:t>
      </w:r>
      <w:r>
        <w:rPr/>
        <w:t xml:space="preserve"> </w:t>
      </w:r>
      <w:r>
        <w:rPr>
          <w:rFonts w:ascii="Times New Roman;serif" w:hAnsi="Times New Roman;serif"/>
          <w:b w:val="false"/>
          <w:sz w:val="24"/>
        </w:rPr>
        <w:t xml:space="preserve">and the valuation of any Approved Third-Party Appraiser selected by the Administrative Agent pursuant to </w:t>
      </w:r>
      <w:r>
        <w:rPr>
          <w:rFonts w:ascii="Times New Roman;serif" w:hAnsi="Times New Roman;serif"/>
          <w:b w:val="false"/>
          <w:sz w:val="24"/>
          <w:u w:val="single"/>
        </w:rPr>
        <w:t>Section 5.12(b)(ii)(E)</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(F)</w:t>
      </w:r>
      <w:r>
        <w:rPr/>
        <w:t xml:space="preserve"> </w:t>
      </w:r>
      <w:r>
        <w:rPr>
          <w:rFonts w:ascii="Times New Roman;serif" w:hAnsi="Times New Roman;serif"/>
          <w:b w:val="false"/>
          <w:sz w:val="24"/>
        </w:rPr>
        <w:t>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RIC Diversification Requirements</w:t>
      </w:r>
      <w:r>
        <w:rPr>
          <w:rFonts w:ascii="Times New Roman;serif" w:hAnsi="Times New Roman;serif"/>
          <w:b w:val="false"/>
          <w:sz w:val="24"/>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5.13.</w:t>
      </w:r>
    </w:p>
    <w:p>
      <w:pPr>
        <w:pStyle w:val="TextBody"/>
        <w:bidi w:val="0"/>
        <w:spacing w:before="0" w:after="240"/>
        <w:jc w:val="both"/>
        <w:rPr/>
      </w:pPr>
      <w:r>
        <w:rPr>
          <w:rFonts w:ascii="Times New Roman;serif" w:hAnsi="Times New Roman;serif"/>
          <w:b w:val="false"/>
          <w:sz w:val="24"/>
          <w:u w:val="single"/>
        </w:rPr>
        <w:t>Calculation of Borrowing Base</w:t>
      </w:r>
      <w:r>
        <w:rPr>
          <w:rFonts w:ascii="Times New Roman;serif" w:hAnsi="Times New Roman;serif"/>
          <w:b w:val="false"/>
          <w:sz w:val="24"/>
        </w:rPr>
        <w:t>. For purposes of this Agreement, the “</w:t>
      </w:r>
      <w:r>
        <w:rPr>
          <w:rFonts w:ascii="Times New Roman;serif" w:hAnsi="Times New Roman;serif"/>
          <w:b w:val="false"/>
          <w:sz w:val="24"/>
          <w:u w:val="single"/>
        </w:rPr>
        <w:t>Borrowing Base</w:t>
      </w:r>
      <w:r>
        <w:rPr/>
        <w:t xml:space="preserve">” </w:t>
      </w:r>
      <w:r>
        <w:rPr>
          <w:rFonts w:ascii="Times New Roman;serif" w:hAnsi="Times New Roman;serif"/>
          <w:b w:val="false"/>
          <w:sz w:val="24"/>
        </w:rPr>
        <w:t xml:space="preserve">shall be determined, as at any date of determination, as the sum of the Advance Rates of the Value of each Portfolio Investment (excluding any Cash Collateral held by the Administrative Agent pursuant to </w:t>
      </w:r>
      <w:r>
        <w:rPr>
          <w:rFonts w:ascii="Times New Roman;serif" w:hAnsi="Times New Roman;serif"/>
          <w:b w:val="false"/>
          <w:sz w:val="24"/>
          <w:u w:val="single"/>
        </w:rPr>
        <w:t>Section 2.05(k)</w:t>
      </w:r>
      <w:r>
        <w:rPr/>
        <w:t xml:space="preserve"> </w:t>
      </w:r>
      <w:r>
        <w:rPr>
          <w:rFonts w:ascii="Times New Roman;serif" w:hAnsi="Times New Roman;serif"/>
          <w:b w:val="false"/>
          <w:sz w:val="24"/>
        </w:rPr>
        <w:t xml:space="preserve">or the last paragraph of </w:t>
      </w:r>
      <w:r>
        <w:rPr>
          <w:rFonts w:ascii="Times New Roman;serif" w:hAnsi="Times New Roman;serif"/>
          <w:b w:val="false"/>
          <w:sz w:val="24"/>
          <w:u w:val="single"/>
        </w:rPr>
        <w:t>Section 2.09(a)</w:t>
      </w:r>
      <w:r>
        <w:rPr>
          <w:rFonts w:ascii="Times New Roman;serif" w:hAnsi="Times New Roman;serif"/>
          <w:b w:val="false"/>
          <w:sz w:val="24"/>
        </w:rPr>
        <w:t xml:space="preserve">); </w:t>
      </w:r>
      <w:r>
        <w:rPr>
          <w:rFonts w:ascii="Times New Roman;serif" w:hAnsi="Times New Roman;serif"/>
          <w:b w:val="false"/>
          <w:sz w:val="24"/>
          <w:u w:val="single"/>
        </w:rPr>
        <w:t>provided</w:t>
      </w:r>
      <w:r>
        <w:rPr/>
        <w:t xml:space="preserve"> </w:t>
      </w:r>
      <w:r>
        <w:rPr>
          <w:rFonts w:ascii="Times New Roman;serif" w:hAnsi="Times New Roman;serif"/>
          <w:b w:val="false"/>
          <w:sz w:val="24"/>
        </w:rPr>
        <w:t>that: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the Advance Rate applicable to that portion of the aggregate Value of the Portfolio Investments of all issuers in a consolidated group of corporations or other entities (collectively, a “</w:t>
      </w:r>
      <w:r>
        <w:rPr>
          <w:rFonts w:ascii="Times New Roman;serif" w:hAnsi="Times New Roman;serif"/>
          <w:b w:val="false"/>
          <w:sz w:val="24"/>
          <w:u w:val="single"/>
        </w:rPr>
        <w:t>Consolidated Group</w:t>
      </w:r>
      <w:r>
        <w:rPr/>
        <w:t>”</w:t>
      </w:r>
      <w:r>
        <w:rPr>
          <w:rFonts w:ascii="Times New Roman;serif" w:hAnsi="Times New Roman;serif"/>
          <w:b w:val="false"/>
          <w:sz w:val="24"/>
        </w:rPr>
        <w:t xml:space="preserve">), in accordance with GAAP, that exceeds 6% of the aggregate Value of all Portfolio Investments in the Collateral Pool as of the end of the most recent quarter shall be 50% of the Advance Rate otherwise applicable;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u w:val="single"/>
        </w:rPr>
        <w:t>provided</w:t>
      </w:r>
      <w:r>
        <w:rPr/>
        <w:t xml:space="preserve"> </w:t>
      </w:r>
      <w:r>
        <w:rPr>
          <w:rFonts w:ascii="Times New Roman;serif" w:hAnsi="Times New Roman;serif"/>
          <w:b w:val="false"/>
          <w:sz w:val="24"/>
        </w:rPr>
        <w:t>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r>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 </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portion of the Borrowing Base attributable to Performing Non-Cash Pay High Yield Securities, Performing Non-Cash Pay Mezzanine Investments, Equity Interests and Non-Performing Portfolio Investments shall not exceed 20%;</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portion of the Borrowing Base attributable to Equity Interests shall not exceed 10% (it being understood that in no event shall Equity Interests of Financing Subsidiaries be included in the Borrowing Base);</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 </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and</w:t>
      </w:r>
    </w:p>
    <w:p>
      <w:pPr>
        <w:pStyle w:val="TextBody"/>
        <w:bidi w:val="0"/>
        <w:spacing w:before="0" w:after="240"/>
        <w:jc w:val="both"/>
        <w:rPr>
          <w:rFonts w:ascii="Times New Roman" w:hAnsi="Times New Roman"/>
          <w:b w:val="false"/>
          <w:sz w:val="24"/>
        </w:rPr>
      </w:pPr>
      <w:r>
        <w:rPr>
          <w:rFonts w:ascii="Times New Roman" w:hAnsi="Times New Roman"/>
          <w:b w:val="false"/>
          <w:sz w:val="24"/>
        </w:rPr>
        <w:t>(j)</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As used herein, the following terms have the following meanings:</w:t>
      </w:r>
    </w:p>
    <w:p>
      <w:pPr>
        <w:pStyle w:val="TextBody"/>
        <w:bidi w:val="0"/>
        <w:spacing w:before="0" w:after="240"/>
        <w:jc w:val="both"/>
        <w:rPr/>
      </w:pPr>
      <w:r>
        <w:rPr/>
        <w:t>“</w:t>
      </w:r>
      <w:r>
        <w:rPr>
          <w:rFonts w:ascii="Times New Roman;serif" w:hAnsi="Times New Roman;serif"/>
          <w:b w:val="false"/>
          <w:sz w:val="24"/>
          <w:u w:val="single"/>
        </w:rPr>
        <w:t>Advance Rate</w:t>
      </w:r>
      <w:r>
        <w:rPr>
          <w:rFonts w:ascii="Times New Roman" w:hAnsi="Times New Roman"/>
          <w:sz w:val="20"/>
        </w:rPr>
        <w:t xml:space="preserve">” </w:t>
      </w:r>
      <w:r>
        <w:rPr>
          <w:rFonts w:ascii="Times New Roman;serif" w:hAnsi="Times New Roman;serif"/>
          <w:b w:val="false"/>
          <w:sz w:val="24"/>
        </w:rPr>
        <w:t xml:space="preserve">means, as to any Portfolio Investment and subject to adjustment as provided in </w:t>
      </w:r>
      <w:r>
        <w:rPr>
          <w:rFonts w:ascii="Times New Roman;serif" w:hAnsi="Times New Roman;serif"/>
          <w:b w:val="false"/>
          <w:sz w:val="24"/>
          <w:u w:val="single"/>
        </w:rPr>
        <w:t>Section 5.13(a)</w:t>
      </w:r>
      <w:r>
        <w:rPr>
          <w:rFonts w:ascii="Times New Roman;serif" w:hAnsi="Times New Roman;serif"/>
          <w:b w:val="false"/>
          <w:sz w:val="24"/>
        </w:rPr>
        <w:t xml:space="preserve">, </w:t>
      </w:r>
      <w:r>
        <w:rPr>
          <w:rFonts w:ascii="Times New Roman;serif" w:hAnsi="Times New Roman;serif"/>
          <w:b w:val="false"/>
          <w:sz w:val="24"/>
          <w:u w:val="single"/>
        </w:rPr>
        <w:t>(b)</w:t>
      </w:r>
      <w:r>
        <w:rPr>
          <w:rFonts w:ascii="Times New Roman" w:hAnsi="Times New Roman"/>
          <w:sz w:val="20"/>
        </w:rPr>
        <w:t xml:space="preserve"> </w:t>
      </w:r>
      <w:r>
        <w:rPr>
          <w:rFonts w:ascii="Times New Roman;serif" w:hAnsi="Times New Roman;serif"/>
          <w:b w:val="false"/>
          <w:sz w:val="24"/>
        </w:rPr>
        <w:t xml:space="preserve">and </w:t>
      </w:r>
      <w:r>
        <w:rPr>
          <w:rFonts w:ascii="Times New Roman;serif" w:hAnsi="Times New Roman;serif"/>
          <w:b w:val="false"/>
          <w:sz w:val="24"/>
          <w:u w:val="single"/>
        </w:rPr>
        <w:t>(c)</w:t>
      </w:r>
      <w:r>
        <w:rPr>
          <w:rFonts w:ascii="Times New Roman;serif" w:hAnsi="Times New Roman;serif"/>
          <w:b w:val="false"/>
          <w:sz w:val="24"/>
        </w:rPr>
        <w:t>, the following percentages with respect to such Portfolio Investment:</w:t>
      </w:r>
    </w:p>
    <w:tbl>
      <w:tblPr>
        <w:tblW w:w="6018" w:type="dxa"/>
        <w:jc w:val="left"/>
        <w:tblInd w:w="0" w:type="dxa"/>
        <w:tblLayout w:type="fixed"/>
        <w:tblCellMar>
          <w:top w:w="28" w:type="dxa"/>
          <w:left w:w="28" w:type="dxa"/>
          <w:bottom w:w="28" w:type="dxa"/>
          <w:right w:w="28" w:type="dxa"/>
        </w:tblCellMar>
      </w:tblPr>
      <w:tblGrid>
        <w:gridCol w:w="4111"/>
        <w:gridCol w:w="811"/>
        <w:gridCol w:w="1096"/>
      </w:tblGrid>
      <w:tr>
        <w:trPr/>
        <w:tc>
          <w:tcPr>
            <w:tcW w:w="41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41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u w:val="single"/>
              </w:rPr>
            </w:pPr>
            <w:r>
              <w:rPr>
                <w:rFonts w:ascii="Times New Roman;serif" w:hAnsi="Times New Roman;serif"/>
                <w:b w:val="false"/>
                <w:sz w:val="24"/>
                <w:u w:val="single"/>
              </w:rPr>
              <w:t>Portfolio Investment</w:t>
            </w:r>
          </w:p>
        </w:tc>
        <w:tc>
          <w:tcPr>
            <w:tcW w:w="8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u w:val="single"/>
              </w:rPr>
            </w:pPr>
            <w:r>
              <w:rPr>
                <w:rFonts w:ascii="Times New Roman;serif" w:hAnsi="Times New Roman;serif"/>
                <w:b w:val="false"/>
                <w:sz w:val="24"/>
                <w:u w:val="single"/>
              </w:rPr>
              <w:t>Quoted</w:t>
            </w:r>
          </w:p>
        </w:tc>
        <w:tc>
          <w:tcPr>
            <w:tcW w:w="10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u w:val="single"/>
              </w:rPr>
            </w:pPr>
            <w:r>
              <w:rPr>
                <w:rFonts w:ascii="Times New Roman;serif" w:hAnsi="Times New Roman;serif"/>
                <w:b w:val="false"/>
                <w:sz w:val="24"/>
                <w:u w:val="single"/>
              </w:rPr>
              <w:t>Unquoted</w:t>
            </w:r>
          </w:p>
        </w:tc>
      </w:tr>
      <w:tr>
        <w:trPr/>
        <w:tc>
          <w:tcPr>
            <w:tcW w:w="41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4"/>
              </w:rPr>
            </w:pPr>
            <w:r>
              <w:rPr>
                <w:rFonts w:ascii="Times New Roman;serif" w:hAnsi="Times New Roman;serif"/>
                <w:b w:val="false"/>
                <w:sz w:val="24"/>
              </w:rPr>
              <w:t>Cash, Cash Equivalents and</w:t>
            </w:r>
            <w:r>
              <w:rPr>
                <w:rFonts w:ascii="Times New Roman" w:hAnsi="Times New Roman"/>
                <w:sz w:val="24"/>
              </w:rPr>
              <w:t xml:space="preserve"> </w:t>
            </w:r>
          </w:p>
          <w:p>
            <w:pPr>
              <w:pStyle w:val="TableContents"/>
              <w:bidi w:val="0"/>
              <w:spacing w:before="0" w:after="0"/>
              <w:ind w:left="0" w:right="0" w:hanging="0"/>
              <w:jc w:val="left"/>
              <w:rPr/>
            </w:pPr>
            <w:r>
              <w:rPr/>
              <w:t>   </w:t>
            </w:r>
            <w:r>
              <w:rPr>
                <w:rFonts w:ascii="Times New Roman;serif" w:hAnsi="Times New Roman;serif"/>
                <w:b w:val="false"/>
                <w:sz w:val="24"/>
              </w:rPr>
              <w:t>Short-Term U.S. Government Securities</w:t>
            </w:r>
          </w:p>
        </w:tc>
        <w:tc>
          <w:tcPr>
            <w:tcW w:w="8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br/>
              <w:t>100%</w:t>
            </w:r>
          </w:p>
        </w:tc>
        <w:tc>
          <w:tcPr>
            <w:tcW w:w="10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br/>
              <w:t>0%</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6108" w:type="dxa"/>
        <w:jc w:val="left"/>
        <w:tblInd w:w="0" w:type="dxa"/>
        <w:tblLayout w:type="fixed"/>
        <w:tblCellMar>
          <w:top w:w="28" w:type="dxa"/>
          <w:left w:w="28" w:type="dxa"/>
          <w:bottom w:w="28" w:type="dxa"/>
          <w:right w:w="28" w:type="dxa"/>
        </w:tblCellMar>
      </w:tblPr>
      <w:tblGrid>
        <w:gridCol w:w="4981"/>
        <w:gridCol w:w="541"/>
        <w:gridCol w:w="586"/>
      </w:tblGrid>
      <w:tr>
        <w:trPr/>
        <w:tc>
          <w:tcPr>
            <w:tcW w:w="49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Long-Term U.S. Government Securities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95%</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0%</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Performing First Lien Bank Loans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85%</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75%</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Performing Unitranche Loans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80%</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70%</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Performing Second Lien Bank Loans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75%</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65%</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Performing Cash Pay High Yield Securities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70%</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60%</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Performing Cash Pay Mezzanine Investments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65%</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55%</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Performing Non-Cash Pay High Yield Securities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60%</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50%</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Performing Non-Cash Pay Mezzanine Investments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55%</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45%</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Non-Performing First Lien Bank Loans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45%</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45%</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Non-Performing Unitranche Loans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40%</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40%</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Non-Performing Second Lien Bank Loans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40%</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30%</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Non-Performing High Yield Securities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30%</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30%</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Non-Performing Cash Pay Mezzanine Investments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30%</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25%</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4"/>
              </w:rPr>
            </w:pPr>
            <w:r>
              <w:rPr>
                <w:rFonts w:ascii="Times New Roman;serif" w:hAnsi="Times New Roman;serif"/>
                <w:b w:val="false"/>
                <w:sz w:val="24"/>
              </w:rPr>
              <w:t>Performing Common Equity (and zero cost or</w:t>
            </w:r>
            <w:r>
              <w:rPr>
                <w:rFonts w:ascii="Times New Roman" w:hAnsi="Times New Roman"/>
                <w:sz w:val="24"/>
              </w:rPr>
              <w:t xml:space="preserve"> </w:t>
            </w:r>
          </w:p>
          <w:p>
            <w:pPr>
              <w:pStyle w:val="TableContents"/>
              <w:bidi w:val="0"/>
              <w:spacing w:before="0" w:after="0"/>
              <w:ind w:left="0" w:right="0" w:hanging="0"/>
              <w:jc w:val="left"/>
              <w:rPr/>
            </w:pPr>
            <w:r>
              <w:rPr/>
              <w:t>   </w:t>
            </w:r>
            <w:r>
              <w:rPr>
                <w:rFonts w:ascii="Times New Roman;serif" w:hAnsi="Times New Roman;serif"/>
                <w:b w:val="false"/>
                <w:sz w:val="24"/>
              </w:rPr>
              <w:t>penny warrants with performing debt)</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30%</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20%</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Non-Performing Common Equity</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0%</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0%</w:t>
            </w:r>
          </w:p>
        </w:tc>
      </w:tr>
      <w:tr>
        <w:trPr/>
        <w:tc>
          <w:tcPr>
            <w:tcW w:w="49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Structured Finance Obligations and Finance Leases</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0%</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rPr>
            </w:pPr>
            <w:r>
              <w:rPr>
                <w:rFonts w:ascii="Times New Roman;serif" w:hAnsi="Times New Roman;serif"/>
                <w:b w:val="false"/>
                <w:sz w:val="24"/>
              </w:rPr>
              <w:t>0%</w:t>
            </w:r>
          </w:p>
        </w:tc>
      </w:tr>
    </w:tbl>
    <w:p>
      <w:pPr>
        <w:pStyle w:val="TextBody"/>
        <w:bidi w:val="0"/>
        <w:spacing w:before="0" w:after="0"/>
        <w:jc w:val="both"/>
        <w:rPr/>
      </w:pPr>
      <w:r>
        <w:rPr/>
        <w:t> </w:t>
      </w:r>
    </w:p>
    <w:p>
      <w:pPr>
        <w:pStyle w:val="TextBody"/>
        <w:bidi w:val="0"/>
        <w:spacing w:before="0" w:after="240"/>
        <w:jc w:val="both"/>
        <w:rPr/>
      </w:pPr>
      <w:r>
        <w:rPr/>
        <w:t>“</w:t>
      </w:r>
      <w:r>
        <w:rPr>
          <w:rFonts w:ascii="Times New Roman;serif" w:hAnsi="Times New Roman;serif"/>
          <w:b w:val="false"/>
          <w:sz w:val="24"/>
          <w:u w:val="single"/>
        </w:rPr>
        <w:t>Bank Loans</w:t>
      </w:r>
      <w:r>
        <w:rPr>
          <w:rFonts w:ascii="Times New Roman" w:hAnsi="Times New Roman"/>
          <w:sz w:val="20"/>
        </w:rPr>
        <w:t xml:space="preserve">” </w:t>
      </w:r>
      <w:r>
        <w:rPr>
          <w:rFonts w:ascii="Times New Roman;serif" w:hAnsi="Times New Roman;serif"/>
          <w:b w:val="false"/>
          <w:sz w:val="24"/>
        </w:rPr>
        <w:t>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4"/>
          <w:u w:val="single"/>
        </w:rPr>
        <w:t>Capital Stock</w:t>
      </w:r>
      <w:r>
        <w:rPr>
          <w:rFonts w:ascii="Times New Roman" w:hAnsi="Times New Roman"/>
          <w:sz w:val="20"/>
        </w:rPr>
        <w:t xml:space="preserve">” </w:t>
      </w:r>
      <w:r>
        <w:rPr>
          <w:rFonts w:ascii="Times New Roman;serif" w:hAnsi="Times New Roman;serif"/>
          <w:b w:val="false"/>
          <w:sz w:val="24"/>
        </w:rPr>
        <w:t>of any Person means any and all shares of corporate stock (however designated) of and any and all other Equity Interests and participations representing ownership interests (including membership interests and limited liability company interests) in, such Person.</w:t>
      </w:r>
    </w:p>
    <w:p>
      <w:pPr>
        <w:pStyle w:val="TextBody"/>
        <w:bidi w:val="0"/>
        <w:spacing w:before="0" w:after="240"/>
        <w:jc w:val="both"/>
        <w:rPr/>
      </w:pPr>
      <w:r>
        <w:rPr/>
        <w:t>“</w:t>
      </w:r>
      <w:r>
        <w:rPr>
          <w:rFonts w:ascii="Times New Roman;serif" w:hAnsi="Times New Roman;serif"/>
          <w:b w:val="false"/>
          <w:sz w:val="24"/>
          <w:u w:val="single"/>
        </w:rPr>
        <w:t>Cash</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1.01</w:t>
      </w:r>
      <w:r>
        <w:rPr>
          <w:rFonts w:ascii="Times New Roman" w:hAnsi="Times New Roman"/>
          <w:sz w:val="20"/>
        </w:rPr>
        <w:t xml:space="preserve"> </w:t>
      </w:r>
      <w:r>
        <w:rPr>
          <w:rFonts w:ascii="Times New Roman;serif" w:hAnsi="Times New Roman;serif"/>
          <w:b w:val="false"/>
          <w:sz w:val="24"/>
        </w:rPr>
        <w:t>of this Agreement.</w:t>
      </w:r>
    </w:p>
    <w:p>
      <w:pPr>
        <w:pStyle w:val="TextBody"/>
        <w:bidi w:val="0"/>
        <w:spacing w:before="0" w:after="240"/>
        <w:jc w:val="both"/>
        <w:rPr/>
      </w:pPr>
      <w:r>
        <w:rPr/>
        <w:t>“</w:t>
      </w:r>
      <w:r>
        <w:rPr>
          <w:rFonts w:ascii="Times New Roman;serif" w:hAnsi="Times New Roman;serif"/>
          <w:b w:val="false"/>
          <w:sz w:val="24"/>
          <w:u w:val="single"/>
        </w:rPr>
        <w:t>Cash Equivalents</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1.01</w:t>
      </w:r>
      <w:r>
        <w:rPr>
          <w:rFonts w:ascii="Times New Roman" w:hAnsi="Times New Roman"/>
          <w:sz w:val="20"/>
        </w:rPr>
        <w:t xml:space="preserve"> </w:t>
      </w:r>
      <w:r>
        <w:rPr>
          <w:rFonts w:ascii="Times New Roman;serif" w:hAnsi="Times New Roman;serif"/>
          <w:b w:val="false"/>
          <w:sz w:val="24"/>
        </w:rPr>
        <w:t>of this Agreement.</w:t>
      </w:r>
    </w:p>
    <w:p>
      <w:pPr>
        <w:pStyle w:val="TextBody"/>
        <w:bidi w:val="0"/>
        <w:spacing w:before="0" w:after="240"/>
        <w:jc w:val="both"/>
        <w:rPr/>
      </w:pPr>
      <w:r>
        <w:rPr/>
        <w:t>“</w:t>
      </w:r>
      <w:r>
        <w:rPr>
          <w:rFonts w:ascii="Times New Roman;serif" w:hAnsi="Times New Roman;serif"/>
          <w:b w:val="false"/>
          <w:sz w:val="24"/>
          <w:u w:val="single"/>
        </w:rPr>
        <w:t>Finance Lease</w:t>
      </w:r>
      <w:r>
        <w:rPr>
          <w:rFonts w:ascii="Times New Roman" w:hAnsi="Times New Roman"/>
          <w:sz w:val="20"/>
        </w:rPr>
        <w:t xml:space="preserve">” </w:t>
      </w:r>
      <w:r>
        <w:rPr>
          <w:rFonts w:ascii="Times New Roman;serif" w:hAnsi="Times New Roman;serif"/>
          <w:b w:val="false"/>
          <w:sz w:val="24"/>
        </w:rPr>
        <w:t>means any transaction representing the obligation of a lessee to pay rent or other amounts under a lease which is required to be classified and accounted for as a capital lease on the balance sheet of such lessee under GAAP.</w:t>
      </w:r>
    </w:p>
    <w:p>
      <w:pPr>
        <w:pStyle w:val="TextBody"/>
        <w:bidi w:val="0"/>
        <w:spacing w:before="0" w:after="240"/>
        <w:jc w:val="both"/>
        <w:rPr/>
      </w:pPr>
      <w:r>
        <w:rPr/>
        <w:t>“</w:t>
      </w:r>
      <w:r>
        <w:rPr>
          <w:rFonts w:ascii="Times New Roman;serif" w:hAnsi="Times New Roman;serif"/>
          <w:b w:val="false"/>
          <w:sz w:val="24"/>
          <w:u w:val="single"/>
        </w:rPr>
        <w:t>First Lien Bank Loan</w:t>
      </w:r>
      <w:r>
        <w:rPr>
          <w:rFonts w:ascii="Times New Roman" w:hAnsi="Times New Roman"/>
          <w:sz w:val="20"/>
        </w:rPr>
        <w:t xml:space="preserve">” </w:t>
      </w:r>
      <w:r>
        <w:rPr>
          <w:rFonts w:ascii="Times New Roman;serif" w:hAnsi="Times New Roman;serif"/>
          <w:b w:val="false"/>
          <w:sz w:val="24"/>
        </w:rPr>
        <w:t>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pStyle w:val="TextBody"/>
        <w:bidi w:val="0"/>
        <w:spacing w:before="0" w:after="240"/>
        <w:jc w:val="both"/>
        <w:rPr/>
      </w:pPr>
      <w:r>
        <w:rPr/>
        <w:t>“</w:t>
      </w:r>
      <w:r>
        <w:rPr>
          <w:rFonts w:ascii="Times New Roman;serif" w:hAnsi="Times New Roman;serif"/>
          <w:b w:val="false"/>
          <w:sz w:val="24"/>
          <w:u w:val="single"/>
        </w:rPr>
        <w:t>High Yield Securities</w:t>
      </w:r>
      <w:r>
        <w:rPr>
          <w:rFonts w:ascii="Times New Roman" w:hAnsi="Times New Roman"/>
          <w:sz w:val="20"/>
        </w:rPr>
        <w:t xml:space="preserve">” </w:t>
      </w:r>
      <w:r>
        <w:rPr>
          <w:rFonts w:ascii="Times New Roman;serif" w:hAnsi="Times New Roman;serif"/>
          <w:b w:val="false"/>
          <w:sz w:val="24"/>
        </w:rPr>
        <w:t>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Long-Term U.S. Government Securities</w:t>
      </w:r>
      <w:r>
        <w:rPr>
          <w:rFonts w:ascii="Times New Roman" w:hAnsi="Times New Roman"/>
          <w:sz w:val="20"/>
        </w:rPr>
        <w:t xml:space="preserve">” </w:t>
      </w:r>
      <w:r>
        <w:rPr>
          <w:rFonts w:ascii="Times New Roman;serif" w:hAnsi="Times New Roman;serif"/>
          <w:b w:val="false"/>
          <w:sz w:val="24"/>
        </w:rPr>
        <w:t>means U.S. Government Securities maturing more than one year from the applicable date of determination.</w:t>
      </w:r>
    </w:p>
    <w:p>
      <w:pPr>
        <w:pStyle w:val="TextBody"/>
        <w:bidi w:val="0"/>
        <w:spacing w:before="0" w:after="240"/>
        <w:jc w:val="both"/>
        <w:rPr/>
      </w:pPr>
      <w:r>
        <w:rPr/>
        <w:t>“</w:t>
      </w:r>
      <w:r>
        <w:rPr>
          <w:rFonts w:ascii="Times New Roman;serif" w:hAnsi="Times New Roman;serif"/>
          <w:b w:val="false"/>
          <w:sz w:val="24"/>
          <w:u w:val="single"/>
        </w:rPr>
        <w:t>Mezzanine Investments</w:t>
      </w:r>
      <w:r>
        <w:rPr>
          <w:rFonts w:ascii="Times New Roman" w:hAnsi="Times New Roman"/>
          <w:sz w:val="20"/>
        </w:rPr>
        <w:t xml:space="preserve">” </w:t>
      </w:r>
      <w:r>
        <w:rPr>
          <w:rFonts w:ascii="Times New Roman;serif" w:hAnsi="Times New Roman;serif"/>
          <w:b w:val="false"/>
          <w:sz w:val="24"/>
        </w:rPr>
        <w:t>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pStyle w:val="TextBody"/>
        <w:bidi w:val="0"/>
        <w:spacing w:before="0" w:after="240"/>
        <w:jc w:val="both"/>
        <w:rPr/>
      </w:pPr>
      <w:r>
        <w:rPr/>
        <w:t>“</w:t>
      </w:r>
      <w:r>
        <w:rPr>
          <w:rFonts w:ascii="Times New Roman;serif" w:hAnsi="Times New Roman;serif"/>
          <w:b w:val="false"/>
          <w:sz w:val="24"/>
          <w:u w:val="single"/>
        </w:rPr>
        <w:t>Non-Performing Common Equity</w:t>
      </w:r>
      <w:r>
        <w:rPr>
          <w:rFonts w:ascii="Times New Roman" w:hAnsi="Times New Roman"/>
          <w:sz w:val="20"/>
        </w:rPr>
        <w:t xml:space="preserve">” </w:t>
      </w:r>
      <w:r>
        <w:rPr>
          <w:rFonts w:ascii="Times New Roman;serif" w:hAnsi="Times New Roman;serif"/>
          <w:b w:val="false"/>
          <w:sz w:val="24"/>
        </w:rPr>
        <w:t>means Capital Stock (other than Preferred Stock) and warrants of an issuer having any debt outstanding that is non-Performing.</w:t>
      </w:r>
    </w:p>
    <w:p>
      <w:pPr>
        <w:pStyle w:val="TextBody"/>
        <w:bidi w:val="0"/>
        <w:spacing w:before="0" w:after="240"/>
        <w:jc w:val="both"/>
        <w:rPr/>
      </w:pPr>
      <w:r>
        <w:rPr/>
        <w:t>“</w:t>
      </w:r>
      <w:r>
        <w:rPr>
          <w:rFonts w:ascii="Times New Roman;serif" w:hAnsi="Times New Roman;serif"/>
          <w:b w:val="false"/>
          <w:sz w:val="24"/>
          <w:u w:val="single"/>
        </w:rPr>
        <w:t>Non-Performing First Lien Bank Loans</w:t>
      </w:r>
      <w:r>
        <w:rPr>
          <w:rFonts w:ascii="Times New Roman" w:hAnsi="Times New Roman"/>
          <w:sz w:val="20"/>
        </w:rPr>
        <w:t xml:space="preserve">” </w:t>
      </w:r>
      <w:r>
        <w:rPr>
          <w:rFonts w:ascii="Times New Roman;serif" w:hAnsi="Times New Roman;serif"/>
          <w:b w:val="false"/>
          <w:sz w:val="24"/>
        </w:rPr>
        <w:t>means First Lien Bank Loans other than Performing First Lien Bank Loans.</w:t>
      </w:r>
    </w:p>
    <w:p>
      <w:pPr>
        <w:pStyle w:val="TextBody"/>
        <w:bidi w:val="0"/>
        <w:spacing w:before="0" w:after="240"/>
        <w:jc w:val="both"/>
        <w:rPr/>
      </w:pPr>
      <w:r>
        <w:rPr/>
        <w:t>“</w:t>
      </w:r>
      <w:r>
        <w:rPr>
          <w:rFonts w:ascii="Times New Roman;serif" w:hAnsi="Times New Roman;serif"/>
          <w:b w:val="false"/>
          <w:sz w:val="24"/>
          <w:u w:val="single"/>
        </w:rPr>
        <w:t>Non-Performing High Yield Securities</w:t>
      </w:r>
      <w:r>
        <w:rPr>
          <w:rFonts w:ascii="Times New Roman" w:hAnsi="Times New Roman"/>
          <w:sz w:val="20"/>
        </w:rPr>
        <w:t xml:space="preserve">” </w:t>
      </w:r>
      <w:r>
        <w:rPr>
          <w:rFonts w:ascii="Times New Roman;serif" w:hAnsi="Times New Roman;serif"/>
          <w:b w:val="false"/>
          <w:sz w:val="24"/>
        </w:rPr>
        <w:t>means High Yield Securities other than Performing High Yield Securities.</w:t>
      </w:r>
    </w:p>
    <w:p>
      <w:pPr>
        <w:pStyle w:val="TextBody"/>
        <w:bidi w:val="0"/>
        <w:spacing w:before="0" w:after="240"/>
        <w:jc w:val="both"/>
        <w:rPr/>
      </w:pPr>
      <w:r>
        <w:rPr/>
        <w:t>“</w:t>
      </w:r>
      <w:r>
        <w:rPr>
          <w:rFonts w:ascii="Times New Roman;serif" w:hAnsi="Times New Roman;serif"/>
          <w:b w:val="false"/>
          <w:sz w:val="24"/>
          <w:u w:val="single"/>
        </w:rPr>
        <w:t>Non-Performing Mezzanine Investments</w:t>
      </w:r>
      <w:r>
        <w:rPr>
          <w:rFonts w:ascii="Times New Roman" w:hAnsi="Times New Roman"/>
          <w:sz w:val="20"/>
        </w:rPr>
        <w:t xml:space="preserve">” </w:t>
      </w:r>
      <w:r>
        <w:rPr>
          <w:rFonts w:ascii="Times New Roman;serif" w:hAnsi="Times New Roman;serif"/>
          <w:b w:val="false"/>
          <w:sz w:val="24"/>
        </w:rPr>
        <w:t>means Mezzanine Investments other than Performing Mezzanine Investments.</w:t>
      </w:r>
    </w:p>
    <w:p>
      <w:pPr>
        <w:pStyle w:val="TextBody"/>
        <w:bidi w:val="0"/>
        <w:spacing w:before="0" w:after="240"/>
        <w:jc w:val="both"/>
        <w:rPr/>
      </w:pPr>
      <w:r>
        <w:rPr/>
        <w:t>“</w:t>
      </w:r>
      <w:r>
        <w:rPr>
          <w:rFonts w:ascii="Times New Roman;serif" w:hAnsi="Times New Roman;serif"/>
          <w:b w:val="false"/>
          <w:sz w:val="24"/>
          <w:u w:val="single"/>
        </w:rPr>
        <w:t>Non-Performing Portfolio Investment</w:t>
      </w:r>
      <w:r>
        <w:rPr>
          <w:rFonts w:ascii="Times New Roman" w:hAnsi="Times New Roman"/>
          <w:sz w:val="20"/>
        </w:rPr>
        <w:t xml:space="preserve">” </w:t>
      </w:r>
      <w:r>
        <w:rPr>
          <w:rFonts w:ascii="Times New Roman;serif" w:hAnsi="Times New Roman;serif"/>
          <w:b w:val="false"/>
          <w:sz w:val="24"/>
        </w:rPr>
        <w:t>means Portfolio Investments for which the issuer is in default of any payment obligations of principal or interest in respect thereof after the expiration of any applicable grace period.</w:t>
      </w:r>
    </w:p>
    <w:p>
      <w:pPr>
        <w:pStyle w:val="TextBody"/>
        <w:bidi w:val="0"/>
        <w:spacing w:before="0" w:after="240"/>
        <w:jc w:val="both"/>
        <w:rPr/>
      </w:pPr>
      <w:r>
        <w:rPr/>
        <w:t>“</w:t>
      </w:r>
      <w:r>
        <w:rPr>
          <w:rFonts w:ascii="Times New Roman;serif" w:hAnsi="Times New Roman;serif"/>
          <w:b w:val="false"/>
          <w:sz w:val="24"/>
          <w:u w:val="single"/>
        </w:rPr>
        <w:t>Non-Performing Second Lien Bank Loans</w:t>
      </w:r>
      <w:r>
        <w:rPr>
          <w:rFonts w:ascii="Times New Roman" w:hAnsi="Times New Roman"/>
          <w:sz w:val="20"/>
        </w:rPr>
        <w:t xml:space="preserve">” </w:t>
      </w:r>
      <w:r>
        <w:rPr>
          <w:rFonts w:ascii="Times New Roman;serif" w:hAnsi="Times New Roman;serif"/>
          <w:b w:val="false"/>
          <w:sz w:val="24"/>
        </w:rPr>
        <w:t>means Second Lien Bank Loans other than Performing Second Lien Bank Loans.</w:t>
      </w:r>
    </w:p>
    <w:p>
      <w:pPr>
        <w:pStyle w:val="TextBody"/>
        <w:bidi w:val="0"/>
        <w:spacing w:before="0" w:after="240"/>
        <w:jc w:val="both"/>
        <w:rPr/>
      </w:pPr>
      <w:r>
        <w:rPr/>
        <w:t>“</w:t>
      </w:r>
      <w:r>
        <w:rPr>
          <w:rFonts w:ascii="Times New Roman;serif" w:hAnsi="Times New Roman;serif"/>
          <w:b w:val="false"/>
          <w:sz w:val="24"/>
          <w:u w:val="single"/>
        </w:rPr>
        <w:t>Non-Performing Unitranche Loans</w:t>
      </w:r>
      <w:r>
        <w:rPr>
          <w:rFonts w:ascii="Times New Roman" w:hAnsi="Times New Roman"/>
          <w:sz w:val="20"/>
        </w:rPr>
        <w:t xml:space="preserve">” </w:t>
      </w:r>
      <w:r>
        <w:rPr>
          <w:rFonts w:ascii="Times New Roman;serif" w:hAnsi="Times New Roman;serif"/>
          <w:b w:val="false"/>
          <w:sz w:val="24"/>
        </w:rPr>
        <w:t>means Unitranche Loans other than Performing Unitranche Loans.</w:t>
      </w:r>
    </w:p>
    <w:p>
      <w:pPr>
        <w:pStyle w:val="TextBody"/>
        <w:bidi w:val="0"/>
        <w:spacing w:before="0" w:after="240"/>
        <w:jc w:val="both"/>
        <w:rPr/>
      </w:pPr>
      <w:r>
        <w:rPr/>
        <w:t>“</w:t>
      </w:r>
      <w:r>
        <w:rPr>
          <w:rFonts w:ascii="Times New Roman;serif" w:hAnsi="Times New Roman;serif"/>
          <w:b w:val="false"/>
          <w:sz w:val="24"/>
          <w:u w:val="single"/>
        </w:rPr>
        <w:t>Performing</w:t>
      </w:r>
      <w:r>
        <w:rPr>
          <w:rFonts w:ascii="Times New Roman" w:hAnsi="Times New Roman"/>
          <w:sz w:val="20"/>
        </w:rPr>
        <w:t xml:space="preserve">” </w:t>
      </w:r>
      <w:r>
        <w:rPr>
          <w:rFonts w:ascii="Times New Roman;serif" w:hAnsi="Times New Roman;serif"/>
          <w:b w:val="false"/>
          <w:sz w:val="24"/>
        </w:rPr>
        <w:t>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pStyle w:val="TextBody"/>
        <w:bidi w:val="0"/>
        <w:spacing w:before="0" w:after="240"/>
        <w:jc w:val="both"/>
        <w:rPr/>
      </w:pPr>
      <w:r>
        <w:rPr/>
        <w:t>“</w:t>
      </w:r>
      <w:r>
        <w:rPr>
          <w:rFonts w:ascii="Times New Roman;serif" w:hAnsi="Times New Roman;serif"/>
          <w:b w:val="false"/>
          <w:sz w:val="24"/>
          <w:u w:val="single"/>
        </w:rPr>
        <w:t>Performing Cash Pay High Yield Securities</w:t>
      </w:r>
      <w:r>
        <w:rPr>
          <w:rFonts w:ascii="Times New Roman" w:hAnsi="Times New Roman"/>
          <w:sz w:val="20"/>
        </w:rPr>
        <w:t xml:space="preserve">” </w:t>
      </w:r>
      <w:r>
        <w:rPr>
          <w:rFonts w:ascii="Times New Roman;serif" w:hAnsi="Times New Roman;serif"/>
          <w:b w:val="false"/>
          <w:sz w:val="24"/>
        </w:rPr>
        <w:t>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pStyle w:val="TextBody"/>
        <w:bidi w:val="0"/>
        <w:spacing w:before="0" w:after="240"/>
        <w:jc w:val="both"/>
        <w:rPr/>
      </w:pPr>
      <w:r>
        <w:rPr/>
        <w:t>“</w:t>
      </w:r>
      <w:r>
        <w:rPr>
          <w:rFonts w:ascii="Times New Roman;serif" w:hAnsi="Times New Roman;serif"/>
          <w:b w:val="false"/>
          <w:sz w:val="24"/>
          <w:u w:val="single"/>
        </w:rPr>
        <w:t>Performing Cash Pay Mezzanine Investments</w:t>
      </w:r>
      <w:r>
        <w:rPr>
          <w:rFonts w:ascii="Times New Roman" w:hAnsi="Times New Roman"/>
          <w:sz w:val="20"/>
        </w:rPr>
        <w:t xml:space="preserve">” </w:t>
      </w:r>
      <w:r>
        <w:rPr>
          <w:rFonts w:ascii="Times New Roman;serif" w:hAnsi="Times New Roman;serif"/>
          <w:b w:val="false"/>
          <w:sz w:val="24"/>
        </w:rPr>
        <w:t>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Performing Common Equity</w:t>
      </w:r>
      <w:r>
        <w:rPr>
          <w:rFonts w:ascii="Times New Roman" w:hAnsi="Times New Roman"/>
          <w:sz w:val="20"/>
        </w:rPr>
        <w:t xml:space="preserve">” </w:t>
      </w:r>
      <w:r>
        <w:rPr>
          <w:rFonts w:ascii="Times New Roman;serif" w:hAnsi="Times New Roman;serif"/>
          <w:b w:val="false"/>
          <w:sz w:val="24"/>
        </w:rPr>
        <w:t>means Capital Stock (other than Preferred Stock) and warrants of an issuer all of whose outstanding debt is Performing.</w:t>
      </w:r>
    </w:p>
    <w:p>
      <w:pPr>
        <w:pStyle w:val="TextBody"/>
        <w:bidi w:val="0"/>
        <w:spacing w:before="0" w:after="240"/>
        <w:jc w:val="both"/>
        <w:rPr/>
      </w:pPr>
      <w:r>
        <w:rPr/>
        <w:t>“</w:t>
      </w:r>
      <w:r>
        <w:rPr>
          <w:rFonts w:ascii="Times New Roman;serif" w:hAnsi="Times New Roman;serif"/>
          <w:b w:val="false"/>
          <w:sz w:val="24"/>
          <w:u w:val="single"/>
        </w:rPr>
        <w:t>Performing First Lien Bank Loans</w:t>
      </w:r>
      <w:r>
        <w:rPr>
          <w:rFonts w:ascii="Times New Roman" w:hAnsi="Times New Roman"/>
          <w:sz w:val="20"/>
        </w:rPr>
        <w:t xml:space="preserve">” </w:t>
      </w:r>
      <w:r>
        <w:rPr>
          <w:rFonts w:ascii="Times New Roman;serif" w:hAnsi="Times New Roman;serif"/>
          <w:b w:val="false"/>
          <w:sz w:val="24"/>
        </w:rPr>
        <w:t>means First Lien Bank Loans which are Performing.</w:t>
      </w:r>
    </w:p>
    <w:p>
      <w:pPr>
        <w:pStyle w:val="TextBody"/>
        <w:bidi w:val="0"/>
        <w:spacing w:before="0" w:after="240"/>
        <w:jc w:val="both"/>
        <w:rPr/>
      </w:pPr>
      <w:r>
        <w:rPr/>
        <w:t>“</w:t>
      </w:r>
      <w:r>
        <w:rPr>
          <w:rFonts w:ascii="Times New Roman;serif" w:hAnsi="Times New Roman;serif"/>
          <w:b w:val="false"/>
          <w:sz w:val="24"/>
          <w:u w:val="single"/>
        </w:rPr>
        <w:t>Performing Non-Cash Pay High Yield Securities</w:t>
      </w:r>
      <w:r>
        <w:rPr>
          <w:rFonts w:ascii="Times New Roman" w:hAnsi="Times New Roman"/>
          <w:sz w:val="20"/>
        </w:rPr>
        <w:t xml:space="preserve">” </w:t>
      </w:r>
      <w:r>
        <w:rPr>
          <w:rFonts w:ascii="Times New Roman;serif" w:hAnsi="Times New Roman;serif"/>
          <w:b w:val="false"/>
          <w:sz w:val="24"/>
        </w:rPr>
        <w:t>means Performing High Yield Securities other than Performing Cash Pay High Yield Securities.</w:t>
      </w:r>
    </w:p>
    <w:p>
      <w:pPr>
        <w:pStyle w:val="TextBody"/>
        <w:bidi w:val="0"/>
        <w:spacing w:before="0" w:after="240"/>
        <w:jc w:val="both"/>
        <w:rPr/>
      </w:pPr>
      <w:r>
        <w:rPr/>
        <w:t>“</w:t>
      </w:r>
      <w:r>
        <w:rPr>
          <w:rFonts w:ascii="Times New Roman;serif" w:hAnsi="Times New Roman;serif"/>
          <w:b w:val="false"/>
          <w:sz w:val="24"/>
          <w:u w:val="single"/>
        </w:rPr>
        <w:t>Performing Non-Cash Pay Mezzanine Investments</w:t>
      </w:r>
      <w:r>
        <w:rPr>
          <w:rFonts w:ascii="Times New Roman" w:hAnsi="Times New Roman"/>
          <w:sz w:val="20"/>
        </w:rPr>
        <w:t xml:space="preserve">” </w:t>
      </w:r>
      <w:r>
        <w:rPr>
          <w:rFonts w:ascii="Times New Roman;serif" w:hAnsi="Times New Roman;serif"/>
          <w:b w:val="false"/>
          <w:sz w:val="24"/>
        </w:rPr>
        <w:t>means Performing Mezzanine Investments other than Performing Cash Pay Mezzanine Investments.</w:t>
      </w:r>
    </w:p>
    <w:p>
      <w:pPr>
        <w:pStyle w:val="TextBody"/>
        <w:bidi w:val="0"/>
        <w:spacing w:before="0" w:after="240"/>
        <w:jc w:val="both"/>
        <w:rPr/>
      </w:pPr>
      <w:r>
        <w:rPr/>
        <w:t>“</w:t>
      </w:r>
      <w:r>
        <w:rPr>
          <w:rFonts w:ascii="Times New Roman;serif" w:hAnsi="Times New Roman;serif"/>
          <w:b w:val="false"/>
          <w:sz w:val="24"/>
          <w:u w:val="single"/>
        </w:rPr>
        <w:t>Performing Second Lien Bank Loans</w:t>
      </w:r>
      <w:r>
        <w:rPr>
          <w:rFonts w:ascii="Times New Roman" w:hAnsi="Times New Roman"/>
          <w:sz w:val="20"/>
        </w:rPr>
        <w:t xml:space="preserve">” </w:t>
      </w:r>
      <w:r>
        <w:rPr>
          <w:rFonts w:ascii="Times New Roman;serif" w:hAnsi="Times New Roman;serif"/>
          <w:b w:val="false"/>
          <w:sz w:val="24"/>
        </w:rPr>
        <w:t>means Second Lien Bank Loans which are Performing.</w:t>
      </w:r>
    </w:p>
    <w:p>
      <w:pPr>
        <w:pStyle w:val="TextBody"/>
        <w:bidi w:val="0"/>
        <w:spacing w:before="0" w:after="240"/>
        <w:jc w:val="both"/>
        <w:rPr/>
      </w:pPr>
      <w:r>
        <w:rPr/>
        <w:t>“</w:t>
      </w:r>
      <w:r>
        <w:rPr>
          <w:rFonts w:ascii="Times New Roman;serif" w:hAnsi="Times New Roman;serif"/>
          <w:b w:val="false"/>
          <w:sz w:val="24"/>
          <w:u w:val="single"/>
        </w:rPr>
        <w:t>Preferred Stock</w:t>
      </w:r>
      <w:r>
        <w:rPr>
          <w:rFonts w:ascii="Times New Roman;serif" w:hAnsi="Times New Roman;serif"/>
          <w:b w:val="false"/>
          <w:sz w:val="24"/>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pStyle w:val="TextBody"/>
        <w:bidi w:val="0"/>
        <w:spacing w:before="0" w:after="240"/>
        <w:jc w:val="both"/>
        <w:rPr/>
      </w:pPr>
      <w:r>
        <w:rPr/>
        <w:t>“</w:t>
      </w:r>
      <w:r>
        <w:rPr>
          <w:rFonts w:ascii="Times New Roman;serif" w:hAnsi="Times New Roman;serif"/>
          <w:b w:val="false"/>
          <w:sz w:val="24"/>
          <w:u w:val="single"/>
        </w:rPr>
        <w:t>Second Lien Bank Loan</w:t>
      </w:r>
      <w:r>
        <w:rPr>
          <w:rFonts w:ascii="Times New Roman" w:hAnsi="Times New Roman"/>
          <w:sz w:val="20"/>
        </w:rPr>
        <w:t xml:space="preserve">” </w:t>
      </w:r>
      <w:r>
        <w:rPr>
          <w:rFonts w:ascii="Times New Roman;serif" w:hAnsi="Times New Roman;serif"/>
          <w:b w:val="false"/>
          <w:sz w:val="24"/>
        </w:rPr>
        <w:t>means a Bank Loan that is entitled to the benefit of a second lien and second priority perfected security interest (subject to customary encumbrances) on specified assets of the respective Borrower and guarantors obligated in respect thereof.</w:t>
      </w:r>
    </w:p>
    <w:p>
      <w:pPr>
        <w:pStyle w:val="TextBody"/>
        <w:bidi w:val="0"/>
        <w:spacing w:before="0" w:after="240"/>
        <w:jc w:val="both"/>
        <w:rPr/>
      </w:pPr>
      <w:r>
        <w:rPr/>
        <w:t>“</w:t>
      </w:r>
      <w:r>
        <w:rPr>
          <w:rFonts w:ascii="Times New Roman;serif" w:hAnsi="Times New Roman;serif"/>
          <w:b w:val="false"/>
          <w:sz w:val="24"/>
          <w:u w:val="single"/>
        </w:rPr>
        <w:t>Securities</w:t>
      </w:r>
      <w:r>
        <w:rPr>
          <w:rFonts w:ascii="Times New Roman" w:hAnsi="Times New Roman"/>
          <w:sz w:val="20"/>
        </w:rPr>
        <w:t xml:space="preserve">” </w:t>
      </w:r>
      <w:r>
        <w:rPr>
          <w:rFonts w:ascii="Times New Roman;serif" w:hAnsi="Times New Roman;serif"/>
          <w:b w:val="false"/>
          <w:sz w:val="24"/>
        </w:rPr>
        <w:t>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pStyle w:val="TextBody"/>
        <w:bidi w:val="0"/>
        <w:spacing w:before="0" w:after="240"/>
        <w:jc w:val="both"/>
        <w:rPr/>
      </w:pPr>
      <w:r>
        <w:rPr/>
        <w:t>“</w:t>
      </w:r>
      <w:r>
        <w:rPr>
          <w:rFonts w:ascii="Times New Roman;serif" w:hAnsi="Times New Roman;serif"/>
          <w:b w:val="false"/>
          <w:sz w:val="24"/>
          <w:u w:val="single"/>
        </w:rPr>
        <w:t>Securities Act</w:t>
      </w:r>
      <w:r>
        <w:rPr>
          <w:rFonts w:ascii="Times New Roman" w:hAnsi="Times New Roman"/>
          <w:sz w:val="20"/>
        </w:rPr>
        <w:t xml:space="preserve">” </w:t>
      </w:r>
      <w:r>
        <w:rPr>
          <w:rFonts w:ascii="Times New Roman;serif" w:hAnsi="Times New Roman;serif"/>
          <w:b w:val="false"/>
          <w:sz w:val="24"/>
        </w:rPr>
        <w:t>means the United States Securities Act of 1933, as amended.</w:t>
      </w:r>
    </w:p>
    <w:p>
      <w:pPr>
        <w:pStyle w:val="TextBody"/>
        <w:bidi w:val="0"/>
        <w:spacing w:before="0" w:after="240"/>
        <w:jc w:val="both"/>
        <w:rPr/>
      </w:pPr>
      <w:r>
        <w:rPr/>
        <w:t>“</w:t>
      </w:r>
      <w:r>
        <w:rPr>
          <w:rFonts w:ascii="Times New Roman;serif" w:hAnsi="Times New Roman;serif"/>
          <w:b w:val="false"/>
          <w:sz w:val="24"/>
          <w:u w:val="single"/>
        </w:rPr>
        <w:t>Short-Term U.S. Government Securities</w:t>
      </w:r>
      <w:r>
        <w:rPr>
          <w:rFonts w:ascii="Times New Roman" w:hAnsi="Times New Roman"/>
          <w:sz w:val="20"/>
        </w:rPr>
        <w:t xml:space="preserve">” </w:t>
      </w:r>
      <w:r>
        <w:rPr>
          <w:rFonts w:ascii="Times New Roman;serif" w:hAnsi="Times New Roman;serif"/>
          <w:b w:val="false"/>
          <w:sz w:val="24"/>
        </w:rPr>
        <w:t>means U.S. Government Securities maturing within one year of the applicable date of determination.</w:t>
      </w:r>
    </w:p>
    <w:p>
      <w:pPr>
        <w:pStyle w:val="TextBody"/>
        <w:bidi w:val="0"/>
        <w:spacing w:before="0" w:after="240"/>
        <w:jc w:val="both"/>
        <w:rPr/>
      </w:pPr>
      <w:r>
        <w:rPr/>
        <w:t>“</w:t>
      </w:r>
      <w:r>
        <w:rPr>
          <w:rFonts w:ascii="Times New Roman;serif" w:hAnsi="Times New Roman;serif"/>
          <w:b w:val="false"/>
          <w:sz w:val="24"/>
          <w:u w:val="single"/>
        </w:rPr>
        <w:t>Structured Finance Obligation</w:t>
      </w:r>
      <w:r>
        <w:rPr>
          <w:rFonts w:ascii="Times New Roman" w:hAnsi="Times New Roman"/>
          <w:sz w:val="20"/>
        </w:rPr>
        <w:t xml:space="preserve">” </w:t>
      </w:r>
      <w:r>
        <w:rPr>
          <w:rFonts w:ascii="Times New Roman;serif" w:hAnsi="Times New Roman;serif"/>
          <w:b w:val="false"/>
          <w:sz w:val="24"/>
        </w:rPr>
        <w:t>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pStyle w:val="TextBody"/>
        <w:bidi w:val="0"/>
        <w:spacing w:before="0" w:after="240"/>
        <w:jc w:val="both"/>
        <w:rPr/>
      </w:pPr>
      <w:r>
        <w:rPr/>
        <w:t>“</w:t>
      </w:r>
      <w:r>
        <w:rPr>
          <w:rFonts w:ascii="Times New Roman;serif" w:hAnsi="Times New Roman;serif"/>
          <w:b w:val="false"/>
          <w:sz w:val="24"/>
          <w:u w:val="single"/>
        </w:rPr>
        <w:t>U.S. Government Securities</w:t>
      </w:r>
      <w:r>
        <w:rPr>
          <w:rFonts w:ascii="Times New Roman" w:hAnsi="Times New Roman"/>
          <w:sz w:val="20"/>
        </w:rPr>
        <w:t xml:space="preserve">” </w:t>
      </w:r>
      <w:r>
        <w:rPr>
          <w:rFonts w:ascii="Times New Roman;serif" w:hAnsi="Times New Roman;serif"/>
          <w:b w:val="false"/>
          <w:sz w:val="24"/>
        </w:rPr>
        <w:t xml:space="preserve">has the meaning assigned to such term in </w:t>
      </w:r>
      <w:r>
        <w:rPr>
          <w:rFonts w:ascii="Times New Roman;serif" w:hAnsi="Times New Roman;serif"/>
          <w:b w:val="false"/>
          <w:sz w:val="24"/>
          <w:u w:val="single"/>
        </w:rPr>
        <w:t>Section 1.01</w:t>
      </w:r>
      <w:r>
        <w:rPr>
          <w:rFonts w:ascii="Times New Roman;serif" w:hAnsi="Times New Roman;serif"/>
          <w:b w:val="false"/>
          <w:sz w:val="24"/>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4"/>
          <w:u w:val="single"/>
        </w:rPr>
        <w:t>Unitranche Loan</w:t>
      </w:r>
      <w:r>
        <w:rPr>
          <w:rFonts w:ascii="Times New Roman" w:hAnsi="Times New Roman"/>
          <w:sz w:val="20"/>
        </w:rPr>
        <w:t xml:space="preserve">” </w:t>
      </w:r>
      <w:r>
        <w:rPr>
          <w:rFonts w:ascii="Times New Roman;serif" w:hAnsi="Times New Roman;serif"/>
          <w:b w:val="false"/>
          <w:sz w:val="24"/>
        </w:rPr>
        <w:t>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this Agreement.</w:t>
      </w:r>
    </w:p>
    <w:p>
      <w:pPr>
        <w:pStyle w:val="TextBody"/>
        <w:bidi w:val="0"/>
        <w:spacing w:before="0" w:after="240"/>
        <w:jc w:val="both"/>
        <w:rPr/>
      </w:pPr>
      <w:r>
        <w:rPr/>
        <w:t>“</w:t>
      </w:r>
      <w:r>
        <w:rPr>
          <w:rFonts w:ascii="Times New Roman;serif" w:hAnsi="Times New Roman;serif"/>
          <w:b w:val="false"/>
          <w:sz w:val="24"/>
          <w:u w:val="single"/>
        </w:rPr>
        <w:t>Value</w:t>
      </w:r>
      <w:r>
        <w:rPr>
          <w:rFonts w:ascii="Times New Roman" w:hAnsi="Times New Roman"/>
          <w:sz w:val="20"/>
        </w:rPr>
        <w:t xml:space="preserve">” </w:t>
      </w:r>
      <w:r>
        <w:rPr>
          <w:rFonts w:ascii="Times New Roman;serif" w:hAnsi="Times New Roman;serif"/>
          <w:b w:val="false"/>
          <w:sz w:val="24"/>
        </w:rPr>
        <w:t>means, with respect to any Portfolio Investment, the lower of:</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(i) the most recent internal market value as determined pursuant to </w:t>
      </w:r>
      <w:r>
        <w:rPr>
          <w:rFonts w:ascii="Times New Roman;serif" w:hAnsi="Times New Roman;serif"/>
          <w:b w:val="false"/>
          <w:sz w:val="24"/>
          <w:u w:val="single"/>
        </w:rPr>
        <w:t>Section 5.12(b)(ii)(C)</w:t>
      </w:r>
      <w:r>
        <w:rPr>
          <w:rFonts w:ascii="Times New Roman" w:hAnsi="Times New Roman"/>
          <w:sz w:val="20"/>
        </w:rPr>
        <w:t xml:space="preserve"> </w:t>
      </w:r>
      <w:r>
        <w:rPr>
          <w:rFonts w:ascii="Times New Roman;serif" w:hAnsi="Times New Roman;serif"/>
          <w:b w:val="false"/>
          <w:sz w:val="24"/>
        </w:rPr>
        <w:t>and</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(ii) the most recent external market value as determined pursuant to </w:t>
      </w:r>
      <w:r>
        <w:rPr>
          <w:rFonts w:ascii="Times New Roman;serif" w:hAnsi="Times New Roman;serif"/>
          <w:b w:val="false"/>
          <w:sz w:val="24"/>
          <w:u w:val="single"/>
        </w:rPr>
        <w:t>Section 5.12(b)(ii)(A)</w:t>
      </w:r>
      <w:r>
        <w:rPr>
          <w:rFonts w:ascii="Times New Roman" w:hAnsi="Times New Roman"/>
          <w:sz w:val="20"/>
        </w:rPr>
        <w:t xml:space="preserve"> </w:t>
      </w:r>
      <w:r>
        <w:rPr>
          <w:rFonts w:ascii="Times New Roman;serif" w:hAnsi="Times New Roman;serif"/>
          <w:b w:val="false"/>
          <w:sz w:val="24"/>
        </w:rPr>
        <w:t xml:space="preserve">and </w:t>
      </w:r>
      <w:r>
        <w:rPr>
          <w:rFonts w:ascii="Times New Roman;serif" w:hAnsi="Times New Roman;serif"/>
          <w:b w:val="false"/>
          <w:sz w:val="24"/>
          <w:u w:val="single"/>
        </w:rPr>
        <w:t>(B)</w:t>
      </w:r>
      <w:r>
        <w:rPr>
          <w:rFonts w:ascii="Times New Roman;serif" w:hAnsi="Times New Roman;serif"/>
          <w:b w:val="false"/>
          <w:sz w:val="24"/>
        </w:rPr>
        <w:t>.</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ARTICLE VI</w:t>
      </w:r>
    </w:p>
    <w:p>
      <w:pPr>
        <w:pStyle w:val="TextBody"/>
        <w:bidi w:val="0"/>
        <w:spacing w:before="0" w:after="240"/>
        <w:jc w:val="center"/>
        <w:rPr/>
      </w:pPr>
      <w:r>
        <w:rPr>
          <w:rFonts w:ascii="Times New Roman;serif" w:hAnsi="Times New Roman;serif"/>
          <w:b w:val="false"/>
          <w:sz w:val="24"/>
        </w:rPr>
        <w:br/>
        <w:br/>
      </w:r>
      <w:r>
        <w:rPr>
          <w:rFonts w:ascii="Times New Roman;serif" w:hAnsi="Times New Roman;serif"/>
          <w:b w:val="false"/>
          <w:caps/>
          <w:sz w:val="24"/>
          <w:u w:val="single"/>
        </w:rPr>
        <w:t>NEGATIVE COVENANTS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Until the Commitments have expired or terminated and the principal of and accrued interest on each Loan and all fees payable hereunder (other than Unasserted Contingent Obligations) have been paid in full and all Letters of Credit have expired, been terminated, Cash Collateralized or backstopped and all LC Disbursements shall have been reimbursed, the Borrower covenants and agrees with the Lenders that: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6.01.</w:t>
      </w:r>
    </w:p>
    <w:p>
      <w:pPr>
        <w:pStyle w:val="TextBody"/>
        <w:bidi w:val="0"/>
        <w:spacing w:before="0" w:after="240"/>
        <w:jc w:val="both"/>
        <w:rPr/>
      </w:pPr>
      <w:r>
        <w:rPr>
          <w:rFonts w:ascii="Times New Roman;serif" w:hAnsi="Times New Roman;serif"/>
          <w:b w:val="false"/>
          <w:sz w:val="24"/>
          <w:u w:val="single"/>
        </w:rPr>
        <w:t>Indebtedness</w:t>
      </w:r>
      <w:r>
        <w:rPr>
          <w:rFonts w:ascii="Times New Roman;serif" w:hAnsi="Times New Roman;serif"/>
          <w:b w:val="false"/>
          <w:sz w:val="24"/>
        </w:rPr>
        <w:t xml:space="preserve">. Subject to the last sentence of this </w:t>
      </w:r>
      <w:r>
        <w:rPr>
          <w:rFonts w:ascii="Times New Roman;serif" w:hAnsi="Times New Roman;serif"/>
          <w:b w:val="false"/>
          <w:sz w:val="24"/>
          <w:u w:val="single"/>
        </w:rPr>
        <w:t>Section 6.01</w:t>
      </w:r>
      <w:r>
        <w:rPr>
          <w:rFonts w:ascii="Times New Roman;serif" w:hAnsi="Times New Roman;serif"/>
          <w:b w:val="false"/>
          <w:sz w:val="24"/>
        </w:rPr>
        <w:t>, the Borrower will not, nor will it permit any of the Subsidiary Guarantors to, create, incur, assume or permit to exist any Indebtedness, except: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Indebtedness created hereunder or under any other Loan Document;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Times New Roman;serif" w:hAnsi="Times New Roman;serif"/>
          <w:b w:val="false"/>
          <w:sz w:val="24"/>
          <w:u w:val="single"/>
        </w:rPr>
        <w:t>Sections 6.07(c)</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(d)</w:t>
      </w:r>
      <w:r>
        <w:rPr>
          <w:rFonts w:ascii="Times New Roman;serif" w:hAnsi="Times New Roman;serif"/>
          <w:b w:val="false"/>
          <w:sz w:val="24"/>
        </w:rPr>
        <w:t>, and (iii) prior to and immediately after giving effect to the incurrence of any Secured Longer-Term Indebtedness, the Covered Debt Amount does not or would not exceed the Borrowing Base then in effect;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Other Permitted Indebtedness;</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Guarantees of Indebtedness otherwise permitted hereunder;</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Indebtedness of any Obligor owing to any other Obligor or, if such Indebtedness is subject to subordination terms and conditions that are satisfactory to the Administrative Agent, any other Subsidiary of the Borrower;</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Indebtedness of Financing Subsidiaries;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repurchase obligations arising in the ordinary course of business with respect to U.S. Government Securities;</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obligations payable to clearing agencies, brokers or dealers in connection with the purchase or sale of securities in the ordinary course of business;</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Secured Shorter-Term Indebtedness so long as (i) no Default exists at the time of the incurrence thereof, (ii) the aggregate amount (determined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w:t>
      </w:r>
      <w:r>
        <w:rPr>
          <w:rFonts w:ascii="Times New Roman;serif" w:hAnsi="Times New Roman;serif"/>
          <w:b w:val="false"/>
          <w:sz w:val="24"/>
          <w:u w:val="single"/>
        </w:rPr>
        <w:t>Sections 6.07(c)</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(d)</w:t>
      </w:r>
      <w:r>
        <w:rPr>
          <w:rFonts w:ascii="Times New Roman;serif" w:hAnsi="Times New Roman;serif"/>
          <w:b w:val="false"/>
          <w:sz w:val="24"/>
        </w:rPr>
        <w:t>, and (iv) prior to and immediately after giving effect to the incurrence of any such Indebtedness, the Covered Debt Amount does not or would not exceed the Borrowing Base then in effect;</w:t>
      </w:r>
    </w:p>
    <w:p>
      <w:pPr>
        <w:pStyle w:val="TextBody"/>
        <w:bidi w:val="0"/>
        <w:spacing w:before="0" w:after="240"/>
        <w:jc w:val="both"/>
        <w:rPr>
          <w:rFonts w:ascii="Times New Roman" w:hAnsi="Times New Roman"/>
          <w:b w:val="false"/>
          <w:sz w:val="24"/>
        </w:rPr>
      </w:pPr>
      <w:r>
        <w:rPr>
          <w:rFonts w:ascii="Times New Roman" w:hAnsi="Times New Roman"/>
          <w:b w:val="false"/>
          <w:sz w:val="24"/>
        </w:rPr>
        <w:t>(j)</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obligations (including Guarantees) in respect of Standard Securitization Undertakings;</w:t>
      </w:r>
    </w:p>
    <w:p>
      <w:pPr>
        <w:pStyle w:val="TextBody"/>
        <w:bidi w:val="0"/>
        <w:spacing w:before="0" w:after="240"/>
        <w:jc w:val="both"/>
        <w:rPr>
          <w:rFonts w:ascii="Times New Roman" w:hAnsi="Times New Roman"/>
          <w:b w:val="false"/>
          <w:sz w:val="24"/>
        </w:rPr>
      </w:pPr>
      <w:r>
        <w:rPr>
          <w:rFonts w:ascii="Times New Roman" w:hAnsi="Times New Roman"/>
          <w:b w:val="false"/>
          <w:sz w:val="24"/>
        </w:rPr>
        <w:t>(k)</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Permitted SBIC Guarantees;</w:t>
      </w:r>
    </w:p>
    <w:p>
      <w:pPr>
        <w:pStyle w:val="TextBody"/>
        <w:bidi w:val="0"/>
        <w:spacing w:before="0" w:after="240"/>
        <w:jc w:val="both"/>
        <w:rPr>
          <w:rFonts w:ascii="Times New Roman" w:hAnsi="Times New Roman"/>
          <w:b w:val="false"/>
          <w:sz w:val="24"/>
        </w:rPr>
      </w:pPr>
      <w:r>
        <w:rPr>
          <w:rFonts w:ascii="Times New Roman" w:hAnsi="Times New Roman"/>
          <w:b w:val="false"/>
          <w:sz w:val="24"/>
        </w:rPr>
        <w:t>(l)</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Indebtedness incurred pursuant to the 2024 Notes or the 2026 Notes; </w:t>
      </w:r>
    </w:p>
    <w:p>
      <w:pPr>
        <w:pStyle w:val="TextBody"/>
        <w:bidi w:val="0"/>
        <w:spacing w:before="0" w:after="240"/>
        <w:jc w:val="both"/>
        <w:rPr>
          <w:rFonts w:ascii="Times New Roman" w:hAnsi="Times New Roman"/>
          <w:b w:val="false"/>
          <w:sz w:val="24"/>
        </w:rPr>
      </w:pPr>
      <w:r>
        <w:rPr>
          <w:rFonts w:ascii="Times New Roman" w:hAnsi="Times New Roman"/>
          <w:b w:val="false"/>
          <w:sz w:val="24"/>
        </w:rPr>
        <w:t>(m)</w:t>
      </w:r>
    </w:p>
    <w:p>
      <w:pPr>
        <w:pStyle w:val="TextBody"/>
        <w:bidi w:val="0"/>
        <w:spacing w:before="0" w:after="240"/>
        <w:jc w:val="both"/>
        <w:rPr/>
      </w:pPr>
      <w:r>
        <w:rPr>
          <w:rFonts w:ascii="Times New Roman;serif" w:hAnsi="Times New Roman;serif"/>
          <w:b w:val="false"/>
          <w:sz w:val="24"/>
        </w:rPr>
        <w:t xml:space="preserve">Unsecured Shorter-Term Indebtedness (other than Special Unsecured Indebtedness that would otherwise constitute Unsecured Shorter-Term Indebtedness) so long as (i) no Default exists at the time of the incurrence thereof, (ii) the aggregate amount (determined at the time of the incurrence of such Indebtedness) of such Indebtedness does not exceed $500,000,000, (iii) the aggregate amount (determined at the time of the incurrence of such Indebtedness) of such Indebtedness, taken together with then-outstanding Special Unsecured Indebtedness incurred pursuant to </w:t>
      </w:r>
      <w:r>
        <w:rPr>
          <w:rFonts w:ascii="Times New Roman;serif" w:hAnsi="Times New Roman;serif"/>
          <w:b w:val="false"/>
          <w:sz w:val="24"/>
          <w:u w:val="single"/>
        </w:rPr>
        <w:t>Section 6.01(n)</w:t>
      </w:r>
      <w:r>
        <w:rPr>
          <w:rFonts w:ascii="Times New Roman;serif" w:hAnsi="Times New Roman;serif"/>
          <w:b w:val="false"/>
          <w:sz w:val="24"/>
        </w:rPr>
        <w:t xml:space="preserve">, does not exceed $1,000,000,000, (iv) the aggregate amount of such Indebtedness, taken together with other then-outstanding Indebtedness, does not exceed the amount required to comply with the provisions of </w:t>
      </w:r>
      <w:r>
        <w:rPr>
          <w:rFonts w:ascii="Times New Roman;serif" w:hAnsi="Times New Roman;serif"/>
          <w:b w:val="false"/>
          <w:sz w:val="24"/>
          <w:u w:val="single"/>
        </w:rPr>
        <w:t>Sections 6.07(c)</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(d)</w:t>
      </w:r>
      <w:r>
        <w:rPr>
          <w:rFonts w:ascii="Times New Roman;serif" w:hAnsi="Times New Roman;serif"/>
          <w:b w:val="false"/>
          <w:sz w:val="24"/>
        </w:rPr>
        <w:t>, and (v) prior to and immediately after giving effect to the incurrence of any such Indebtedness, the Covered Debt Amount does not or would not exceed the Borrowing Base then in effect;</w:t>
      </w:r>
    </w:p>
    <w:p>
      <w:pPr>
        <w:pStyle w:val="TextBody"/>
        <w:bidi w:val="0"/>
        <w:spacing w:before="0" w:after="240"/>
        <w:jc w:val="both"/>
        <w:rPr>
          <w:rFonts w:ascii="Times New Roman" w:hAnsi="Times New Roman"/>
          <w:b w:val="false"/>
          <w:sz w:val="24"/>
        </w:rPr>
      </w:pPr>
      <w:r>
        <w:rPr>
          <w:rFonts w:ascii="Times New Roman" w:hAnsi="Times New Roman"/>
          <w:b w:val="false"/>
          <w:sz w:val="24"/>
        </w:rPr>
        <w:t>(n)</w:t>
      </w:r>
    </w:p>
    <w:p>
      <w:pPr>
        <w:pStyle w:val="TextBody"/>
        <w:bidi w:val="0"/>
        <w:spacing w:before="0" w:after="240"/>
        <w:jc w:val="both"/>
        <w:rPr/>
      </w:pPr>
      <w:r>
        <w:rPr>
          <w:rFonts w:ascii="Times New Roman;serif" w:hAnsi="Times New Roman;serif"/>
          <w:b w:val="false"/>
          <w:sz w:val="24"/>
        </w:rPr>
        <w:t>Special Unsecured Indebtedness so long as (i) no Default exists at the time of the incurrence thereof, (ii) the aggregate amount (determined at the time of the incurrence of such Indebtedness) of such Indebtedness does not exceed $1,000,000,000, (iii) the aggregate amount (determined at the time of the incurrence of such Indebtedness) of such Indebtedness, taken together with then-outstanding Unsecured Shorter-Term Indebtedness incurred pursuant to</w:t>
      </w:r>
      <w:r>
        <w:rPr>
          <w:u w:val="single"/>
        </w:rPr>
        <w:t xml:space="preserve"> </w:t>
      </w:r>
      <w:r>
        <w:rPr>
          <w:rFonts w:ascii="Times New Roman;serif" w:hAnsi="Times New Roman;serif"/>
          <w:b w:val="false"/>
          <w:sz w:val="24"/>
          <w:u w:val="single"/>
        </w:rPr>
        <w:t>Section 6.01(m)</w:t>
      </w:r>
      <w:r>
        <w:rPr>
          <w:rFonts w:ascii="Times New Roman;serif" w:hAnsi="Times New Roman;serif"/>
          <w:b w:val="false"/>
          <w:sz w:val="24"/>
        </w:rPr>
        <w:t xml:space="preserve">, does not exceed $1,000,000,000, (iv) the aggregate amount of such Indebtedness, taken together with other then-outstanding Indebtedness, does not exceed the amount required to comply with the provisions of </w:t>
      </w:r>
      <w:r>
        <w:rPr>
          <w:rFonts w:ascii="Times New Roman;serif" w:hAnsi="Times New Roman;serif"/>
          <w:b w:val="false"/>
          <w:sz w:val="24"/>
          <w:u w:val="single"/>
        </w:rPr>
        <w:t>Sections 6.07(c)</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(d)</w:t>
      </w:r>
      <w:r>
        <w:rPr>
          <w:rFonts w:ascii="Times New Roman;serif" w:hAnsi="Times New Roman;serif"/>
          <w:b w:val="false"/>
          <w:sz w:val="24"/>
        </w:rPr>
        <w:t>, and (v) prior to and immediately after giving effect to the incurrence of any such Indebtedness, the Covered Debt Amount does not or would not exceed the Borrowing Base then in effect; and</w:t>
      </w:r>
    </w:p>
    <w:p>
      <w:pPr>
        <w:pStyle w:val="TextBody"/>
        <w:bidi w:val="0"/>
        <w:spacing w:before="0" w:after="240"/>
        <w:jc w:val="both"/>
        <w:rPr>
          <w:rFonts w:ascii="Times New Roman" w:hAnsi="Times New Roman"/>
          <w:b w:val="false"/>
          <w:sz w:val="24"/>
        </w:rPr>
      </w:pPr>
      <w:r>
        <w:rPr>
          <w:rFonts w:ascii="Times New Roman" w:hAnsi="Times New Roman"/>
          <w:b w:val="false"/>
          <w:sz w:val="24"/>
        </w:rPr>
        <w:t>(o)</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other Indebtedness not to exceed the greater of (i) $25,000,000 and (ii) 5% of Shareholders’ Equity at any time outstanding.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6.02.</w:t>
      </w:r>
    </w:p>
    <w:p>
      <w:pPr>
        <w:pStyle w:val="TextBody"/>
        <w:bidi w:val="0"/>
        <w:spacing w:before="0" w:after="240"/>
        <w:jc w:val="both"/>
        <w:rPr/>
      </w:pPr>
      <w:r>
        <w:rPr>
          <w:rFonts w:ascii="Times New Roman;serif" w:hAnsi="Times New Roman;serif"/>
          <w:b w:val="false"/>
          <w:sz w:val="24"/>
          <w:u w:val="single"/>
        </w:rPr>
        <w:t>Liens</w:t>
      </w:r>
      <w:r>
        <w:rPr>
          <w:rFonts w:ascii="Times New Roman;serif" w:hAnsi="Times New Roman;serif"/>
          <w:b w:val="false"/>
          <w:sz w:val="24"/>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any Lien on any property or asset of the Borrower existing on the Original Effective Date and set forth in </w:t>
      </w:r>
      <w:r>
        <w:rPr>
          <w:rFonts w:ascii="Times New Roman;serif" w:hAnsi="Times New Roman;serif"/>
          <w:b w:val="false"/>
          <w:sz w:val="24"/>
          <w:u w:val="single"/>
        </w:rPr>
        <w:t>Part B</w:t>
      </w:r>
      <w:r>
        <w:rPr/>
        <w:t xml:space="preserve"> </w:t>
      </w:r>
      <w:r>
        <w:rPr>
          <w:rFonts w:ascii="Times New Roman;serif" w:hAnsi="Times New Roman;serif"/>
          <w:b w:val="false"/>
          <w:sz w:val="24"/>
        </w:rPr>
        <w:t xml:space="preserve">of </w:t>
      </w:r>
      <w:r>
        <w:rPr>
          <w:rFonts w:ascii="Times New Roman;serif" w:hAnsi="Times New Roman;serif"/>
          <w:b w:val="false"/>
          <w:sz w:val="24"/>
          <w:u w:val="single"/>
        </w:rPr>
        <w:t>Schedule 3.11</w:t>
      </w:r>
      <w:r>
        <w:rPr>
          <w:rFonts w:ascii="Times New Roman;serif" w:hAnsi="Times New Roman;serif"/>
          <w:b w:val="false"/>
          <w:sz w:val="24"/>
        </w:rPr>
        <w:t xml:space="preserve">; </w:t>
      </w:r>
      <w:r>
        <w:rPr>
          <w:rFonts w:ascii="Times New Roman;serif" w:hAnsi="Times New Roman;serif"/>
          <w:b w:val="false"/>
          <w:sz w:val="24"/>
          <w:u w:val="single"/>
        </w:rPr>
        <w:t>provided</w:t>
      </w:r>
      <w:r>
        <w:rPr/>
        <w:t xml:space="preserve"> </w:t>
      </w:r>
      <w:r>
        <w:rPr>
          <w:rFonts w:ascii="Times New Roman;serif" w:hAnsi="Times New Roman;serif"/>
          <w:b w:val="false"/>
          <w:sz w:val="24"/>
        </w:rPr>
        <w:t>that (i) no such Lien shall extend to any other property or asset of the Borrower or any of the Subsidiary Guarantors (other than proceeds thereof of accessions thereto), and (ii) any such Lien shall secure only those obligations which it secures on the Original Effective Date and extensions, renewals and replacements thereof that do not increase the outstanding principal amount thereof except to the extent not prohibited hereunder;</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Liens created pursuant to this Agreement (including </w:t>
      </w:r>
      <w:r>
        <w:rPr>
          <w:rFonts w:ascii="Times New Roman;serif" w:hAnsi="Times New Roman;serif"/>
          <w:b w:val="false"/>
          <w:sz w:val="24"/>
          <w:u w:val="single"/>
        </w:rPr>
        <w:t>Section 2.19</w:t>
      </w:r>
      <w:r>
        <w:rPr>
          <w:rFonts w:ascii="Times New Roman;serif" w:hAnsi="Times New Roman;serif"/>
          <w:b w:val="false"/>
          <w:sz w:val="24"/>
        </w:rPr>
        <w:t>) or any of the Security Documents (including Liens in favor of the Designated Indebtedness Holders (as defined in the Guarantee and Security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Liens on the assets of a Financing Subsidiary securing obligations of such Financing Subsidiary;</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rPr>
        <w:t>Liens on Special Equity Interests included in the Portfolio Investments of the Borrower but only to the extent securing obligations in the manner provided in the definition of “</w:t>
      </w:r>
      <w:r>
        <w:rPr>
          <w:rFonts w:ascii="Times New Roman;serif" w:hAnsi="Times New Roman;serif"/>
          <w:b w:val="false"/>
          <w:sz w:val="24"/>
          <w:u w:val="single"/>
        </w:rPr>
        <w:t>Special Equity Interests</w:t>
      </w:r>
      <w:r>
        <w:rPr/>
        <w:t xml:space="preserve">” </w:t>
      </w:r>
      <w:r>
        <w:rPr>
          <w:rFonts w:ascii="Times New Roman;serif" w:hAnsi="Times New Roman;serif"/>
          <w:b w:val="false"/>
          <w:sz w:val="24"/>
        </w:rPr>
        <w:t xml:space="preserve">in </w:t>
      </w:r>
      <w:r>
        <w:rPr>
          <w:rFonts w:ascii="Times New Roman;serif" w:hAnsi="Times New Roman;serif"/>
          <w:b w:val="false"/>
          <w:sz w:val="24"/>
          <w:u w:val="single"/>
        </w:rPr>
        <w:t>Section 1.01</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rPr>
        <w:t xml:space="preserve">Liens securing Indebtedness or other obligations in an aggregate principal amount not exceeding the greater of (i) $25,000,000 and (ii) 5% of Shareholders’ Equity at any one time outstanding (which may cover Portfolio Investments, but only to the extent released from, or otherwise not covered by, the Lien in favor of the Collateral Agent pursuant to Section 10.03 of the Guarantee and Security Agreement), so long as at the time of incurrence of such Indebtedness or other obligations, the aggregate outstanding principal amount of Indebtedness permitted under </w:t>
      </w:r>
      <w:r>
        <w:rPr>
          <w:rFonts w:ascii="Times New Roman;serif" w:hAnsi="Times New Roman;serif"/>
          <w:b w:val="false"/>
          <w:sz w:val="24"/>
          <w:u w:val="single"/>
        </w:rPr>
        <w:t>clauses (a)</w:t>
      </w:r>
      <w:r>
        <w:rPr>
          <w:rFonts w:ascii="Times New Roman;serif" w:hAnsi="Times New Roman;serif"/>
          <w:b w:val="false"/>
          <w:sz w:val="24"/>
        </w:rPr>
        <w:t xml:space="preserve">, </w:t>
      </w:r>
      <w:r>
        <w:rPr>
          <w:rFonts w:ascii="Times New Roman;serif" w:hAnsi="Times New Roman;serif"/>
          <w:b w:val="false"/>
          <w:sz w:val="24"/>
          <w:u w:val="single"/>
        </w:rPr>
        <w:t>(b)</w:t>
      </w:r>
      <w:r>
        <w:rPr>
          <w:rFonts w:ascii="Times New Roman;serif" w:hAnsi="Times New Roman;serif"/>
          <w:b w:val="false"/>
          <w:sz w:val="24"/>
        </w:rPr>
        <w:t xml:space="preserve">, </w:t>
      </w:r>
      <w:r>
        <w:rPr>
          <w:rFonts w:ascii="Times New Roman;serif" w:hAnsi="Times New Roman;serif"/>
          <w:b w:val="false"/>
          <w:sz w:val="24"/>
          <w:u w:val="single"/>
        </w:rPr>
        <w:t>(i)</w:t>
      </w:r>
      <w:r>
        <w:rPr>
          <w:rFonts w:ascii="Times New Roman;serif" w:hAnsi="Times New Roman;serif"/>
          <w:b w:val="false"/>
          <w:sz w:val="24"/>
        </w:rPr>
        <w:t xml:space="preserve">, </w:t>
      </w:r>
      <w:r>
        <w:rPr>
          <w:rFonts w:ascii="Times New Roman;serif" w:hAnsi="Times New Roman;serif"/>
          <w:b w:val="false"/>
          <w:sz w:val="24"/>
          <w:u w:val="single"/>
        </w:rPr>
        <w:t>(m)</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(n)</w:t>
      </w:r>
      <w:r>
        <w:rPr/>
        <w:t xml:space="preserve"> </w:t>
      </w:r>
      <w:r>
        <w:rPr>
          <w:rFonts w:ascii="Times New Roman;serif" w:hAnsi="Times New Roman;serif"/>
          <w:b w:val="false"/>
          <w:sz w:val="24"/>
        </w:rPr>
        <w:t xml:space="preserve">of </w:t>
      </w:r>
      <w:r>
        <w:rPr>
          <w:rFonts w:ascii="Times New Roman;serif" w:hAnsi="Times New Roman;serif"/>
          <w:b w:val="false"/>
          <w:sz w:val="24"/>
          <w:u w:val="single"/>
        </w:rPr>
        <w:t>Section 6.01</w:t>
      </w:r>
      <w:r>
        <w:rPr>
          <w:rFonts w:ascii="Times New Roman;serif" w:hAnsi="Times New Roman;serif"/>
          <w:b w:val="false"/>
          <w:sz w:val="24"/>
        </w:rPr>
        <w:t xml:space="preserve">, does not exceed the lesser of (i) the Borrowing Base and (ii) the amount required to comply with the provisions of </w:t>
      </w:r>
      <w:r>
        <w:rPr>
          <w:rFonts w:ascii="Times New Roman;serif" w:hAnsi="Times New Roman;serif"/>
          <w:b w:val="false"/>
          <w:sz w:val="24"/>
          <w:u w:val="single"/>
        </w:rPr>
        <w:t>Sections 6.07(c)</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(d)</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Permitted Liens; </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Liens on Equity Interests in any SBIC Subsidiary created in favor of the SBA;</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[Reserved];</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(x) Liens securing Hedging Agreements permitted under </w:t>
      </w:r>
      <w:r>
        <w:rPr>
          <w:rFonts w:ascii="Times New Roman;serif" w:hAnsi="Times New Roman;serif"/>
          <w:b w:val="false"/>
          <w:sz w:val="24"/>
          <w:u w:val="single"/>
        </w:rPr>
        <w:t>Section 6.04(c)</w:t>
      </w:r>
      <w:r>
        <w:rPr/>
        <w:t xml:space="preserve"> </w:t>
      </w:r>
      <w:r>
        <w:rPr>
          <w:rFonts w:ascii="Times New Roman;serif" w:hAnsi="Times New Roman;serif"/>
          <w:b w:val="false"/>
          <w:sz w:val="24"/>
        </w:rPr>
        <w:t xml:space="preserve">and not otherwise permitted under </w:t>
      </w:r>
      <w:r>
        <w:rPr>
          <w:rFonts w:ascii="Times New Roman;serif" w:hAnsi="Times New Roman;serif"/>
          <w:b w:val="false"/>
          <w:sz w:val="24"/>
          <w:u w:val="single"/>
        </w:rPr>
        <w:t>clause (b)</w:t>
      </w:r>
      <w:r>
        <w:rPr/>
        <w:t xml:space="preserve"> </w:t>
      </w:r>
      <w:r>
        <w:rPr>
          <w:rFonts w:ascii="Times New Roman;serif" w:hAnsi="Times New Roman;serif"/>
          <w:b w:val="false"/>
          <w:sz w:val="24"/>
        </w:rPr>
        <w:t xml:space="preserve">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Times New Roman;serif" w:hAnsi="Times New Roman;serif"/>
          <w:b w:val="false"/>
          <w:sz w:val="24"/>
          <w:u w:val="single"/>
        </w:rPr>
        <w:t>sub-clause (y)</w:t>
      </w:r>
      <w:r>
        <w:rPr/>
        <w:t xml:space="preserve"> </w:t>
      </w:r>
      <w:r>
        <w:rPr>
          <w:rFonts w:ascii="Times New Roman;serif" w:hAnsi="Times New Roman;serif"/>
          <w:b w:val="false"/>
          <w:sz w:val="24"/>
        </w:rPr>
        <w:t xml:space="preserve">even if such Lender has assigned all of its Loans and other interests in this Agreement and thus has ceased to be a Lender hereunder);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in no event shall any Obligor be permitted to create, incur or assume any Lien pursuant to this </w:t>
      </w:r>
      <w:r>
        <w:rPr>
          <w:rFonts w:ascii="Times New Roman;serif" w:hAnsi="Times New Roman;serif"/>
          <w:b w:val="false"/>
          <w:sz w:val="24"/>
          <w:u w:val="single"/>
        </w:rPr>
        <w:t>clause (i)</w:t>
      </w:r>
      <w:r>
        <w:rPr/>
        <w:t xml:space="preserve"> </w:t>
      </w:r>
      <w:r>
        <w:rPr>
          <w:rFonts w:ascii="Times New Roman;serif" w:hAnsi="Times New Roman;serif"/>
          <w:b w:val="false"/>
          <w:sz w:val="24"/>
        </w:rPr>
        <w:t xml:space="preserve">or increase the aggregate amount of collateral securing any Liens previously permitted under this </w:t>
      </w:r>
      <w:r>
        <w:rPr>
          <w:rFonts w:ascii="Times New Roman;serif" w:hAnsi="Times New Roman;serif"/>
          <w:b w:val="false"/>
          <w:sz w:val="24"/>
          <w:u w:val="single"/>
        </w:rPr>
        <w:t>clause (i)</w:t>
      </w:r>
      <w:r>
        <w:rPr/>
        <w:t xml:space="preserve"> </w:t>
      </w:r>
      <w:r>
        <w:rPr>
          <w:rFonts w:ascii="Times New Roman;serif" w:hAnsi="Times New Roman;serif"/>
          <w:b w:val="false"/>
          <w:sz w:val="24"/>
        </w:rPr>
        <w:t xml:space="preserve">unless both before and after giving effect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pStyle w:val="TextBody"/>
        <w:bidi w:val="0"/>
        <w:spacing w:before="0" w:after="240"/>
        <w:jc w:val="both"/>
        <w:rPr>
          <w:rFonts w:ascii="Times New Roman" w:hAnsi="Times New Roman"/>
          <w:b w:val="false"/>
          <w:sz w:val="24"/>
        </w:rPr>
      </w:pPr>
      <w:r>
        <w:rPr>
          <w:rFonts w:ascii="Times New Roman" w:hAnsi="Times New Roman"/>
          <w:b w:val="false"/>
          <w:sz w:val="24"/>
        </w:rPr>
        <w:t>(j)</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Liens securing repurchase obligations arising in the ordinary course of business with respect to U.S. Government Securities.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6.03.</w:t>
      </w:r>
    </w:p>
    <w:p>
      <w:pPr>
        <w:pStyle w:val="TextBody"/>
        <w:bidi w:val="0"/>
        <w:spacing w:before="0" w:after="240"/>
        <w:jc w:val="both"/>
        <w:rPr/>
      </w:pPr>
      <w:r>
        <w:rPr>
          <w:rFonts w:ascii="Times New Roman;serif" w:hAnsi="Times New Roman;serif"/>
          <w:b w:val="false"/>
          <w:sz w:val="24"/>
          <w:u w:val="single"/>
        </w:rPr>
        <w:t>Fundamental Changes</w:t>
      </w:r>
      <w:r>
        <w:rPr>
          <w:rFonts w:ascii="Times New Roman;serif" w:hAnsi="Times New Roman;serif"/>
          <w:b w:val="false"/>
          <w:sz w:val="24"/>
        </w:rPr>
        <w:t xml:space="preserve">.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Times New Roman;serif" w:hAnsi="Times New Roman;serif"/>
          <w:b w:val="false"/>
          <w:sz w:val="24"/>
          <w:u w:val="single"/>
        </w:rPr>
        <w:t>clauses (d)</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(e)</w:t>
      </w:r>
      <w:r>
        <w:rPr/>
        <w:t xml:space="preserve"> </w:t>
      </w:r>
      <w:r>
        <w:rPr>
          <w:rFonts w:ascii="Times New Roman;serif" w:hAnsi="Times New Roman;serif"/>
          <w:b w:val="false"/>
          <w:sz w:val="24"/>
        </w:rPr>
        <w:t>below, Portfolio Investments.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Notwithstanding the foregoing provisions of this Section:</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any Subsidiary Guarantor of the Borrower may be merged or consolidated with or into the Borrower or any other Subsidiary Guarantor; </w:t>
      </w:r>
      <w:r>
        <w:rPr>
          <w:rFonts w:ascii="Times New Roman;serif" w:hAnsi="Times New Roman;serif"/>
          <w:b w:val="false"/>
          <w:sz w:val="24"/>
          <w:u w:val="single"/>
        </w:rPr>
        <w:t>provided</w:t>
      </w:r>
      <w:r>
        <w:rPr/>
        <w:t xml:space="preserve"> </w:t>
      </w:r>
      <w:r>
        <w:rPr>
          <w:rFonts w:ascii="Times New Roman;serif" w:hAnsi="Times New Roman;serif"/>
          <w:b w:val="false"/>
          <w:sz w:val="24"/>
        </w:rPr>
        <w:t>that if any such transaction shall be between a Subsidiary Guarantor and a wholly owned Subsidiary Guarantor, the wholly owned Subsidiary Guarantor shall be the continuing or surviving entity;</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Subsidiary Guarantor of the Borrower may sell, lease, transfer (including a deemed transfer resulting from a division or plan of division) or otherwise dispose of any or all of its assets (upon voluntary liquidation or otherwise) to the Borrower or any wholly owned Subsidiary Guarantor of the Borrower;</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capital stock of any Subsidiary of the Borrower may be sold, transferred (including a deemed transfer resulting from a division or plan of division) or otherwise disposed of to the Borrower or any wholly owned Subsidiary Guarantor of the Borrower;</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Obligors may sell, transfer (including a deemed transfer resulting from a division or plan of division) or otherwise dispose of Portfolio Investments (other 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Obligors may sell, transfer (including a deemed transfer resulting from a division or plan of division) or otherwise dispose of Portfolio Investments to a Financing Subsidiary so long as (i) after giving effect to such sale, transfer or other disposition (and any concurrent acquisitions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rPr>
        <w:t>the Borrower may merge or consolidate with,</w:t>
      </w:r>
      <w:r>
        <w:rPr/>
        <w:t xml:space="preserve"> </w:t>
      </w:r>
      <w:r>
        <w:rPr>
          <w:rFonts w:ascii="Times New Roman;serif" w:hAnsi="Times New Roman;serif"/>
          <w:b w:val="false"/>
          <w:sz w:val="24"/>
        </w:rPr>
        <w:t>or acquire all or substantially all of the assets of, any other Person so long as (i) the Borrower is the continuing or surviving entity in such transaction and (ii) at the time thereof and after giving effect thereto, no Default shall have occurred or be continuing; and</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Borrower and each of the Subsidiary Guarantors may sell, lease, transfer (including a deemed transfer resulting from a division or plan of division) or otherwise dispose of equipment or other property or assets that do not consist of Portfolio Investments so long as the aggregate amount of all such sales, leases, transfer and dispositions does not exceed $5,000,000 in any fiscal year.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6.04.</w:t>
      </w:r>
    </w:p>
    <w:p>
      <w:pPr>
        <w:pStyle w:val="TextBody"/>
        <w:bidi w:val="0"/>
        <w:spacing w:before="0" w:after="240"/>
        <w:jc w:val="both"/>
        <w:rPr/>
      </w:pPr>
      <w:r>
        <w:rPr>
          <w:rFonts w:ascii="Times New Roman;serif" w:hAnsi="Times New Roman;serif"/>
          <w:b w:val="false"/>
          <w:sz w:val="24"/>
          <w:u w:val="single"/>
        </w:rPr>
        <w:t>Investments</w:t>
      </w:r>
      <w:r>
        <w:rPr>
          <w:rFonts w:ascii="Times New Roman;serif" w:hAnsi="Times New Roman;serif"/>
          <w:b w:val="false"/>
          <w:sz w:val="24"/>
        </w:rPr>
        <w:t>. The Borrower will not, nor will it permit any of the Subsidiary Guarantors to, acquire, make or enter into, or hold, any Investments except: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operating deposit accounts with banks;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Investments by the Borrower and the Subsidiary Guarantors in the Borrower and the Subsidiary Guarantors;</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Hedging Agreements entered into in the ordinary course of the Borrower’s financial planning and not for speculative purposes;</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Portfolio Investments by the Borrower and its Subsidiaries to the extent such Portfolio Investments are permitted under the Investment Company Act and the Borrower’s Investment Policies as in effect as of the date such Portfolio Investments are acquired;</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rPr>
        <w:t xml:space="preserve">Investments in Financing Subsidiaries so long as, (i) after giving effect to such Investment, the Covered Debt Amount does not exceed the Borrowing Base and (ii) the sum of (x) all Investments under this </w:t>
      </w:r>
      <w:r>
        <w:rPr>
          <w:rFonts w:ascii="Times New Roman;serif" w:hAnsi="Times New Roman;serif"/>
          <w:b w:val="false"/>
          <w:sz w:val="24"/>
          <w:u w:val="single"/>
        </w:rPr>
        <w:t>clause (e)</w:t>
      </w:r>
      <w:r>
        <w:rPr/>
        <w:t xml:space="preserve"> </w:t>
      </w:r>
      <w:r>
        <w:rPr>
          <w:rFonts w:ascii="Times New Roman;serif" w:hAnsi="Times New Roman;serif"/>
          <w:b w:val="false"/>
          <w:sz w:val="24"/>
        </w:rPr>
        <w:t xml:space="preserve">that occur after the Extended Commitment Termination Date and (y) all Investments under </w:t>
      </w:r>
      <w:r>
        <w:rPr>
          <w:rFonts w:ascii="Times New Roman;serif" w:hAnsi="Times New Roman;serif"/>
          <w:b w:val="false"/>
          <w:sz w:val="24"/>
          <w:u w:val="single"/>
        </w:rPr>
        <w:t>clause (f)</w:t>
      </w:r>
      <w:r>
        <w:rPr/>
        <w:t xml:space="preserve"> </w:t>
      </w:r>
      <w:r>
        <w:rPr>
          <w:rFonts w:ascii="Times New Roman;serif" w:hAnsi="Times New Roman;serif"/>
          <w:b w:val="false"/>
          <w:sz w:val="24"/>
        </w:rPr>
        <w:t>below that occur after the Extended Commitment Termination Date, shall not exceed $10,000,000 in the aggregate;</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rPr>
        <w:t xml:space="preserve">additional Investments up to but not exceeding $15,000,000 in the aggregate;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the sum of (x) all Investments under this </w:t>
      </w:r>
      <w:r>
        <w:rPr>
          <w:rFonts w:ascii="Times New Roman;serif" w:hAnsi="Times New Roman;serif"/>
          <w:b w:val="false"/>
          <w:sz w:val="24"/>
          <w:u w:val="single"/>
        </w:rPr>
        <w:t>clause (f)</w:t>
      </w:r>
      <w:r>
        <w:rPr/>
        <w:t xml:space="preserve"> </w:t>
      </w:r>
      <w:r>
        <w:rPr>
          <w:rFonts w:ascii="Times New Roman;serif" w:hAnsi="Times New Roman;serif"/>
          <w:b w:val="false"/>
          <w:sz w:val="24"/>
        </w:rPr>
        <w:t xml:space="preserve">that occur after the Extended Commitment Termination Date and (y) all Investments under </w:t>
      </w:r>
      <w:r>
        <w:rPr>
          <w:rFonts w:ascii="Times New Roman;serif" w:hAnsi="Times New Roman;serif"/>
          <w:b w:val="false"/>
          <w:sz w:val="24"/>
          <w:u w:val="single"/>
        </w:rPr>
        <w:t>clause (e)</w:t>
      </w:r>
      <w:r>
        <w:rPr/>
        <w:t xml:space="preserve"> </w:t>
      </w:r>
      <w:r>
        <w:rPr>
          <w:rFonts w:ascii="Times New Roman;serif" w:hAnsi="Times New Roman;serif"/>
          <w:b w:val="false"/>
          <w:sz w:val="24"/>
        </w:rPr>
        <w:t>above that occur after the Extended Commitment Termination Date, shall not exceed $10,000,000 in the aggregate;</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Investments in Cash and Cash Equivalents;</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pPr>
      <w:r>
        <w:rPr>
          <w:rFonts w:ascii="Times New Roman;serif" w:hAnsi="Times New Roman;serif"/>
          <w:b w:val="false"/>
          <w:sz w:val="24"/>
        </w:rPr>
        <w:t xml:space="preserve">Investments described on </w:t>
      </w:r>
      <w:r>
        <w:rPr>
          <w:rFonts w:ascii="Times New Roman;serif" w:hAnsi="Times New Roman;serif"/>
          <w:b w:val="false"/>
          <w:sz w:val="24"/>
          <w:u w:val="single"/>
        </w:rPr>
        <w:t>Schedule 3.12(b)</w:t>
      </w:r>
      <w:r>
        <w:rPr>
          <w:rFonts w:ascii="Times New Roman;serif" w:hAnsi="Times New Roman;serif"/>
          <w:b w:val="false"/>
          <w:sz w:val="24"/>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Investments by a Financing Subsidiary; and</w:t>
      </w:r>
    </w:p>
    <w:p>
      <w:pPr>
        <w:pStyle w:val="TextBody"/>
        <w:bidi w:val="0"/>
        <w:spacing w:before="0" w:after="240"/>
        <w:jc w:val="both"/>
        <w:rPr>
          <w:rFonts w:ascii="Times New Roman" w:hAnsi="Times New Roman"/>
          <w:b w:val="false"/>
          <w:sz w:val="24"/>
        </w:rPr>
      </w:pPr>
      <w:r>
        <w:rPr>
          <w:rFonts w:ascii="Times New Roman" w:hAnsi="Times New Roman"/>
          <w:b w:val="false"/>
          <w:sz w:val="24"/>
        </w:rPr>
        <w:t>(j)</w:t>
      </w:r>
    </w:p>
    <w:p>
      <w:pPr>
        <w:pStyle w:val="TextBody"/>
        <w:bidi w:val="0"/>
        <w:spacing w:before="0" w:after="240"/>
        <w:jc w:val="both"/>
        <w:rPr/>
      </w:pPr>
      <w:r>
        <w:rPr>
          <w:rFonts w:ascii="Times New Roman;serif" w:hAnsi="Times New Roman;serif"/>
          <w:b w:val="false"/>
          <w:sz w:val="24"/>
        </w:rPr>
        <w:t xml:space="preserve">Investments in the form of Guarantees permitted pursuant to </w:t>
      </w:r>
      <w:r>
        <w:rPr>
          <w:rFonts w:ascii="Times New Roman;serif" w:hAnsi="Times New Roman;serif"/>
          <w:b w:val="false"/>
          <w:sz w:val="24"/>
          <w:u w:val="single"/>
        </w:rPr>
        <w:t>Section 6.01</w:t>
      </w:r>
      <w:r>
        <w:rPr>
          <w:rFonts w:ascii="Times New Roman;serif" w:hAnsi="Times New Roman;serif"/>
          <w:b w:val="false"/>
          <w:sz w:val="24"/>
        </w:rPr>
        <w:t>.</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For purposes of </w:t>
      </w:r>
      <w:r>
        <w:rPr>
          <w:rFonts w:ascii="Times New Roman;serif" w:hAnsi="Times New Roman;serif"/>
          <w:b w:val="false"/>
          <w:sz w:val="24"/>
          <w:u w:val="single"/>
        </w:rPr>
        <w:t>clause (f)</w:t>
      </w:r>
      <w:r>
        <w:rPr>
          <w:rFonts w:ascii="Times New Roman" w:hAnsi="Times New Roman"/>
          <w:sz w:val="20"/>
        </w:rPr>
        <w:t xml:space="preserve"> </w:t>
      </w:r>
      <w:r>
        <w:rPr>
          <w:rFonts w:ascii="Times New Roman;serif" w:hAnsi="Times New Roman;serif"/>
          <w:b w:val="false"/>
          <w:sz w:val="24"/>
        </w:rPr>
        <w:t xml:space="preserve">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 xml:space="preserve">(B) the aggregate amount of dividends, distributions or other payments received in cash in respect of such Investment;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6.05.</w:t>
      </w:r>
    </w:p>
    <w:p>
      <w:pPr>
        <w:pStyle w:val="TextBody"/>
        <w:bidi w:val="0"/>
        <w:spacing w:before="0" w:after="240"/>
        <w:jc w:val="both"/>
        <w:rPr/>
      </w:pPr>
      <w:r>
        <w:rPr>
          <w:rFonts w:ascii="Times New Roman;serif" w:hAnsi="Times New Roman;serif"/>
          <w:b w:val="false"/>
          <w:sz w:val="24"/>
          <w:u w:val="single"/>
        </w:rPr>
        <w:t>Restricted Payments</w:t>
      </w:r>
      <w:r>
        <w:rPr>
          <w:rFonts w:ascii="Times New Roman;serif" w:hAnsi="Times New Roman;serif"/>
          <w:b w:val="false"/>
          <w:sz w:val="24"/>
        </w:rPr>
        <w:t>. The Borrower will not, nor will it permit any of the Subsidiary Guarantors to, declare or make, or agree to pay or make, directly or indirectly, any Restricted Payment, except that the Borrower may declare and pay:</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dividends with respect to the capital stock of the Borrower payable solely in additional shares of the Borrower’s common stock;</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 xml:space="preserve">dividends and distributions in each case in cash or other property (excluding for this purpose the Borrower’s common stock) in addition to the dividends and distributions permitted under the foregoing </w:t>
      </w:r>
      <w:r>
        <w:rPr>
          <w:rFonts w:ascii="Times New Roman;serif" w:hAnsi="Times New Roman;serif"/>
          <w:b w:val="false"/>
          <w:sz w:val="24"/>
          <w:u w:val="single"/>
        </w:rPr>
        <w:t>clauses (a)</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(b)</w:t>
      </w:r>
      <w:r>
        <w:rPr>
          <w:rFonts w:ascii="Times New Roman;serif" w:hAnsi="Times New Roman;serif"/>
          <w:b w:val="false"/>
          <w:sz w:val="24"/>
        </w:rPr>
        <w:t>, so long as on the date of such Restricted Payment and after giving effect thereto:</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 Default shall have occurred and be continuing or would result therefrom; and</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 xml:space="preserve">the aggregate amount of Restricted Payments made during any taxable year of the Borrower after the date hereof under this </w:t>
      </w:r>
      <w:r>
        <w:rPr>
          <w:rFonts w:ascii="Times New Roman;serif" w:hAnsi="Times New Roman;serif"/>
          <w:b w:val="false"/>
          <w:sz w:val="24"/>
          <w:u w:val="single"/>
        </w:rPr>
        <w:t>clause (c)</w:t>
      </w:r>
      <w:r>
        <w:rPr/>
        <w:t xml:space="preserve"> </w:t>
      </w:r>
      <w:r>
        <w:rPr>
          <w:rFonts w:ascii="Times New Roman;serif" w:hAnsi="Times New Roman;serif"/>
          <w:b w:val="false"/>
          <w:sz w:val="24"/>
        </w:rPr>
        <w:t xml:space="preserve">shall not exceed the difference of (x) an amount equal to 10% of the taxable income of the Borrower for such taxable year determined under section 852(b)(2) of the Code, but without regard to </w:t>
      </w:r>
      <w:r>
        <w:rPr>
          <w:rFonts w:ascii="Times New Roman;serif" w:hAnsi="Times New Roman;serif"/>
          <w:b w:val="false"/>
          <w:sz w:val="24"/>
          <w:u w:val="single"/>
        </w:rPr>
        <w:t>subparagraphs (A)</w:t>
      </w:r>
      <w:r>
        <w:rPr>
          <w:rFonts w:ascii="Times New Roman;serif" w:hAnsi="Times New Roman;serif"/>
          <w:b w:val="false"/>
          <w:sz w:val="24"/>
        </w:rPr>
        <w:t xml:space="preserve">, </w:t>
      </w:r>
      <w:r>
        <w:rPr>
          <w:rFonts w:ascii="Times New Roman;serif" w:hAnsi="Times New Roman;serif"/>
          <w:b w:val="false"/>
          <w:sz w:val="24"/>
          <w:u w:val="single"/>
        </w:rPr>
        <w:t>(B)</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(D)</w:t>
      </w:r>
      <w:r>
        <w:rPr/>
        <w:t xml:space="preserve"> </w:t>
      </w:r>
      <w:r>
        <w:rPr>
          <w:rFonts w:ascii="Times New Roman;serif" w:hAnsi="Times New Roman;serif"/>
          <w:b w:val="false"/>
          <w:sz w:val="24"/>
        </w:rPr>
        <w:t xml:space="preserve">thereof, </w:t>
      </w:r>
      <w:r>
        <w:rPr>
          <w:rFonts w:ascii="Times New Roman;serif" w:hAnsi="Times New Roman;serif"/>
          <w:b w:val="false"/>
          <w:sz w:val="24"/>
          <w:u w:val="single"/>
        </w:rPr>
        <w:t>minus</w:t>
      </w:r>
      <w:r>
        <w:rPr/>
        <w:t xml:space="preserve"> </w:t>
      </w:r>
      <w:r>
        <w:rPr>
          <w:rFonts w:ascii="Times New Roman;serif" w:hAnsi="Times New Roman;serif"/>
          <w:b w:val="false"/>
          <w:sz w:val="24"/>
        </w:rPr>
        <w:t xml:space="preserve">(y) the amount, if any, by which dividends and distributions made during such taxable year pursuant to the foregoing </w:t>
      </w:r>
      <w:r>
        <w:rPr>
          <w:rFonts w:ascii="Times New Roman;serif" w:hAnsi="Times New Roman;serif"/>
          <w:b w:val="false"/>
          <w:sz w:val="24"/>
          <w:u w:val="single"/>
        </w:rPr>
        <w:t>clause (b)</w:t>
      </w:r>
      <w:r>
        <w:rPr/>
        <w:t xml:space="preserve"> </w:t>
      </w:r>
      <w:r>
        <w:rPr>
          <w:rFonts w:ascii="Times New Roman;serif" w:hAnsi="Times New Roman;serif"/>
          <w:b w:val="false"/>
          <w:sz w:val="24"/>
        </w:rPr>
        <w:t xml:space="preserve">(whether in respect of such taxable year or the previous taxable year) based upon the Borrower’s estimate of taxable income exceeded the actual amounts specified in </w:t>
      </w:r>
      <w:r>
        <w:rPr>
          <w:rFonts w:ascii="Times New Roman;serif" w:hAnsi="Times New Roman;serif"/>
          <w:b w:val="false"/>
          <w:sz w:val="24"/>
          <w:u w:val="single"/>
        </w:rPr>
        <w:t>subclauses (i)</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(ii)</w:t>
      </w:r>
      <w:r>
        <w:rPr/>
        <w:t xml:space="preserve"> </w:t>
      </w:r>
      <w:r>
        <w:rPr>
          <w:rFonts w:ascii="Times New Roman;serif" w:hAnsi="Times New Roman;serif"/>
          <w:b w:val="false"/>
          <w:sz w:val="24"/>
        </w:rPr>
        <w:t xml:space="preserve">of such foregoing </w:t>
      </w:r>
      <w:r>
        <w:rPr>
          <w:rFonts w:ascii="Times New Roman;serif" w:hAnsi="Times New Roman;serif"/>
          <w:b w:val="false"/>
          <w:sz w:val="24"/>
          <w:u w:val="single"/>
        </w:rPr>
        <w:t>clause (b)</w:t>
      </w:r>
      <w:r>
        <w:rPr/>
        <w:t xml:space="preserve"> </w:t>
      </w:r>
      <w:r>
        <w:rPr>
          <w:rFonts w:ascii="Times New Roman;serif" w:hAnsi="Times New Roman;serif"/>
          <w:b w:val="false"/>
          <w:sz w:val="24"/>
        </w:rPr>
        <w:t>for such taxable year.</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other Restricted Payments so long as on the date of such other Restricted Payment and after giving effect thereto (x) the Covered Debt Amount does not exceed 90% of the Borrowing Base and (y) no Default shall have occurred and be continuing or would result therefrom.</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Nothing herein shall be deemed to prohibit the payment of Restricted Payments by any Subsidiary of the Borrower to the Borrower or to any other Subsidiary Guarantor.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6.06.</w:t>
      </w:r>
    </w:p>
    <w:p>
      <w:pPr>
        <w:pStyle w:val="TextBody"/>
        <w:bidi w:val="0"/>
        <w:spacing w:before="0" w:after="240"/>
        <w:jc w:val="both"/>
        <w:rPr/>
      </w:pPr>
      <w:r>
        <w:rPr>
          <w:rFonts w:ascii="Times New Roman;serif" w:hAnsi="Times New Roman;serif"/>
          <w:b w:val="false"/>
          <w:sz w:val="24"/>
          <w:u w:val="single"/>
        </w:rPr>
        <w:t>Certain Restrictions on Subsidiaries</w:t>
      </w:r>
      <w:r>
        <w:rPr>
          <w:rFonts w:ascii="Times New Roman;serif" w:hAnsi="Times New Roman;serif"/>
          <w:b w:val="false"/>
          <w:sz w:val="24"/>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Times New Roman;serif" w:hAnsi="Times New Roman;serif"/>
          <w:b w:val="false"/>
          <w:sz w:val="24"/>
          <w:u w:val="single"/>
        </w:rPr>
        <w:t>provided</w:t>
      </w:r>
      <w:r>
        <w:rPr/>
        <w:t xml:space="preserve"> </w:t>
      </w:r>
      <w:r>
        <w:rPr>
          <w:rFonts w:ascii="Times New Roman;serif" w:hAnsi="Times New Roman;serif"/>
          <w:b w:val="false"/>
          <w:sz w:val="24"/>
        </w:rPr>
        <w:t>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6.07.</w:t>
      </w:r>
    </w:p>
    <w:p>
      <w:pPr>
        <w:pStyle w:val="TextBody"/>
        <w:bidi w:val="0"/>
        <w:spacing w:before="0" w:after="240"/>
        <w:jc w:val="both"/>
        <w:rPr/>
      </w:pPr>
      <w:r>
        <w:rPr>
          <w:rFonts w:ascii="Times New Roman;serif" w:hAnsi="Times New Roman;serif"/>
          <w:b w:val="false"/>
          <w:sz w:val="24"/>
          <w:u w:val="single"/>
        </w:rPr>
        <w:t>Certain Financial Covenants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Minimum Shareholders’ Equity</w:t>
      </w:r>
      <w:r>
        <w:rPr>
          <w:rFonts w:ascii="Times New Roman;serif" w:hAnsi="Times New Roman;serif"/>
          <w:b w:val="false"/>
          <w:sz w:val="24"/>
        </w:rPr>
        <w:t>. The Borrower will not permit Shareholders’ Equity at the last day of any fiscal quarter of the Borrower to be less than $500,000,000 plus 25% of the net proceeds of the sale of Equity Interests by the Borrower and its Subsidiaries after the Ninth Amendment Effective Date (other than proceeds of sales of Equity Interests by and among the Borrower and its Subsidiaries).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[Reserved].</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Borrower Asset Coverage Ratio</w:t>
      </w:r>
      <w:r>
        <w:rPr>
          <w:rFonts w:ascii="Times New Roman;serif" w:hAnsi="Times New Roman;serif"/>
          <w:b w:val="false"/>
          <w:sz w:val="24"/>
        </w:rPr>
        <w:t>. The Borrower will not permit the Borrower Asset Coverage Ratio at the last day of any fiscal quarter of the Borrower to be less than 2.00 to 1 at any time.</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Consolidated Asset Coverage Ratio</w:t>
      </w:r>
      <w:r>
        <w:rPr>
          <w:rFonts w:ascii="Times New Roman;serif" w:hAnsi="Times New Roman;serif"/>
          <w:b w:val="false"/>
          <w:sz w:val="24"/>
        </w:rPr>
        <w:t>. The Borrower will not permit the Consolidated Asset Coverage Ratio at the last day of any fiscal quarter of the Borrower to be less than 1.50 to 1 at any time.</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6.08.</w:t>
      </w:r>
    </w:p>
    <w:p>
      <w:pPr>
        <w:pStyle w:val="TextBody"/>
        <w:bidi w:val="0"/>
        <w:spacing w:before="0" w:after="240"/>
        <w:jc w:val="both"/>
        <w:rPr/>
      </w:pPr>
      <w:r>
        <w:rPr>
          <w:rFonts w:ascii="Times New Roman;serif" w:hAnsi="Times New Roman;serif"/>
          <w:b w:val="false"/>
          <w:sz w:val="24"/>
          <w:u w:val="single"/>
        </w:rPr>
        <w:t>Transactions with Affiliates</w:t>
      </w:r>
      <w:r>
        <w:rPr>
          <w:rFonts w:ascii="Times New Roman;serif" w:hAnsi="Times New Roman;serif"/>
          <w:b w:val="false"/>
          <w:sz w:val="24"/>
        </w:rPr>
        <w:t xml:space="preserve">. The Borrower will not, and will not permit any of its Subsidiaries to enter into any transactions with any of its Affiliates, even if otherwise permitted under this Agreement, except (a) transactions at prices and on terms and conditions not materially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Times New Roman;serif" w:hAnsi="Times New Roman;serif"/>
          <w:b w:val="false"/>
          <w:sz w:val="24"/>
          <w:u w:val="single"/>
        </w:rPr>
        <w:t>Section 6.05</w:t>
      </w:r>
      <w:r>
        <w:rPr>
          <w:rFonts w:ascii="Times New Roman;serif" w:hAnsi="Times New Roman;serif"/>
          <w:b w:val="false"/>
          <w:sz w:val="24"/>
        </w:rPr>
        <w:t xml:space="preserve">, (d) the Affiliate Agreements and the transactions provided in the Affiliate Agreements, (e) transactions described on </w:t>
      </w:r>
      <w:r>
        <w:rPr>
          <w:rFonts w:ascii="Times New Roman;serif" w:hAnsi="Times New Roman;serif"/>
          <w:b w:val="false"/>
          <w:sz w:val="24"/>
          <w:u w:val="single"/>
        </w:rPr>
        <w:t>Schedule 6.08</w:t>
      </w:r>
      <w:r>
        <w:rPr>
          <w:rFonts w:ascii="Times New Roman;serif" w:hAnsi="Times New Roman;serif"/>
          <w:b w:val="false"/>
          <w:sz w:val="24"/>
        </w:rPr>
        <w:t xml:space="preserve">,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terms and conditions, taken as a whole, not materially less favorable to the Obligors than could be obtained at the time on an arm’s-length basis from unrelated third parties.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6.09.</w:t>
      </w:r>
    </w:p>
    <w:p>
      <w:pPr>
        <w:pStyle w:val="TextBody"/>
        <w:bidi w:val="0"/>
        <w:spacing w:before="0" w:after="240"/>
        <w:jc w:val="both"/>
        <w:rPr/>
      </w:pPr>
      <w:r>
        <w:rPr>
          <w:rFonts w:ascii="Times New Roman;serif" w:hAnsi="Times New Roman;serif"/>
          <w:b w:val="false"/>
          <w:sz w:val="24"/>
          <w:u w:val="single"/>
        </w:rPr>
        <w:t>Lines of Business</w:t>
      </w:r>
      <w:r>
        <w:rPr>
          <w:rFonts w:ascii="Times New Roman;serif" w:hAnsi="Times New Roman;serif"/>
          <w:b w:val="false"/>
          <w:sz w:val="24"/>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6.10.</w:t>
      </w:r>
    </w:p>
    <w:p>
      <w:pPr>
        <w:pStyle w:val="TextBody"/>
        <w:bidi w:val="0"/>
        <w:spacing w:before="0" w:after="240"/>
        <w:jc w:val="both"/>
        <w:rPr/>
      </w:pPr>
      <w:r>
        <w:rPr>
          <w:rFonts w:ascii="Times New Roman;serif" w:hAnsi="Times New Roman;serif"/>
          <w:b w:val="false"/>
          <w:sz w:val="24"/>
          <w:u w:val="single"/>
        </w:rPr>
        <w:t>No Further Negative Pledge</w:t>
      </w:r>
      <w:r>
        <w:rPr>
          <w:rFonts w:ascii="Times New Roman;serif" w:hAnsi="Times New Roman;serif"/>
          <w:b w:val="false"/>
          <w:sz w:val="24"/>
        </w:rPr>
        <w:t xml:space="preserve">. The Borrower will not, and will not permit any of the Subsidiary Guarantors to, enter into any agreement, instrument, deed or lease which prohibits or limits in any material respect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serif" w:hAnsi="Times New Roman;serif"/>
          <w:b w:val="false"/>
          <w:sz w:val="24"/>
          <w:u w:val="single"/>
        </w:rPr>
        <w:t>Section 6.01(b),</w:t>
      </w:r>
      <w:r>
        <w:rPr/>
        <w:t xml:space="preserve"> </w:t>
      </w:r>
      <w:r>
        <w:rPr>
          <w:rFonts w:ascii="Times New Roman;serif" w:hAnsi="Times New Roman;serif"/>
          <w:b w:val="false"/>
          <w:sz w:val="24"/>
          <w:u w:val="single"/>
        </w:rPr>
        <w:t>(i)</w:t>
      </w:r>
      <w:r>
        <w:rPr>
          <w:rFonts w:ascii="Times New Roman;serif" w:hAnsi="Times New Roman;serif"/>
          <w:b w:val="false"/>
          <w:sz w:val="24"/>
        </w:rPr>
        <w:t xml:space="preserve">, </w:t>
      </w:r>
      <w:r>
        <w:rPr>
          <w:rFonts w:ascii="Times New Roman;serif" w:hAnsi="Times New Roman;serif"/>
          <w:b w:val="false"/>
          <w:sz w:val="24"/>
          <w:u w:val="single"/>
        </w:rPr>
        <w:t>(m)</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(n)</w:t>
      </w:r>
      <w:r>
        <w:rPr>
          <w:rFonts w:ascii="Times New Roman;serif" w:hAnsi="Times New Roman;serif"/>
          <w:b w:val="false"/>
          <w:sz w:val="24"/>
        </w:rPr>
        <w:t xml:space="preserve">; (b) covenants in documents creating Liens permitted by </w:t>
      </w:r>
      <w:r>
        <w:rPr>
          <w:rFonts w:ascii="Times New Roman;serif" w:hAnsi="Times New Roman;serif"/>
          <w:b w:val="false"/>
          <w:sz w:val="24"/>
          <w:u w:val="single"/>
        </w:rPr>
        <w:t>Section 6.02</w:t>
      </w:r>
      <w:r>
        <w:rPr/>
        <w:t xml:space="preserve"> </w:t>
      </w:r>
      <w:r>
        <w:rPr>
          <w:rFonts w:ascii="Times New Roman;serif" w:hAnsi="Times New Roman;serif"/>
          <w:b w:val="false"/>
          <w:sz w:val="24"/>
        </w:rPr>
        <w:t>(including covenants with respect to the Designated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6.11.</w:t>
      </w:r>
    </w:p>
    <w:p>
      <w:pPr>
        <w:pStyle w:val="TextBody"/>
        <w:bidi w:val="0"/>
        <w:spacing w:before="0" w:after="240"/>
        <w:jc w:val="both"/>
        <w:rPr/>
      </w:pPr>
      <w:r>
        <w:rPr>
          <w:rFonts w:ascii="Times New Roman;serif" w:hAnsi="Times New Roman;serif"/>
          <w:b w:val="false"/>
          <w:sz w:val="24"/>
          <w:u w:val="single"/>
        </w:rPr>
        <w:t>Modifications of Longer-Term Indebtedness Documents</w:t>
      </w:r>
      <w:r>
        <w:rPr>
          <w:rFonts w:ascii="Times New Roman;serif" w:hAnsi="Times New Roman;serif"/>
          <w:b w:val="false"/>
          <w:sz w:val="24"/>
        </w:rPr>
        <w:t>. The Borrower will not consent to any modification, supplement or waiver of:</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Indebtedness” and “Unsecured Longer-Term Indebtedness”, as applicable, set forth in </w:t>
      </w:r>
      <w:r>
        <w:rPr>
          <w:rFonts w:ascii="Times New Roman;serif" w:hAnsi="Times New Roman;serif"/>
          <w:b w:val="false"/>
          <w:sz w:val="24"/>
          <w:u w:val="single"/>
        </w:rPr>
        <w:t>Section 1.01</w:t>
      </w:r>
      <w:r>
        <w:rPr/>
        <w:t xml:space="preserve"> </w:t>
      </w:r>
      <w:r>
        <w:rPr>
          <w:rFonts w:ascii="Times New Roman;serif" w:hAnsi="Times New Roman;serif"/>
          <w:b w:val="false"/>
          <w:sz w:val="24"/>
        </w:rPr>
        <w:t>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6.12.</w:t>
      </w:r>
    </w:p>
    <w:p>
      <w:pPr>
        <w:pStyle w:val="TextBody"/>
        <w:bidi w:val="0"/>
        <w:spacing w:before="0" w:after="240"/>
        <w:jc w:val="both"/>
        <w:rPr/>
      </w:pPr>
      <w:r>
        <w:rPr>
          <w:rFonts w:ascii="Times New Roman;serif" w:hAnsi="Times New Roman;serif"/>
          <w:b w:val="false"/>
          <w:sz w:val="24"/>
          <w:u w:val="single"/>
        </w:rPr>
        <w:t>Payments of Longer-Term Indebtedness, the 2024 Notes and the 2026 Notes</w:t>
      </w:r>
      <w:r>
        <w:rPr>
          <w:rFonts w:ascii="Times New Roman;serif" w:hAnsi="Times New Roman;serif"/>
          <w:b w:val="false"/>
          <w:sz w:val="24"/>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the 2024 Notes or the 2026 Notes (other than the refinancing of Secured Longer-Term Indebtedness, Unsecured Longer-Term Indebtedness, Special Unsecured Indebtedness, the 2024 Notes or the 2026 Notes with Indebtedness permitted under </w:t>
      </w:r>
      <w:r>
        <w:rPr>
          <w:rFonts w:ascii="Times New Roman;serif" w:hAnsi="Times New Roman;serif"/>
          <w:b w:val="false"/>
          <w:sz w:val="24"/>
          <w:u w:val="single"/>
        </w:rPr>
        <w:t>Section 6.01</w:t>
      </w:r>
      <w:r>
        <w:rPr>
          <w:rFonts w:ascii="Times New Roman;serif" w:hAnsi="Times New Roman;serif"/>
          <w:b w:val="false"/>
          <w:sz w:val="24"/>
        </w:rPr>
        <w:t>), except for (a) 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w:t>
      </w:r>
      <w:r>
        <w:rPr/>
        <w:t xml:space="preserve"> </w:t>
      </w:r>
      <w:r>
        <w:rPr>
          <w:rFonts w:ascii="Times New Roman;serif" w:hAnsi="Times New Roman;serif"/>
          <w:b w:val="false"/>
          <w:sz w:val="24"/>
        </w:rPr>
        <w:t xml:space="preserve">on such convertible notes made by the Borrower in respect of such triggering and/or settlement thereof shall be permitted under this </w:t>
      </w:r>
      <w:r>
        <w:rPr>
          <w:rFonts w:ascii="Times New Roman;serif" w:hAnsi="Times New Roman;serif"/>
          <w:b w:val="false"/>
          <w:sz w:val="24"/>
          <w:u w:val="single"/>
        </w:rPr>
        <w:t>clause (a)</w:t>
      </w:r>
      <w:r>
        <w:rPr>
          <w:rFonts w:ascii="Times New Roman;serif" w:hAnsi="Times New Roman;serif"/>
          <w:b w:val="false"/>
          <w:sz w:val="24"/>
        </w:rPr>
        <w:t xml:space="preserve">); (b) so long as no Default shall exist or be continuing, any payment that, if treated as a Restricted Payment for purposes of </w:t>
      </w:r>
      <w:r>
        <w:rPr>
          <w:rFonts w:ascii="Times New Roman;serif" w:hAnsi="Times New Roman;serif"/>
          <w:b w:val="false"/>
          <w:sz w:val="24"/>
          <w:u w:val="single"/>
        </w:rPr>
        <w:t>Section 6.05(d)</w:t>
      </w:r>
      <w:r>
        <w:rPr>
          <w:rFonts w:ascii="Times New Roman;serif" w:hAnsi="Times New Roman;serif"/>
          <w:b w:val="false"/>
          <w:sz w:val="24"/>
        </w:rPr>
        <w:t xml:space="preserve">, would be permitted to be made pursuant to the provisions set forth in </w:t>
      </w:r>
      <w:r>
        <w:rPr>
          <w:rFonts w:ascii="Times New Roman;serif" w:hAnsi="Times New Roman;serif"/>
          <w:b w:val="false"/>
          <w:sz w:val="24"/>
          <w:u w:val="single"/>
        </w:rPr>
        <w:t>Section 6.05(d)</w:t>
      </w:r>
      <w:r>
        <w:rPr>
          <w:rFonts w:ascii="Times New Roman;serif" w:hAnsi="Times New Roman;serif"/>
          <w:b w:val="false"/>
          <w:sz w:val="24"/>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Times New Roman;serif" w:hAnsi="Times New Roman;serif"/>
          <w:b w:val="false"/>
          <w:sz w:val="24"/>
          <w:u w:val="single"/>
        </w:rPr>
        <w:t>Section 6.07</w:t>
      </w:r>
      <w:r>
        <w:rPr/>
        <w:t xml:space="preserve"> </w:t>
      </w:r>
      <w:r>
        <w:rPr>
          <w:rFonts w:ascii="Times New Roman;serif" w:hAnsi="Times New Roman;serif"/>
          <w:b w:val="false"/>
          <w:sz w:val="24"/>
        </w:rPr>
        <w:t>and (ii) no Default shall exist or be continuing; (d) mandatory payments, required prepayments or mandatory redemptions of any other convertible notes constituting Unsecured Longer-Term Indebtedness or Special Unsecured Indebtedness in Cash (including any cash payment elected to be paid in connection with the settlement by the Borrower of any conversion at the option of any holder of convertible notes pursuant to the conversion features thereunder), the 2023 Notes, the 2024 Notes and the 2026 Notes, so long as both before and after giving effect to such payment (i) no Event of Default shall exist or be continuing and (ii) the Covered Debt Amount does not exceed the Borrowing Base; and (e) 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6.13.</w:t>
      </w:r>
    </w:p>
    <w:p>
      <w:pPr>
        <w:pStyle w:val="TextBody"/>
        <w:bidi w:val="0"/>
        <w:spacing w:before="0" w:after="240"/>
        <w:jc w:val="both"/>
        <w:rPr/>
      </w:pPr>
      <w:r>
        <w:rPr>
          <w:rFonts w:ascii="Times New Roman;serif" w:hAnsi="Times New Roman;serif"/>
          <w:b w:val="false"/>
          <w:sz w:val="24"/>
          <w:u w:val="single"/>
        </w:rPr>
        <w:t>Accounting Changes</w:t>
      </w:r>
      <w:r>
        <w:rPr>
          <w:rFonts w:ascii="Times New Roman;serif" w:hAnsi="Times New Roman;serif"/>
          <w:b w:val="false"/>
          <w:sz w:val="24"/>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6.14.</w:t>
      </w:r>
    </w:p>
    <w:p>
      <w:pPr>
        <w:pStyle w:val="TextBody"/>
        <w:bidi w:val="0"/>
        <w:spacing w:before="0" w:after="240"/>
        <w:jc w:val="both"/>
        <w:rPr/>
      </w:pPr>
      <w:r>
        <w:rPr>
          <w:rFonts w:ascii="Times New Roman;serif" w:hAnsi="Times New Roman;serif"/>
          <w:b w:val="false"/>
          <w:sz w:val="24"/>
          <w:u w:val="single"/>
        </w:rPr>
        <w:t>SBIC Guarantee</w:t>
      </w:r>
      <w:r>
        <w:rPr>
          <w:rFonts w:ascii="Times New Roman;serif" w:hAnsi="Times New Roman;serif"/>
          <w:b w:val="false"/>
          <w:sz w:val="24"/>
        </w:rPr>
        <w:t>. The Borrower will not, nor will it permit any of its Subsidiaries to, cause or permit the occurrence of any event or condition that would result in any recourse to any Obligor under any Permitted SBIC Guarantee.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ARTICLE VII</w:t>
      </w:r>
    </w:p>
    <w:p>
      <w:pPr>
        <w:pStyle w:val="TextBody"/>
        <w:bidi w:val="0"/>
        <w:spacing w:before="0" w:after="240"/>
        <w:jc w:val="center"/>
        <w:rPr/>
      </w:pPr>
      <w:r>
        <w:rPr>
          <w:rFonts w:ascii="Times New Roman;serif" w:hAnsi="Times New Roman;serif"/>
          <w:b w:val="false"/>
          <w:sz w:val="24"/>
        </w:rPr>
        <w:br/>
        <w:br/>
      </w:r>
      <w:r>
        <w:rPr>
          <w:rFonts w:ascii="Times New Roman;serif" w:hAnsi="Times New Roman;serif"/>
          <w:b w:val="false"/>
          <w:caps/>
          <w:sz w:val="24"/>
          <w:u w:val="single"/>
        </w:rPr>
        <w:t>EVENTS OF DEFAULT</w:t>
      </w:r>
    </w:p>
    <w:p>
      <w:pPr>
        <w:pStyle w:val="TextBody"/>
        <w:bidi w:val="0"/>
        <w:spacing w:before="0" w:after="240"/>
        <w:jc w:val="both"/>
        <w:rPr>
          <w:rFonts w:ascii="Times New Roman" w:hAnsi="Times New Roman"/>
          <w:sz w:val="20"/>
        </w:rPr>
      </w:pPr>
      <w:r>
        <w:rPr>
          <w:rFonts w:ascii="Times New Roman;serif" w:hAnsi="Times New Roman;serif"/>
          <w:b w:val="false"/>
          <w:sz w:val="24"/>
        </w:rPr>
        <w:t>If any of the following events (“</w:t>
      </w:r>
      <w:r>
        <w:rPr>
          <w:rFonts w:ascii="Times New Roman;serif" w:hAnsi="Times New Roman;serif"/>
          <w:b w:val="false"/>
          <w:sz w:val="24"/>
          <w:u w:val="single"/>
        </w:rPr>
        <w:t>Events of Default</w:t>
      </w:r>
      <w:r>
        <w:rPr>
          <w:rFonts w:ascii="Times New Roman" w:hAnsi="Times New Roman"/>
          <w:sz w:val="20"/>
        </w:rPr>
        <w:t>”</w:t>
      </w:r>
      <w:r>
        <w:rPr>
          <w:rFonts w:ascii="Times New Roman;serif" w:hAnsi="Times New Roman;serif"/>
          <w:b w:val="false"/>
          <w:sz w:val="24"/>
        </w:rPr>
        <w:t>) shall occur and be continuing:</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Times New Roman;serif" w:hAnsi="Times New Roman;serif"/>
          <w:b w:val="false"/>
          <w:sz w:val="24"/>
          <w:u w:val="single"/>
        </w:rPr>
        <w:t>Section 2.09(a)</w:t>
      </w:r>
      <w:r>
        <w:rPr/>
        <w:t xml:space="preserve"> </w:t>
      </w:r>
      <w:r>
        <w:rPr>
          <w:rFonts w:ascii="Times New Roman;serif" w:hAnsi="Times New Roman;serif"/>
          <w:b w:val="false"/>
          <w:sz w:val="24"/>
        </w:rPr>
        <w:t xml:space="preserve">on the Extended Commitment Termination Date or as required by </w:t>
      </w:r>
      <w:r>
        <w:rPr>
          <w:rFonts w:ascii="Times New Roman;serif" w:hAnsi="Times New Roman;serif"/>
          <w:b w:val="false"/>
          <w:sz w:val="24"/>
          <w:u w:val="single"/>
        </w:rPr>
        <w:t>Section 2.20(b)</w:t>
      </w:r>
      <w:r>
        <w:rPr/>
        <w:t xml:space="preserve"> </w:t>
      </w:r>
      <w:r>
        <w:rPr>
          <w:rFonts w:ascii="Times New Roman;serif" w:hAnsi="Times New Roman;serif"/>
          <w:b w:val="false"/>
          <w:sz w:val="24"/>
        </w:rPr>
        <w:t>on the date so required;</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the Borrower shall fail to pay any interest on any Loan or any fee or any other amount (other than an amount referred to in </w:t>
      </w:r>
      <w:r>
        <w:rPr>
          <w:rFonts w:ascii="Times New Roman;serif" w:hAnsi="Times New Roman;serif"/>
          <w:b w:val="false"/>
          <w:sz w:val="24"/>
          <w:u w:val="single"/>
        </w:rPr>
        <w:t>clause (a)</w:t>
      </w:r>
      <w:r>
        <w:rPr/>
        <w:t xml:space="preserve"> </w:t>
      </w:r>
      <w:r>
        <w:rPr>
          <w:rFonts w:ascii="Times New Roman;serif" w:hAnsi="Times New Roman;serif"/>
          <w:b w:val="false"/>
          <w:sz w:val="24"/>
        </w:rPr>
        <w:t>of this Article) payable under this Agreement or under any other Loan Document, when and as the same shall become due and payable, and such failure shall continue unremedied for a period of five (5) or more Business Days;</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 and such failure shall continue unremedied for a period of ten (10) or more Business Days after the earlier of the Borrower obtaining actual knowledge thereof or receiving notice thereof from the Administrative Agent (given at the request of any Lender);</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rPr>
        <w:t xml:space="preserve">the Borrower shall fail to observe or perform any covenant, condition or agreement contained in (i) </w:t>
      </w:r>
      <w:r>
        <w:rPr>
          <w:rFonts w:ascii="Times New Roman;serif" w:hAnsi="Times New Roman;serif"/>
          <w:b w:val="false"/>
          <w:sz w:val="24"/>
          <w:u w:val="single"/>
        </w:rPr>
        <w:t>Section 5.03</w:t>
      </w:r>
      <w:r>
        <w:rPr/>
        <w:t xml:space="preserve"> </w:t>
      </w:r>
      <w:r>
        <w:rPr>
          <w:rFonts w:ascii="Times New Roman;serif" w:hAnsi="Times New Roman;serif"/>
          <w:b w:val="false"/>
          <w:sz w:val="24"/>
        </w:rPr>
        <w:t xml:space="preserve">(with respect to the Borrower’s existence) or </w:t>
      </w:r>
      <w:r>
        <w:rPr>
          <w:rFonts w:ascii="Times New Roman;serif" w:hAnsi="Times New Roman;serif"/>
          <w:b w:val="false"/>
          <w:sz w:val="24"/>
          <w:u w:val="single"/>
        </w:rPr>
        <w:t>Sections 5.08(a)</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(b)</w:t>
      </w:r>
      <w:r>
        <w:rPr/>
        <w:t xml:space="preserve"> </w:t>
      </w:r>
      <w:r>
        <w:rPr>
          <w:rFonts w:ascii="Times New Roman;serif" w:hAnsi="Times New Roman;serif"/>
          <w:b w:val="false"/>
          <w:sz w:val="24"/>
        </w:rPr>
        <w:t xml:space="preserve">or in </w:t>
      </w:r>
      <w:r>
        <w:rPr>
          <w:rFonts w:ascii="Times New Roman;serif" w:hAnsi="Times New Roman;serif"/>
          <w:b w:val="false"/>
          <w:sz w:val="24"/>
          <w:u w:val="single"/>
        </w:rPr>
        <w:t xml:space="preserve">Article VI </w:t>
      </w:r>
      <w:r>
        <w:rPr>
          <w:rFonts w:ascii="Times New Roman;serif" w:hAnsi="Times New Roman;serif"/>
          <w:b w:val="false"/>
          <w:sz w:val="24"/>
        </w:rPr>
        <w:t xml:space="preserve">or any Obligor shall default in the performance of any of its obligations contained in Sections 3 and 7 of the Guarantee and Security Agreement or (ii) </w:t>
      </w:r>
      <w:r>
        <w:rPr>
          <w:rFonts w:ascii="Times New Roman;serif" w:hAnsi="Times New Roman;serif"/>
          <w:b w:val="false"/>
          <w:sz w:val="24"/>
          <w:u w:val="single"/>
        </w:rPr>
        <w:t>Sections 5.01 (d)</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(e)</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Section 5.02</w:t>
      </w:r>
      <w:r>
        <w:rPr/>
        <w:t xml:space="preserve"> </w:t>
      </w:r>
      <w:r>
        <w:rPr>
          <w:rFonts w:ascii="Times New Roman;serif" w:hAnsi="Times New Roman;serif"/>
          <w:b w:val="false"/>
          <w:sz w:val="24"/>
        </w:rPr>
        <w:t>and such failure shall continue unremedied for a period of five (5) or more days after notice thereof by the Administrative Agent (given at the request of any Lender) to the Borrower;</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rPr>
        <w:t xml:space="preserve">a Borrowing Base Deficiency shall occur and continue unremedied for a period of five or more Business Days after delivery of a Borrowing Base Certificate demonstrating such Borrowing Base Deficiency pursuant to </w:t>
      </w:r>
      <w:r>
        <w:rPr>
          <w:rFonts w:ascii="Times New Roman;serif" w:hAnsi="Times New Roman;serif"/>
          <w:b w:val="false"/>
          <w:sz w:val="24"/>
          <w:u w:val="single"/>
        </w:rPr>
        <w:t>Section 5.01(e)</w:t>
      </w:r>
      <w:r>
        <w:rPr>
          <w:rFonts w:ascii="Times New Roman;serif" w:hAnsi="Times New Roman;serif"/>
          <w:b w:val="false"/>
          <w:sz w:val="24"/>
        </w:rPr>
        <w:t xml:space="preserve">; </w:t>
      </w:r>
      <w:r>
        <w:rPr>
          <w:rFonts w:ascii="Times New Roman;serif" w:hAnsi="Times New Roman;serif"/>
          <w:b w:val="false"/>
          <w:sz w:val="24"/>
          <w:u w:val="single"/>
        </w:rPr>
        <w:t>provided</w:t>
      </w:r>
      <w:r>
        <w:rPr/>
        <w:t xml:space="preserve"> </w:t>
      </w:r>
      <w:r>
        <w:rPr>
          <w:rFonts w:ascii="Times New Roman;serif" w:hAnsi="Times New Roman;serif"/>
          <w:b w:val="false"/>
          <w:sz w:val="24"/>
        </w:rPr>
        <w:t>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(5) Business Days permitted for delivery of such plan), so long as such Borrowing Base Deficiency is cured within such 30-Business Day period;</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rPr>
        <w:t xml:space="preserve">the Borrower or any Obligor, as applicable, shall fail to observe or perform any covenant, condition or agreement contained in this Agreement (other than those specified in </w:t>
      </w:r>
      <w:r>
        <w:rPr>
          <w:rFonts w:ascii="Times New Roman;serif" w:hAnsi="Times New Roman;serif"/>
          <w:b w:val="false"/>
          <w:sz w:val="24"/>
          <w:u w:val="single"/>
        </w:rPr>
        <w:t>clause (a)</w:t>
      </w:r>
      <w:r>
        <w:rPr>
          <w:rFonts w:ascii="Times New Roman;serif" w:hAnsi="Times New Roman;serif"/>
          <w:b w:val="false"/>
          <w:sz w:val="24"/>
        </w:rPr>
        <w:t xml:space="preserve">, </w:t>
      </w:r>
      <w:r>
        <w:rPr>
          <w:rFonts w:ascii="Times New Roman;serif" w:hAnsi="Times New Roman;serif"/>
          <w:b w:val="false"/>
          <w:sz w:val="24"/>
          <w:u w:val="single"/>
        </w:rPr>
        <w:t>(b)</w:t>
      </w:r>
      <w:r>
        <w:rPr>
          <w:rFonts w:ascii="Times New Roman;serif" w:hAnsi="Times New Roman;serif"/>
          <w:b w:val="false"/>
          <w:sz w:val="24"/>
        </w:rPr>
        <w:t xml:space="preserve">, </w:t>
      </w:r>
      <w:r>
        <w:rPr>
          <w:rFonts w:ascii="Times New Roman;serif" w:hAnsi="Times New Roman;serif"/>
          <w:b w:val="false"/>
          <w:sz w:val="24"/>
          <w:u w:val="single"/>
        </w:rPr>
        <w:t>(d)</w:t>
      </w:r>
      <w:r>
        <w:rPr>
          <w:rFonts w:ascii="Times New Roman;serif" w:hAnsi="Times New Roman;serif"/>
          <w:b w:val="false"/>
          <w:sz w:val="24"/>
        </w:rPr>
        <w:t xml:space="preserve">, </w:t>
      </w:r>
      <w:r>
        <w:rPr>
          <w:rFonts w:ascii="Times New Roman;serif" w:hAnsi="Times New Roman;serif"/>
          <w:b w:val="false"/>
          <w:sz w:val="24"/>
          <w:u w:val="single"/>
        </w:rPr>
        <w:t>(e)</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(s)</w:t>
      </w:r>
      <w:r>
        <w:rPr/>
        <w:t xml:space="preserve"> </w:t>
      </w:r>
      <w:r>
        <w:rPr>
          <w:rFonts w:ascii="Times New Roman;serif" w:hAnsi="Times New Roman;serif"/>
          <w:b w:val="false"/>
          <w:sz w:val="24"/>
        </w:rPr>
        <w:t>of this Article) or any other Loan Document and such failure shall continue unremedied for a period of 30 or more days after notice thereof from the Administrative Agent (given at the request of any Lender) to the Borrower;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pPr>
      <w:r>
        <w:rPr>
          <w:rFonts w:ascii="Times New Roman;serif" w:hAnsi="Times New Roman;serif"/>
          <w:b w:val="false"/>
          <w:sz w:val="24"/>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Times New Roman;serif" w:hAnsi="Times New Roman;serif"/>
          <w:b w:val="false"/>
          <w:sz w:val="24"/>
          <w:u w:val="single"/>
        </w:rPr>
        <w:t>Section 6.12</w:t>
      </w:r>
      <w:r>
        <w:rPr/>
        <w:t xml:space="preserve"> </w:t>
      </w:r>
      <w:r>
        <w:rPr>
          <w:rFonts w:ascii="Times New Roman;serif" w:hAnsi="Times New Roman;serif"/>
          <w:b w:val="false"/>
          <w:sz w:val="24"/>
        </w:rPr>
        <w:t xml:space="preserve">and that is not a result of a breach, default or other violation or failure in respect of such Material Indebtedness by the Borrower or any of its Subsidiaries after giving effect to any applicable grace period);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this </w:t>
      </w:r>
      <w:r>
        <w:rPr>
          <w:rFonts w:ascii="Times New Roman;serif" w:hAnsi="Times New Roman;serif"/>
          <w:b w:val="false"/>
          <w:sz w:val="24"/>
          <w:u w:val="single"/>
        </w:rPr>
        <w:t>clause (h)</w:t>
      </w:r>
      <w:r>
        <w:rPr/>
        <w:t xml:space="preserve"> </w:t>
      </w:r>
      <w:r>
        <w:rPr>
          <w:rFonts w:ascii="Times New Roman;serif" w:hAnsi="Times New Roman;serif"/>
          <w:b w:val="false"/>
          <w:sz w:val="24"/>
        </w:rPr>
        <w:t>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pStyle w:val="TextBody"/>
        <w:bidi w:val="0"/>
        <w:spacing w:before="0" w:after="240"/>
        <w:jc w:val="both"/>
        <w:rPr>
          <w:rFonts w:ascii="Times New Roman" w:hAnsi="Times New Roman"/>
          <w:b w:val="false"/>
          <w:sz w:val="24"/>
        </w:rPr>
      </w:pPr>
      <w:r>
        <w:rPr>
          <w:rFonts w:ascii="Times New Roman" w:hAnsi="Times New Roman"/>
          <w:b w:val="false"/>
          <w:sz w:val="24"/>
        </w:rPr>
        <w:t>(j)</w:t>
      </w:r>
    </w:p>
    <w:p>
      <w:pPr>
        <w:pStyle w:val="TextBody"/>
        <w:bidi w:val="0"/>
        <w:spacing w:before="0" w:after="240"/>
        <w:jc w:val="both"/>
        <w:rPr/>
      </w:pPr>
      <w:r>
        <w:rPr>
          <w:rFonts w:ascii="Times New Roman;serif" w:hAnsi="Times New Roman;serif"/>
          <w:b w:val="false"/>
          <w:sz w:val="24"/>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serif" w:hAnsi="Times New Roman;serif"/>
          <w:b w:val="false"/>
          <w:sz w:val="24"/>
          <w:u w:val="single"/>
        </w:rPr>
        <w:t>clause (i)</w:t>
      </w:r>
      <w:r>
        <w:rPr/>
        <w:t xml:space="preserve"> </w:t>
      </w:r>
      <w:r>
        <w:rPr>
          <w:rFonts w:ascii="Times New Roman;serif" w:hAnsi="Times New Roman;serif"/>
          <w:b w:val="false"/>
          <w:sz w:val="24"/>
        </w:rPr>
        <w:t>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before="0" w:after="240"/>
        <w:jc w:val="both"/>
        <w:rPr>
          <w:rFonts w:ascii="Times New Roman" w:hAnsi="Times New Roman"/>
          <w:b w:val="false"/>
          <w:sz w:val="24"/>
        </w:rPr>
      </w:pPr>
      <w:r>
        <w:rPr>
          <w:rFonts w:ascii="Times New Roman" w:hAnsi="Times New Roman"/>
          <w:b w:val="false"/>
          <w:sz w:val="24"/>
        </w:rPr>
        <w:t>(k)</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Borrower or any of its Subsidiaries (other than Immaterial Subsidiaries) shall become unable, admit in writing its inability or fail generally to pay its debts as they become due;</w:t>
      </w:r>
    </w:p>
    <w:p>
      <w:pPr>
        <w:pStyle w:val="TextBody"/>
        <w:bidi w:val="0"/>
        <w:spacing w:before="0" w:after="240"/>
        <w:jc w:val="both"/>
        <w:rPr>
          <w:rFonts w:ascii="Times New Roman" w:hAnsi="Times New Roman"/>
          <w:b w:val="false"/>
          <w:sz w:val="24"/>
        </w:rPr>
      </w:pPr>
      <w:r>
        <w:rPr>
          <w:rFonts w:ascii="Times New Roman" w:hAnsi="Times New Roman"/>
          <w:b w:val="false"/>
          <w:sz w:val="24"/>
        </w:rPr>
        <w:t>(l)</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one or more judgments for the payment of money in an aggregate amount in excess of $50,000,000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(m)</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 ERISA Event shall have occurred that, in the opinion of the Required Lenders, when taken together with all other ERISA Events that have occurred, would reasonably be expected to result in a Material Adverse Effect;</w:t>
      </w:r>
    </w:p>
    <w:p>
      <w:pPr>
        <w:pStyle w:val="TextBody"/>
        <w:bidi w:val="0"/>
        <w:spacing w:before="0" w:after="240"/>
        <w:jc w:val="both"/>
        <w:rPr>
          <w:rFonts w:ascii="Times New Roman" w:hAnsi="Times New Roman"/>
          <w:b w:val="false"/>
          <w:sz w:val="24"/>
        </w:rPr>
      </w:pPr>
      <w:r>
        <w:rPr>
          <w:rFonts w:ascii="Times New Roman" w:hAnsi="Times New Roman"/>
          <w:b w:val="false"/>
          <w:sz w:val="24"/>
        </w:rPr>
        <w:t>(n)</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Change in Control shall occur;</w:t>
      </w:r>
    </w:p>
    <w:p>
      <w:pPr>
        <w:pStyle w:val="TextBody"/>
        <w:bidi w:val="0"/>
        <w:spacing w:before="0" w:after="240"/>
        <w:jc w:val="both"/>
        <w:rPr>
          <w:rFonts w:ascii="Times New Roman" w:hAnsi="Times New Roman"/>
          <w:b w:val="false"/>
          <w:sz w:val="24"/>
        </w:rPr>
      </w:pPr>
      <w:r>
        <w:rPr>
          <w:rFonts w:ascii="Times New Roman" w:hAnsi="Times New Roman"/>
          <w:b w:val="false"/>
          <w:sz w:val="24"/>
        </w:rPr>
        <w:t>(o)</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Borrower shall cease to be managed by the External Manager or an Affiliate thereof;</w:t>
      </w:r>
    </w:p>
    <w:p>
      <w:pPr>
        <w:pStyle w:val="TextBody"/>
        <w:bidi w:val="0"/>
        <w:spacing w:before="0" w:after="240"/>
        <w:jc w:val="both"/>
        <w:rPr>
          <w:rFonts w:ascii="Times New Roman" w:hAnsi="Times New Roman"/>
          <w:b w:val="false"/>
          <w:sz w:val="24"/>
        </w:rPr>
      </w:pPr>
      <w:r>
        <w:rPr>
          <w:rFonts w:ascii="Times New Roman" w:hAnsi="Times New Roman"/>
          <w:b w:val="false"/>
          <w:sz w:val="24"/>
        </w:rPr>
        <w:t>(p)</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prior to the Extended Final Maturity Date, both of the principals of the External Manager (who initially will be Alan Waxman and Joshua Easterly) fail to remain actively involved in the investment activities of the Borrower and the other investment vehicles managed by TSSP Management Holdings, L.P. and its Affiliates;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pStyle w:val="TextBody"/>
        <w:bidi w:val="0"/>
        <w:spacing w:before="0" w:after="240"/>
        <w:jc w:val="both"/>
        <w:rPr>
          <w:rFonts w:ascii="Times New Roman" w:hAnsi="Times New Roman"/>
          <w:b w:val="false"/>
          <w:sz w:val="24"/>
        </w:rPr>
      </w:pPr>
      <w:r>
        <w:rPr>
          <w:rFonts w:ascii="Times New Roman" w:hAnsi="Times New Roman"/>
          <w:b w:val="false"/>
          <w:sz w:val="24"/>
        </w:rPr>
        <w:t>(q)</w:t>
      </w:r>
    </w:p>
    <w:p>
      <w:pPr>
        <w:pStyle w:val="TextBody"/>
        <w:bidi w:val="0"/>
        <w:spacing w:before="0" w:after="240"/>
        <w:jc w:val="both"/>
        <w:rPr/>
      </w:pPr>
      <w:r>
        <w:rPr>
          <w:rFonts w:ascii="Times New Roman;serif" w:hAnsi="Times New Roman;serif"/>
          <w:b w:val="false"/>
          <w:sz w:val="24"/>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Collateral Agent, free and clear of all other Liens (other than Liens permitted under </w:t>
      </w:r>
      <w:r>
        <w:rPr>
          <w:rFonts w:ascii="Times New Roman;serif" w:hAnsi="Times New Roman;serif"/>
          <w:b w:val="false"/>
          <w:sz w:val="24"/>
          <w:u w:val="single"/>
        </w:rPr>
        <w:t>Section 6.02</w:t>
      </w:r>
      <w:r>
        <w:rPr/>
        <w:t xml:space="preserve"> </w:t>
      </w:r>
      <w:r>
        <w:rPr>
          <w:rFonts w:ascii="Times New Roman;serif" w:hAnsi="Times New Roman;serif"/>
          <w:b w:val="false"/>
          <w:sz w:val="24"/>
        </w:rPr>
        <w:t xml:space="preserve">or under the respective Security Documents) except to the extent that any such loss of perfection results from the failure of the Collateral Agent to maintain possession of the certificates representing the securities pledged under the Loan Documents; </w:t>
      </w:r>
    </w:p>
    <w:p>
      <w:pPr>
        <w:pStyle w:val="TextBody"/>
        <w:bidi w:val="0"/>
        <w:spacing w:before="0" w:after="240"/>
        <w:jc w:val="both"/>
        <w:rPr>
          <w:rFonts w:ascii="Times New Roman" w:hAnsi="Times New Roman"/>
          <w:b w:val="false"/>
          <w:sz w:val="24"/>
        </w:rPr>
      </w:pPr>
      <w:r>
        <w:rPr>
          <w:rFonts w:ascii="Times New Roman" w:hAnsi="Times New Roman"/>
          <w:b w:val="false"/>
          <w:sz w:val="24"/>
        </w:rPr>
        <w:t>(r)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except for expiration in accordance with its terms, any of the Loan Documents shall for whatever reason be terminated or cease to be in full force and effect in any material respect, or the enforceability thereof shall be contested by the Borrower or any other Obligor; </w:t>
      </w:r>
    </w:p>
    <w:p>
      <w:pPr>
        <w:pStyle w:val="TextBody"/>
        <w:bidi w:val="0"/>
        <w:spacing w:before="0" w:after="240"/>
        <w:jc w:val="both"/>
        <w:rPr>
          <w:rFonts w:ascii="Times New Roman" w:hAnsi="Times New Roman"/>
          <w:b w:val="false"/>
          <w:sz w:val="24"/>
        </w:rPr>
      </w:pPr>
      <w:r>
        <w:rPr>
          <w:rFonts w:ascii="Times New Roman" w:hAnsi="Times New Roman"/>
          <w:b w:val="false"/>
          <w:sz w:val="24"/>
        </w:rPr>
        <w:t>(s)</w:t>
      </w:r>
    </w:p>
    <w:p>
      <w:pPr>
        <w:pStyle w:val="TextBody"/>
        <w:bidi w:val="0"/>
        <w:spacing w:before="0" w:after="240"/>
        <w:jc w:val="both"/>
        <w:rPr/>
      </w:pPr>
      <w:r>
        <w:rPr>
          <w:rFonts w:ascii="Times New Roman;serif" w:hAnsi="Times New Roman;serif"/>
          <w:b w:val="false"/>
          <w:sz w:val="24"/>
        </w:rPr>
        <w:t xml:space="preserve">the Obligors shall at any time, without the consent of the Required Lenders fail to comply with the covenant contained in </w:t>
      </w:r>
      <w:r>
        <w:rPr>
          <w:rFonts w:ascii="Times New Roman;serif" w:hAnsi="Times New Roman;serif"/>
          <w:b w:val="false"/>
          <w:sz w:val="24"/>
          <w:u w:val="single"/>
        </w:rPr>
        <w:t>Section 5.11</w:t>
      </w:r>
      <w:r>
        <w:rPr>
          <w:rFonts w:ascii="Times New Roman;serif" w:hAnsi="Times New Roman;serif"/>
          <w:b w:val="false"/>
          <w:sz w:val="24"/>
        </w:rPr>
        <w:t>, and such failure shall continue unremedied for a period of 30 or more days after the earlier of notice thereof by the Administrative Agent (given at the request of any Lender) to the Borrower or knowledge thereof by a Financial Officer; or</w:t>
      </w:r>
    </w:p>
    <w:p>
      <w:pPr>
        <w:pStyle w:val="TextBody"/>
        <w:bidi w:val="0"/>
        <w:spacing w:before="0" w:after="240"/>
        <w:jc w:val="both"/>
        <w:rPr>
          <w:rFonts w:ascii="Times New Roman" w:hAnsi="Times New Roman"/>
          <w:b w:val="false"/>
          <w:sz w:val="24"/>
        </w:rPr>
      </w:pPr>
      <w:r>
        <w:rPr>
          <w:rFonts w:ascii="Times New Roman" w:hAnsi="Times New Roman"/>
          <w:b w:val="false"/>
          <w:sz w:val="24"/>
        </w:rPr>
        <w:t>(t)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Borrower or any of its Subsidiaries shall cause or permit the occurrence of any condition or event that would result in any recourse to any Obligor under any Permitted SBIC Guarantee;</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then, and in every such event (other than an event with respect to the Borrower described in </w:t>
      </w:r>
      <w:r>
        <w:rPr>
          <w:rFonts w:ascii="Times New Roman;serif" w:hAnsi="Times New Roman;serif"/>
          <w:b w:val="false"/>
          <w:sz w:val="24"/>
          <w:u w:val="single"/>
        </w:rPr>
        <w:t>clause (i)</w:t>
      </w:r>
      <w:r>
        <w:rPr>
          <w:rFonts w:ascii="Times New Roman" w:hAnsi="Times New Roman"/>
          <w:sz w:val="20"/>
        </w:rPr>
        <w:t xml:space="preserve"> </w:t>
      </w:r>
      <w:r>
        <w:rPr>
          <w:rFonts w:ascii="Times New Roman;serif" w:hAnsi="Times New Roman;serif"/>
          <w:b w:val="false"/>
          <w:sz w:val="24"/>
        </w:rPr>
        <w:t xml:space="preserve">or </w:t>
      </w:r>
      <w:r>
        <w:rPr>
          <w:rFonts w:ascii="Times New Roman;serif" w:hAnsi="Times New Roman;serif"/>
          <w:b w:val="false"/>
          <w:sz w:val="24"/>
          <w:u w:val="single"/>
        </w:rPr>
        <w:t>(j)</w:t>
      </w:r>
      <w:r>
        <w:rPr>
          <w:rFonts w:ascii="Times New Roman" w:hAnsi="Times New Roman"/>
          <w:sz w:val="20"/>
        </w:rPr>
        <w:t xml:space="preserve"> </w:t>
      </w:r>
      <w:r>
        <w:rPr>
          <w:rFonts w:ascii="Times New Roman;serif" w:hAnsi="Times New Roman;serif"/>
          <w:b w:val="false"/>
          <w:sz w:val="24"/>
        </w:rPr>
        <w:t>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demand, protest or other notice of any kind, all of which are hereby waived by the Borrower; and in case of any event with respect to the Borrower described in </w:t>
      </w:r>
      <w:r>
        <w:rPr>
          <w:rFonts w:ascii="Times New Roman;serif" w:hAnsi="Times New Roman;serif"/>
          <w:b w:val="false"/>
          <w:sz w:val="24"/>
          <w:u w:val="single"/>
        </w:rPr>
        <w:t>clause (i)</w:t>
      </w:r>
      <w:r>
        <w:rPr>
          <w:rFonts w:ascii="Times New Roman" w:hAnsi="Times New Roman"/>
          <w:sz w:val="20"/>
        </w:rPr>
        <w:t xml:space="preserve"> </w:t>
      </w:r>
      <w:r>
        <w:rPr>
          <w:rFonts w:ascii="Times New Roman;serif" w:hAnsi="Times New Roman;serif"/>
          <w:b w:val="false"/>
          <w:sz w:val="24"/>
        </w:rPr>
        <w:t xml:space="preserve">or </w:t>
      </w:r>
      <w:r>
        <w:rPr>
          <w:rFonts w:ascii="Times New Roman;serif" w:hAnsi="Times New Roman;serif"/>
          <w:b w:val="false"/>
          <w:sz w:val="24"/>
          <w:u w:val="single"/>
        </w:rPr>
        <w:t>(j)</w:t>
      </w:r>
      <w:r>
        <w:rPr>
          <w:rFonts w:ascii="Times New Roman" w:hAnsi="Times New Roman"/>
          <w:sz w:val="20"/>
        </w:rPr>
        <w:t xml:space="preserve"> </w:t>
      </w:r>
      <w:r>
        <w:rPr>
          <w:rFonts w:ascii="Times New Roman;serif" w:hAnsi="Times New Roman;serif"/>
          <w:b w:val="false"/>
          <w:sz w:val="24"/>
        </w:rPr>
        <w:t>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serif" w:hAnsi="Times New Roman;serif"/>
          <w:b w:val="false"/>
          <w:sz w:val="24"/>
          <w:u w:val="single"/>
        </w:rPr>
        <w:t>plus</w:t>
      </w:r>
      <w:r>
        <w:rPr>
          <w:rFonts w:ascii="Times New Roman" w:hAnsi="Times New Roman"/>
          <w:sz w:val="20"/>
        </w:rPr>
        <w:t xml:space="preserve"> </w:t>
      </w:r>
      <w:r>
        <w:rPr>
          <w:rFonts w:ascii="Times New Roman;serif" w:hAnsi="Times New Roman;serif"/>
          <w:b w:val="false"/>
          <w:sz w:val="24"/>
        </w:rPr>
        <w:t xml:space="preserve">any accrued and unpaid interest thereon;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Times New Roman;serif" w:hAnsi="Times New Roman;serif"/>
          <w:b w:val="false"/>
          <w:sz w:val="24"/>
          <w:u w:val="single"/>
        </w:rPr>
        <w:t>clause (i)</w:t>
      </w:r>
      <w:r>
        <w:rPr>
          <w:rFonts w:ascii="Times New Roman" w:hAnsi="Times New Roman"/>
          <w:sz w:val="20"/>
        </w:rPr>
        <w:t xml:space="preserve"> </w:t>
      </w:r>
      <w:r>
        <w:rPr>
          <w:rFonts w:ascii="Times New Roman;serif" w:hAnsi="Times New Roman;serif"/>
          <w:b w:val="false"/>
          <w:sz w:val="24"/>
        </w:rPr>
        <w:t xml:space="preserve">or </w:t>
      </w:r>
      <w:r>
        <w:rPr>
          <w:rFonts w:ascii="Times New Roman;serif" w:hAnsi="Times New Roman;serif"/>
          <w:b w:val="false"/>
          <w:sz w:val="24"/>
          <w:u w:val="single"/>
        </w:rPr>
        <w:t>(j)</w:t>
      </w:r>
      <w:r>
        <w:rPr>
          <w:rFonts w:ascii="Times New Roman" w:hAnsi="Times New Roman"/>
          <w:sz w:val="20"/>
        </w:rPr>
        <w:t xml:space="preserve"> </w:t>
      </w:r>
      <w:r>
        <w:rPr>
          <w:rFonts w:ascii="Times New Roman;serif" w:hAnsi="Times New Roman;serif"/>
          <w:b w:val="false"/>
          <w:sz w:val="24"/>
        </w:rPr>
        <w:t>of this Article.</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Times New Roman;serif" w:hAnsi="Times New Roman;serif"/>
          <w:b w:val="false"/>
          <w:sz w:val="24"/>
          <w:u w:val="single"/>
        </w:rPr>
        <w:t>clause (a)</w:t>
      </w:r>
      <w:r>
        <w:rPr>
          <w:rFonts w:ascii="Times New Roman" w:hAnsi="Times New Roman"/>
          <w:sz w:val="20"/>
        </w:rPr>
        <w:t xml:space="preserve"> </w:t>
      </w:r>
      <w:r>
        <w:rPr>
          <w:rFonts w:ascii="Times New Roman;serif" w:hAnsi="Times New Roman;serif"/>
          <w:b w:val="false"/>
          <w:sz w:val="24"/>
        </w:rPr>
        <w:t xml:space="preserve">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Times New Roman;serif" w:hAnsi="Times New Roman;serif"/>
          <w:b w:val="false"/>
          <w:sz w:val="24"/>
          <w:u w:val="single"/>
        </w:rPr>
        <w:t>Section 9.04</w:t>
      </w:r>
      <w:r>
        <w:rPr>
          <w:rFonts w:ascii="Times New Roman" w:hAnsi="Times New Roman"/>
          <w:sz w:val="20"/>
        </w:rPr>
        <w:t xml:space="preserve"> </w:t>
      </w:r>
      <w:r>
        <w:rPr>
          <w:rFonts w:ascii="Times New Roman;serif" w:hAnsi="Times New Roman;serif"/>
          <w:b w:val="false"/>
          <w:sz w:val="24"/>
        </w:rPr>
        <w:t>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ARTICLE VIII</w:t>
      </w:r>
    </w:p>
    <w:p>
      <w:pPr>
        <w:pStyle w:val="TextBody"/>
        <w:bidi w:val="0"/>
        <w:spacing w:before="0" w:after="240"/>
        <w:jc w:val="center"/>
        <w:rPr/>
      </w:pPr>
      <w:r>
        <w:rPr>
          <w:rFonts w:ascii="Times New Roman;serif" w:hAnsi="Times New Roman;serif"/>
          <w:b w:val="false"/>
          <w:sz w:val="24"/>
        </w:rPr>
        <w:br/>
        <w:br/>
      </w:r>
      <w:r>
        <w:rPr>
          <w:rFonts w:ascii="Times New Roman;serif" w:hAnsi="Times New Roman;serif"/>
          <w:b w:val="false"/>
          <w:caps/>
          <w:sz w:val="24"/>
          <w:u w:val="single"/>
        </w:rPr>
        <w:t>THE ADMINISTRATIVE AGENT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8.01.</w:t>
      </w:r>
    </w:p>
    <w:p>
      <w:pPr>
        <w:pStyle w:val="TextBody"/>
        <w:bidi w:val="0"/>
        <w:spacing w:before="0" w:after="240"/>
        <w:jc w:val="both"/>
        <w:rPr/>
      </w:pPr>
      <w:r>
        <w:rPr>
          <w:rFonts w:ascii="Times New Roman;serif" w:hAnsi="Times New Roman;serif"/>
          <w:b w:val="false"/>
          <w:sz w:val="24"/>
          <w:u w:val="single"/>
        </w:rPr>
        <w:t>Appointment of the Administrative Agent</w:t>
      </w:r>
      <w:r>
        <w:rPr>
          <w:rFonts w:ascii="Times New Roman;serif" w:hAnsi="Times New Roman;serif"/>
          <w:b w:val="false"/>
          <w:sz w:val="24"/>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8.02.</w:t>
      </w:r>
    </w:p>
    <w:p>
      <w:pPr>
        <w:pStyle w:val="TextBody"/>
        <w:bidi w:val="0"/>
        <w:spacing w:before="0" w:after="240"/>
        <w:jc w:val="both"/>
        <w:rPr/>
      </w:pPr>
      <w:r>
        <w:rPr>
          <w:rFonts w:ascii="Times New Roman;serif" w:hAnsi="Times New Roman;serif"/>
          <w:b w:val="false"/>
          <w:sz w:val="24"/>
          <w:u w:val="single"/>
        </w:rPr>
        <w:t>Capacity as Lender</w:t>
      </w:r>
      <w:r>
        <w:rPr>
          <w:rFonts w:ascii="Times New Roman;serif" w:hAnsi="Times New Roman;serif"/>
          <w:b w:val="false"/>
          <w:sz w:val="24"/>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8.03.</w:t>
      </w:r>
    </w:p>
    <w:p>
      <w:pPr>
        <w:pStyle w:val="TextBody"/>
        <w:bidi w:val="0"/>
        <w:spacing w:before="0" w:after="240"/>
        <w:jc w:val="both"/>
        <w:rPr/>
      </w:pPr>
      <w:r>
        <w:rPr>
          <w:rFonts w:ascii="Times New Roman;serif" w:hAnsi="Times New Roman;serif"/>
          <w:b w:val="false"/>
          <w:sz w:val="24"/>
          <w:u w:val="single"/>
        </w:rPr>
        <w:t>Limitation of Duties; Exculpation</w:t>
      </w:r>
      <w:r>
        <w:rPr>
          <w:rFonts w:ascii="Times New Roman;serif" w:hAnsi="Times New Roman;serif"/>
          <w:b w:val="false"/>
          <w:sz w:val="24"/>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Times New Roman;serif" w:hAnsi="Times New Roman;serif"/>
          <w:b w:val="false"/>
          <w:sz w:val="24"/>
          <w:u w:val="single"/>
        </w:rPr>
        <w:t>Article IV</w:t>
      </w:r>
      <w:r>
        <w:rPr/>
        <w:t xml:space="preserve"> </w:t>
      </w:r>
      <w:r>
        <w:rPr>
          <w:rFonts w:ascii="Times New Roman;serif" w:hAnsi="Times New Roman;serif"/>
          <w:b w:val="false"/>
          <w:sz w:val="24"/>
        </w:rPr>
        <w:t>or elsewhere herein or therein, other than to confirm receipt of items expressly required to be delivered to the Administrative Agent.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8.04.</w:t>
      </w:r>
    </w:p>
    <w:p>
      <w:pPr>
        <w:pStyle w:val="TextBody"/>
        <w:bidi w:val="0"/>
        <w:spacing w:before="0" w:after="240"/>
        <w:jc w:val="both"/>
        <w:rPr/>
      </w:pPr>
      <w:r>
        <w:rPr>
          <w:rFonts w:ascii="Times New Roman;serif" w:hAnsi="Times New Roman;serif"/>
          <w:b w:val="false"/>
          <w:sz w:val="24"/>
          <w:u w:val="single"/>
        </w:rPr>
        <w:t>Reliance</w:t>
      </w:r>
      <w:r>
        <w:rPr>
          <w:rFonts w:ascii="Times New Roman;serif" w:hAnsi="Times New Roman;serif"/>
          <w:b w:val="false"/>
          <w:sz w:val="24"/>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8.05.</w:t>
      </w:r>
    </w:p>
    <w:p>
      <w:pPr>
        <w:pStyle w:val="TextBody"/>
        <w:bidi w:val="0"/>
        <w:spacing w:before="0" w:after="240"/>
        <w:jc w:val="both"/>
        <w:rPr/>
      </w:pPr>
      <w:r>
        <w:rPr>
          <w:rFonts w:ascii="Times New Roman;serif" w:hAnsi="Times New Roman;serif"/>
          <w:b w:val="false"/>
          <w:sz w:val="24"/>
          <w:u w:val="single"/>
        </w:rPr>
        <w:t>Sub-Agents</w:t>
      </w:r>
      <w:r>
        <w:rPr>
          <w:rFonts w:ascii="Times New Roman;serif" w:hAnsi="Times New Roman;serif"/>
          <w:b w:val="false"/>
          <w:sz w:val="24"/>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fraud, gross negligence or willful misconduct in the selection of such sub-agents.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8.06.</w:t>
      </w:r>
    </w:p>
    <w:p>
      <w:pPr>
        <w:pStyle w:val="TextBody"/>
        <w:bidi w:val="0"/>
        <w:spacing w:before="0" w:after="240"/>
        <w:jc w:val="both"/>
        <w:rPr/>
      </w:pPr>
      <w:r>
        <w:rPr>
          <w:rFonts w:ascii="Times New Roman;serif" w:hAnsi="Times New Roman;serif"/>
          <w:b w:val="false"/>
          <w:sz w:val="24"/>
          <w:u w:val="single"/>
        </w:rPr>
        <w:t>Resignation; Successor Administrative Agent</w:t>
      </w:r>
      <w:r>
        <w:rPr>
          <w:rFonts w:ascii="Times New Roman;serif" w:hAnsi="Times New Roman;serif"/>
          <w:b w:val="false"/>
          <w:sz w:val="24"/>
        </w:rPr>
        <w:t xml:space="preserve">. The Administrative Agent may resign by providing not less than thirty (30) days advance written notice to the Lenders, the Issuing Banks and the Borrower. Upon any such notice of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at the end of such thirty (30) day period (except that in the case of any collateral security held by the Administrative Agent on behalf of the Lenders or the Issuing Bank under any of the Loan Documents, the retiring or removed Administrative Agent shall continue to hold such collateral security until such time as a successor Administrative Agent is appointed)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continue in effect for its benefit in respect of any actions taken or omitted to be taken by it while it was acting as Administrative Agent.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8.07.</w:t>
      </w:r>
    </w:p>
    <w:p>
      <w:pPr>
        <w:pStyle w:val="TextBody"/>
        <w:bidi w:val="0"/>
        <w:spacing w:before="0" w:after="240"/>
        <w:jc w:val="both"/>
        <w:rPr/>
      </w:pPr>
      <w:r>
        <w:rPr>
          <w:rFonts w:ascii="Times New Roman;serif" w:hAnsi="Times New Roman;serif"/>
          <w:b w:val="false"/>
          <w:sz w:val="24"/>
          <w:u w:val="single"/>
        </w:rPr>
        <w:t>Reliance by Lenders</w:t>
      </w:r>
      <w:r>
        <w:rPr>
          <w:rFonts w:ascii="Times New Roman;serif" w:hAnsi="Times New Roman;serif"/>
          <w:b w:val="false"/>
          <w:sz w:val="24"/>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8.08.</w:t>
      </w:r>
    </w:p>
    <w:p>
      <w:pPr>
        <w:pStyle w:val="TextBody"/>
        <w:bidi w:val="0"/>
        <w:spacing w:before="0" w:after="240"/>
        <w:jc w:val="both"/>
        <w:rPr/>
      </w:pPr>
      <w:r>
        <w:rPr>
          <w:rFonts w:ascii="Times New Roman;serif" w:hAnsi="Times New Roman;serif"/>
          <w:b w:val="false"/>
          <w:sz w:val="24"/>
          <w:u w:val="single"/>
        </w:rPr>
        <w:t>Modifications to Loan Documents</w:t>
      </w:r>
      <w:r>
        <w:rPr>
          <w:rFonts w:ascii="Times New Roman;serif" w:hAnsi="Times New Roman;serif"/>
          <w:b w:val="false"/>
          <w:sz w:val="24"/>
        </w:rPr>
        <w:t xml:space="preserve">. Except as otherwise provided in </w:t>
      </w:r>
      <w:r>
        <w:rPr>
          <w:rFonts w:ascii="Times New Roman;serif" w:hAnsi="Times New Roman;serif"/>
          <w:b w:val="false"/>
          <w:sz w:val="24"/>
          <w:u w:val="single"/>
        </w:rPr>
        <w:t>Section 2.21</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Section 9.02(b)</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(c)</w:t>
      </w:r>
      <w:r>
        <w:rPr/>
        <w:t xml:space="preserve"> </w:t>
      </w:r>
      <w:r>
        <w:rPr>
          <w:rFonts w:ascii="Times New Roman;serif" w:hAnsi="Times New Roman;serif"/>
          <w:b w:val="false"/>
          <w:sz w:val="24"/>
        </w:rPr>
        <w:t xml:space="preserve">of this Agreement or the Security Documents with respect to this Agreement, the Administrative Agent may, with the prior consent of the Required Lenders (but not otherwise), consent to any modification, supplement or waiver under any of the Loan Documents;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(except in connection with securing additional obligations equally and ratably with the Loans and other obligations hereunder in accordance with the Guarantee and Security Agreement), or alter the relative priorities of the obligations entitled to the benefits of the Liens created under the Security Documents with respect to all or substantially all of the Collateral, except that no such consent shall be required, and the Administrative Agent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is hereby authorized, (v) to release any Subsidiary Guarantor (and any property of such Subsidiary Guarantor) from its guarantee obligations to the extent it may be released in accordance with Section 10.03(f) of the Guarantee and Security Agreement, (w) to release any Lien covering property that is the subject of either a Disposition of property (including, without limitation, any property subject to a participation or repurchase transaction) permitted hereunder or a Disposition to which the Required Lenders have consented, (x) for the avoidance of doubt, execute and deliver agreements, instruments and other documents reasonably requested by the Borrower to implement collateral sharing with respect to Secured Longer-Term Indebtedness and Secured Shorter-Term Indebtedness, (y) following the (i) cancellation, expiration or termination of any commitment to extend credit or issue Letters of Credit under this Agreement or any other Loan Document, (ii) final payment in full of all principal of and interest on each Loan, any LC Disbursements, any fees and any other amounts then due and owing under this Agreement or any other Loan Document and (iii) termination of this Agreement, to release all Liens and guarantees by Obligors, and (z) to allocate the Liens created under the Security Documents to any Designated Indebtedness Obligations or Hedging Agreement Obligations (as such terms are defined in the Guarantee and Security agreement) in accordance with the Guarantee and Security Agreement.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8.09.</w:t>
      </w:r>
    </w:p>
    <w:p>
      <w:pPr>
        <w:pStyle w:val="TextBody"/>
        <w:bidi w:val="0"/>
        <w:spacing w:before="0" w:after="240"/>
        <w:jc w:val="both"/>
        <w:rPr/>
      </w:pPr>
      <w:r>
        <w:rPr>
          <w:rFonts w:ascii="Times New Roman;serif" w:hAnsi="Times New Roman;serif"/>
          <w:b w:val="false"/>
          <w:sz w:val="24"/>
          <w:u w:val="single"/>
        </w:rPr>
        <w:t>Erroneous Payments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If the Administrative Agent notifies a Lender, an Issuing Bank or an Indemnitee, or any Person who has received funds on behalf of a Lender, an Issuing Bank or an Indemnitee (any such Lender, Issuing Bank, Indemnitee or other recipient, a “</w:t>
      </w:r>
      <w:r>
        <w:rPr>
          <w:rFonts w:ascii="Times New Roman;serif" w:hAnsi="Times New Roman;serif"/>
          <w:b w:val="false"/>
          <w:sz w:val="24"/>
          <w:u w:val="single"/>
        </w:rPr>
        <w:t>Payment Recipient</w:t>
      </w:r>
      <w:r>
        <w:rPr/>
        <w:t>”</w:t>
      </w:r>
      <w:r>
        <w:rPr>
          <w:rFonts w:ascii="Times New Roman;serif" w:hAnsi="Times New Roman;serif"/>
          <w:b w:val="false"/>
          <w:sz w:val="24"/>
        </w:rPr>
        <w:t xml:space="preserve">), that the Administrative Agent has determined in its sole discretion (whether or not after receipt of any notice under immediately succeeding </w:t>
      </w:r>
      <w:r>
        <w:rPr>
          <w:rFonts w:ascii="Times New Roman;serif" w:hAnsi="Times New Roman;serif"/>
          <w:b w:val="false"/>
          <w:sz w:val="24"/>
          <w:u w:val="single"/>
        </w:rPr>
        <w:t>clause (b)</w:t>
      </w:r>
      <w:r>
        <w:rPr>
          <w:rFonts w:ascii="Times New Roman;serif" w:hAnsi="Times New Roman;serif"/>
          <w:b w:val="false"/>
          <w:sz w:val="24"/>
        </w:rPr>
        <w:t>) that any funds received by such Payment Recipient from the Administrative Agent or any of its Affiliates were erroneously transmitted to, or otherwise erroneously or mistakenly received by, such Payment Recipient (whether or not known to such Lender, Issuing Bank, Indemnitee or other Payment Recipient on its behalf) (any such funds, whether received as a payment, prepayment or repayment of principal, interest, fees, distribution or otherwise, individually and collectively, an “</w:t>
      </w:r>
      <w:r>
        <w:rPr>
          <w:rFonts w:ascii="Times New Roman;serif" w:hAnsi="Times New Roman;serif"/>
          <w:b w:val="false"/>
          <w:sz w:val="24"/>
          <w:u w:val="single"/>
        </w:rPr>
        <w:t>Erroneous Payment</w:t>
      </w:r>
      <w:r>
        <w:rPr/>
        <w:t>”</w:t>
      </w:r>
      <w:r>
        <w:rPr>
          <w:rFonts w:ascii="Times New Roman;serif" w:hAnsi="Times New Roman;serif"/>
          <w:b w:val="false"/>
          <w:sz w:val="24"/>
        </w:rPr>
        <w:t xml:space="preserve">) and demands the return of such Erroneous Payment (or a portion thereof), such Erroneous Payment shall at all times remain the property of the Administrative Agent and shall be segregated (or earmarked) by the Payment Recipient and held in trust for the benefit of the Administrative Agent, and such Lender, Issuing Bank or Indemnitee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serif" w:hAnsi="Times New Roman;serif"/>
          <w:b w:val="false"/>
          <w:sz w:val="24"/>
          <w:u w:val="single"/>
        </w:rPr>
        <w:t>clause (a)</w:t>
      </w:r>
      <w:r>
        <w:rPr/>
        <w:t xml:space="preserve"> </w:t>
      </w:r>
      <w:r>
        <w:rPr>
          <w:rFonts w:ascii="Times New Roman;serif" w:hAnsi="Times New Roman;serif"/>
          <w:b w:val="false"/>
          <w:sz w:val="24"/>
        </w:rPr>
        <w:t>shall be conclusive, absent manifest error.</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Without limiting immediately preceding </w:t>
      </w:r>
      <w:r>
        <w:rPr>
          <w:rFonts w:ascii="Times New Roman;serif" w:hAnsi="Times New Roman;serif"/>
          <w:b w:val="false"/>
          <w:sz w:val="24"/>
          <w:u w:val="single"/>
        </w:rPr>
        <w:t>clause (a)</w:t>
      </w:r>
      <w:r>
        <w:rPr>
          <w:rFonts w:ascii="Times New Roman;serif" w:hAnsi="Times New Roman;serif"/>
          <w:b w:val="false"/>
          <w:sz w:val="24"/>
        </w:rPr>
        <w:t xml:space="preserve">, each Lender, Issuing Bank or Indemnitee, or any Person who has received funds on behalf of a Lender, Issuing Bank or Indemnitee, hereby further agrees that if it receives a payment, prepayment or repayment (whether received as a payment, prepayment or repayment of principal, interest, fees, distribution or otherwise) from the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Indemnitee, or other such recipient, otherwise becomes aware was transmitted, or received, in error or by mistake (in whole or in part) in each case:</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(A) in the case of immediately preceding </w:t>
      </w:r>
      <w:r>
        <w:rPr>
          <w:rFonts w:ascii="Times New Roman;serif" w:hAnsi="Times New Roman;serif"/>
          <w:b w:val="false"/>
          <w:sz w:val="24"/>
          <w:u w:val="single"/>
        </w:rPr>
        <w:t>clauses (x)</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(y)</w:t>
      </w:r>
      <w:r>
        <w:rPr>
          <w:rFonts w:ascii="Times New Roman;serif" w:hAnsi="Times New Roman;serif"/>
          <w:b w:val="false"/>
          <w:sz w:val="24"/>
        </w:rPr>
        <w:t xml:space="preserve">, an error shall be presumed to have been made (absent written confirmation from the Administrative Agent to the contrary) or (B) an error has been made (in the case of immediately preceding </w:t>
      </w:r>
      <w:r>
        <w:rPr>
          <w:rFonts w:ascii="Times New Roman;serif" w:hAnsi="Times New Roman;serif"/>
          <w:b w:val="false"/>
          <w:sz w:val="24"/>
          <w:u w:val="single"/>
        </w:rPr>
        <w:t>clause (z)</w:t>
      </w:r>
      <w:r>
        <w:rPr>
          <w:rFonts w:ascii="Times New Roman;serif" w:hAnsi="Times New Roman;serif"/>
          <w:b w:val="false"/>
          <w:sz w:val="24"/>
        </w:rPr>
        <w:t xml:space="preserve">), in each case, with respect to such payment, prepayment or repayment; and </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 xml:space="preserve">such Lender, Issuing Bank or Indemnitee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serif" w:hAnsi="Times New Roman;serif"/>
          <w:b w:val="false"/>
          <w:sz w:val="24"/>
          <w:u w:val="single"/>
        </w:rPr>
        <w:t>Section 8.09(b)</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 xml:space="preserve">Each Lender, Issuing Bank and Indemnitee hereby authorizes the Administrative Agent to set off, net and apply any and all amounts at any time owing to such Lender, Issuing Bank or Indemnitee under any Loan Document, or otherwise payable or distributable by the Administrative Agent to such Lender, Issuing Bank or Indemnitee from any source, against any amount due to the Administrative Agent under immediately preceding </w:t>
      </w:r>
      <w:r>
        <w:rPr>
          <w:rFonts w:ascii="Times New Roman;serif" w:hAnsi="Times New Roman;serif"/>
          <w:b w:val="false"/>
          <w:sz w:val="24"/>
          <w:u w:val="single"/>
        </w:rPr>
        <w:t>clause (a)</w:t>
      </w:r>
      <w:r>
        <w:rPr/>
        <w:t xml:space="preserve"> </w:t>
      </w:r>
      <w:r>
        <w:rPr>
          <w:rFonts w:ascii="Times New Roman;serif" w:hAnsi="Times New Roman;serif"/>
          <w:b w:val="false"/>
          <w:sz w:val="24"/>
        </w:rPr>
        <w:t>or under the indemnification provisions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rPr>
        <w:t xml:space="preserve">In the event that an Erroneous Payment (or portion thereof) is not recovered by the Administrative Agent for any reason, after demand therefor by the Administrative Agent in accordance with immediately preceding </w:t>
      </w:r>
      <w:r>
        <w:rPr>
          <w:rFonts w:ascii="Times New Roman;serif" w:hAnsi="Times New Roman;serif"/>
          <w:b w:val="false"/>
          <w:sz w:val="24"/>
          <w:u w:val="single"/>
        </w:rPr>
        <w:t>clause (a)</w:t>
      </w:r>
      <w:r>
        <w:rPr>
          <w:rFonts w:ascii="Times New Roman;serif" w:hAnsi="Times New Roman;serif"/>
          <w:b w:val="false"/>
          <w:sz w:val="24"/>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val="false"/>
          <w:sz w:val="24"/>
          <w:u w:val="single"/>
        </w:rPr>
        <w:t>Erroneous Payment Return Deficiency</w:t>
      </w:r>
      <w:r>
        <w:rPr/>
        <w:t>”</w:t>
      </w:r>
      <w:r>
        <w:rPr>
          <w:rFonts w:ascii="Times New Roman;serif" w:hAnsi="Times New Roman;serif"/>
          <w:b w:val="false"/>
          <w:sz w:val="24"/>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serif" w:hAnsi="Times New Roman;serif"/>
          <w:b w:val="false"/>
          <w:sz w:val="24"/>
          <w:u w:val="single"/>
        </w:rPr>
        <w:t>Erroneous Payment Impacted Class</w:t>
      </w:r>
      <w:r>
        <w:rPr/>
        <w:t>”</w:t>
      </w:r>
      <w:r>
        <w:rPr>
          <w:rFonts w:ascii="Times New Roman;serif" w:hAnsi="Times New Roman;serif"/>
          <w:b w:val="false"/>
          <w:sz w:val="24"/>
        </w:rPr>
        <w:t>) in an amount equal to the Erroneous Payment Return Deficiency (or such lesser amount as the Administrative Agent may specify) (such assignment of the Loans (but not Commitments) of the Erroneous Payment Impacted Class, the “</w:t>
      </w:r>
      <w:r>
        <w:rPr>
          <w:rFonts w:ascii="Times New Roman;serif" w:hAnsi="Times New Roman;serif"/>
          <w:b w:val="false"/>
          <w:sz w:val="24"/>
          <w:u w:val="single"/>
        </w:rPr>
        <w:t>Erroneous Payment Deficiency Assignment</w:t>
      </w:r>
      <w:r>
        <w:rPr/>
        <w:t>”</w:t>
      </w:r>
      <w:r>
        <w:rPr>
          <w:rFonts w:ascii="Times New Roman;serif" w:hAnsi="Times New Roman;serif"/>
          <w:b w:val="false"/>
          <w:sz w:val="24"/>
        </w:rPr>
        <w:t xml:space="preserve">)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Times New Roman;serif" w:hAnsi="Times New Roman;serif"/>
          <w:b w:val="false"/>
          <w:sz w:val="24"/>
          <w:u w:val="single"/>
        </w:rPr>
        <w:t>Section 9.04(b)</w:t>
      </w:r>
      <w:r>
        <w:rPr>
          <w:rFonts w:ascii="Times New Roman;serif" w:hAnsi="Times New Roman;serif"/>
          <w:b w:val="false"/>
          <w:sz w:val="24"/>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Indemnitee under the Loan Documents with respect to each Erroneous Payment Return Deficiency (the “</w:t>
      </w:r>
      <w:r>
        <w:rPr>
          <w:rFonts w:ascii="Times New Roman;serif" w:hAnsi="Times New Roman;serif"/>
          <w:b w:val="false"/>
          <w:sz w:val="24"/>
          <w:u w:val="single"/>
        </w:rPr>
        <w:t>Erroneous Payment Subrogation Rights</w:t>
      </w:r>
      <w:r>
        <w:rPr/>
        <w: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rPr>
        <w:t xml:space="preserve">The parties hereto agree that an Erroneous Payment shall not pay, prepay, repay, discharge or otherwise satisfy any Revolving Credit Exposure or other obligations owed by the Borrower or any other Obligor;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this </w:t>
      </w:r>
      <w:r>
        <w:rPr>
          <w:rFonts w:ascii="Times New Roman;serif" w:hAnsi="Times New Roman;serif"/>
          <w:b w:val="false"/>
          <w:sz w:val="24"/>
          <w:u w:val="single"/>
        </w:rPr>
        <w:t>Section 8.09(e)</w:t>
      </w:r>
      <w:r>
        <w:rPr/>
        <w:t xml:space="preserve"> </w:t>
      </w:r>
      <w:r>
        <w:rPr>
          <w:rFonts w:ascii="Times New Roman;serif" w:hAnsi="Times New Roman;serif"/>
          <w:b w:val="false"/>
          <w:sz w:val="24"/>
        </w:rPr>
        <w:t xml:space="preserve">shall not be interpreted to increase (or accelerate the due date for), or have the effect of increasing (or accelerating the due date for), the obligations of the Borrower or any other Obligor relative to the amount (and/or timing for payment) of the obligations that would have been payable had such Erroneous Payment not been made by the Administrative Agent; </w:t>
      </w:r>
      <w:r>
        <w:rPr>
          <w:rFonts w:ascii="Times New Roman;serif" w:hAnsi="Times New Roman;serif"/>
          <w:b w:val="false"/>
          <w:sz w:val="24"/>
          <w:u w:val="single"/>
        </w:rPr>
        <w:t>provided, further</w:t>
      </w:r>
      <w:r>
        <w:rPr>
          <w:rFonts w:ascii="Times New Roman;serif" w:hAnsi="Times New Roman;serif"/>
          <w:b w:val="false"/>
          <w:sz w:val="24"/>
        </w:rPr>
        <w:t>, that for the avoidance of doubt, immediately preceding clause shall not apply to the extent any such Erroneous Payment is, and solely with respect to the amount of such Erroneous Payment that is, comprised of funds received by the Administrative Agent from the Borrower or any other Obligor for the purpose of making such Erroneous Payment.</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pPr>
      <w:r>
        <w:rPr>
          <w:rFonts w:ascii="Times New Roman;serif" w:hAnsi="Times New Roman;serif"/>
          <w:b w:val="false"/>
          <w:sz w:val="24"/>
        </w:rPr>
        <w:t xml:space="preserve">Each party’s obligations, agreements and waivers under this </w:t>
      </w:r>
      <w:r>
        <w:rPr>
          <w:rFonts w:ascii="Times New Roman;serif" w:hAnsi="Times New Roman;serif"/>
          <w:b w:val="false"/>
          <w:sz w:val="24"/>
          <w:u w:val="single"/>
        </w:rPr>
        <w:t>Section 8.09</w:t>
      </w:r>
      <w:r>
        <w:rPr/>
        <w:t xml:space="preserve"> </w:t>
      </w:r>
      <w:r>
        <w:rPr>
          <w:rFonts w:ascii="Times New Roman;serif" w:hAnsi="Times New Roman;serif"/>
          <w:b w:val="false"/>
          <w:sz w:val="24"/>
        </w:rPr>
        <w:t>shall survive the resignation or replacement of the Administrative Agent, any transfer of rights or obligations by, or the replacement of, a Lender or Issuing Bank,</w:t>
      </w:r>
      <w:r>
        <w:rPr/>
        <w:t xml:space="preserve"> </w:t>
      </w:r>
      <w:r>
        <w:rPr>
          <w:rFonts w:ascii="Times New Roman;serif" w:hAnsi="Times New Roman;serif"/>
          <w:b w:val="false"/>
          <w:sz w:val="24"/>
        </w:rPr>
        <w:t>the termination of the Commitments and/or the repayment, satisfaction or discharge of all obligations (or any portion thereof) under any Loan Document.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ARTICLE IX</w:t>
      </w:r>
    </w:p>
    <w:p>
      <w:pPr>
        <w:pStyle w:val="TextBody"/>
        <w:bidi w:val="0"/>
        <w:spacing w:before="0" w:after="240"/>
        <w:jc w:val="center"/>
        <w:rPr/>
      </w:pPr>
      <w:r>
        <w:rPr>
          <w:rFonts w:ascii="Times New Roman;serif" w:hAnsi="Times New Roman;serif"/>
          <w:b w:val="false"/>
          <w:sz w:val="24"/>
        </w:rPr>
        <w:br/>
        <w:br/>
      </w:r>
      <w:r>
        <w:rPr>
          <w:rFonts w:ascii="Times New Roman;serif" w:hAnsi="Times New Roman;serif"/>
          <w:b w:val="false"/>
          <w:caps/>
          <w:sz w:val="24"/>
          <w:u w:val="single"/>
        </w:rPr>
        <w:t>MISCELLANEOUS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9.01.</w:t>
      </w:r>
    </w:p>
    <w:p>
      <w:pPr>
        <w:pStyle w:val="TextBody"/>
        <w:bidi w:val="0"/>
        <w:spacing w:before="0" w:after="240"/>
        <w:jc w:val="both"/>
        <w:rPr/>
      </w:pPr>
      <w:r>
        <w:rPr>
          <w:rFonts w:ascii="Times New Roman;serif" w:hAnsi="Times New Roman;serif"/>
          <w:b w:val="false"/>
          <w:sz w:val="24"/>
          <w:u w:val="single"/>
        </w:rPr>
        <w:t>Notices; Electronic Communications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Notices Generally</w:t>
      </w:r>
      <w:r>
        <w:rPr>
          <w:rFonts w:ascii="Times New Roman;serif" w:hAnsi="Times New Roman;serif"/>
          <w:b w:val="false"/>
          <w:sz w:val="24"/>
        </w:rPr>
        <w:t>. Except in the case of notices and other communications expressly permitted to be given by telephone or electronic communication, all notices and other communications provided for herein shall be in writing and shall be delivered by hand or overnight courier service, mailed by certified or registered mail or sent by telecopy, as follows:</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to the Borrower, to it at: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Sixth Street Specialty Lending, Inc.</w:t>
        <w:br/>
        <w:t>888 Seventh Avenue, 41st Floor</w:t>
        <w:br/>
        <w:t>New York, New York 10019</w:t>
        <w:br/>
        <w:t>Attention: Ian Simmonds</w:t>
        <w:br/>
        <w:t>Telecopy Number: (212) 430-4639</w:t>
        <w:br/>
        <w:t>Telephone: (212) 601-4739</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to the Administrative Agent or Truist, in its capacity as a Swingline Lender, to it at: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Truist Bank</w:t>
        <w:br/>
        <w:t>3333 Peachtree Road, 8th Floor</w:t>
        <w:br/>
        <w:t>Atlanta, Georgia 30326</w:t>
        <w:br/>
        <w:t>Attention: Hays Wood</w:t>
        <w:br/>
        <w:t>Telecopy Number: (404) 836-5879</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with a copy to:</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Truist Bank</w:t>
        <w:br/>
        <w:t>303 Peachtree Street, NE, 25th Floor</w:t>
        <w:br/>
        <w:t>Atlanta, GA 30308</w:t>
        <w:br/>
        <w:t>Attention: Karen Weich</w:t>
        <w:br/>
        <w:t>Email:agency.services@truist.com</w:t>
        <w:br/>
        <w:t>Telecopy Number: 801-453-4108</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to Truist, in its capacity as Issuing Bank, to it at: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Truist Bank</w:t>
        <w:br/>
        <w:t>303 Peachtree Street, NE, 25th Floor</w:t>
        <w:br/>
        <w:t>Atlanta, GA 30308</w:t>
        <w:br/>
        <w:t>Attention: Karen Weich</w:t>
        <w:br/>
        <w:t>Email:agency.services@truist.com</w:t>
        <w:br/>
        <w:t>Telecopy Number: 801-453-4108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to JPMorgan Chase Bank, N.A., in its capacity as a Swingline Lender and an Issuing Bank:</w:t>
      </w:r>
    </w:p>
    <w:p>
      <w:pPr>
        <w:pStyle w:val="TextBody"/>
        <w:bidi w:val="0"/>
        <w:spacing w:before="0" w:after="240"/>
        <w:jc w:val="both"/>
        <w:rPr>
          <w:rFonts w:ascii="Times New Roman" w:hAnsi="Times New Roman"/>
          <w:sz w:val="20"/>
        </w:rPr>
      </w:pPr>
      <w:r>
        <w:rPr>
          <w:rFonts w:ascii="Times New Roman;serif" w:hAnsi="Times New Roman;serif"/>
          <w:b w:val="false"/>
          <w:sz w:val="24"/>
        </w:rPr>
        <w:t>JPMorgan Chase Bank, N.A.</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Ground floor, 1st to 6th floors, Platina 3, Kodbis, Floor 03</w:t>
      </w:r>
    </w:p>
    <w:p>
      <w:pPr>
        <w:pStyle w:val="TextBody"/>
        <w:bidi w:val="0"/>
        <w:spacing w:before="0" w:after="240"/>
        <w:jc w:val="both"/>
        <w:rPr>
          <w:rFonts w:ascii="Times New Roman" w:hAnsi="Times New Roman"/>
          <w:sz w:val="20"/>
        </w:rPr>
      </w:pPr>
      <w:r>
        <w:rPr>
          <w:rFonts w:ascii="Times New Roman;serif" w:hAnsi="Times New Roman;serif"/>
          <w:b w:val="false"/>
          <w:sz w:val="24"/>
        </w:rPr>
        <w:t>Bengaluru, 560 103, India</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Attention: Sneha Machani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Telecopy Number: (201) 244-3885</w:t>
      </w:r>
    </w:p>
    <w:p>
      <w:pPr>
        <w:pStyle w:val="TextBody"/>
        <w:bidi w:val="0"/>
        <w:spacing w:before="0" w:after="240"/>
        <w:jc w:val="both"/>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to any other Lender, to it at its address (or telecopy number) set forth in its Administrative Questionnaire.</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serif" w:hAnsi="Times New Roman;serif"/>
          <w:b w:val="false"/>
          <w:sz w:val="24"/>
          <w:u w:val="single"/>
        </w:rPr>
        <w:t>paragraph (b)</w:t>
      </w:r>
      <w:r>
        <w:rPr>
          <w:rFonts w:ascii="Times New Roman" w:hAnsi="Times New Roman"/>
          <w:sz w:val="20"/>
        </w:rPr>
        <w:t xml:space="preserve"> </w:t>
      </w:r>
      <w:r>
        <w:rPr>
          <w:rFonts w:ascii="Times New Roman;serif" w:hAnsi="Times New Roman;serif"/>
          <w:b w:val="false"/>
          <w:sz w:val="24"/>
        </w:rPr>
        <w:t xml:space="preserve">below, shall be effective as provided in said </w:t>
      </w:r>
      <w:r>
        <w:rPr>
          <w:rFonts w:ascii="Times New Roman;serif" w:hAnsi="Times New Roman;serif"/>
          <w:b w:val="false"/>
          <w:sz w:val="24"/>
          <w:u w:val="single"/>
        </w:rPr>
        <w:t>paragraph (b)</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Electronic Communications</w:t>
      </w:r>
      <w:r>
        <w:rPr>
          <w:rFonts w:ascii="Times New Roman;serif" w:hAnsi="Times New Roman;serif"/>
          <w:b w:val="false"/>
          <w:sz w:val="24"/>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the foregoing shall not apply to notices to any Lender or any Issuing Bank pursuant to </w:t>
      </w:r>
      <w:r>
        <w:rPr>
          <w:rFonts w:ascii="Times New Roman;serif" w:hAnsi="Times New Roman;serif"/>
          <w:b w:val="false"/>
          <w:sz w:val="24"/>
          <w:u w:val="single"/>
        </w:rPr>
        <w:t>Section 2.06</w:t>
      </w:r>
      <w:r>
        <w:rPr/>
        <w:t xml:space="preserve"> </w:t>
      </w:r>
      <w:r>
        <w:rPr>
          <w:rFonts w:ascii="Times New Roman;serif" w:hAnsi="Times New Roman;serif"/>
          <w:b w:val="false"/>
          <w:sz w:val="24"/>
        </w:rPr>
        <w:t xml:space="preserve">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serif" w:hAnsi="Times New Roman;serif"/>
          <w:b w:val="false"/>
          <w:sz w:val="24"/>
          <w:u w:val="single"/>
        </w:rPr>
        <w:t>provided</w:t>
      </w:r>
      <w:r>
        <w:rPr/>
        <w:t xml:space="preserve"> </w:t>
      </w:r>
      <w:r>
        <w:rPr>
          <w:rFonts w:ascii="Times New Roman;serif" w:hAnsi="Times New Roman;serif"/>
          <w:b w:val="false"/>
          <w:sz w:val="24"/>
        </w:rPr>
        <w:t>that approval of such procedures may be limited to particular notices or communications.</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serif" w:hAnsi="Times New Roman;serif"/>
          <w:b w:val="false"/>
          <w:sz w:val="24"/>
          <w:u w:val="single"/>
        </w:rPr>
        <w:t>clause (i)</w:t>
      </w:r>
      <w:r>
        <w:rPr>
          <w:rFonts w:ascii="Times New Roman" w:hAnsi="Times New Roman"/>
          <w:sz w:val="20"/>
        </w:rPr>
        <w:t xml:space="preserve"> </w:t>
      </w:r>
      <w:r>
        <w:rPr>
          <w:rFonts w:ascii="Times New Roman;serif" w:hAnsi="Times New Roman;serif"/>
          <w:b w:val="false"/>
          <w:sz w:val="24"/>
        </w:rPr>
        <w:t>of notification that such notice or communication is available and identifying the website address therefor.</w:t>
      </w:r>
    </w:p>
    <w:p>
      <w:pPr>
        <w:pStyle w:val="TextBody"/>
        <w:bidi w:val="0"/>
        <w:spacing w:before="0" w:after="240"/>
        <w:jc w:val="both"/>
        <w:rPr>
          <w:rFonts w:ascii="Times New Roman" w:hAnsi="Times New Roman"/>
          <w:sz w:val="20"/>
        </w:rPr>
      </w:pPr>
      <w:r>
        <w:rPr>
          <w:rFonts w:ascii="Times New Roman;serif" w:hAnsi="Times New Roman;serif"/>
          <w:b w:val="false"/>
          <w:sz w:val="24"/>
        </w:rPr>
        <w:t>Each party hereto understands that the distribution of material through an electronic medium is not necessarily secure and that there are confidentiality and other risks associated with</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Private Side Information Contacts</w:t>
      </w:r>
      <w:r>
        <w:rPr>
          <w:rFonts w:ascii="Times New Roman;serif" w:hAnsi="Times New Roman;serif"/>
          <w:b w:val="false"/>
          <w:sz w:val="24"/>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Documents to be Delivered under Sections 5.01 and 5.12(a)</w:t>
      </w:r>
      <w:r>
        <w:rPr>
          <w:rFonts w:ascii="Times New Roman;serif" w:hAnsi="Times New Roman;serif"/>
          <w:b w:val="false"/>
          <w:sz w:val="24"/>
        </w:rPr>
        <w:t xml:space="preserve">. For so long as an Intralinks or equivalent website is available to each of the Lenders hereunder, the Borrower may satisfy its obligation to deliver documents to the Administrative Agent or the Lenders under </w:t>
      </w:r>
      <w:r>
        <w:rPr>
          <w:rFonts w:ascii="Times New Roman;serif" w:hAnsi="Times New Roman;serif"/>
          <w:b w:val="false"/>
          <w:sz w:val="24"/>
          <w:u w:val="single"/>
        </w:rPr>
        <w:t>Sections 5.01</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5.12(a)</w:t>
      </w:r>
      <w:r>
        <w:rPr/>
        <w:t xml:space="preserve"> </w:t>
      </w:r>
      <w:r>
        <w:rPr>
          <w:rFonts w:ascii="Times New Roman;serif" w:hAnsi="Times New Roman;serif"/>
          <w:b w:val="false"/>
          <w:sz w:val="24"/>
        </w:rPr>
        <w:t xml:space="preserve">by delivering one hard copy thereof to the Administrative Agent and either an electronic copy or a notice identifying the website where such information is located for posting by the Administrative Agent on Intralinks or such equivalent website; </w:t>
      </w:r>
      <w:r>
        <w:rPr>
          <w:rFonts w:ascii="Times New Roman;serif" w:hAnsi="Times New Roman;serif"/>
          <w:b w:val="false"/>
          <w:sz w:val="24"/>
          <w:u w:val="single"/>
        </w:rPr>
        <w:t>provided</w:t>
      </w:r>
      <w:r>
        <w:rPr/>
        <w:t xml:space="preserve"> </w:t>
      </w:r>
      <w:r>
        <w:rPr>
          <w:rFonts w:ascii="Times New Roman;serif" w:hAnsi="Times New Roman;serif"/>
          <w:b w:val="false"/>
          <w:sz w:val="24"/>
        </w:rPr>
        <w:t>that the Administrative Agent shall have no responsibility to maintain access to Intralinks or an equivalent website.</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9.02.</w:t>
      </w:r>
    </w:p>
    <w:p>
      <w:pPr>
        <w:pStyle w:val="TextBody"/>
        <w:bidi w:val="0"/>
        <w:spacing w:before="0" w:after="240"/>
        <w:jc w:val="both"/>
        <w:rPr/>
      </w:pPr>
      <w:r>
        <w:rPr>
          <w:rFonts w:ascii="Times New Roman;serif" w:hAnsi="Times New Roman;serif"/>
          <w:b w:val="false"/>
          <w:sz w:val="24"/>
          <w:u w:val="single"/>
        </w:rPr>
        <w:t>Waivers; Amendments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No Deemed Waivers Remedies Cumulative</w:t>
      </w:r>
      <w:r>
        <w:rPr>
          <w:rFonts w:ascii="Times New Roman;serif" w:hAnsi="Times New Roman;serif"/>
          <w:b w:val="false"/>
          <w:sz w:val="24"/>
        </w:rPr>
        <w:t xml:space="preserve">.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Times New Roman;serif" w:hAnsi="Times New Roman;serif"/>
          <w:b w:val="false"/>
          <w:sz w:val="24"/>
          <w:u w:val="single"/>
        </w:rPr>
        <w:t>paragraph (b)</w:t>
      </w:r>
      <w:r>
        <w:rPr/>
        <w:t xml:space="preserve"> </w:t>
      </w:r>
      <w:r>
        <w:rPr>
          <w:rFonts w:ascii="Times New Roman;serif" w:hAnsi="Times New Roman;serif"/>
          <w:b w:val="false"/>
          <w:sz w:val="24"/>
        </w:rPr>
        <w:t xml:space="preserve">of this Section, and then such waiver or consent shall be effective only in the specific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Amendments to this Agreement</w:t>
      </w:r>
      <w:r>
        <w:rPr>
          <w:rFonts w:ascii="Times New Roman;serif" w:hAnsi="Times New Roman;serif"/>
          <w:b w:val="false"/>
          <w:sz w:val="24"/>
        </w:rPr>
        <w:t xml:space="preserve">. Except as provided in </w:t>
      </w:r>
      <w:r>
        <w:rPr>
          <w:rFonts w:ascii="Times New Roman;serif" w:hAnsi="Times New Roman;serif"/>
          <w:b w:val="false"/>
          <w:sz w:val="24"/>
          <w:u w:val="single"/>
        </w:rPr>
        <w:t>Section 2.21</w:t>
      </w:r>
      <w:r>
        <w:rPr>
          <w:rFonts w:ascii="Times New Roman;serif" w:hAnsi="Times New Roman;serif"/>
          <w:b w:val="false"/>
          <w:sz w:val="24"/>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serif" w:hAnsi="Times New Roman;serif"/>
          <w:b w:val="false"/>
          <w:sz w:val="24"/>
          <w:u w:val="single"/>
        </w:rPr>
        <w:t>provided</w:t>
      </w:r>
      <w:r>
        <w:rPr/>
        <w:t xml:space="preserve"> </w:t>
      </w:r>
      <w:r>
        <w:rPr>
          <w:rFonts w:ascii="Times New Roman;serif" w:hAnsi="Times New Roman;serif"/>
          <w:b w:val="false"/>
          <w:sz w:val="24"/>
        </w:rPr>
        <w:t>that no such agreement shall:</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increase the Commitment of any Lender without the written consent of such Lender,</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reduce the principal amount of any Loan or LC Disbursement or reduce the rate of interest thereon, or reduce any fees payable hereunder, without the written consent of each Lender affected thereby,</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pPr>
      <w:r>
        <w:rPr>
          <w:rFonts w:ascii="Times New Roman;serif" w:hAnsi="Times New Roman;serif"/>
          <w:b w:val="false"/>
          <w:sz w:val="24"/>
        </w:rPr>
        <w:t xml:space="preserve">change </w:t>
      </w:r>
      <w:r>
        <w:rPr>
          <w:rFonts w:ascii="Times New Roman;serif" w:hAnsi="Times New Roman;serif"/>
          <w:b w:val="false"/>
          <w:sz w:val="24"/>
          <w:u w:val="single"/>
        </w:rPr>
        <w:t>Section 2.17(b)</w:t>
      </w:r>
      <w:r>
        <w:rPr>
          <w:rFonts w:ascii="Times New Roman;serif" w:hAnsi="Times New Roman;serif"/>
          <w:b w:val="false"/>
          <w:sz w:val="24"/>
        </w:rPr>
        <w:t xml:space="preserve">, </w:t>
      </w:r>
      <w:r>
        <w:rPr>
          <w:rFonts w:ascii="Times New Roman;serif" w:hAnsi="Times New Roman;serif"/>
          <w:b w:val="false"/>
          <w:sz w:val="24"/>
          <w:u w:val="single"/>
        </w:rPr>
        <w:t>(c)</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(d)</w:t>
      </w:r>
      <w:r>
        <w:rPr/>
        <w:t xml:space="preserve"> </w:t>
      </w:r>
      <w:r>
        <w:rPr>
          <w:rFonts w:ascii="Times New Roman;serif" w:hAnsi="Times New Roman;serif"/>
          <w:b w:val="false"/>
          <w:sz w:val="24"/>
        </w:rPr>
        <w:t>in a manner that would alter the pro rata sharing of payments required thereby without the written consent of each Lender affected thereby, or</w:t>
      </w:r>
    </w:p>
    <w:p>
      <w:pPr>
        <w:pStyle w:val="TextBody"/>
        <w:bidi w:val="0"/>
        <w:spacing w:before="0" w:after="240"/>
        <w:jc w:val="both"/>
        <w:rPr>
          <w:rFonts w:ascii="Times New Roman" w:hAnsi="Times New Roman"/>
          <w:b w:val="false"/>
          <w:sz w:val="24"/>
        </w:rPr>
      </w:pPr>
      <w:r>
        <w:rPr>
          <w:rFonts w:ascii="Times New Roman" w:hAnsi="Times New Roman"/>
          <w:b w:val="false"/>
          <w:sz w:val="24"/>
        </w:rPr>
        <w:t>(v)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pStyle w:val="TextBody"/>
        <w:bidi w:val="0"/>
        <w:spacing w:before="0" w:after="240"/>
        <w:jc w:val="both"/>
        <w:rPr>
          <w:rFonts w:ascii="Times New Roman" w:hAnsi="Times New Roman"/>
          <w:sz w:val="20"/>
        </w:rPr>
      </w:pP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Times New Roman;serif" w:hAnsi="Times New Roman;serif"/>
          <w:b w:val="false"/>
          <w:sz w:val="24"/>
          <w:u w:val="single"/>
        </w:rPr>
        <w:t>Section 5.12(b)(ii)(E)</w:t>
      </w:r>
      <w:r>
        <w:rPr>
          <w:rFonts w:ascii="Times New Roman" w:hAnsi="Times New Roman"/>
          <w:sz w:val="20"/>
        </w:rPr>
        <w:t xml:space="preserve"> </w:t>
      </w:r>
      <w:r>
        <w:rPr>
          <w:rFonts w:ascii="Times New Roman;serif" w:hAnsi="Times New Roman;serif"/>
          <w:b w:val="false"/>
          <w:sz w:val="24"/>
        </w:rPr>
        <w:t xml:space="preserve">and </w:t>
      </w:r>
      <w:r>
        <w:rPr>
          <w:rFonts w:ascii="Times New Roman;serif" w:hAnsi="Times New Roman;serif"/>
          <w:b w:val="false"/>
          <w:sz w:val="24"/>
          <w:u w:val="single"/>
        </w:rPr>
        <w:t>(F)</w:t>
      </w:r>
      <w:r>
        <w:rPr>
          <w:rFonts w:ascii="Times New Roman;serif" w:hAnsi="Times New Roman;serif"/>
          <w:b w:val="false"/>
          <w:sz w:val="24"/>
        </w:rPr>
        <w:t xml:space="preserve">, but including changes to the provisions of </w:t>
      </w:r>
      <w:r>
        <w:rPr>
          <w:rFonts w:ascii="Times New Roman;serif" w:hAnsi="Times New Roman;serif"/>
          <w:b w:val="false"/>
          <w:sz w:val="24"/>
          <w:u w:val="single"/>
        </w:rPr>
        <w:t>Section 5.12(c)(ii)</w:t>
      </w:r>
      <w:r>
        <w:rPr>
          <w:rFonts w:ascii="Times New Roman" w:hAnsi="Times New Roman"/>
          <w:sz w:val="20"/>
        </w:rPr>
        <w:t xml:space="preserve"> </w:t>
      </w:r>
      <w:r>
        <w:rPr>
          <w:rFonts w:ascii="Times New Roman;serif" w:hAnsi="Times New Roman;serif"/>
          <w:b w:val="false"/>
          <w:sz w:val="24"/>
        </w:rPr>
        <w:t xml:space="preserve">and the definitions set forth in </w:t>
      </w:r>
      <w:r>
        <w:rPr>
          <w:rFonts w:ascii="Times New Roman;serif" w:hAnsi="Times New Roman;serif"/>
          <w:b w:val="false"/>
          <w:sz w:val="24"/>
          <w:u w:val="single"/>
        </w:rPr>
        <w:t>Section 5.13</w:t>
      </w:r>
      <w:r>
        <w:rPr>
          <w:rFonts w:ascii="Times New Roman;serif" w:hAnsi="Times New Roman;serif"/>
          <w:b w:val="false"/>
          <w:sz w:val="24"/>
        </w:rPr>
        <w:t xml:space="preserve">), and </w:t>
      </w:r>
      <w:r>
        <w:rPr>
          <w:rFonts w:ascii="Times New Roman;serif" w:hAnsi="Times New Roman;serif"/>
          <w:b w:val="false"/>
          <w:sz w:val="24"/>
          <w:u w:val="single"/>
        </w:rPr>
        <w:t>(B)</w:t>
      </w:r>
      <w:r>
        <w:rPr>
          <w:rFonts w:ascii="Times New Roman" w:hAnsi="Times New Roman"/>
          <w:sz w:val="20"/>
        </w:rPr>
        <w:t xml:space="preserve"> </w:t>
      </w:r>
      <w:r>
        <w:rPr>
          <w:rFonts w:ascii="Times New Roman;serif" w:hAnsi="Times New Roman;serif"/>
          <w:b w:val="false"/>
          <w:sz w:val="24"/>
        </w:rPr>
        <w:t>for any release of any material portion of the Collateral other than for fair value or as otherwise permitted hereunder or under the other Loan Documents.</w:t>
      </w:r>
    </w:p>
    <w:p>
      <w:pPr>
        <w:pStyle w:val="TextBody"/>
        <w:bidi w:val="0"/>
        <w:spacing w:before="0" w:after="240"/>
        <w:jc w:val="both"/>
        <w:rPr>
          <w:rFonts w:ascii="Times New Roman" w:hAnsi="Times New Roman"/>
          <w:sz w:val="20"/>
        </w:rPr>
      </w:pPr>
      <w:r>
        <w:rPr>
          <w:rFonts w:ascii="Times New Roman;serif" w:hAnsi="Times New Roman;serif"/>
          <w:b w:val="false"/>
          <w:sz w:val="24"/>
        </w:rPr>
        <w:t>Anything in this Agreement to the contrary notwithstanding, no waiver or modification of any provision of this Agreement or any other Loan Document that could reasonably be expected to adversely affect the Lenders of any Class in a manner that does not</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Amendments to Security Documents</w:t>
      </w:r>
      <w:r>
        <w:rPr>
          <w:rFonts w:ascii="Times New Roman;serif" w:hAnsi="Times New Roman;serif"/>
          <w:b w:val="false"/>
          <w:sz w:val="24"/>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serif" w:hAnsi="Times New Roman;serif"/>
          <w:b w:val="false"/>
          <w:sz w:val="24"/>
          <w:u w:val="single"/>
        </w:rPr>
        <w:t>Section 2.08(e)</w:t>
      </w:r>
      <w:r>
        <w:rPr/>
        <w:t xml:space="preserve"> </w:t>
      </w:r>
      <w:r>
        <w:rPr>
          <w:rFonts w:ascii="Times New Roman;serif" w:hAnsi="Times New Roman;serif"/>
          <w:b w:val="false"/>
          <w:sz w:val="24"/>
        </w:rPr>
        <w:t xml:space="preserve">to an amount not greater than $2,000,000,000) except pursuant to an agreement or agreements in writing entered into by the Borrower, and by the Collateral Agent with the consent of the Required Lenders; </w:t>
      </w:r>
      <w:r>
        <w:rPr>
          <w:rFonts w:ascii="Times New Roman;serif" w:hAnsi="Times New Roman;serif"/>
          <w:b w:val="false"/>
          <w:sz w:val="24"/>
          <w:u w:val="single"/>
        </w:rPr>
        <w:t>provided</w:t>
      </w:r>
      <w:r>
        <w:rPr/>
        <w:t xml:space="preserve"> </w:t>
      </w:r>
      <w:r>
        <w:rPr>
          <w:rFonts w:ascii="Times New Roman;serif" w:hAnsi="Times New Roman;serif"/>
          <w:b w:val="false"/>
          <w:sz w:val="24"/>
        </w:rPr>
        <w:t>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Replacement of Non-Consenting Lender</w:t>
      </w:r>
      <w:r>
        <w:rPr>
          <w:rFonts w:ascii="Times New Roman;serif" w:hAnsi="Times New Roman;serif"/>
          <w:b w:val="false"/>
          <w:sz w:val="24"/>
        </w:rPr>
        <w:t xml:space="preserve">. If, in connection with any proposed change, waiver, discharge or termination to any of the provisions of this Agreement as contemplated by this </w:t>
      </w:r>
      <w:r>
        <w:rPr>
          <w:rFonts w:ascii="Times New Roman;serif" w:hAnsi="Times New Roman;serif"/>
          <w:b w:val="false"/>
          <w:sz w:val="24"/>
          <w:u w:val="single"/>
        </w:rPr>
        <w:t>Section 9.02</w:t>
      </w:r>
      <w:r>
        <w:rPr>
          <w:rFonts w:ascii="Times New Roman;serif" w:hAnsi="Times New Roman;serif"/>
          <w:b w:val="false"/>
          <w:sz w:val="24"/>
        </w:rPr>
        <w:t>, the consent of the Required Lenders shall have been obtained but the consent of one or more Lenders (each a “</w:t>
      </w:r>
      <w:r>
        <w:rPr>
          <w:rFonts w:ascii="Times New Roman;serif" w:hAnsi="Times New Roman;serif"/>
          <w:b w:val="false"/>
          <w:sz w:val="24"/>
          <w:u w:val="single"/>
        </w:rPr>
        <w:t>Non-Consenting Lender</w:t>
      </w:r>
      <w:r>
        <w:rPr/>
        <w:t>”</w:t>
      </w:r>
      <w:r>
        <w:rPr>
          <w:rFonts w:ascii="Times New Roman;serif" w:hAnsi="Times New Roman;serif"/>
          <w:b w:val="false"/>
          <w:sz w:val="24"/>
        </w:rPr>
        <w:t xml:space="preserve">)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Times New Roman;serif" w:hAnsi="Times New Roman;serif"/>
          <w:b w:val="false"/>
          <w:sz w:val="24"/>
          <w:u w:val="single"/>
        </w:rPr>
        <w:t>Section 2.18(b)</w:t>
      </w:r>
      <w:r>
        <w:rPr/>
        <w:t xml:space="preserve"> </w:t>
      </w:r>
      <w:r>
        <w:rPr>
          <w:rFonts w:ascii="Times New Roman;serif" w:hAnsi="Times New Roman;serif"/>
          <w:b w:val="false"/>
          <w:sz w:val="24"/>
        </w:rPr>
        <w:t>so long as at the time of such replacement, each such replacement Lender consents to the proposed change, waiver, discharge or termination.</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9.03.</w:t>
      </w:r>
    </w:p>
    <w:p>
      <w:pPr>
        <w:pStyle w:val="TextBody"/>
        <w:bidi w:val="0"/>
        <w:spacing w:before="0" w:after="240"/>
        <w:jc w:val="both"/>
        <w:rPr/>
      </w:pPr>
      <w:r>
        <w:rPr>
          <w:rFonts w:ascii="Times New Roman;serif" w:hAnsi="Times New Roman;serif"/>
          <w:b w:val="false"/>
          <w:sz w:val="24"/>
          <w:u w:val="single"/>
        </w:rPr>
        <w:t>Expenses; Indemnity; Damage Waiver</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Costs and Expenses</w:t>
      </w:r>
      <w:r>
        <w:rPr>
          <w:rFonts w:ascii="Times New Roman;serif" w:hAnsi="Times New Roman;serif"/>
          <w:b w:val="false"/>
          <w:sz w:val="24"/>
        </w:rPr>
        <w:t xml:space="preserve">.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Indemnification by the Borrower</w:t>
      </w:r>
      <w:r>
        <w:rPr>
          <w:rFonts w:ascii="Times New Roman;serif" w:hAnsi="Times New Roman;serif"/>
          <w:b w:val="false"/>
          <w:sz w:val="24"/>
        </w:rPr>
        <w:t>. The Borrower shall indemnify the Administrative Agent, each Joint Lead Arranger, each Issuing Bank, each Swingline Lender and each Lender, and each Related Party of any of the foregoing Persons (each such Person being called an “</w:t>
      </w:r>
      <w:r>
        <w:rPr>
          <w:rFonts w:ascii="Times New Roman;serif" w:hAnsi="Times New Roman;serif"/>
          <w:b w:val="false"/>
          <w:sz w:val="24"/>
          <w:u w:val="single"/>
        </w:rPr>
        <w:t>Indemnitee</w:t>
      </w:r>
      <w:r>
        <w:rPr/>
        <w:t>”</w:t>
      </w:r>
      <w:r>
        <w:rPr>
          <w:rFonts w:ascii="Times New Roman;serif" w:hAnsi="Times New Roman;serif"/>
          <w:b w:val="false"/>
          <w:sz w:val="24"/>
        </w:rPr>
        <w:t xml:space="preserv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Times New Roman;serif" w:hAnsi="Times New Roman;serif"/>
          <w:b w:val="false"/>
          <w:sz w:val="24"/>
          <w:u w:val="single"/>
        </w:rPr>
        <w:t>Section 2.16</w:t>
      </w:r>
      <w:r>
        <w:rPr>
          <w:rFonts w:ascii="Times New Roman;serif" w:hAnsi="Times New Roman;serif"/>
          <w:b w:val="false"/>
          <w:sz w:val="24"/>
        </w:rPr>
        <w:t xml:space="preserve">),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such indemnity shall not as to any Indemnitee, be available to the extent that such losses, claims, damages, liabilities or related expenses (A) are determined by a court of competent jurisdiction by final and nonappealable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judgment to have resulted from the fraud, willful misconduct or gross negligence of such Indemnitee or its Related Parties, (B) result from the settlement of any such claim, investigation, litigation or other proceedings described in clause (iii) above unless the Borrower has consented to such settlement (which consent shall not be unreasonably withheld, delayed or conditioned (provided that nothing in this clause (B) shall restrict the right of any person to settle any claim for which it has waived its right of indemnity by the Borrower)) or (C) result from disputes solely among Indemnitees and not involving any act or omission of an Obligor or any of its Affiliates (other than any dispute against the Administrative Agent in its capacity as such). Notwithstanding the foregoing, it is understood and agreed that indemnification for Taxes is subject to the provisions of </w:t>
      </w:r>
      <w:r>
        <w:rPr>
          <w:rFonts w:ascii="Times New Roman;serif" w:hAnsi="Times New Roman;serif"/>
          <w:b w:val="false"/>
          <w:sz w:val="24"/>
          <w:u w:val="single"/>
        </w:rPr>
        <w:t>Section 2.16</w:t>
      </w:r>
      <w:r>
        <w:rPr>
          <w:rFonts w:ascii="Times New Roman;serif" w:hAnsi="Times New Roman;serif"/>
          <w:b w:val="false"/>
          <w:sz w:val="24"/>
        </w:rPr>
        <w:t>.</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the foregoing limitation shall not be deemed to impair or affect the obligations of the Borrower under the preceding provisions of this subsection.</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Reimbursement by Lenders</w:t>
      </w:r>
      <w:r>
        <w:rPr>
          <w:rFonts w:ascii="Times New Roman;serif" w:hAnsi="Times New Roman;serif"/>
          <w:b w:val="false"/>
          <w:sz w:val="24"/>
        </w:rPr>
        <w:t xml:space="preserve">. To the extent that the Borrower fails to pay any amount required to be paid by it to the Administrative Agent, any Issuing Bank or any Swingline Lender under </w:t>
      </w:r>
      <w:r>
        <w:rPr>
          <w:rFonts w:ascii="Times New Roman;serif" w:hAnsi="Times New Roman;serif"/>
          <w:b w:val="false"/>
          <w:sz w:val="24"/>
          <w:u w:val="single"/>
        </w:rPr>
        <w:t>paragraph (a)</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(b)</w:t>
      </w:r>
      <w:r>
        <w:rPr/>
        <w:t xml:space="preserve"> </w:t>
      </w:r>
      <w:r>
        <w:rPr>
          <w:rFonts w:ascii="Times New Roman;serif" w:hAnsi="Times New Roman;serif"/>
          <w:b w:val="false"/>
          <w:sz w:val="24"/>
        </w:rPr>
        <w:t xml:space="preserve">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Times New Roman;serif" w:hAnsi="Times New Roman;serif"/>
          <w:b w:val="false"/>
          <w:sz w:val="24"/>
          <w:u w:val="single"/>
        </w:rPr>
        <w:t>provided</w:t>
      </w:r>
      <w:r>
        <w:rPr/>
        <w:t xml:space="preserve"> </w:t>
      </w:r>
      <w:r>
        <w:rPr>
          <w:rFonts w:ascii="Times New Roman;serif" w:hAnsi="Times New Roman;serif"/>
          <w:b w:val="false"/>
          <w:sz w:val="24"/>
        </w:rPr>
        <w:t>that the unreimbursed expense or indemnified loss, claim, damage, liability or related expense, as the case may be, was incurred by or asserted against the Administrative Agent, the applicable Issuing Bank or the applicable Swingline Lender in its capacity as such.</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Waiver of Consequential Damages, Etc</w:t>
      </w:r>
      <w:r>
        <w:rPr>
          <w:rFonts w:ascii="Times New Roman;serif" w:hAnsi="Times New Roman;serif"/>
          <w:b w:val="false"/>
          <w:sz w:val="24"/>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Payments</w:t>
      </w:r>
      <w:r>
        <w:rPr>
          <w:rFonts w:ascii="Times New Roman;serif" w:hAnsi="Times New Roman;serif"/>
          <w:b w:val="false"/>
          <w:sz w:val="24"/>
        </w:rPr>
        <w:t>. All amounts due under this Section shall be payable promptly after written demand therefor.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9.04.</w:t>
      </w:r>
    </w:p>
    <w:p>
      <w:pPr>
        <w:pStyle w:val="TextBody"/>
        <w:bidi w:val="0"/>
        <w:spacing w:before="0" w:after="240"/>
        <w:jc w:val="both"/>
        <w:rPr/>
      </w:pPr>
      <w:r>
        <w:rPr>
          <w:rFonts w:ascii="Times New Roman;serif" w:hAnsi="Times New Roman;serif"/>
          <w:b w:val="false"/>
          <w:sz w:val="24"/>
          <w:u w:val="single"/>
        </w:rPr>
        <w:t>Successors and Assigns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Assignments Generally</w:t>
      </w:r>
      <w:r>
        <w:rPr>
          <w:rFonts w:ascii="Times New Roman;serif" w:hAnsi="Times New Roman;serif"/>
          <w:b w:val="false"/>
          <w:sz w:val="24"/>
        </w:rPr>
        <w:t xml:space="preserve">.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Assignments by Lenders.</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u w:val="single"/>
        </w:rPr>
        <w:t>Assignments Generally</w:t>
      </w:r>
      <w:r>
        <w:rPr>
          <w:rFonts w:ascii="Times New Roman;serif" w:hAnsi="Times New Roman;serif"/>
          <w:b w:val="false"/>
          <w:sz w:val="24"/>
        </w:rPr>
        <w:t xml:space="preserve">. Subject to the conditions set forth in </w:t>
      </w:r>
      <w:r>
        <w:rPr>
          <w:rFonts w:ascii="Times New Roman;serif" w:hAnsi="Times New Roman;serif"/>
          <w:b w:val="false"/>
          <w:sz w:val="24"/>
          <w:u w:val="single"/>
        </w:rPr>
        <w:t>clause (ii)</w:t>
      </w:r>
      <w:r>
        <w:rPr/>
        <w:t xml:space="preserve"> </w:t>
      </w:r>
      <w:r>
        <w:rPr>
          <w:rFonts w:ascii="Times New Roman;serif" w:hAnsi="Times New Roman;serif"/>
          <w:b w:val="false"/>
          <w:sz w:val="24"/>
        </w:rPr>
        <w:t>below, any Lender may assign to one or more assignees (other than natural persons (or a holding company, investments vehicle, investment vehicle or trust for, or owned and operated by or for the primary benefit of a natural Person)</w:t>
      </w:r>
      <w:r>
        <w:rPr/>
        <w:t xml:space="preserve"> </w:t>
      </w:r>
      <w:r>
        <w:rPr>
          <w:rFonts w:ascii="Times New Roman;serif" w:hAnsi="Times New Roman;serif"/>
          <w:b w:val="false"/>
          <w:sz w:val="24"/>
        </w:rPr>
        <w:t>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the Borrower;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no consent of the Borrower shall be required for an assignment to a Lender, an Affiliate of a Lender, or, if any Event of Default has occurred and is continuing, any other assignee;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further</w:t>
      </w:r>
      <w:r>
        <w:rPr>
          <w:rFonts w:ascii="Times New Roman;serif" w:hAnsi="Times New Roman;serif"/>
          <w:b w:val="false"/>
          <w:sz w:val="24"/>
        </w:rPr>
        <w:t>, that the Borrower shall be deemed to have consented to any such assignment unless it shall have objected thereto by written notice to the Administrative Agent within ten (10) Business Days after having received notice thereof; and</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the Administrative Agent and each Issuing Bank: </w:t>
      </w:r>
      <w:r>
        <w:rPr>
          <w:rFonts w:ascii="Times New Roman;serif" w:hAnsi="Times New Roman;serif"/>
          <w:b w:val="false"/>
          <w:sz w:val="24"/>
          <w:u w:val="single"/>
        </w:rPr>
        <w:t>provided</w:t>
      </w:r>
      <w:r>
        <w:rPr/>
        <w:t xml:space="preserve"> </w:t>
      </w:r>
      <w:r>
        <w:rPr>
          <w:rFonts w:ascii="Times New Roman;serif" w:hAnsi="Times New Roman;serif"/>
          <w:b w:val="false"/>
          <w:sz w:val="24"/>
        </w:rPr>
        <w:t>that no consent of the Administrative Agent or the Issuing Banks shall be required for an assignment by a Lender to an Affiliate of such Lender.</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u w:val="single"/>
        </w:rPr>
        <w:t>Certain Conditions to Assignments</w:t>
      </w:r>
      <w:r>
        <w:rPr>
          <w:rFonts w:ascii="Times New Roman;serif" w:hAnsi="Times New Roman;serif"/>
          <w:b w:val="false"/>
          <w:sz w:val="24"/>
        </w:rPr>
        <w:t>. Assignments shall be subject to the following additional conditions:</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Times New Roman;serif" w:hAnsi="Times New Roman;serif"/>
          <w:b w:val="false"/>
          <w:sz w:val="24"/>
          <w:u w:val="single"/>
        </w:rPr>
        <w:t>provided</w:t>
      </w:r>
      <w:r>
        <w:rPr/>
        <w:t xml:space="preserve"> </w:t>
      </w:r>
      <w:r>
        <w:rPr>
          <w:rFonts w:ascii="Times New Roman;serif" w:hAnsi="Times New Roman;serif"/>
          <w:b w:val="false"/>
          <w:sz w:val="24"/>
        </w:rPr>
        <w:t>that no such consent of the Borrower shall be required if an Event of Default has occurred and is continuing;</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 xml:space="preserve">the parties to each assignment shall execute and deliver to the Administrative Agent an Assignment and Assumption in substantially the form of </w:t>
      </w:r>
      <w:r>
        <w:rPr>
          <w:rFonts w:ascii="Times New Roman;serif" w:hAnsi="Times New Roman;serif"/>
          <w:b w:val="false"/>
          <w:sz w:val="24"/>
          <w:u w:val="single"/>
        </w:rPr>
        <w:t>Exhibit A</w:t>
      </w:r>
      <w:r>
        <w:rPr/>
        <w:t xml:space="preserve"> </w:t>
      </w:r>
      <w:r>
        <w:rPr>
          <w:rFonts w:ascii="Times New Roman;serif" w:hAnsi="Times New Roman;serif"/>
          <w:b w:val="false"/>
          <w:sz w:val="24"/>
        </w:rPr>
        <w:t xml:space="preserve">hereto, together with a processing and recordation fee of U.S. $3,500 (which fee shall not be payable in connection with an assignment to a Lender or to an Affiliate of a Lender), for which the Borrower and the Subsidiary Guarantors shall not be obligated;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assignee, if it shall not already be a Lender of the applicable Class, shall deliver to the Administrative Agent an Administrative Questionnaire; and</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assignee shall deliver to the Borrower and the Administrative Agent those documents specified in Section 2.16(f).</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pPr>
      <w:r>
        <w:rPr>
          <w:rFonts w:ascii="Times New Roman;serif" w:hAnsi="Times New Roman;serif"/>
          <w:b w:val="false"/>
          <w:sz w:val="24"/>
          <w:u w:val="single"/>
        </w:rPr>
        <w:t>Effectiveness of Assignments</w:t>
      </w:r>
      <w:r>
        <w:rPr>
          <w:rFonts w:ascii="Times New Roman;serif" w:hAnsi="Times New Roman;serif"/>
          <w:b w:val="false"/>
          <w:sz w:val="24"/>
        </w:rPr>
        <w:t xml:space="preserve">. Subject to acceptance and recording thereof pursuant to </w:t>
      </w:r>
      <w:r>
        <w:rPr>
          <w:rFonts w:ascii="Times New Roman;serif" w:hAnsi="Times New Roman;serif"/>
          <w:b w:val="false"/>
          <w:sz w:val="24"/>
          <w:u w:val="single"/>
        </w:rPr>
        <w:t>paragraph (c)</w:t>
      </w:r>
      <w:r>
        <w:rPr/>
        <w:t xml:space="preserve"> </w:t>
      </w:r>
      <w:r>
        <w:rPr>
          <w:rFonts w:ascii="Times New Roman;serif" w:hAnsi="Times New Roman;serif"/>
          <w:b w:val="false"/>
          <w:sz w:val="24"/>
        </w:rPr>
        <w:t xml:space="preserve">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sz w:val="24"/>
          <w:u w:val="single"/>
        </w:rPr>
        <w:t>Sections 2.14</w:t>
      </w:r>
      <w:r>
        <w:rPr>
          <w:rFonts w:ascii="Times New Roman;serif" w:hAnsi="Times New Roman;serif"/>
          <w:b w:val="false"/>
          <w:sz w:val="24"/>
        </w:rPr>
        <w:t xml:space="preserve">, </w:t>
      </w:r>
      <w:r>
        <w:rPr>
          <w:rFonts w:ascii="Times New Roman;serif" w:hAnsi="Times New Roman;serif"/>
          <w:b w:val="false"/>
          <w:sz w:val="24"/>
          <w:u w:val="single"/>
        </w:rPr>
        <w:t>2.15</w:t>
      </w:r>
      <w:r>
        <w:rPr>
          <w:rFonts w:ascii="Times New Roman;serif" w:hAnsi="Times New Roman;serif"/>
          <w:b w:val="false"/>
          <w:sz w:val="24"/>
        </w:rPr>
        <w:t xml:space="preserve">, </w:t>
      </w:r>
      <w:r>
        <w:rPr>
          <w:rFonts w:ascii="Times New Roman;serif" w:hAnsi="Times New Roman;serif"/>
          <w:b w:val="false"/>
          <w:sz w:val="24"/>
          <w:u w:val="single"/>
        </w:rPr>
        <w:t>2.16</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9.03</w:t>
      </w:r>
      <w:r>
        <w:rPr/>
        <w:t xml:space="preserve"> </w:t>
      </w:r>
      <w:r>
        <w:rPr>
          <w:rFonts w:ascii="Times New Roman;serif" w:hAnsi="Times New Roman;serif"/>
          <w:b w:val="false"/>
          <w:sz w:val="24"/>
        </w:rPr>
        <w:t xml:space="preserve">with respect to facts and circumstances occurring prior to the effective date of such assignment). Any assignment or transfer by a Lender of rights or obligations under this Agreement that does not comply with this </w:t>
      </w:r>
      <w:r>
        <w:rPr>
          <w:rFonts w:ascii="Times New Roman;serif" w:hAnsi="Times New Roman;serif"/>
          <w:b w:val="false"/>
          <w:sz w:val="24"/>
          <w:u w:val="single"/>
        </w:rPr>
        <w:t>Section 9.04</w:t>
      </w:r>
      <w:r>
        <w:rPr/>
        <w:t xml:space="preserve"> </w:t>
      </w:r>
      <w:r>
        <w:rPr>
          <w:rFonts w:ascii="Times New Roman;serif" w:hAnsi="Times New Roman;serif"/>
          <w:b w:val="false"/>
          <w:sz w:val="24"/>
        </w:rPr>
        <w:t xml:space="preserve">shall be treated for purposes of this Agreement as a sale by such Lender of a participation in such rights and obligations in accordance with </w:t>
      </w:r>
      <w:r>
        <w:rPr>
          <w:rFonts w:ascii="Times New Roman;serif" w:hAnsi="Times New Roman;serif"/>
          <w:b w:val="false"/>
          <w:sz w:val="24"/>
          <w:u w:val="single"/>
        </w:rPr>
        <w:t>paragraph (e)</w:t>
      </w:r>
      <w:r>
        <w:rPr/>
        <w:t xml:space="preserve"> </w:t>
      </w:r>
      <w:r>
        <w:rPr>
          <w:rFonts w:ascii="Times New Roman;serif" w:hAnsi="Times New Roman;serif"/>
          <w:b w:val="false"/>
          <w:sz w:val="24"/>
        </w:rPr>
        <w:t xml:space="preserve">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serif" w:hAnsi="Times New Roman;serif"/>
          <w:b w:val="false"/>
          <w:sz w:val="24"/>
          <w:u w:val="single"/>
        </w:rPr>
        <w:t>Section 9.04(b)(ii)</w:t>
      </w:r>
      <w:r>
        <w:rPr/>
        <w:t xml:space="preserve"> </w:t>
      </w:r>
      <w:r>
        <w:rPr>
          <w:rFonts w:ascii="Times New Roman;serif" w:hAnsi="Times New Roman;serif"/>
          <w:b w:val="false"/>
          <w:sz w:val="24"/>
        </w:rPr>
        <w:t>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Maintenance of Registers by Administrative Agent</w:t>
      </w:r>
      <w:r>
        <w:rPr>
          <w:rFonts w:ascii="Times New Roman;serif" w:hAnsi="Times New Roman;serif"/>
          <w:b w:val="false"/>
          <w:sz w:val="24"/>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serif" w:hAnsi="Times New Roman;serif"/>
          <w:b w:val="false"/>
          <w:sz w:val="24"/>
          <w:u w:val="single"/>
        </w:rPr>
        <w:t>Registers</w:t>
      </w:r>
      <w:r>
        <w:rPr/>
        <w:t xml:space="preserve">” </w:t>
      </w:r>
      <w:r>
        <w:rPr>
          <w:rFonts w:ascii="Times New Roman;serif" w:hAnsi="Times New Roman;serif"/>
          <w:b w:val="false"/>
          <w:sz w:val="24"/>
        </w:rPr>
        <w:t>and each individually, a “</w:t>
      </w:r>
      <w:r>
        <w:rPr>
          <w:rFonts w:ascii="Times New Roman;serif" w:hAnsi="Times New Roman;serif"/>
          <w:b w:val="false"/>
          <w:sz w:val="24"/>
          <w:u w:val="single"/>
        </w:rPr>
        <w:t>Register</w:t>
      </w:r>
      <w:r>
        <w:rPr/>
        <w:t>”</w:t>
      </w:r>
      <w:r>
        <w:rPr>
          <w:rFonts w:ascii="Times New Roman;serif" w:hAnsi="Times New Roman;serif"/>
          <w:b w:val="false"/>
          <w:sz w:val="24"/>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Acceptance of Assignments by Administrative Agent</w:t>
      </w:r>
      <w:r>
        <w:rPr>
          <w:rFonts w:ascii="Times New Roman;serif" w:hAnsi="Times New Roman;serif"/>
          <w:b w:val="false"/>
          <w:sz w:val="24"/>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serif" w:hAnsi="Times New Roman;serif"/>
          <w:b w:val="false"/>
          <w:sz w:val="24"/>
          <w:u w:val="single"/>
        </w:rPr>
        <w:t>paragraph (b)</w:t>
      </w:r>
      <w:r>
        <w:rPr/>
        <w:t xml:space="preserve"> </w:t>
      </w:r>
      <w:r>
        <w:rPr>
          <w:rFonts w:ascii="Times New Roman;serif" w:hAnsi="Times New Roman;serif"/>
          <w:b w:val="false"/>
          <w:sz w:val="24"/>
        </w:rPr>
        <w:t xml:space="preserve">of this Section and any written consent to such assignment required by </w:t>
      </w:r>
      <w:r>
        <w:rPr>
          <w:rFonts w:ascii="Times New Roman;serif" w:hAnsi="Times New Roman;serif"/>
          <w:b w:val="false"/>
          <w:sz w:val="24"/>
          <w:u w:val="single"/>
        </w:rPr>
        <w:t>paragraph (b)</w:t>
      </w:r>
      <w:r>
        <w:rPr/>
        <w:t xml:space="preserve"> </w:t>
      </w:r>
      <w:r>
        <w:rPr>
          <w:rFonts w:ascii="Times New Roman;serif" w:hAnsi="Times New Roman;serif"/>
          <w:b w:val="false"/>
          <w:sz w:val="24"/>
        </w:rPr>
        <w:t>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u w:val="single"/>
        </w:rPr>
        <w:t>Special Purposes Vehicles</w:t>
      </w:r>
      <w:r>
        <w:rPr>
          <w:rFonts w:ascii="Times New Roman;serif" w:hAnsi="Times New Roman;serif"/>
          <w:b w:val="false"/>
          <w:sz w:val="24"/>
        </w:rPr>
        <w:t>. Notwithstanding anything to the contrary contained herein, any Lender (a “</w:t>
      </w:r>
      <w:r>
        <w:rPr>
          <w:rFonts w:ascii="Times New Roman;serif" w:hAnsi="Times New Roman;serif"/>
          <w:b w:val="false"/>
          <w:sz w:val="24"/>
          <w:u w:val="single"/>
        </w:rPr>
        <w:t>Granting Lender</w:t>
      </w:r>
      <w:r>
        <w:rPr/>
        <w:t>”</w:t>
      </w:r>
      <w:r>
        <w:rPr>
          <w:rFonts w:ascii="Times New Roman;serif" w:hAnsi="Times New Roman;serif"/>
          <w:b w:val="false"/>
          <w:sz w:val="24"/>
        </w:rPr>
        <w:t>) may grant to a special purpose funding vehicle (an “</w:t>
      </w:r>
      <w:r>
        <w:rPr>
          <w:rFonts w:ascii="Times New Roman;serif" w:hAnsi="Times New Roman;serif"/>
          <w:b w:val="false"/>
          <w:sz w:val="24"/>
          <w:u w:val="single"/>
        </w:rPr>
        <w:t>SPC</w:t>
      </w:r>
      <w:r>
        <w:rPr/>
        <w:t>”</w:t>
      </w:r>
      <w:r>
        <w:rPr>
          <w:rFonts w:ascii="Times New Roman;serif" w:hAnsi="Times New Roman;serif"/>
          <w:b w:val="false"/>
          <w:sz w:val="24"/>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Times New Roman;serif" w:hAnsi="Times New Roman;serif"/>
          <w:b w:val="false"/>
          <w:sz w:val="24"/>
          <w:u w:val="single"/>
        </w:rPr>
        <w:t>Sections 2.14</w:t>
      </w:r>
      <w:r>
        <w:rPr/>
        <w:t xml:space="preserve"> </w:t>
      </w:r>
      <w:r>
        <w:rPr>
          <w:rFonts w:ascii="Times New Roman;serif" w:hAnsi="Times New Roman;serif"/>
          <w:b w:val="false"/>
          <w:sz w:val="24"/>
        </w:rPr>
        <w:t>(or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the Granting Lender for</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neither the consent of the SPC or of any such assignee shall be required for amendments or waivers hereunder except for those amendments or waivers for which the consent of participants is required under </w:t>
      </w:r>
      <w:r>
        <w:rPr>
          <w:rFonts w:ascii="Times New Roman;serif" w:hAnsi="Times New Roman;serif"/>
          <w:b w:val="false"/>
          <w:sz w:val="24"/>
          <w:u w:val="single"/>
        </w:rPr>
        <w:t>paragraph (f)</w:t>
      </w:r>
      <w:r>
        <w:rPr>
          <w:rFonts w:ascii="Times New Roman" w:hAnsi="Times New Roman"/>
          <w:sz w:val="20"/>
        </w:rPr>
        <w:t xml:space="preserve"> </w:t>
      </w:r>
      <w:r>
        <w:rPr>
          <w:rFonts w:ascii="Times New Roman;serif" w:hAnsi="Times New Roman;serif"/>
          <w:b w:val="false"/>
          <w:sz w:val="24"/>
        </w:rPr>
        <w:t xml:space="preserve">below, and (ii) disclose on a confidential basis (in the same manner described in </w:t>
      </w:r>
      <w:r>
        <w:rPr>
          <w:rFonts w:ascii="Times New Roman;serif" w:hAnsi="Times New Roman;serif"/>
          <w:b w:val="false"/>
          <w:sz w:val="24"/>
          <w:u w:val="single"/>
        </w:rPr>
        <w:t>Section 9.13(b)</w:t>
      </w:r>
      <w:r>
        <w:rPr>
          <w:rFonts w:ascii="Times New Roman;serif" w:hAnsi="Times New Roman;serif"/>
          <w:b w:val="false"/>
          <w:sz w:val="24"/>
        </w:rPr>
        <w:t>) any non-public information relating to its Loans to any rating agency, commercial paper dealer or provider of a surety, guarantee or credit or liquidity enhancement to such SPC.</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u w:val="single"/>
        </w:rPr>
        <w:t>Participations</w:t>
      </w:r>
      <w:r>
        <w:rPr>
          <w:rFonts w:ascii="Times New Roman;serif" w:hAnsi="Times New Roman;serif"/>
          <w:b w:val="false"/>
          <w:sz w:val="24"/>
        </w:rPr>
        <w:t>. Any Lender may, with the consent of the Borrower (such consent not to be unreasonably withheld or delayed), sell participations to one or more banks or other entities (other than natural persons (or a holding company, investments vehicle, investment vehicle or trust for, or owned and operated by or for the primary benefit of a natural Person)) (a “</w:t>
      </w:r>
      <w:r>
        <w:rPr>
          <w:rFonts w:ascii="Times New Roman;serif" w:hAnsi="Times New Roman;serif"/>
          <w:b w:val="false"/>
          <w:sz w:val="24"/>
          <w:u w:val="single"/>
        </w:rPr>
        <w:t>Participant</w:t>
      </w:r>
      <w:r>
        <w:rPr/>
        <w:t>”</w:t>
      </w:r>
      <w:r>
        <w:rPr>
          <w:rFonts w:ascii="Times New Roman;serif" w:hAnsi="Times New Roman;serif"/>
          <w:b w:val="false"/>
          <w:sz w:val="24"/>
        </w:rPr>
        <w:t xml:space="preserve">) in all or a portion of such Lender’s rights and obligations under this Agreement and the other Loan Documents (including all or a portion of its Commitments and the Loans and LC Disbursements owing to it);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such agreement or instrument may provide that such Lender will not, without the consent of the Participant, agree to any amendment, modification or waiver described in the first proviso to </w:t>
      </w:r>
      <w:r>
        <w:rPr>
          <w:rFonts w:ascii="Times New Roman;serif" w:hAnsi="Times New Roman;serif"/>
          <w:b w:val="false"/>
          <w:sz w:val="24"/>
          <w:u w:val="single"/>
        </w:rPr>
        <w:t>Section 9.02(b)</w:t>
      </w:r>
      <w:r>
        <w:rPr/>
        <w:t xml:space="preserve"> </w:t>
      </w:r>
      <w:r>
        <w:rPr>
          <w:rFonts w:ascii="Times New Roman;serif" w:hAnsi="Times New Roman;serif"/>
          <w:b w:val="false"/>
          <w:sz w:val="24"/>
        </w:rPr>
        <w:t xml:space="preserve">that affects such Participant. Subject to </w:t>
      </w:r>
      <w:r>
        <w:rPr>
          <w:rFonts w:ascii="Times New Roman;serif" w:hAnsi="Times New Roman;serif"/>
          <w:b w:val="false"/>
          <w:sz w:val="24"/>
          <w:u w:val="single"/>
        </w:rPr>
        <w:t>paragraph (g)</w:t>
      </w:r>
      <w:r>
        <w:rPr/>
        <w:t xml:space="preserve"> </w:t>
      </w:r>
      <w:r>
        <w:rPr>
          <w:rFonts w:ascii="Times New Roman;serif" w:hAnsi="Times New Roman;serif"/>
          <w:b w:val="false"/>
          <w:sz w:val="24"/>
        </w:rPr>
        <w:t xml:space="preserve">of this Section, the Borrower agrees that each Participant shall be entitled to the benefits of </w:t>
      </w:r>
      <w:r>
        <w:rPr>
          <w:rFonts w:ascii="Times New Roman;serif" w:hAnsi="Times New Roman;serif"/>
          <w:b w:val="false"/>
          <w:sz w:val="24"/>
          <w:u w:val="single"/>
        </w:rPr>
        <w:t>Sections 2.14</w:t>
      </w:r>
      <w:r>
        <w:rPr>
          <w:rFonts w:ascii="Times New Roman;serif" w:hAnsi="Times New Roman;serif"/>
          <w:b w:val="false"/>
          <w:sz w:val="24"/>
        </w:rPr>
        <w:t xml:space="preserve">, </w:t>
      </w:r>
      <w:r>
        <w:rPr>
          <w:rFonts w:ascii="Times New Roman;serif" w:hAnsi="Times New Roman;serif"/>
          <w:b w:val="false"/>
          <w:sz w:val="24"/>
          <w:u w:val="single"/>
        </w:rPr>
        <w:t>2.15</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2.16</w:t>
      </w:r>
      <w:r>
        <w:rPr/>
        <w:t xml:space="preserve"> </w:t>
      </w:r>
      <w:r>
        <w:rPr>
          <w:rFonts w:ascii="Times New Roman;serif" w:hAnsi="Times New Roman;serif"/>
          <w:b w:val="false"/>
          <w:sz w:val="24"/>
        </w:rPr>
        <w:t xml:space="preserve">to the same extent as if it were a Lender and had acquired its interest by assignment pursuant to </w:t>
      </w:r>
      <w:r>
        <w:rPr>
          <w:rFonts w:ascii="Times New Roman;serif" w:hAnsi="Times New Roman;serif"/>
          <w:b w:val="false"/>
          <w:sz w:val="24"/>
          <w:u w:val="single"/>
        </w:rPr>
        <w:t>paragraph (b)</w:t>
      </w:r>
      <w:r>
        <w:rPr/>
        <w:t xml:space="preserve"> </w:t>
      </w:r>
      <w:r>
        <w:rPr>
          <w:rFonts w:ascii="Times New Roman;serif" w:hAnsi="Times New Roman;serif"/>
          <w:b w:val="false"/>
          <w:sz w:val="24"/>
        </w:rPr>
        <w:t xml:space="preserve">of this Section;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such Participant shall not be entitled to receive any greater payment under </w:t>
      </w:r>
      <w:r>
        <w:rPr>
          <w:rFonts w:ascii="Times New Roman;serif" w:hAnsi="Times New Roman;serif"/>
          <w:b w:val="false"/>
          <w:sz w:val="24"/>
          <w:u w:val="single"/>
        </w:rPr>
        <w:t>Sections 2.14</w:t>
      </w:r>
      <w:r>
        <w:rPr>
          <w:rFonts w:ascii="Times New Roman;serif" w:hAnsi="Times New Roman;serif"/>
          <w:b w:val="false"/>
          <w:sz w:val="24"/>
        </w:rPr>
        <w:t xml:space="preserve">, </w:t>
      </w:r>
      <w:r>
        <w:rPr>
          <w:rFonts w:ascii="Times New Roman;serif" w:hAnsi="Times New Roman;serif"/>
          <w:b w:val="false"/>
          <w:sz w:val="24"/>
          <w:u w:val="single"/>
        </w:rPr>
        <w:t>2.15</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2.16</w:t>
      </w:r>
      <w:r>
        <w:rPr>
          <w:rFonts w:ascii="Times New Roman;serif" w:hAnsi="Times New Roman;serif"/>
          <w:b w:val="false"/>
          <w:sz w:val="24"/>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further</w:t>
      </w:r>
      <w:r>
        <w:rPr>
          <w:rFonts w:ascii="Times New Roman;serif" w:hAnsi="Times New Roman;serif"/>
          <w:b w:val="false"/>
          <w:sz w:val="24"/>
        </w:rPr>
        <w:t xml:space="preserve">, that no Participant shall be entitled to the benefits of </w:t>
      </w:r>
      <w:r>
        <w:rPr>
          <w:rFonts w:ascii="Times New Roman;serif" w:hAnsi="Times New Roman;serif"/>
          <w:b w:val="false"/>
          <w:sz w:val="24"/>
          <w:u w:val="single"/>
        </w:rPr>
        <w:t>Section 2.16</w:t>
      </w:r>
      <w:r>
        <w:rPr/>
        <w:t xml:space="preserve"> </w:t>
      </w:r>
      <w:r>
        <w:rPr>
          <w:rFonts w:ascii="Times New Roman;serif" w:hAnsi="Times New Roman;serif"/>
          <w:b w:val="false"/>
          <w:sz w:val="24"/>
        </w:rPr>
        <w:t xml:space="preserve">unless the Borrower is notified of the participation granted to such Participant and such Participant shall have complied with the requirements of </w:t>
      </w:r>
      <w:r>
        <w:rPr>
          <w:rFonts w:ascii="Times New Roman;serif" w:hAnsi="Times New Roman;serif"/>
          <w:b w:val="false"/>
          <w:sz w:val="24"/>
          <w:u w:val="single"/>
        </w:rPr>
        <w:t>Section 2.16</w:t>
      </w:r>
      <w:r>
        <w:rPr/>
        <w:t xml:space="preserve"> </w:t>
      </w:r>
      <w:r>
        <w:rPr>
          <w:rFonts w:ascii="Times New Roman;serif" w:hAnsi="Times New Roman;serif"/>
          <w:b w:val="false"/>
          <w:sz w:val="24"/>
        </w:rPr>
        <w:t xml:space="preserve">as if such Participant is a Lender. To the extent permitted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by law, each Participant also shall be entitled to the benefits of </w:t>
      </w:r>
      <w:r>
        <w:rPr>
          <w:rFonts w:ascii="Times New Roman;serif" w:hAnsi="Times New Roman;serif"/>
          <w:b w:val="false"/>
          <w:sz w:val="24"/>
          <w:u w:val="single"/>
        </w:rPr>
        <w:t>Section 9.08</w:t>
      </w:r>
      <w:r>
        <w:rPr/>
        <w:t xml:space="preserve"> </w:t>
      </w:r>
      <w:r>
        <w:rPr>
          <w:rFonts w:ascii="Times New Roman;serif" w:hAnsi="Times New Roman;serif"/>
          <w:b w:val="false"/>
          <w:sz w:val="24"/>
        </w:rPr>
        <w:t xml:space="preserve">as though it were a Lender; provided such Participant agrees to be subject to </w:t>
      </w:r>
      <w:r>
        <w:rPr>
          <w:rFonts w:ascii="Times New Roman;serif" w:hAnsi="Times New Roman;serif"/>
          <w:b w:val="false"/>
          <w:sz w:val="24"/>
          <w:u w:val="single"/>
        </w:rPr>
        <w:t>Section 2.17(d)</w:t>
      </w:r>
      <w:r>
        <w:rPr/>
        <w:t xml:space="preserve"> </w:t>
      </w:r>
      <w:r>
        <w:rPr>
          <w:rFonts w:ascii="Times New Roman;serif" w:hAnsi="Times New Roman;serif"/>
          <w:b w:val="false"/>
          <w:sz w:val="24"/>
        </w:rPr>
        <w:t>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val="false"/>
          <w:sz w:val="24"/>
          <w:u w:val="single"/>
        </w:rPr>
        <w:t>Participant Register</w:t>
      </w:r>
      <w:r>
        <w:rPr/>
        <w:t>”</w:t>
      </w:r>
      <w:r>
        <w:rPr>
          <w:rFonts w:ascii="Times New Roman;serif" w:hAnsi="Times New Roman;serif"/>
          <w:b w:val="false"/>
          <w:sz w:val="24"/>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pPr>
      <w:r>
        <w:rPr>
          <w:rFonts w:ascii="Times New Roman;serif" w:hAnsi="Times New Roman;serif"/>
          <w:b w:val="false"/>
          <w:sz w:val="24"/>
          <w:u w:val="single"/>
        </w:rPr>
        <w:t>Limitations on Rights of Participants</w:t>
      </w:r>
      <w:r>
        <w:rPr>
          <w:rFonts w:ascii="Times New Roman;serif" w:hAnsi="Times New Roman;serif"/>
          <w:b w:val="false"/>
          <w:sz w:val="24"/>
        </w:rPr>
        <w:t xml:space="preserve">. A Participant shall not be entitled to receive any greater payment under </w:t>
      </w:r>
      <w:r>
        <w:rPr>
          <w:rFonts w:ascii="Times New Roman;serif" w:hAnsi="Times New Roman;serif"/>
          <w:b w:val="false"/>
          <w:sz w:val="24"/>
          <w:u w:val="single"/>
        </w:rPr>
        <w:t>Section 2.14</w:t>
      </w:r>
      <w:r>
        <w:rPr>
          <w:rFonts w:ascii="Times New Roman;serif" w:hAnsi="Times New Roman;serif"/>
          <w:b w:val="false"/>
          <w:sz w:val="24"/>
        </w:rPr>
        <w:t xml:space="preserve">, </w:t>
      </w:r>
      <w:r>
        <w:rPr>
          <w:rFonts w:ascii="Times New Roman;serif" w:hAnsi="Times New Roman;serif"/>
          <w:b w:val="false"/>
          <w:sz w:val="24"/>
          <w:u w:val="single"/>
        </w:rPr>
        <w:t>2.15</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2.16</w:t>
      </w:r>
      <w:r>
        <w:rPr/>
        <w:t xml:space="preserve"> </w:t>
      </w:r>
      <w:r>
        <w:rPr>
          <w:rFonts w:ascii="Times New Roman;serif" w:hAnsi="Times New Roman;serif"/>
          <w:b w:val="false"/>
          <w:sz w:val="24"/>
        </w:rPr>
        <w:t xml:space="preserve">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serif" w:hAnsi="Times New Roman;serif"/>
          <w:b w:val="false"/>
          <w:sz w:val="24"/>
          <w:u w:val="single"/>
        </w:rPr>
        <w:t>Section 2.16</w:t>
      </w:r>
      <w:r>
        <w:rPr/>
        <w:t xml:space="preserve"> </w:t>
      </w:r>
      <w:r>
        <w:rPr>
          <w:rFonts w:ascii="Times New Roman;serif" w:hAnsi="Times New Roman;serif"/>
          <w:b w:val="false"/>
          <w:sz w:val="24"/>
        </w:rPr>
        <w:t xml:space="preserve">unless the Borrower is notified of the participation sold to such Participant and such Participant agrees, for the benefit of the Borrower, to comply with </w:t>
      </w:r>
      <w:r>
        <w:rPr>
          <w:rFonts w:ascii="Times New Roman;serif" w:hAnsi="Times New Roman;serif"/>
          <w:b w:val="false"/>
          <w:sz w:val="24"/>
          <w:u w:val="single"/>
        </w:rPr>
        <w:t>paragraphs (e)</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(f)</w:t>
      </w:r>
      <w:r>
        <w:rPr/>
        <w:t xml:space="preserve"> </w:t>
      </w:r>
      <w:r>
        <w:rPr>
          <w:rFonts w:ascii="Times New Roman;serif" w:hAnsi="Times New Roman;serif"/>
          <w:b w:val="false"/>
          <w:sz w:val="24"/>
        </w:rPr>
        <w:t xml:space="preserve">of </w:t>
      </w:r>
      <w:r>
        <w:rPr>
          <w:rFonts w:ascii="Times New Roman;serif" w:hAnsi="Times New Roman;serif"/>
          <w:b w:val="false"/>
          <w:sz w:val="24"/>
          <w:u w:val="single"/>
        </w:rPr>
        <w:t>Section 2.16</w:t>
      </w:r>
      <w:r>
        <w:rPr/>
        <w:t xml:space="preserve"> </w:t>
      </w:r>
      <w:r>
        <w:rPr>
          <w:rFonts w:ascii="Times New Roman;serif" w:hAnsi="Times New Roman;serif"/>
          <w:b w:val="false"/>
          <w:sz w:val="24"/>
        </w:rPr>
        <w:t>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pPr>
      <w:r>
        <w:rPr>
          <w:rFonts w:ascii="Times New Roman;serif" w:hAnsi="Times New Roman;serif"/>
          <w:b w:val="false"/>
          <w:sz w:val="24"/>
          <w:u w:val="single"/>
        </w:rPr>
        <w:t>Certain Pledges</w:t>
      </w:r>
      <w:r>
        <w:rPr>
          <w:rFonts w:ascii="Times New Roman;serif" w:hAnsi="Times New Roman;serif"/>
          <w:b w:val="false"/>
          <w:sz w:val="24"/>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serif" w:hAnsi="Times New Roman;serif"/>
          <w:b w:val="false"/>
          <w:sz w:val="24"/>
          <w:u w:val="single"/>
        </w:rPr>
        <w:t>provided</w:t>
      </w:r>
      <w:r>
        <w:rPr/>
        <w:t xml:space="preserve"> </w:t>
      </w:r>
      <w:r>
        <w:rPr>
          <w:rFonts w:ascii="Times New Roman;serif" w:hAnsi="Times New Roman;serif"/>
          <w:b w:val="false"/>
          <w:sz w:val="24"/>
        </w:rPr>
        <w:t>that no such pledge or assignment of a security interest shall release a Lender from any of its obligations hereunder or substitute any such assignee for such Lender as a party hereto.</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u w:val="single"/>
        </w:rPr>
        <w:t>No Assignments to the Borrower or Affiliates</w:t>
      </w:r>
      <w:r>
        <w:rPr>
          <w:rFonts w:ascii="Times New Roman;serif" w:hAnsi="Times New Roman;serif"/>
          <w:b w:val="false"/>
          <w:sz w:val="24"/>
        </w:rPr>
        <w:t>. Anything in this Section to the contrary notwithstanding, no Lender may assign or participate any interest in any Loan or LC Exposure held by it hereunder to the Borrower or any of its Affiliates or Subsidiaries without the prior consent of each Lender.</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9.05.</w:t>
      </w:r>
    </w:p>
    <w:p>
      <w:pPr>
        <w:pStyle w:val="TextBody"/>
        <w:bidi w:val="0"/>
        <w:spacing w:before="0" w:after="240"/>
        <w:jc w:val="both"/>
        <w:rPr/>
      </w:pPr>
      <w:r>
        <w:rPr>
          <w:rFonts w:ascii="Times New Roman;serif" w:hAnsi="Times New Roman;serif"/>
          <w:b w:val="false"/>
          <w:sz w:val="24"/>
          <w:u w:val="single"/>
        </w:rPr>
        <w:t>Survival</w:t>
      </w:r>
      <w:r>
        <w:rPr>
          <w:rFonts w:ascii="Times New Roman;serif" w:hAnsi="Times New Roman;serif"/>
          <w:b w:val="false"/>
          <w:sz w:val="24"/>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serif" w:hAnsi="Times New Roman;serif"/>
          <w:b w:val="false"/>
          <w:sz w:val="24"/>
          <w:u w:val="single"/>
        </w:rPr>
        <w:t>Sections 2.14</w:t>
      </w:r>
      <w:r>
        <w:rPr>
          <w:rFonts w:ascii="Times New Roman;serif" w:hAnsi="Times New Roman;serif"/>
          <w:b w:val="false"/>
          <w:sz w:val="24"/>
        </w:rPr>
        <w:t xml:space="preserve">, </w:t>
      </w:r>
      <w:r>
        <w:rPr>
          <w:rFonts w:ascii="Times New Roman;serif" w:hAnsi="Times New Roman;serif"/>
          <w:b w:val="false"/>
          <w:sz w:val="24"/>
          <w:u w:val="single"/>
        </w:rPr>
        <w:t>2.15</w:t>
      </w:r>
      <w:r>
        <w:rPr>
          <w:rFonts w:ascii="Times New Roman;serif" w:hAnsi="Times New Roman;serif"/>
          <w:b w:val="false"/>
          <w:sz w:val="24"/>
        </w:rPr>
        <w:t xml:space="preserve">, </w:t>
      </w:r>
      <w:r>
        <w:rPr>
          <w:rFonts w:ascii="Times New Roman;serif" w:hAnsi="Times New Roman;serif"/>
          <w:b w:val="false"/>
          <w:sz w:val="24"/>
          <w:u w:val="single"/>
        </w:rPr>
        <w:t>2.16</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9.03</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Article VIII</w:t>
      </w:r>
      <w:r>
        <w:rPr/>
        <w:t xml:space="preserve"> </w:t>
      </w:r>
      <w:r>
        <w:rPr>
          <w:rFonts w:ascii="Times New Roman;serif" w:hAnsi="Times New Roman;serif"/>
          <w:b w:val="false"/>
          <w:sz w:val="24"/>
        </w:rPr>
        <w:t>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9.06.</w:t>
      </w:r>
    </w:p>
    <w:p>
      <w:pPr>
        <w:pStyle w:val="TextBody"/>
        <w:bidi w:val="0"/>
        <w:spacing w:before="0" w:after="240"/>
        <w:jc w:val="both"/>
        <w:rPr/>
      </w:pPr>
      <w:r>
        <w:rPr>
          <w:rFonts w:ascii="Times New Roman;serif" w:hAnsi="Times New Roman;serif"/>
          <w:b w:val="false"/>
          <w:sz w:val="24"/>
          <w:u w:val="single"/>
        </w:rPr>
        <w:t>Counterparts; Integration; Effectiveness; Electronic Execution</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Counterparts; Integration; Effectiveness</w:t>
      </w:r>
      <w:r>
        <w:rPr>
          <w:rFonts w:ascii="Times New Roman;serif" w:hAnsi="Times New Roman;serif"/>
          <w:b w:val="false"/>
          <w:sz w:val="24"/>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sz w:val="24"/>
          <w:u w:val="single"/>
        </w:rPr>
        <w:t>Section 4.01</w:t>
      </w:r>
      <w:r>
        <w:rPr>
          <w:rFonts w:ascii="Times New Roman;serif" w:hAnsi="Times New Roman;serif"/>
          <w:b w:val="false"/>
          <w:sz w:val="24"/>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Electronic Execution of Assignments</w:t>
      </w:r>
      <w:r>
        <w:rPr>
          <w:rFonts w:ascii="Times New Roman;serif" w:hAnsi="Times New Roman;serif"/>
          <w:b w:val="false"/>
          <w:sz w:val="24"/>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9.07.</w:t>
      </w:r>
    </w:p>
    <w:p>
      <w:pPr>
        <w:pStyle w:val="TextBody"/>
        <w:bidi w:val="0"/>
        <w:spacing w:before="0" w:after="240"/>
        <w:jc w:val="both"/>
        <w:rPr/>
      </w:pPr>
      <w:r>
        <w:rPr>
          <w:rFonts w:ascii="Times New Roman;serif" w:hAnsi="Times New Roman;serif"/>
          <w:b w:val="false"/>
          <w:sz w:val="24"/>
          <w:u w:val="single"/>
        </w:rPr>
        <w:t>Severability</w:t>
      </w:r>
      <w:r>
        <w:rPr>
          <w:rFonts w:ascii="Times New Roman;serif" w:hAnsi="Times New Roman;serif"/>
          <w:b w:val="false"/>
          <w:sz w:val="24"/>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9.08.</w:t>
      </w:r>
    </w:p>
    <w:p>
      <w:pPr>
        <w:pStyle w:val="TextBody"/>
        <w:bidi w:val="0"/>
        <w:spacing w:before="0" w:after="240"/>
        <w:jc w:val="both"/>
        <w:rPr/>
      </w:pPr>
      <w:r>
        <w:rPr>
          <w:rFonts w:ascii="Times New Roman;serif" w:hAnsi="Times New Roman;serif"/>
          <w:b w:val="false"/>
          <w:sz w:val="24"/>
          <w:u w:val="single"/>
        </w:rPr>
        <w:t>Right of Setoff</w:t>
      </w:r>
      <w:r>
        <w:rPr>
          <w:rFonts w:ascii="Times New Roman;serif" w:hAnsi="Times New Roman;serif"/>
          <w:b w:val="false"/>
          <w:sz w:val="24"/>
        </w:rPr>
        <w:t xml:space="preserve">. If an Event of Default shall have occurred and be continuing, each Lender and each of its Affiliates is hereby authorized at any time and from time to time, to the fullest extent permitted by law, to set off and apply any and all deposits (general or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in the event that any Defaulting Lender shall exercise any such right of setoff, (x) all amounts so set off shall be paid over immediately to Administrative Agent for further application in accordance with the provisions of </w:t>
      </w:r>
      <w:r>
        <w:rPr>
          <w:rFonts w:ascii="Times New Roman;serif" w:hAnsi="Times New Roman;serif"/>
          <w:b w:val="false"/>
          <w:sz w:val="24"/>
          <w:u w:val="single"/>
        </w:rPr>
        <w:t>Sections 2.17(d)</w:t>
      </w:r>
      <w:r>
        <w:rPr/>
        <w:t xml:space="preserve"> </w:t>
      </w:r>
      <w:r>
        <w:rPr>
          <w:rFonts w:ascii="Times New Roman;serif" w:hAnsi="Times New Roman;serif"/>
          <w:b w:val="false"/>
          <w:sz w:val="24"/>
        </w:rPr>
        <w:t xml:space="preserve">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serif" w:hAnsi="Times New Roman;serif"/>
          <w:b w:val="false"/>
          <w:sz w:val="24"/>
          <w:u w:val="single"/>
        </w:rPr>
        <w:t>provided</w:t>
      </w:r>
      <w:r>
        <w:rPr/>
        <w:t xml:space="preserve"> </w:t>
      </w:r>
      <w:r>
        <w:rPr>
          <w:rFonts w:ascii="Times New Roman;serif" w:hAnsi="Times New Roman;serif"/>
          <w:b w:val="false"/>
          <w:sz w:val="24"/>
        </w:rPr>
        <w:t>that the failure to give such notice shall not affect the validity of such setoff and application.</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9.09.</w:t>
      </w:r>
    </w:p>
    <w:p>
      <w:pPr>
        <w:pStyle w:val="TextBody"/>
        <w:bidi w:val="0"/>
        <w:spacing w:before="0" w:after="240"/>
        <w:jc w:val="both"/>
        <w:rPr/>
      </w:pPr>
      <w:r>
        <w:rPr>
          <w:rFonts w:ascii="Times New Roman;serif" w:hAnsi="Times New Roman;serif"/>
          <w:b w:val="false"/>
          <w:sz w:val="24"/>
          <w:u w:val="single"/>
        </w:rPr>
        <w:t>Governing Law; Jurisdiction; Etc</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Governing Law</w:t>
      </w:r>
      <w:r>
        <w:rPr>
          <w:rFonts w:ascii="Times New Roman;serif" w:hAnsi="Times New Roman;serif"/>
          <w:b w:val="false"/>
          <w:sz w:val="24"/>
        </w:rPr>
        <w:t>. This Agreement shall be construed in accordance with and governed by the law of the State of New York.</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Submission to Jurisdiction</w:t>
      </w:r>
      <w:r>
        <w:rPr>
          <w:rFonts w:ascii="Times New Roman;serif" w:hAnsi="Times New Roman;serif"/>
          <w:b w:val="false"/>
          <w:sz w:val="24"/>
        </w:rPr>
        <w:t>. The Borrower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Waiver of Venue</w:t>
      </w:r>
      <w:r>
        <w:rPr>
          <w:rFonts w:ascii="Times New Roman;serif" w:hAnsi="Times New Roman;serif"/>
          <w:b w:val="false"/>
          <w:sz w:val="24"/>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serif" w:hAnsi="Times New Roman;serif"/>
          <w:b w:val="false"/>
          <w:sz w:val="24"/>
          <w:u w:val="single"/>
        </w:rPr>
        <w:t>paragraph (b)</w:t>
      </w:r>
      <w:r>
        <w:rPr/>
        <w:t xml:space="preserve"> </w:t>
      </w:r>
      <w:r>
        <w:rPr>
          <w:rFonts w:ascii="Times New Roman;serif" w:hAnsi="Times New Roman;serif"/>
          <w:b w:val="false"/>
          <w:sz w:val="24"/>
        </w:rPr>
        <w:t>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Service of Process</w:t>
      </w:r>
      <w:r>
        <w:rPr>
          <w:rFonts w:ascii="Times New Roman;serif" w:hAnsi="Times New Roman;serif"/>
          <w:b w:val="false"/>
          <w:sz w:val="24"/>
        </w:rPr>
        <w:t xml:space="preserve">. Each party to this Agreement (i) irrevocably consents to service of process in the manner provided for notices in </w:t>
      </w:r>
      <w:r>
        <w:rPr>
          <w:rFonts w:ascii="Times New Roman;serif" w:hAnsi="Times New Roman;serif"/>
          <w:b w:val="false"/>
          <w:sz w:val="24"/>
          <w:u w:val="single"/>
        </w:rPr>
        <w:t>Section 9.01</w:t>
      </w:r>
      <w:r>
        <w:rPr/>
        <w:t xml:space="preserve"> </w:t>
      </w:r>
      <w:r>
        <w:rPr>
          <w:rFonts w:ascii="Times New Roman;serif" w:hAnsi="Times New Roman;serif"/>
          <w:b w:val="false"/>
          <w:sz w:val="24"/>
        </w:rPr>
        <w:t xml:space="preserve">and (ii) agrees that service as provided in the manner provided for notices in </w:t>
      </w:r>
      <w:r>
        <w:rPr>
          <w:rFonts w:ascii="Times New Roman;serif" w:hAnsi="Times New Roman;serif"/>
          <w:b w:val="false"/>
          <w:sz w:val="24"/>
          <w:u w:val="single"/>
        </w:rPr>
        <w:t>Section 9.01</w:t>
      </w:r>
      <w:r>
        <w:rPr/>
        <w:t xml:space="preserve"> </w:t>
      </w:r>
      <w:r>
        <w:rPr>
          <w:rFonts w:ascii="Times New Roman;serif" w:hAnsi="Times New Roman;serif"/>
          <w:b w:val="false"/>
          <w:sz w:val="24"/>
        </w:rPr>
        <w:t xml:space="preserve">is sufficient to confer personal jurisdiction over such party in any proceeding in any court and otherwise constitutes effective and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binding service in every respect. Nothing in this Agreement will affect the right of any party to this Agreement to serve process in any other manner permitted by law.</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9.10.</w:t>
      </w:r>
    </w:p>
    <w:p>
      <w:pPr>
        <w:pStyle w:val="TextBody"/>
        <w:bidi w:val="0"/>
        <w:spacing w:before="0" w:after="240"/>
        <w:jc w:val="both"/>
        <w:rPr/>
      </w:pPr>
      <w:r>
        <w:rPr>
          <w:rFonts w:ascii="Times New Roman;serif" w:hAnsi="Times New Roman;serif"/>
          <w:b w:val="false"/>
          <w:sz w:val="24"/>
          <w:u w:val="single"/>
        </w:rPr>
        <w:t>WAIVER OF JURY TRIAL</w:t>
      </w:r>
      <w:r>
        <w:rPr>
          <w:rFonts w:ascii="Times New Roman;serif" w:hAnsi="Times New Roman;serif"/>
          <w:b w:val="false"/>
          <w:sz w:val="24"/>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9.11.</w:t>
      </w:r>
    </w:p>
    <w:p>
      <w:pPr>
        <w:pStyle w:val="TextBody"/>
        <w:bidi w:val="0"/>
        <w:spacing w:before="0" w:after="240"/>
        <w:jc w:val="both"/>
        <w:rPr/>
      </w:pPr>
      <w:r>
        <w:rPr>
          <w:rFonts w:ascii="Times New Roman;serif" w:hAnsi="Times New Roman;serif"/>
          <w:b w:val="false"/>
          <w:sz w:val="24"/>
          <w:u w:val="single"/>
        </w:rPr>
        <w:t>Judgment Currency</w:t>
      </w:r>
      <w:r>
        <w:rPr>
          <w:rFonts w:ascii="Times New Roman;serif" w:hAnsi="Times New Roman;serif"/>
          <w:b w:val="false"/>
          <w:sz w:val="24"/>
        </w:rPr>
        <w:t>. This is an international loan transaction in which the specification of Dollars or any Foreign Currency, as the case may be (the “</w:t>
      </w:r>
      <w:r>
        <w:rPr>
          <w:rFonts w:ascii="Times New Roman;serif" w:hAnsi="Times New Roman;serif"/>
          <w:b w:val="false"/>
          <w:sz w:val="24"/>
          <w:u w:val="single"/>
        </w:rPr>
        <w:t>Specified Currency</w:t>
      </w:r>
      <w:r>
        <w:rPr/>
        <w:t>”</w:t>
      </w:r>
      <w:r>
        <w:rPr>
          <w:rFonts w:ascii="Times New Roman;serif" w:hAnsi="Times New Roman;serif"/>
          <w:b w:val="false"/>
          <w:sz w:val="24"/>
        </w:rPr>
        <w:t>), and payment in New York City or the country of the Specified Currency, as the case may be (the “</w:t>
      </w:r>
      <w:r>
        <w:rPr>
          <w:rFonts w:ascii="Times New Roman;serif" w:hAnsi="Times New Roman;serif"/>
          <w:b w:val="false"/>
          <w:sz w:val="24"/>
          <w:u w:val="single"/>
        </w:rPr>
        <w:t>Specified Place</w:t>
      </w:r>
      <w:r>
        <w:rPr/>
        <w:t>”</w:t>
      </w:r>
      <w:r>
        <w:rPr>
          <w:rFonts w:ascii="Times New Roman;serif" w:hAnsi="Times New Roman;serif"/>
          <w:b w:val="false"/>
          <w:sz w:val="24"/>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serif" w:hAnsi="Times New Roman;serif"/>
          <w:b w:val="false"/>
          <w:sz w:val="24"/>
          <w:u w:val="single"/>
        </w:rPr>
        <w:t>Second Currency</w:t>
      </w:r>
      <w:r>
        <w:rPr/>
        <w:t>”</w:t>
      </w:r>
      <w:r>
        <w:rPr>
          <w:rFonts w:ascii="Times New Roman;serif" w:hAnsi="Times New Roman;serif"/>
          <w:b w:val="false"/>
          <w:sz w:val="24"/>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serif" w:hAnsi="Times New Roman;serif"/>
          <w:b w:val="false"/>
          <w:sz w:val="24"/>
          <w:u w:val="single"/>
        </w:rPr>
        <w:t>Entitled Person</w:t>
      </w:r>
      <w:r>
        <w:rPr/>
        <w:t>”</w:t>
      </w:r>
      <w:r>
        <w:rPr>
          <w:rFonts w:ascii="Times New Roman;serif" w:hAnsi="Times New Roman;serif"/>
          <w:b w:val="false"/>
          <w:sz w:val="24"/>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9.12.</w:t>
      </w:r>
    </w:p>
    <w:p>
      <w:pPr>
        <w:pStyle w:val="TextBody"/>
        <w:bidi w:val="0"/>
        <w:spacing w:before="0" w:after="240"/>
        <w:jc w:val="both"/>
        <w:rPr/>
      </w:pPr>
      <w:r>
        <w:rPr>
          <w:rFonts w:ascii="Times New Roman;serif" w:hAnsi="Times New Roman;serif"/>
          <w:b w:val="false"/>
          <w:sz w:val="24"/>
          <w:u w:val="single"/>
        </w:rPr>
        <w:t>Headings</w:t>
      </w:r>
      <w:r>
        <w:rPr>
          <w:rFonts w:ascii="Times New Roman;serif" w:hAnsi="Times New Roman;serif"/>
          <w:b w:val="false"/>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9.13.</w:t>
      </w:r>
    </w:p>
    <w:p>
      <w:pPr>
        <w:pStyle w:val="TextBody"/>
        <w:bidi w:val="0"/>
        <w:spacing w:before="0" w:after="240"/>
        <w:jc w:val="both"/>
        <w:rPr/>
      </w:pPr>
      <w:r>
        <w:rPr>
          <w:rFonts w:ascii="Times New Roman;serif" w:hAnsi="Times New Roman;serif"/>
          <w:b w:val="false"/>
          <w:sz w:val="24"/>
          <w:u w:val="single"/>
        </w:rPr>
        <w:t>Treatment of Certain Information; No Fiduciary Duty; Confidentiality</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Treatment of Certain Information; No Fiduciary Duty; No Conflicts</w:t>
      </w:r>
      <w:r>
        <w:rPr>
          <w:rFonts w:ascii="Times New Roman;serif" w:hAnsi="Times New Roman;serif"/>
          <w:b w:val="false"/>
          <w:sz w:val="24"/>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serif" w:hAnsi="Times New Roman;serif"/>
          <w:b w:val="false"/>
          <w:sz w:val="24"/>
          <w:u w:val="single"/>
        </w:rPr>
        <w:t>paragraph (b)</w:t>
      </w:r>
      <w:r>
        <w:rPr/>
        <w:t xml:space="preserve"> </w:t>
      </w:r>
      <w:r>
        <w:rPr>
          <w:rFonts w:ascii="Times New Roman;serif" w:hAnsi="Times New Roman;serif"/>
          <w:b w:val="false"/>
          <w:sz w:val="24"/>
        </w:rPr>
        <w:t>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Confidentiality</w:t>
      </w:r>
      <w:r>
        <w:rPr>
          <w:rFonts w:ascii="Times New Roman;serif" w:hAnsi="Times New Roman;serif"/>
          <w:b w:val="false"/>
          <w:sz w:val="24"/>
        </w:rPr>
        <w:t xml:space="preserve">.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 In addition, subject to an agreement containing provisions substantially the same as those of this </w:t>
      </w:r>
      <w:r>
        <w:rPr>
          <w:rFonts w:ascii="Times New Roman;serif" w:hAnsi="Times New Roman;serif"/>
          <w:b w:val="false"/>
          <w:sz w:val="24"/>
          <w:u w:val="single"/>
        </w:rPr>
        <w:t>Section 9.13(b)</w:t>
      </w:r>
      <w:r>
        <w:rPr>
          <w:rFonts w:ascii="Times New Roman;serif" w:hAnsi="Times New Roman;serif"/>
          <w:b w:val="false"/>
          <w:sz w:val="24"/>
        </w:rPr>
        <w:t>, the Administrative Agent and each Lender may disclose the existence of this Agreement and information about this Agreement to market data collectors, similar service providers to the lending industry and service providers to the Administrative Agent or any Lender in connection with the administration or servicing of this Agreement, the other Loan Documents and the Commitments.</w:t>
      </w:r>
    </w:p>
    <w:p>
      <w:pPr>
        <w:pStyle w:val="TextBody"/>
        <w:bidi w:val="0"/>
        <w:spacing w:before="0" w:after="240"/>
        <w:jc w:val="both"/>
        <w:rPr>
          <w:rFonts w:ascii="Times New Roman" w:hAnsi="Times New Roman"/>
          <w:sz w:val="20"/>
        </w:rPr>
      </w:pPr>
      <w:r>
        <w:rPr>
          <w:rFonts w:ascii="Times New Roman;serif" w:hAnsi="Times New Roman;serif"/>
          <w:b w:val="false"/>
          <w:sz w:val="24"/>
        </w:rPr>
        <w:t>For purposes of this Section, “</w:t>
      </w:r>
      <w:r>
        <w:rPr>
          <w:rFonts w:ascii="Times New Roman;serif" w:hAnsi="Times New Roman;serif"/>
          <w:b w:val="false"/>
          <w:sz w:val="24"/>
          <w:u w:val="single"/>
        </w:rPr>
        <w:t>Information</w:t>
      </w:r>
      <w:r>
        <w:rPr>
          <w:rFonts w:ascii="Times New Roman" w:hAnsi="Times New Roman"/>
          <w:sz w:val="20"/>
        </w:rPr>
        <w:t xml:space="preserve">” </w:t>
      </w:r>
      <w:r>
        <w:rPr>
          <w:rFonts w:ascii="Times New Roman;serif" w:hAnsi="Times New Roman;serif"/>
          <w:b w:val="false"/>
          <w:sz w:val="24"/>
        </w:rPr>
        <w:t xml:space="preserve">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9.14.</w:t>
      </w:r>
    </w:p>
    <w:p>
      <w:pPr>
        <w:pStyle w:val="TextBody"/>
        <w:bidi w:val="0"/>
        <w:spacing w:before="0" w:after="240"/>
        <w:jc w:val="both"/>
        <w:rPr/>
      </w:pPr>
      <w:r>
        <w:rPr>
          <w:rFonts w:ascii="Times New Roman;serif" w:hAnsi="Times New Roman;serif"/>
          <w:b w:val="false"/>
          <w:sz w:val="24"/>
          <w:u w:val="single"/>
        </w:rPr>
        <w:t>USA PATRIOT Act</w:t>
      </w:r>
      <w:r>
        <w:rPr>
          <w:rFonts w:ascii="Times New Roman;serif" w:hAnsi="Times New Roman;serif"/>
          <w:b w:val="false"/>
          <w:sz w:val="24"/>
        </w:rPr>
        <w:t>. Each Lender hereby notifies the Borrower that pursuant to the requirements of the USA PATRIOT Act (Title III of Pub. L. 107</w:t>
        <w:noBreakHyphen/>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9.15.</w:t>
      </w:r>
    </w:p>
    <w:p>
      <w:pPr>
        <w:pStyle w:val="TextBody"/>
        <w:bidi w:val="0"/>
        <w:spacing w:before="0" w:after="240"/>
        <w:jc w:val="both"/>
        <w:rPr/>
      </w:pPr>
      <w:r>
        <w:rPr>
          <w:rFonts w:ascii="Times New Roman;serif" w:hAnsi="Times New Roman;serif"/>
          <w:b w:val="false"/>
          <w:sz w:val="24"/>
          <w:u w:val="single"/>
        </w:rPr>
        <w:t>Effect of Amendment and Restatement of the Existing Credit Agreement</w:t>
      </w:r>
      <w:r>
        <w:rPr>
          <w:rFonts w:ascii="Times New Roman;serif" w:hAnsi="Times New Roman;serif"/>
          <w:b w:val="false"/>
          <w:sz w:val="24"/>
        </w:rPr>
        <w:t xml:space="preserve">. On the Effective Date, the Existing Credit Agreement shall be amended and restated in its entirety. The parties hereto acknowledge and agree that (a) this Agreement and the other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9.16.</w:t>
      </w:r>
    </w:p>
    <w:p>
      <w:pPr>
        <w:pStyle w:val="TextBody"/>
        <w:bidi w:val="0"/>
        <w:spacing w:before="0" w:after="240"/>
        <w:jc w:val="both"/>
        <w:rPr>
          <w:rFonts w:ascii="Times New Roman;serif" w:hAnsi="Times New Roman;serif"/>
          <w:b w:val="false"/>
          <w:sz w:val="24"/>
          <w:u w:val="single"/>
        </w:rPr>
      </w:pPr>
      <w:r>
        <w:rPr>
          <w:rFonts w:ascii="Times New Roman;serif" w:hAnsi="Times New Roman;serif"/>
          <w:b w:val="false"/>
          <w:sz w:val="24"/>
          <w:u w:val="single"/>
        </w:rPr>
        <w:t>[Reserved]</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9.17.</w:t>
      </w:r>
    </w:p>
    <w:p>
      <w:pPr>
        <w:pStyle w:val="TextBody"/>
        <w:bidi w:val="0"/>
        <w:spacing w:before="0" w:after="240"/>
        <w:jc w:val="both"/>
        <w:rPr/>
      </w:pPr>
      <w:r>
        <w:rPr>
          <w:rFonts w:ascii="Times New Roman;serif" w:hAnsi="Times New Roman;serif"/>
          <w:b w:val="false"/>
          <w:sz w:val="24"/>
          <w:u w:val="single"/>
        </w:rPr>
        <w:t>Acknowledgement and Consent to Bail-In of Affected Financial Institutions</w:t>
      </w:r>
      <w:r>
        <w:rPr>
          <w:rFonts w:ascii="Times New Roman;serif" w:hAnsi="Times New Roman;serif"/>
          <w:b w:val="false"/>
          <w:sz w:val="24"/>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effects of any Bail-In Action on any such liability, including, if applicable:</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reduction in full or in part or cancellation of any such liability;</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9.18.</w:t>
      </w:r>
    </w:p>
    <w:p>
      <w:pPr>
        <w:pStyle w:val="TextBody"/>
        <w:bidi w:val="0"/>
        <w:spacing w:before="0" w:after="240"/>
        <w:jc w:val="both"/>
        <w:rPr/>
      </w:pPr>
      <w:r>
        <w:rPr>
          <w:rFonts w:ascii="Times New Roman;serif" w:hAnsi="Times New Roman;serif"/>
          <w:b w:val="false"/>
          <w:sz w:val="24"/>
          <w:u w:val="single"/>
        </w:rPr>
        <w:t>Certain ERISA Matters</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such Lender is not using “plan assets” (within the meaning of Section 3(42) of ERISA) of one or more Benefit Plans with respect to such Lender’s entrance into, participation in, administration of and performance of the Loans, the Letters of Credit, the Commitments or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are satisfied with respect to such Lender’s entrance into, participation in, administration of and performance of the Loans, the Letters of Credit, the Commitments and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such other representation, warranty and covenant as may be agreed in writing between the Administrative Agent, in its sole discretion, and such Lender.</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In addition, unless either (1) </w:t>
      </w:r>
      <w:r>
        <w:rPr>
          <w:rFonts w:ascii="Times New Roman;serif" w:hAnsi="Times New Roman;serif"/>
          <w:b w:val="false"/>
          <w:sz w:val="24"/>
          <w:u w:val="single"/>
        </w:rPr>
        <w:t>clause (i)</w:t>
      </w:r>
      <w:r>
        <w:rPr/>
        <w:t xml:space="preserve"> </w:t>
      </w:r>
      <w:r>
        <w:rPr>
          <w:rFonts w:ascii="Times New Roman;serif" w:hAnsi="Times New Roman;serif"/>
          <w:b w:val="false"/>
          <w:sz w:val="24"/>
        </w:rPr>
        <w:t xml:space="preserve">in the immediately preceding </w:t>
      </w:r>
      <w:r>
        <w:rPr>
          <w:rFonts w:ascii="Times New Roman;serif" w:hAnsi="Times New Roman;serif"/>
          <w:b w:val="false"/>
          <w:sz w:val="24"/>
          <w:u w:val="single"/>
        </w:rPr>
        <w:t>paragraph (a)</w:t>
      </w:r>
      <w:r>
        <w:rPr/>
        <w:t xml:space="preserve"> </w:t>
      </w:r>
      <w:r>
        <w:rPr>
          <w:rFonts w:ascii="Times New Roman;serif" w:hAnsi="Times New Roman;serif"/>
          <w:b w:val="false"/>
          <w:sz w:val="24"/>
        </w:rPr>
        <w:t xml:space="preserve">is true with respect to a Lender or (2) a Lender has provided another representation, warranty and covenant in accordance with </w:t>
      </w:r>
      <w:r>
        <w:rPr>
          <w:rFonts w:ascii="Times New Roman;serif" w:hAnsi="Times New Roman;serif"/>
          <w:b w:val="false"/>
          <w:sz w:val="24"/>
          <w:u w:val="single"/>
        </w:rPr>
        <w:t>clause (iv)</w:t>
      </w:r>
      <w:r>
        <w:rPr/>
        <w:t xml:space="preserve"> </w:t>
      </w:r>
      <w:r>
        <w:rPr>
          <w:rFonts w:ascii="Times New Roman;serif" w:hAnsi="Times New Roman;serif"/>
          <w:b w:val="false"/>
          <w:sz w:val="24"/>
        </w:rPr>
        <w:t xml:space="preserve">in the immediately preceding </w:t>
      </w:r>
      <w:r>
        <w:rPr>
          <w:rFonts w:ascii="Times New Roman;serif" w:hAnsi="Times New Roman;serif"/>
          <w:b w:val="false"/>
          <w:sz w:val="24"/>
          <w:u w:val="single"/>
        </w:rPr>
        <w:t>paragraph (a)</w:t>
      </w:r>
      <w:r>
        <w:rPr>
          <w:rFonts w:ascii="Times New Roman;serif" w:hAnsi="Times New Roman;serif"/>
          <w:b w:val="false"/>
          <w:sz w:val="24"/>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none of the Administrative Agent, the Joint Lead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pStyle w:val="TextBody"/>
        <w:bidi w:val="0"/>
        <w:spacing w:before="0" w:after="240"/>
        <w:jc w:val="both"/>
        <w:rPr>
          <w:rFonts w:ascii="Times New Roman" w:hAnsi="Times New Roman"/>
          <w:b w:val="false"/>
          <w:caps/>
          <w:sz w:val="24"/>
        </w:rPr>
      </w:pPr>
      <w:r>
        <w:rPr>
          <w:rFonts w:ascii="Times New Roman" w:hAnsi="Times New Roman"/>
          <w:b w:val="false"/>
          <w:caps/>
          <w:sz w:val="24"/>
        </w:rPr>
        <w:t>SECTION 9.19.</w:t>
      </w:r>
    </w:p>
    <w:p>
      <w:pPr>
        <w:pStyle w:val="TextBody"/>
        <w:bidi w:val="0"/>
        <w:spacing w:before="0" w:after="240"/>
        <w:jc w:val="both"/>
        <w:rPr/>
      </w:pPr>
      <w:r>
        <w:rPr>
          <w:rFonts w:ascii="Times New Roman;serif" w:hAnsi="Times New Roman;serif"/>
          <w:b w:val="false"/>
          <w:sz w:val="24"/>
          <w:u w:val="single"/>
        </w:rPr>
        <w:t>Acknowledgement Regarding Any Supported QFCs</w:t>
      </w:r>
      <w:r>
        <w:rPr>
          <w:rFonts w:ascii="Times New Roman;serif" w:hAnsi="Times New Roman;serif"/>
          <w:b w:val="false"/>
          <w:sz w:val="24"/>
        </w:rPr>
        <w:t xml:space="preserve">. To the extent that the Loan Documents provide support, through a guarantee or otherwise, for Hedging Agreements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or any other agreement or instrument that is a QFC (such support, “</w:t>
      </w:r>
      <w:r>
        <w:rPr>
          <w:rFonts w:ascii="Times New Roman;serif" w:hAnsi="Times New Roman;serif"/>
          <w:b w:val="false"/>
          <w:sz w:val="24"/>
          <w:u w:val="single"/>
        </w:rPr>
        <w:t>QFC Credit Support</w:t>
      </w:r>
      <w:r>
        <w:rPr/>
        <w:t>”</w:t>
      </w:r>
      <w:r>
        <w:rPr>
          <w:rFonts w:ascii="Times New Roman;serif" w:hAnsi="Times New Roman;serif"/>
          <w:b w:val="false"/>
          <w:sz w:val="24"/>
        </w:rPr>
        <w:t>, and each such QFC, a “</w:t>
      </w:r>
      <w:r>
        <w:rPr>
          <w:rFonts w:ascii="Times New Roman;serif" w:hAnsi="Times New Roman;serif"/>
          <w:b w:val="false"/>
          <w:sz w:val="24"/>
          <w:u w:val="single"/>
        </w:rPr>
        <w:t>Supported QFC</w:t>
      </w:r>
      <w:r>
        <w:rPr/>
        <w:t>”</w:t>
      </w:r>
      <w:r>
        <w:rPr>
          <w:rFonts w:ascii="Times New Roman;serif" w:hAnsi="Times New Roman;serif"/>
          <w:b w:val="false"/>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sz w:val="24"/>
          <w:u w:val="single"/>
        </w:rPr>
        <w:t>U.S. Special Resolution Regimes</w:t>
      </w:r>
      <w:r>
        <w:rPr/>
        <w:t>”</w:t>
      </w:r>
      <w:r>
        <w:rPr>
          <w:rFonts w:ascii="Times New Roman;serif" w:hAnsi="Times New Roman;serif"/>
          <w:b w:val="false"/>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In the event a Covered Entity that is party to a Supported QFC (each, a “</w:t>
      </w:r>
      <w:r>
        <w:rPr>
          <w:rFonts w:ascii="Times New Roman;serif" w:hAnsi="Times New Roman;serif"/>
          <w:b w:val="false"/>
          <w:sz w:val="24"/>
          <w:u w:val="single"/>
        </w:rPr>
        <w:t>Covered Party</w:t>
      </w:r>
      <w:r>
        <w:rPr/>
        <w:t>”</w:t>
      </w:r>
      <w:r>
        <w:rPr>
          <w:rFonts w:ascii="Times New Roman;serif" w:hAnsi="Times New Roman;serif"/>
          <w:b w:val="false"/>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As used in this </w:t>
      </w:r>
      <w:r>
        <w:rPr>
          <w:rFonts w:ascii="Times New Roman;serif" w:hAnsi="Times New Roman;serif"/>
          <w:b w:val="false"/>
          <w:sz w:val="24"/>
          <w:u w:val="single"/>
        </w:rPr>
        <w:t>Section 9.19</w:t>
      </w:r>
      <w:r>
        <w:rPr>
          <w:rFonts w:ascii="Times New Roman;serif" w:hAnsi="Times New Roman;serif"/>
          <w:b w:val="false"/>
          <w:sz w:val="24"/>
        </w:rPr>
        <w:t>, the following terms have the following meanings:</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t>“</w:t>
      </w:r>
      <w:r>
        <w:rPr>
          <w:rFonts w:ascii="Times New Roman;serif" w:hAnsi="Times New Roman;serif"/>
          <w:b w:val="false"/>
          <w:sz w:val="24"/>
          <w:u w:val="single"/>
        </w:rPr>
        <w:t>BHC Act Affiliate</w:t>
      </w:r>
      <w:r>
        <w:rPr/>
        <w:t xml:space="preserve">” </w:t>
      </w:r>
      <w:r>
        <w:rPr>
          <w:rFonts w:ascii="Times New Roman;serif" w:hAnsi="Times New Roman;serif"/>
          <w:b w:val="false"/>
          <w:sz w:val="24"/>
        </w:rPr>
        <w:t>of a party means an “affiliate” (as such term is defined under, and interpreted in accordance with, 12 U.S.C. 1841(k)) of such party.</w:t>
      </w:r>
    </w:p>
    <w:p>
      <w:pPr>
        <w:pStyle w:val="TextBody"/>
        <w:bidi w:val="0"/>
        <w:spacing w:before="0" w:after="240"/>
        <w:jc w:val="both"/>
        <w:rPr>
          <w:rFonts w:ascii="Times New Roman" w:hAnsi="Times New Roman"/>
          <w:sz w:val="20"/>
        </w:rPr>
      </w:pPr>
      <w:r>
        <w:rPr>
          <w:rFonts w:ascii="Times New Roman;serif" w:hAnsi="Times New Roman;serif"/>
          <w:b w:val="false"/>
          <w:sz w:val="24"/>
        </w:rPr>
        <w:t>(ii) “</w:t>
      </w:r>
      <w:r>
        <w:rPr>
          <w:rFonts w:ascii="Times New Roman;serif" w:hAnsi="Times New Roman;serif"/>
          <w:b w:val="false"/>
          <w:sz w:val="24"/>
          <w:u w:val="single"/>
        </w:rPr>
        <w:t>Covered Entity</w:t>
      </w:r>
      <w:r>
        <w:rPr>
          <w:rFonts w:ascii="Times New Roman" w:hAnsi="Times New Roman"/>
          <w:sz w:val="20"/>
        </w:rPr>
        <w:t xml:space="preserve">” </w:t>
      </w:r>
      <w:r>
        <w:rPr>
          <w:rFonts w:ascii="Times New Roman;serif" w:hAnsi="Times New Roman;serif"/>
          <w:b w:val="false"/>
          <w:sz w:val="24"/>
        </w:rPr>
        <w:t>means any of the following:</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(A) a “covered entity” as that term is defined in, and interpreted in accordance with, 12 C.F.R. § 252.82(b);</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(B) a “covered bank” as that term is defined in, and interpreted in accordance with, 12 C.F.R. § 47.3(b); or</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 a “covered FSI” as that term is defined in, and interpreted in accordance with, 12 C.F.R. § 382.2(b).</w:t>
      </w:r>
    </w:p>
    <w:p>
      <w:pPr>
        <w:pStyle w:val="TextBody"/>
        <w:bidi w:val="0"/>
        <w:spacing w:before="0" w:after="240"/>
        <w:jc w:val="both"/>
        <w:rPr>
          <w:rFonts w:ascii="Times New Roman" w:hAnsi="Times New Roman"/>
          <w:sz w:val="20"/>
        </w:rPr>
      </w:pPr>
      <w:r>
        <w:rPr>
          <w:rFonts w:ascii="Times New Roman;serif" w:hAnsi="Times New Roman;serif"/>
          <w:b w:val="false"/>
          <w:sz w:val="24"/>
        </w:rPr>
        <w:t>(iii) “</w:t>
      </w:r>
      <w:r>
        <w:rPr>
          <w:rFonts w:ascii="Times New Roman;serif" w:hAnsi="Times New Roman;serif"/>
          <w:b w:val="false"/>
          <w:sz w:val="24"/>
          <w:u w:val="single"/>
        </w:rPr>
        <w:t>Default Right</w:t>
      </w:r>
      <w:r>
        <w:rPr>
          <w:rFonts w:ascii="Times New Roman" w:hAnsi="Times New Roman"/>
          <w:sz w:val="20"/>
        </w:rPr>
        <w:t xml:space="preserve">” </w:t>
      </w:r>
      <w:r>
        <w:rPr>
          <w:rFonts w:ascii="Times New Roman;serif" w:hAnsi="Times New Roman;serif"/>
          <w:b w:val="false"/>
          <w:sz w:val="24"/>
        </w:rPr>
        <w:t>has the meaning assigned to that term in, and shall be interpreted in accordance with, 12 C.F.R. §§ 252.81, 47.2 or 382.1, as applicable.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(iv) “</w:t>
      </w:r>
      <w:r>
        <w:rPr>
          <w:rFonts w:ascii="Times New Roman;serif" w:hAnsi="Times New Roman;serif"/>
          <w:b w:val="false"/>
          <w:sz w:val="24"/>
          <w:u w:val="single"/>
        </w:rPr>
        <w:t>QFC</w:t>
      </w:r>
      <w:r>
        <w:rPr>
          <w:rFonts w:ascii="Times New Roman" w:hAnsi="Times New Roman"/>
          <w:sz w:val="20"/>
        </w:rPr>
        <w:t xml:space="preserve">” </w:t>
      </w:r>
      <w:r>
        <w:rPr>
          <w:rFonts w:ascii="Times New Roman;serif" w:hAnsi="Times New Roman;serif"/>
          <w:b w:val="false"/>
          <w:sz w:val="24"/>
        </w:rPr>
        <w:t>has the meaning assigned to the term “qualified financial contract” in, and shall be interpreted in accordance with, 12 U.S.C. 5390(c)(8)(D).</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tslx-ex31_1.htm"/>
      <w:bookmarkStart w:id="26" w:name="kstslxex31_1"/>
      <w:bookmarkEnd w:id="25"/>
      <w:bookmarkEnd w:id="26"/>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u w:val="single"/>
        </w:rPr>
        <w:t>CEO CERTIFICATION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Joshua Easterly, certify that: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(1) I have reviewed this quarterly report on Form 10-Q of Sixth Street Specialty Lending, Inc.;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4615" w:type="dxa"/>
        <w:jc w:val="left"/>
        <w:tblInd w:w="0" w:type="dxa"/>
        <w:tblLayout w:type="fixed"/>
        <w:tblCellMar>
          <w:top w:w="28" w:type="dxa"/>
          <w:left w:w="28" w:type="dxa"/>
          <w:bottom w:w="28" w:type="dxa"/>
          <w:right w:w="28" w:type="dxa"/>
        </w:tblCellMar>
      </w:tblPr>
      <w:tblGrid>
        <w:gridCol w:w="1846"/>
        <w:gridCol w:w="146"/>
        <w:gridCol w:w="406"/>
        <w:gridCol w:w="14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7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Joshua Easterly</w:t>
            </w:r>
          </w:p>
        </w:tc>
      </w:tr>
      <w:tr>
        <w:trPr/>
        <w:tc>
          <w:tcPr>
            <w:tcW w:w="1846" w:type="dxa"/>
            <w:tcBorders/>
            <w:vAlign w:val="center"/>
          </w:tcPr>
          <w:p>
            <w:pPr>
              <w:pStyle w:val="TableContents"/>
              <w:bidi w:val="0"/>
              <w:spacing w:before="40" w:after="0"/>
              <w:ind w:left="0" w:right="0" w:hanging="0"/>
              <w:jc w:val="left"/>
              <w:rPr/>
            </w:pPr>
            <w:r>
              <w:rPr/>
              <w:t> </w:t>
            </w:r>
          </w:p>
        </w:tc>
        <w:tc>
          <w:tcPr>
            <w:tcW w:w="146" w:type="dxa"/>
            <w:tcBorders/>
            <w:vAlign w:val="center"/>
          </w:tcPr>
          <w:p>
            <w:pPr>
              <w:pStyle w:val="TableContents"/>
              <w:bidi w:val="0"/>
              <w:spacing w:before="40" w:after="0"/>
              <w:ind w:left="0" w:right="0" w:hanging="0"/>
              <w:jc w:val="left"/>
              <w:rPr/>
            </w:pPr>
            <w:r>
              <w:rPr/>
              <w:t> </w:t>
            </w:r>
          </w:p>
        </w:tc>
        <w:tc>
          <w:tcPr>
            <w:tcW w:w="406" w:type="dxa"/>
            <w:tcBorders/>
            <w:vAlign w:val="center"/>
          </w:tcPr>
          <w:p>
            <w:pPr>
              <w:pStyle w:val="TableContents"/>
              <w:bidi w:val="0"/>
              <w:spacing w:before="40" w:after="0"/>
              <w:ind w:left="0" w:right="0" w:hanging="0"/>
              <w:jc w:val="left"/>
              <w:rPr/>
            </w:pPr>
            <w:r>
              <w:rPr/>
              <w:t> </w:t>
            </w:r>
          </w:p>
        </w:tc>
        <w:tc>
          <w:tcPr>
            <w:tcW w:w="146" w:type="dxa"/>
            <w:tcBorders/>
            <w:vAlign w:val="center"/>
          </w:tcPr>
          <w:p>
            <w:pPr>
              <w:pStyle w:val="TableContents"/>
              <w:bidi w:val="0"/>
              <w:spacing w:before="40" w:after="0"/>
              <w:ind w:left="0" w:right="0" w:hanging="0"/>
              <w:jc w:val="left"/>
              <w:rPr/>
            </w:pPr>
            <w:r>
              <w:rPr/>
              <w:t> </w:t>
            </w:r>
          </w:p>
        </w:tc>
        <w:tc>
          <w:tcPr>
            <w:tcW w:w="2071" w:type="dxa"/>
            <w:tcBorders/>
            <w:vAlign w:val="center"/>
          </w:tcPr>
          <w:p>
            <w:pPr>
              <w:pStyle w:val="TableContents"/>
              <w:bidi w:val="0"/>
              <w:spacing w:before="40" w:after="0"/>
              <w:ind w:left="0" w:right="0" w:hanging="0"/>
              <w:jc w:val="left"/>
              <w:rPr>
                <w:rFonts w:ascii="Times New Roman;serif" w:hAnsi="Times New Roman;serif"/>
                <w:b w:val="false"/>
                <w:sz w:val="20"/>
              </w:rPr>
            </w:pPr>
            <w:r>
              <w:rPr>
                <w:rFonts w:ascii="Times New Roman;serif" w:hAnsi="Times New Roman;serif"/>
                <w:b w:val="false"/>
                <w:sz w:val="20"/>
              </w:rPr>
              <w:t>Joshua Easterly</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tslx-ex31_2.htm"/>
      <w:bookmarkStart w:id="28" w:name="kstslxex31_2"/>
      <w:bookmarkEnd w:id="27"/>
      <w:bookmarkEnd w:id="28"/>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31.2</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u w:val="single"/>
        </w:rPr>
        <w:t>CFO CERTIFICATION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Ian Simmonds, certify that: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(1) I have reviewed this quarterly report on Form 10-Q of Sixth Street Specialty Lending, Inc.;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4555" w:type="dxa"/>
        <w:jc w:val="left"/>
        <w:tblInd w:w="0" w:type="dxa"/>
        <w:tblLayout w:type="fixed"/>
        <w:tblCellMar>
          <w:top w:w="28" w:type="dxa"/>
          <w:left w:w="28" w:type="dxa"/>
          <w:bottom w:w="28" w:type="dxa"/>
          <w:right w:w="28" w:type="dxa"/>
        </w:tblCellMar>
      </w:tblPr>
      <w:tblGrid>
        <w:gridCol w:w="1846"/>
        <w:gridCol w:w="146"/>
        <w:gridCol w:w="406"/>
        <w:gridCol w:w="146"/>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1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Ian Simmonds</w:t>
            </w:r>
          </w:p>
        </w:tc>
      </w:tr>
      <w:tr>
        <w:trPr/>
        <w:tc>
          <w:tcPr>
            <w:tcW w:w="1846" w:type="dxa"/>
            <w:tcBorders/>
            <w:vAlign w:val="center"/>
          </w:tcPr>
          <w:p>
            <w:pPr>
              <w:pStyle w:val="TableContents"/>
              <w:bidi w:val="0"/>
              <w:spacing w:before="40" w:after="0"/>
              <w:ind w:left="0" w:right="0" w:hanging="0"/>
              <w:jc w:val="left"/>
              <w:rPr/>
            </w:pPr>
            <w:r>
              <w:rPr/>
              <w:t> </w:t>
            </w:r>
          </w:p>
        </w:tc>
        <w:tc>
          <w:tcPr>
            <w:tcW w:w="146" w:type="dxa"/>
            <w:tcBorders/>
            <w:vAlign w:val="center"/>
          </w:tcPr>
          <w:p>
            <w:pPr>
              <w:pStyle w:val="TableContents"/>
              <w:bidi w:val="0"/>
              <w:spacing w:before="40" w:after="0"/>
              <w:ind w:left="0" w:right="0" w:hanging="0"/>
              <w:jc w:val="left"/>
              <w:rPr/>
            </w:pPr>
            <w:r>
              <w:rPr/>
              <w:t> </w:t>
            </w:r>
          </w:p>
        </w:tc>
        <w:tc>
          <w:tcPr>
            <w:tcW w:w="406" w:type="dxa"/>
            <w:tcBorders/>
            <w:vAlign w:val="center"/>
          </w:tcPr>
          <w:p>
            <w:pPr>
              <w:pStyle w:val="TableContents"/>
              <w:bidi w:val="0"/>
              <w:spacing w:before="40" w:after="0"/>
              <w:ind w:left="0" w:right="0" w:hanging="0"/>
              <w:jc w:val="left"/>
              <w:rPr/>
            </w:pPr>
            <w:r>
              <w:rPr/>
              <w:t> </w:t>
            </w:r>
          </w:p>
        </w:tc>
        <w:tc>
          <w:tcPr>
            <w:tcW w:w="146" w:type="dxa"/>
            <w:tcBorders/>
            <w:vAlign w:val="center"/>
          </w:tcPr>
          <w:p>
            <w:pPr>
              <w:pStyle w:val="TableContents"/>
              <w:bidi w:val="0"/>
              <w:spacing w:before="40" w:after="0"/>
              <w:ind w:left="0" w:right="0" w:hanging="0"/>
              <w:jc w:val="left"/>
              <w:rPr/>
            </w:pPr>
            <w:r>
              <w:rPr/>
              <w:t> </w:t>
            </w:r>
          </w:p>
        </w:tc>
        <w:tc>
          <w:tcPr>
            <w:tcW w:w="2011" w:type="dxa"/>
            <w:tcBorders/>
            <w:vAlign w:val="center"/>
          </w:tcPr>
          <w:p>
            <w:pPr>
              <w:pStyle w:val="TableContents"/>
              <w:bidi w:val="0"/>
              <w:spacing w:before="40" w:after="0"/>
              <w:ind w:left="0" w:right="0" w:hanging="0"/>
              <w:jc w:val="left"/>
              <w:rPr>
                <w:rFonts w:ascii="Times New Roman;serif" w:hAnsi="Times New Roman;serif"/>
                <w:b w:val="false"/>
                <w:sz w:val="20"/>
              </w:rPr>
            </w:pPr>
            <w:r>
              <w:rPr>
                <w:rFonts w:ascii="Times New Roman;serif" w:hAnsi="Times New Roman;serif"/>
                <w:b w:val="false"/>
                <w:sz w:val="20"/>
              </w:rPr>
              <w:t>Ian Simmonds</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9" w:name="tslx-ex32.htm"/>
      <w:bookmarkStart w:id="30" w:name="kstslxex32"/>
      <w:bookmarkEnd w:id="29"/>
      <w:bookmarkEnd w:id="30"/>
      <w:r>
        <w:rPr>
          <w:rFonts w:ascii="Times New Roman;serif" w:hAnsi="Times New Roman;serif"/>
          <w:b/>
          <w:sz w:val="20"/>
        </w:rPr>
        <w:t>Exhibit 32</w:t>
      </w:r>
      <w:r>
        <w:rPr>
          <w:rFonts w:ascii="Times New Roman" w:hAnsi="Times New Roman"/>
          <w:sz w:val="20"/>
        </w:rPr>
        <w:t xml:space="preserve"> </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CEO and CFO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on Form 10-Q of Sixth Street Specialty Lending, Inc. (the “Company”) for the quarterly period ended June 30, 2023,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(1) The Report fully complies with the requirements of Section 13(a) or 15(d) of the Securities Exchange Act of 1934;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(2) The information contained in the Report fairly presents, in all material respects, the financial condition and results of operations of the Company.</w:t>
      </w:r>
      <w:r>
        <w:rPr>
          <w:rFonts w:ascii="Times New Roman" w:hAnsi="Times New Roman"/>
          <w:sz w:val="20"/>
        </w:rPr>
        <w:t xml:space="preserve"> </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Joshua Easterly</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Joshua Easterly</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3, 2023</w:t>
            </w:r>
          </w:p>
        </w:tc>
      </w:tr>
    </w:tbl>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Ian Simmonds</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Ian Simmonds</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3, 2023</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foregoing certification is being furnished solely pursuant to 18 U.S.C. §1350 and is not being filed as part of the Report or as a separate disclosure document.</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08655/000119312523188221/d534568d8ka.htm" TargetMode="External"/><Relationship Id="rId3" Type="http://schemas.openxmlformats.org/officeDocument/2006/relationships/hyperlink" Target="https://www.sec.gov/ix?doc=/Archives/edgar/data/1508655/000119312523188221/d534568d8k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133323</Words>
  <Characters>708638</Characters>
  <CharactersWithSpaces>846280</CharactersWithSpaces>
  <Paragraphs>22904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