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0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540" w:right="4560" w:firstLine="289"/>
        <w:spacing w:after="0" w:line="605" w:lineRule="auto"/>
        <w:tabs>
          <w:tab w:leader="none" w:pos="49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240.13d-2(a) (Amendment No. 3) *</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Timothy M. Walsh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of New Jersey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Division of Investment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 West State Street,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290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Trenton, NJ 08625-0290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(609) 292-5106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May 16, 2012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21"/>
          <w:szCs w:val="21"/>
          <w:color w:val="auto"/>
        </w:rPr>
        <w:t>□</w:t>
      </w:r>
    </w:p>
    <w:p>
      <w:pPr>
        <w:spacing w:after="0" w:line="3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580" w:top="472" w:right="5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4"/>
        </w:trPr>
        <w:tc>
          <w:tcPr>
            <w:tcW w:w="600" w:type="dxa"/>
            <w:vAlign w:val="bottom"/>
            <w:tcBorders>
              <w:top w:val="single" w:sz="8" w:color="auto"/>
              <w:left w:val="single" w:sz="8" w:color="auto"/>
              <w:right w:val="single" w:sz="8" w:color="auto"/>
            </w:tcBorders>
          </w:tcPr>
          <w:p>
            <w:pPr>
              <w:jc w:val="right"/>
              <w:ind w:right="140"/>
              <w:spacing w:after="0"/>
              <w:rPr>
                <w:sz w:val="20"/>
                <w:szCs w:val="20"/>
                <w:color w:val="auto"/>
              </w:rPr>
            </w:pPr>
            <w:r>
              <w:rPr>
                <w:rFonts w:ascii="Arial" w:cs="Arial" w:eastAsia="Arial" w:hAnsi="Arial"/>
                <w:sz w:val="22"/>
                <w:szCs w:val="22"/>
                <w:b w:val="1"/>
                <w:bCs w:val="1"/>
                <w:color w:val="auto"/>
              </w:rPr>
              <w:t>1</w:t>
            </w:r>
          </w:p>
        </w:tc>
        <w:tc>
          <w:tcPr>
            <w:tcW w:w="100" w:type="dxa"/>
            <w:vAlign w:val="bottom"/>
            <w:tcBorders>
              <w:top w:val="single" w:sz="8" w:color="auto"/>
            </w:tcBorders>
          </w:tcPr>
          <w:p>
            <w:pPr>
              <w:spacing w:after="0"/>
              <w:rPr>
                <w:sz w:val="24"/>
                <w:szCs w:val="24"/>
                <w:color w:val="auto"/>
              </w:rPr>
            </w:pPr>
          </w:p>
        </w:tc>
        <w:tc>
          <w:tcPr>
            <w:tcW w:w="1072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7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State of New Jersey Common Pension Fund B</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7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right w:val="single" w:sz="8" w:color="auto"/>
            </w:tcBorders>
          </w:tcPr>
          <w:p>
            <w:pPr>
              <w:jc w:val="right"/>
              <w:ind w:right="140"/>
              <w:spacing w:after="0" w:line="205" w:lineRule="exact"/>
              <w:rPr>
                <w:sz w:val="20"/>
                <w:szCs w:val="20"/>
                <w:color w:val="auto"/>
              </w:rPr>
            </w:pPr>
            <w:r>
              <w:rPr>
                <w:rFonts w:ascii="Arial" w:cs="Arial" w:eastAsia="Arial" w:hAnsi="Arial"/>
                <w:sz w:val="22"/>
                <w:szCs w:val="22"/>
                <w:b w:val="1"/>
                <w:bCs w:val="1"/>
                <w:color w:val="auto"/>
              </w:rPr>
              <w:t>2</w:t>
            </w:r>
          </w:p>
        </w:tc>
        <w:tc>
          <w:tcPr>
            <w:tcW w:w="100" w:type="dxa"/>
            <w:vAlign w:val="bottom"/>
          </w:tcPr>
          <w:p>
            <w:pPr>
              <w:spacing w:after="0"/>
              <w:rPr>
                <w:sz w:val="17"/>
                <w:szCs w:val="17"/>
                <w:color w:val="auto"/>
              </w:rPr>
            </w:pPr>
          </w:p>
        </w:tc>
        <w:tc>
          <w:tcPr>
            <w:tcW w:w="10720" w:type="dxa"/>
            <w:vAlign w:val="bottom"/>
            <w:tcBorders>
              <w:right w:val="single" w:sz="8" w:color="auto"/>
            </w:tcBorders>
            <w:gridSpan w:val="5"/>
          </w:tcPr>
          <w:p>
            <w:pPr>
              <w:ind w:left="20"/>
              <w:spacing w:after="0" w:line="205"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74"/>
        </w:trPr>
        <w:tc>
          <w:tcPr>
            <w:tcW w:w="60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80" w:type="dxa"/>
            <w:vAlign w:val="bottom"/>
            <w:tcBorders>
              <w:right w:val="single" w:sz="8" w:color="auto"/>
            </w:tcBorders>
          </w:tcPr>
          <w:p>
            <w:pPr>
              <w:ind w:left="3180"/>
              <w:spacing w:after="0" w:line="17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80" w:type="dxa"/>
            <w:vAlign w:val="bottom"/>
            <w:tcBorders>
              <w:right w:val="single" w:sz="8" w:color="auto"/>
            </w:tcBorders>
          </w:tcPr>
          <w:p>
            <w:pPr>
              <w:ind w:left="3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tcPr>
          <w:p>
            <w:pPr>
              <w:jc w:val="right"/>
              <w:ind w:right="140"/>
              <w:spacing w:after="0"/>
              <w:rPr>
                <w:sz w:val="20"/>
                <w:szCs w:val="20"/>
                <w:color w:val="auto"/>
              </w:rPr>
            </w:pPr>
            <w:r>
              <w:rPr>
                <w:rFonts w:ascii="Arial" w:cs="Arial" w:eastAsia="Arial" w:hAnsi="Arial"/>
                <w:sz w:val="22"/>
                <w:szCs w:val="22"/>
                <w:b w:val="1"/>
                <w:bCs w:val="1"/>
                <w:color w:val="auto"/>
              </w:rPr>
              <w:t>3</w:t>
            </w:r>
          </w:p>
        </w:tc>
        <w:tc>
          <w:tcPr>
            <w:tcW w:w="100" w:type="dxa"/>
            <w:vAlign w:val="bottom"/>
          </w:tcPr>
          <w:p>
            <w:pPr>
              <w:spacing w:after="0"/>
              <w:rPr>
                <w:sz w:val="23"/>
                <w:szCs w:val="23"/>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color w:val="auto"/>
              </w:rPr>
              <w:t>SEC USE ONLY</w:t>
            </w:r>
          </w:p>
        </w:tc>
        <w:tc>
          <w:tcPr>
            <w:tcW w:w="8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tcPr>
          <w:p>
            <w:pPr>
              <w:jc w:val="right"/>
              <w:ind w:right="140"/>
              <w:spacing w:after="0"/>
              <w:rPr>
                <w:sz w:val="20"/>
                <w:szCs w:val="20"/>
                <w:color w:val="auto"/>
              </w:rPr>
            </w:pPr>
            <w:r>
              <w:rPr>
                <w:rFonts w:ascii="Arial" w:cs="Arial" w:eastAsia="Arial" w:hAnsi="Arial"/>
                <w:sz w:val="22"/>
                <w:szCs w:val="22"/>
                <w:b w:val="1"/>
                <w:bCs w:val="1"/>
                <w:color w:val="auto"/>
              </w:rPr>
              <w:t>4</w:t>
            </w:r>
          </w:p>
        </w:tc>
        <w:tc>
          <w:tcPr>
            <w:tcW w:w="100" w:type="dxa"/>
            <w:vAlign w:val="bottom"/>
          </w:tcPr>
          <w:p>
            <w:pPr>
              <w:spacing w:after="0"/>
              <w:rPr>
                <w:sz w:val="23"/>
                <w:szCs w:val="23"/>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color w:val="auto"/>
              </w:rPr>
              <w:t>SOURCE OF FUNDS</w:t>
            </w:r>
          </w:p>
        </w:tc>
        <w:tc>
          <w:tcPr>
            <w:tcW w:w="8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WC</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 w:type="dxa"/>
            <w:vAlign w:val="bottom"/>
            <w:tcBorders>
              <w:left w:val="single" w:sz="8" w:color="auto"/>
              <w:right w:val="single" w:sz="8" w:color="auto"/>
            </w:tcBorders>
          </w:tcPr>
          <w:p>
            <w:pPr>
              <w:jc w:val="right"/>
              <w:ind w:right="140"/>
              <w:spacing w:after="0"/>
              <w:rPr>
                <w:sz w:val="20"/>
                <w:szCs w:val="20"/>
                <w:color w:val="auto"/>
              </w:rPr>
            </w:pPr>
            <w:r>
              <w:rPr>
                <w:rFonts w:ascii="Arial" w:cs="Arial" w:eastAsia="Arial" w:hAnsi="Arial"/>
                <w:sz w:val="22"/>
                <w:szCs w:val="22"/>
                <w:b w:val="1"/>
                <w:bCs w:val="1"/>
                <w:color w:val="auto"/>
              </w:rPr>
              <w:t>5</w:t>
            </w:r>
          </w:p>
        </w:tc>
        <w:tc>
          <w:tcPr>
            <w:tcW w:w="100" w:type="dxa"/>
            <w:vAlign w:val="bottom"/>
          </w:tcPr>
          <w:p>
            <w:pPr>
              <w:spacing w:after="0"/>
              <w:rPr>
                <w:sz w:val="24"/>
                <w:szCs w:val="24"/>
                <w:color w:val="auto"/>
              </w:rPr>
            </w:pPr>
          </w:p>
        </w:tc>
        <w:tc>
          <w:tcPr>
            <w:tcW w:w="10720" w:type="dxa"/>
            <w:vAlign w:val="bottom"/>
            <w:tcBorders>
              <w:right w:val="single" w:sz="8" w:color="auto"/>
            </w:tcBorders>
            <w:gridSpan w:val="5"/>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tcPr>
          <w:p>
            <w:pPr>
              <w:jc w:val="right"/>
              <w:ind w:right="140"/>
              <w:spacing w:after="0"/>
              <w:rPr>
                <w:sz w:val="20"/>
                <w:szCs w:val="20"/>
                <w:color w:val="auto"/>
              </w:rPr>
            </w:pPr>
            <w:r>
              <w:rPr>
                <w:rFonts w:ascii="Arial" w:cs="Arial" w:eastAsia="Arial" w:hAnsi="Arial"/>
                <w:sz w:val="22"/>
                <w:szCs w:val="22"/>
                <w:b w:val="1"/>
                <w:bCs w:val="1"/>
                <w:color w:val="auto"/>
              </w:rPr>
              <w:t>6</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7</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07"/>
        </w:trPr>
        <w:tc>
          <w:tcPr>
            <w:tcW w:w="1640" w:type="dxa"/>
            <w:vAlign w:val="bottom"/>
            <w:tcBorders>
              <w:left w:val="single" w:sz="8" w:color="auto"/>
              <w:right w:val="single" w:sz="8" w:color="auto"/>
            </w:tcBorders>
            <w:gridSpan w:val="5"/>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300" w:type="dxa"/>
            <w:vAlign w:val="bottom"/>
            <w:tcBorders>
              <w:left w:val="single" w:sz="8" w:color="auto"/>
            </w:tcBorders>
            <w:gridSpan w:val="4"/>
            <w:vMerge w:val="restart"/>
          </w:tcPr>
          <w:p>
            <w:pPr>
              <w:jc w:val="center"/>
              <w:ind w:left="24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47,658 shares</w:t>
            </w: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4"/>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1040" w:type="dxa"/>
            <w:vAlign w:val="bottom"/>
            <w:tcBorders>
              <w:right w:val="single" w:sz="8" w:color="auto"/>
            </w:tcBorders>
            <w:gridSpan w:val="4"/>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64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8</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300" w:type="dxa"/>
            <w:vAlign w:val="bottom"/>
            <w:tcBorders>
              <w:left w:val="single" w:sz="8" w:color="auto"/>
            </w:tcBorders>
            <w:gridSpan w:val="4"/>
            <w:vMerge w:val="restart"/>
          </w:tcPr>
          <w:p>
            <w:pPr>
              <w:jc w:val="center"/>
              <w:ind w:left="24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tcBorders>
            <w:gridSpan w:val="4"/>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700" w:type="dxa"/>
            <w:vAlign w:val="bottom"/>
            <w:gridSpan w:val="3"/>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8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300" w:type="dxa"/>
            <w:vAlign w:val="bottom"/>
            <w:tcBorders>
              <w:left w:val="single" w:sz="8" w:color="auto"/>
            </w:tcBorders>
            <w:gridSpan w:val="4"/>
          </w:tcPr>
          <w:p>
            <w:pPr>
              <w:jc w:val="center"/>
              <w:ind w:left="240"/>
              <w:spacing w:after="0"/>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9</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38"/>
        </w:trPr>
        <w:tc>
          <w:tcPr>
            <w:tcW w:w="16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47,658 shares**</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gridSpan w:val="5"/>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tcBorders>
          </w:tcPr>
          <w:p>
            <w:pPr>
              <w:spacing w:after="0"/>
              <w:rPr>
                <w:sz w:val="10"/>
                <w:szCs w:val="10"/>
                <w:color w:val="auto"/>
              </w:rPr>
            </w:pPr>
          </w:p>
        </w:tc>
        <w:tc>
          <w:tcPr>
            <w:tcW w:w="700" w:type="dxa"/>
            <w:vAlign w:val="bottom"/>
            <w:gridSpan w:val="3"/>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1300" w:type="dxa"/>
            <w:vAlign w:val="bottom"/>
            <w:tcBorders>
              <w:left w:val="single" w:sz="8" w:color="auto"/>
            </w:tcBorders>
            <w:gridSpan w:val="4"/>
          </w:tcPr>
          <w:p>
            <w:pPr>
              <w:jc w:val="center"/>
              <w:ind w:left="24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51"/>
        </w:trPr>
        <w:tc>
          <w:tcPr>
            <w:tcW w:w="1300" w:type="dxa"/>
            <w:vAlign w:val="bottom"/>
            <w:tcBorders>
              <w:left w:val="single" w:sz="8" w:color="auto"/>
            </w:tcBorders>
            <w:gridSpan w:val="4"/>
            <w:vMerge w:val="restart"/>
          </w:tcPr>
          <w:p>
            <w:pPr>
              <w:jc w:val="center"/>
              <w:ind w:left="240"/>
              <w:spacing w:after="0"/>
              <w:rPr>
                <w:sz w:val="20"/>
                <w:szCs w:val="20"/>
                <w:color w:val="auto"/>
              </w:rPr>
            </w:pPr>
            <w:r>
              <w:rPr>
                <w:rFonts w:ascii="Arial" w:cs="Arial" w:eastAsia="Arial" w:hAnsi="Arial"/>
                <w:sz w:val="18"/>
                <w:szCs w:val="18"/>
                <w:color w:val="auto"/>
              </w:rPr>
              <w:t>WITH</w:t>
            </w:r>
          </w:p>
        </w:tc>
        <w:tc>
          <w:tcPr>
            <w:tcW w:w="3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81"/>
        </w:trPr>
        <w:tc>
          <w:tcPr>
            <w:tcW w:w="1300" w:type="dxa"/>
            <w:vAlign w:val="bottom"/>
            <w:tcBorders>
              <w:left w:val="single" w:sz="8" w:color="auto"/>
            </w:tcBorders>
            <w:gridSpan w:val="4"/>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700" w:type="dxa"/>
            <w:vAlign w:val="bottom"/>
            <w:tcBorders>
              <w:left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rPr>
              <w:t>11</w:t>
            </w:r>
          </w:p>
        </w:tc>
        <w:tc>
          <w:tcPr>
            <w:tcW w:w="4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AGGREGATE</w:t>
            </w:r>
          </w:p>
        </w:tc>
        <w:tc>
          <w:tcPr>
            <w:tcW w:w="8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47,658 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80" w:type="dxa"/>
            <w:vAlign w:val="bottom"/>
            <w:tcBorders>
              <w:left w:val="single" w:sz="8" w:color="auto"/>
              <w:right w:val="single" w:sz="8" w:color="auto"/>
            </w:tcBorders>
            <w:gridSpan w:val="3"/>
          </w:tcPr>
          <w:p>
            <w:pPr>
              <w:jc w:val="right"/>
              <w:ind w:right="330"/>
              <w:spacing w:after="0"/>
              <w:rPr>
                <w:sz w:val="20"/>
                <w:szCs w:val="20"/>
                <w:color w:val="auto"/>
              </w:rPr>
            </w:pPr>
            <w:r>
              <w:rPr>
                <w:rFonts w:ascii="Arial" w:cs="Arial" w:eastAsia="Arial" w:hAnsi="Arial"/>
                <w:sz w:val="22"/>
                <w:szCs w:val="22"/>
                <w:b w:val="1"/>
                <w:bCs w:val="1"/>
                <w:color w:val="auto"/>
              </w:rPr>
              <w:t>12</w:t>
            </w:r>
          </w:p>
        </w:tc>
        <w:tc>
          <w:tcPr>
            <w:tcW w:w="120" w:type="dxa"/>
            <w:vAlign w:val="bottom"/>
          </w:tcPr>
          <w:p>
            <w:pPr>
              <w:spacing w:after="0"/>
              <w:rPr>
                <w:sz w:val="23"/>
                <w:szCs w:val="23"/>
                <w:color w:val="auto"/>
              </w:rPr>
            </w:pPr>
          </w:p>
        </w:tc>
        <w:tc>
          <w:tcPr>
            <w:tcW w:w="101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80" w:type="dxa"/>
            <w:vAlign w:val="bottom"/>
            <w:tcBorders>
              <w:left w:val="single" w:sz="8" w:color="auto"/>
              <w:right w:val="single" w:sz="8" w:color="auto"/>
            </w:tcBorders>
            <w:gridSpan w:val="3"/>
          </w:tcPr>
          <w:p>
            <w:pPr>
              <w:jc w:val="right"/>
              <w:ind w:right="330"/>
              <w:spacing w:after="0"/>
              <w:rPr>
                <w:sz w:val="20"/>
                <w:szCs w:val="20"/>
                <w:color w:val="auto"/>
              </w:rPr>
            </w:pPr>
            <w:r>
              <w:rPr>
                <w:rFonts w:ascii="Arial" w:cs="Arial" w:eastAsia="Arial" w:hAnsi="Arial"/>
                <w:sz w:val="22"/>
                <w:szCs w:val="22"/>
                <w:b w:val="1"/>
                <w:bCs w:val="1"/>
                <w:color w:val="auto"/>
              </w:rPr>
              <w:t>13</w:t>
            </w:r>
          </w:p>
        </w:tc>
        <w:tc>
          <w:tcPr>
            <w:tcW w:w="120" w:type="dxa"/>
            <w:vAlign w:val="bottom"/>
          </w:tcPr>
          <w:p>
            <w:pPr>
              <w:spacing w:after="0"/>
              <w:rPr>
                <w:sz w:val="23"/>
                <w:szCs w:val="23"/>
                <w:color w:val="auto"/>
              </w:rPr>
            </w:pPr>
          </w:p>
        </w:tc>
        <w:tc>
          <w:tcPr>
            <w:tcW w:w="101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15.4%</w:t>
            </w:r>
          </w:p>
        </w:tc>
        <w:tc>
          <w:tcPr>
            <w:tcW w:w="8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80" w:type="dxa"/>
            <w:vAlign w:val="bottom"/>
            <w:tcBorders>
              <w:left w:val="single" w:sz="8" w:color="auto"/>
              <w:right w:val="single" w:sz="8" w:color="auto"/>
            </w:tcBorders>
            <w:gridSpan w:val="3"/>
          </w:tcPr>
          <w:p>
            <w:pPr>
              <w:jc w:val="right"/>
              <w:ind w:right="330"/>
              <w:spacing w:after="0"/>
              <w:rPr>
                <w:sz w:val="20"/>
                <w:szCs w:val="20"/>
                <w:color w:val="auto"/>
              </w:rPr>
            </w:pPr>
            <w:r>
              <w:rPr>
                <w:rFonts w:ascii="Arial" w:cs="Arial" w:eastAsia="Arial" w:hAnsi="Arial"/>
                <w:sz w:val="22"/>
                <w:szCs w:val="22"/>
                <w:b w:val="1"/>
                <w:bCs w:val="1"/>
                <w:color w:val="auto"/>
              </w:rPr>
              <w:t>14</w:t>
            </w:r>
          </w:p>
        </w:tc>
        <w:tc>
          <w:tcPr>
            <w:tcW w:w="120" w:type="dxa"/>
            <w:vAlign w:val="bottom"/>
          </w:tcPr>
          <w:p>
            <w:pPr>
              <w:spacing w:after="0"/>
              <w:rPr>
                <w:sz w:val="23"/>
                <w:szCs w:val="23"/>
                <w:color w:val="auto"/>
              </w:rPr>
            </w:pPr>
          </w:p>
        </w:tc>
        <w:tc>
          <w:tcPr>
            <w:tcW w:w="101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EP</w:t>
            </w:r>
          </w:p>
        </w:tc>
        <w:tc>
          <w:tcPr>
            <w:tcW w:w="8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**See Item 4 of the Statement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300" w:right="40"/>
        <w:spacing w:after="0" w:line="291" w:lineRule="auto"/>
        <w:rPr>
          <w:sz w:val="20"/>
          <w:szCs w:val="20"/>
          <w:color w:val="auto"/>
        </w:rPr>
      </w:pPr>
      <w:r>
        <w:rPr>
          <w:rFonts w:ascii="Arial" w:cs="Arial" w:eastAsia="Arial" w:hAnsi="Arial"/>
          <w:sz w:val="16"/>
          <w:szCs w:val="16"/>
          <w:color w:val="auto"/>
        </w:rPr>
        <w:t>This Amendment No. 3 amends the Schedule 13D originally filed with the United States Securities and Exchange Commission (the “Commission”) by the Reporting Person on June 24, 2011, as amended by Amendment No. 1 filed with the Commission on August 5, 2011 and Amendment No. 2 filed with the Commission on December 7, 2011 (the “Statement”) relating to the Common Stock, $0.01 par value, of TPG Specialty Lending, Inc., a Delaware corporation (the “Issuer”). The purpose of this Amendment No. 3 is to report a change in the Reporting Person’s percentage of beneficial ownership resulting from the purchase of additional shares, as further described below, and an increase in the number of outstanding shares of Common Stock. Unless otherwise indicated, all capitalized terms used herein shall have the meanings ascribed to them in the Statement, and unless amended or supplemented hereby, all information previously filed remains in effect.</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of the Statement is hereby supplemented as follows:</w:t>
      </w:r>
    </w:p>
    <w:p>
      <w:pPr>
        <w:spacing w:after="0" w:line="225" w:lineRule="exact"/>
        <w:rPr>
          <w:sz w:val="20"/>
          <w:szCs w:val="20"/>
          <w:color w:val="auto"/>
        </w:rPr>
      </w:pPr>
    </w:p>
    <w:p>
      <w:pPr>
        <w:ind w:left="1300" w:right="280"/>
        <w:spacing w:after="0" w:line="342" w:lineRule="auto"/>
        <w:rPr>
          <w:sz w:val="20"/>
          <w:szCs w:val="20"/>
          <w:color w:val="auto"/>
        </w:rPr>
      </w:pPr>
      <w:r>
        <w:rPr>
          <w:rFonts w:ascii="Arial" w:cs="Arial" w:eastAsia="Arial" w:hAnsi="Arial"/>
          <w:sz w:val="16"/>
          <w:szCs w:val="16"/>
          <w:color w:val="auto"/>
        </w:rPr>
        <w:t>On December 16, 2011, pursuant to the Subscription Agreement with the Issuer, the Fund agreed to purchase from the Issuer in a private transaction an additional 2,104 shares of Common Stock for an aggregate purchase price of $2,063,967 (the “Third Closing”).</w:t>
      </w:r>
    </w:p>
    <w:p>
      <w:pPr>
        <w:spacing w:after="0" w:line="124" w:lineRule="exact"/>
        <w:rPr>
          <w:sz w:val="20"/>
          <w:szCs w:val="20"/>
          <w:color w:val="auto"/>
        </w:rPr>
      </w:pPr>
    </w:p>
    <w:p>
      <w:pPr>
        <w:ind w:left="1300" w:right="440"/>
        <w:spacing w:after="0" w:line="342" w:lineRule="auto"/>
        <w:rPr>
          <w:sz w:val="20"/>
          <w:szCs w:val="20"/>
          <w:color w:val="auto"/>
        </w:rPr>
      </w:pPr>
      <w:r>
        <w:rPr>
          <w:rFonts w:ascii="Arial" w:cs="Arial" w:eastAsia="Arial" w:hAnsi="Arial"/>
          <w:sz w:val="16"/>
          <w:szCs w:val="16"/>
          <w:color w:val="auto"/>
        </w:rPr>
        <w:t>On February 8, 2012, pursuant to the Subscription Agreement with the Issuer, the Fund agreed to purchase from the Issuer in a private transaction an additional 5,657 shares of Common Stock for an aggregate purchase price of $5,572,072 (the “Fourth Closing”).</w:t>
      </w:r>
    </w:p>
    <w:p>
      <w:pPr>
        <w:spacing w:after="0" w:line="124" w:lineRule="exact"/>
        <w:rPr>
          <w:sz w:val="20"/>
          <w:szCs w:val="20"/>
          <w:color w:val="auto"/>
        </w:rPr>
      </w:pPr>
    </w:p>
    <w:p>
      <w:pPr>
        <w:ind w:left="1300" w:right="540"/>
        <w:spacing w:after="0" w:line="342" w:lineRule="auto"/>
        <w:rPr>
          <w:sz w:val="20"/>
          <w:szCs w:val="20"/>
          <w:color w:val="auto"/>
        </w:rPr>
      </w:pPr>
      <w:r>
        <w:rPr>
          <w:rFonts w:ascii="Arial" w:cs="Arial" w:eastAsia="Arial" w:hAnsi="Arial"/>
          <w:sz w:val="16"/>
          <w:szCs w:val="16"/>
          <w:color w:val="auto"/>
        </w:rPr>
        <w:t>On March 16, 2012, pursuant to the Subscription Agreement with the Issuer, the Fund agreed to purchase from the Issuer in a private transaction an additional 12,122 shares of Common Stock for an aggregate purchase price of $11,940,154 (the “Fifth Closing”).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source of funds for the above-referenced purchases was the working capital of the Fund.</w:t>
      </w:r>
    </w:p>
    <w:p>
      <w:pPr>
        <w:spacing w:after="0" w:line="225"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In addition to the above-referenced transactions, an additional 109 shares of Common Stock and 499 shares of Common Stock were issued to the Fund on March 20, 2012 and May 9, 2012, respectively, upon reinvestment of dividends pursuant to the terms of the Subscription Agreement.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of the Statement is hereby amended and restated in its entirety to read as follows:</w:t>
      </w:r>
    </w:p>
    <w:p>
      <w:pPr>
        <w:spacing w:after="0" w:line="225"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The Fund acquired the securities of the Issuer covered by this Schedule 13D for investment purposes and does not have a present intent to acquire or influence control over the business of the Issuer. In addition, the Fund has acquired certain rights and obligations with respect to the Issuer that are contained in the Subscription Agreement, which was filed as Exhibit 99.1 to the Statement and is incorporated by reference herein.</w:t>
      </w:r>
    </w:p>
    <w:p>
      <w:pPr>
        <w:spacing w:after="0" w:line="187"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Pursuant to and in accordance with the terms of the Subscription Agreement, the Fund has agreed to purchase shares of Common Stock from the Issuer for an aggregate purchase price of up to $200,000,000, inclusive of 10,527 shares of Common Stock purchased at the Initial Closing, 16,640 shares of Common Stock purchased at the Second Closing, 2,104 shares of Common Stock purchased at the Third Closing, 5,657 shares of Common Stock purchased at the Fourth Closing, and 12,122 shares of Common Stock purchased at the Fifth Closing. As set forth in the Subscription Agreement, additional purchases are to occur in one or more subsequent closings on dates to be selected by the Issuer in its sole discretion (each, a “Closing Date”) at a price per share equal to the per share net asset value as of the respective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1300" w:right="160"/>
        <w:spacing w:after="0" w:line="277" w:lineRule="auto"/>
        <w:rPr>
          <w:sz w:val="20"/>
          <w:szCs w:val="20"/>
          <w:color w:val="auto"/>
        </w:rPr>
      </w:pPr>
      <w:r>
        <w:rPr>
          <w:rFonts w:ascii="Arial" w:cs="Arial" w:eastAsia="Arial" w:hAnsi="Arial"/>
          <w:sz w:val="18"/>
          <w:szCs w:val="18"/>
          <w:color w:val="auto"/>
        </w:rPr>
        <w:t>Also pursuant to the Subscription Agreement, subject to certain limitations, the Fund will be entitled to have one nonvoting observer at all meetings of the Board of Directors of the Issuer.</w:t>
      </w:r>
    </w:p>
    <w:p>
      <w:pPr>
        <w:spacing w:after="0" w:line="170"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While it is not its present intention of the Fund to do so, the Fund may from time to time, subject to any legal or contractual restrictions, seek to dispose of some or all of its interests in the Common Stock held by it in privately negotiated transactions, through a public offering, or otherwise, based on its ongoing evaluation of the investment, prevailing market conditions, liquidity needs and such other factors and considerations as it may deem relevant. The Subscription Agreement contains certain restrictions on the transfer of the shares of Common Stock acquired thereunder, including, among others, a requirement that, prior to a qualified initial public offering of Common Stock by the Issuer, the Fund obtain the written consent of the Issuer’s Adviser (as such term is defined in the Subscription Agreement) prior to effecting any transfer of shares.</w:t>
      </w:r>
    </w:p>
    <w:p>
      <w:pPr>
        <w:spacing w:after="0" w:line="189" w:lineRule="exact"/>
        <w:rPr>
          <w:sz w:val="20"/>
          <w:szCs w:val="20"/>
          <w:color w:val="auto"/>
        </w:rPr>
      </w:pPr>
    </w:p>
    <w:p>
      <w:pPr>
        <w:ind w:left="1300" w:right="20"/>
        <w:spacing w:after="0" w:line="264" w:lineRule="auto"/>
        <w:rPr>
          <w:sz w:val="20"/>
          <w:szCs w:val="20"/>
          <w:color w:val="auto"/>
        </w:rPr>
      </w:pPr>
      <w:r>
        <w:rPr>
          <w:rFonts w:ascii="Arial" w:cs="Arial" w:eastAsia="Arial" w:hAnsi="Arial"/>
          <w:sz w:val="18"/>
          <w:szCs w:val="18"/>
          <w:color w:val="auto"/>
        </w:rPr>
        <w:t>Except as described herein, the Fund does not have any plans or proposals which relate to or would result in any of the matters referred to in paragraphs (a) through (j), inclusive, of the instructions to Item 4 of Schedule 13D. The Fund may, at any time and from time to time, formulate other purposes, plans or proposals regarding the Issuer or any of its securities.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Statement is hereby amended and restated in its entirety to read as follows:</w:t>
      </w:r>
    </w:p>
    <w:p>
      <w:pPr>
        <w:spacing w:after="0" w:line="225" w:lineRule="exact"/>
        <w:rPr>
          <w:sz w:val="20"/>
          <w:szCs w:val="20"/>
          <w:color w:val="auto"/>
        </w:rPr>
      </w:pPr>
    </w:p>
    <w:p>
      <w:pPr>
        <w:jc w:val="both"/>
        <w:ind w:left="1300" w:hanging="320"/>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upon information provided by the Issuer, there are 309,896 shares of Common Stock outstanding. The aggregate number and percentage of the class of securities beneficially owned by the Fund is 47,658 shares, representing 15.4% of the outstanding shares of Common Stock.</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as to which the Fund has:</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47,658 shares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47,658 shares**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Item 4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May 24, 2012</w:t>
            </w:r>
          </w:p>
        </w:tc>
        <w:tc>
          <w:tcPr>
            <w:tcW w:w="8080" w:type="dxa"/>
            <w:vAlign w:val="bottom"/>
            <w:gridSpan w:val="2"/>
          </w:tcPr>
          <w:p>
            <w:pPr>
              <w:ind w:left="1820"/>
              <w:spacing w:after="0"/>
              <w:rPr>
                <w:sz w:val="20"/>
                <w:szCs w:val="20"/>
                <w:color w:val="auto"/>
              </w:rPr>
            </w:pPr>
            <w:r>
              <w:rPr>
                <w:rFonts w:ascii="Arial" w:cs="Arial" w:eastAsia="Arial" w:hAnsi="Arial"/>
                <w:sz w:val="18"/>
                <w:szCs w:val="18"/>
                <w:color w:val="auto"/>
              </w:rPr>
              <w:t>State of New Jersey Common Pension Fund B</w:t>
            </w:r>
          </w:p>
        </w:tc>
      </w:tr>
      <w:tr>
        <w:trPr>
          <w:trHeight w:val="864"/>
        </w:trPr>
        <w:tc>
          <w:tcPr>
            <w:tcW w:w="3340" w:type="dxa"/>
            <w:vAlign w:val="bottom"/>
          </w:tcPr>
          <w:p>
            <w:pPr>
              <w:spacing w:after="0"/>
              <w:rPr>
                <w:sz w:val="24"/>
                <w:szCs w:val="24"/>
                <w:color w:val="auto"/>
              </w:rPr>
            </w:pPr>
          </w:p>
        </w:tc>
        <w:tc>
          <w:tcPr>
            <w:tcW w:w="2720" w:type="dxa"/>
            <w:vAlign w:val="bottom"/>
          </w:tcPr>
          <w:p>
            <w:pPr>
              <w:ind w:left="21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Division of Investment</w:t>
            </w:r>
          </w:p>
        </w:tc>
      </w:tr>
      <w:tr>
        <w:trPr>
          <w:trHeight w:val="432"/>
        </w:trPr>
        <w:tc>
          <w:tcPr>
            <w:tcW w:w="3340" w:type="dxa"/>
            <w:vAlign w:val="bottom"/>
          </w:tcPr>
          <w:p>
            <w:pPr>
              <w:spacing w:after="0"/>
              <w:rPr>
                <w:sz w:val="24"/>
                <w:szCs w:val="24"/>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 Walsh</w:t>
            </w:r>
          </w:p>
        </w:tc>
      </w:tr>
      <w:tr>
        <w:trPr>
          <w:trHeight w:val="195"/>
        </w:trPr>
        <w:tc>
          <w:tcPr>
            <w:tcW w:w="3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Timothy M. Walsh</w:t>
            </w:r>
          </w:p>
        </w:tc>
      </w:tr>
      <w:tr>
        <w:trPr>
          <w:trHeight w:val="230"/>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972"/>
        </w:trPr>
        <w:tc>
          <w:tcPr>
            <w:tcW w:w="3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2019-12-09T19:50:12Z</dcterms:created>
  <dcterms:modified xsi:type="dcterms:W3CDTF">2019-12-09T19:50:12Z</dcterms:modified>
</cp:coreProperties>
</file>