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165100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90805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3760" w:type="dxa"/>
            <w:vAlign w:val="bottom"/>
          </w:tcPr>
          <w:p>
            <w:pPr>
              <w:jc w:val="center"/>
              <w:ind w:right="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2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4"/>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71120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43"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0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8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0"/>
        </w:trPr>
        <w:tc>
          <w:tcPr>
            <w:tcW w:w="350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TSLX</w:t>
            </w:r>
          </w:p>
        </w:tc>
        <w:tc>
          <w:tcPr>
            <w:tcW w:w="358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34225" cy="216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216535"/>
                    </a:xfrm>
                    <a:prstGeom prst="rect">
                      <a:avLst/>
                    </a:prstGeom>
                    <a:noFill/>
                  </pic:spPr>
                </pic:pic>
              </a:graphicData>
            </a:graphic>
          </wp:anchor>
        </w:drawing>
      </w:r>
    </w:p>
    <w:p>
      <w:pPr>
        <w:spacing w:after="0" w:line="80" w:lineRule="exact"/>
        <w:rPr>
          <w:sz w:val="24"/>
          <w:szCs w:val="24"/>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July 30, 2025, Sixth Street Specialty Lending, Inc. (the “Company”) issued a press release announcing its financial results for the second quarter ended June 30, 2025. The text of the press release is included as Exhibit 99.1 to this Form 8-K.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July 30, 2025, the Company issued a press release, included herewith as Exhibit 99.1, announcing the declaration of a third quarter 2025 base dividend per share of $0.46 to shareholders of record as of September 15, 2025, payable on September 30, 2025, and a second quarter 2025 supplemental dividend per share of $0.05 to shareholders of record as of August 29, 2025, payable on September 19,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9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Borders>
              <w:right w:val="single" w:sz="8" w:color="auto"/>
            </w:tcBorders>
            <w:shd w:val="clear" w:color="auto" w:fill="000000"/>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July 30, 2025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1627"/>
        </w:trPr>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20"/>
                <w:szCs w:val="20"/>
                <w:color w:val="auto"/>
              </w:rPr>
              <w:t>SIXTH STREET SPECIALTY LENDING, INC.</w:t>
            </w:r>
          </w:p>
        </w:tc>
      </w:tr>
      <w:tr>
        <w:trPr>
          <w:trHeight w:val="234"/>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5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7160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SECOND QUARTER 2025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Sixth Street Specialty Lending, Inc. Reports Second Quarter Results; Declares a Third Quarter Base Dividend Per Share of $0.46, and a Second Quarter Supplemental Dividend Per Share of $0.05.</w:t>
      </w:r>
    </w:p>
    <w:p>
      <w:pPr>
        <w:sectPr>
          <w:pgSz w:w="11900" w:h="16838" w:orient="portrait"/>
          <w:cols w:equalWidth="0" w:num="1">
            <w:col w:w="11240"/>
          </w:cols>
          <w:pgMar w:left="320" w:top="769" w:right="339" w:bottom="1440" w:gutter="0" w:footer="0" w:header="0"/>
        </w:sectPr>
      </w:pP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NEW YORK — July 30, 2025 — Sixth Street Specialty Lending, Inc. (NYSE: TSLX, or the “Company”) today reported net investment income of $0.54 per share and net income of $0.63 per share for the second quarter ended June 30, 2025. These results correspond to an annualized return on equity (ROE) on net investment income and net income of 12.7% and 14.7%, respectively.</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Both net investment income per share and net income per share include approximately $0.02 per share of capital gains incentive fee expenses that were accrued, but not paid or payable, related to cumulative unrealized capital gains in excess of cumulative net realized capital gains less any cumulative unrealized losses and capital gains incentive fees paid inception-to-date. Excluding the impact of the accrued capital gains incentive fee expenses, the Company’s adjusted net investment income and adjusted net income for the quarter ended June 30, 2025, were $52.3 million, or $ 0.56 per share, and $60.4 million, or $0.64 per share, respectively. These results correspond to an annualized return on equity (ROE) on adjusted net investment income and adjusted net income of 13.1% and 15.1%, respectively.</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Reported net asset value (NAV) per share was $17.17 at June 30, 2025 as compared to NAV per share of $17.04 or an adjusted NAV per share of $16.98 at March 31, 2025 (which accounts for the impact of the $0.06 per share first quarter 2025 supplemental dividend). The main drivers of this quarter’s NAV per share growth were the continued overearning of the Company’s base quarterly dividend and net unrealized gains from investments.</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announced that its Board of Directors has declared a third quarter 2025 base dividend of $0.46 per share to shareholders of record as of September 15, 2025, payable on September 30, 2025, and a second quarter supplemental dividend of $0.05 per share to shareholders of record as of August 29, 2025, payable on September 19, 2025. Adjusted for the impact of the supplemental dividend related to this quarter’s earnings, the Company’s Q2 adjusted NAV per share was $17.12.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22028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02815" cy="17145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96"/>
              </w:rPr>
              <w:t>2025</w:t>
            </w:r>
            <w:r>
              <w:rPr>
                <w:rFonts w:ascii="Arial" w:cs="Arial" w:eastAsia="Arial" w:hAnsi="Arial"/>
                <w:sz w:val="14"/>
                <w:szCs w:val="14"/>
                <w:color w:val="auto"/>
                <w:w w:val="96"/>
              </w:rPr>
              <w:t>:</w:t>
            </w:r>
          </w:p>
        </w:tc>
        <w:tc>
          <w:tcPr>
            <w:tcW w:w="2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$0.54</w:t>
            </w:r>
          </w:p>
        </w:tc>
      </w:tr>
      <w:tr>
        <w:trPr>
          <w:trHeight w:val="29"/>
        </w:trPr>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4"/>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2240" w:type="dxa"/>
            <w:vAlign w:val="bottom"/>
          </w:tcPr>
          <w:p>
            <w:pPr>
              <w:spacing w:after="0"/>
              <w:rPr>
                <w:sz w:val="20"/>
                <w:szCs w:val="20"/>
                <w:color w:val="auto"/>
              </w:rPr>
            </w:pPr>
            <w:r>
              <w:rPr>
                <w:rFonts w:ascii="Arial" w:cs="Arial" w:eastAsia="Arial" w:hAnsi="Arial"/>
                <w:sz w:val="14"/>
                <w:szCs w:val="14"/>
                <w:b w:val="1"/>
                <w:bCs w:val="1"/>
                <w:color w:val="auto"/>
              </w:rPr>
              <w:t>(adjusted):</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$0.56</w:t>
            </w:r>
          </w:p>
        </w:tc>
      </w:tr>
      <w:tr>
        <w:trPr>
          <w:trHeight w:val="191"/>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0"/>
        </w:trPr>
        <w:tc>
          <w:tcPr>
            <w:tcW w:w="220" w:type="dxa"/>
            <w:vAlign w:val="bottom"/>
            <w:tcBorders>
              <w:bottom w:val="single" w:sz="8" w:color="0F2F50"/>
            </w:tcBorders>
            <w:shd w:val="clear" w:color="auto" w:fill="0F2F50"/>
          </w:tcPr>
          <w:p>
            <w:pPr>
              <w:spacing w:after="0"/>
              <w:rPr>
                <w:sz w:val="21"/>
                <w:szCs w:val="21"/>
                <w:color w:val="auto"/>
              </w:rPr>
            </w:pPr>
          </w:p>
        </w:tc>
        <w:tc>
          <w:tcPr>
            <w:tcW w:w="380" w:type="dxa"/>
            <w:vAlign w:val="bottom"/>
            <w:tcBorders>
              <w:bottom w:val="single" w:sz="8" w:color="0F2F50"/>
            </w:tcBorders>
            <w:shd w:val="clear" w:color="auto" w:fill="0F2F50"/>
          </w:tcPr>
          <w:p>
            <w:pPr>
              <w:spacing w:after="0"/>
              <w:rPr>
                <w:sz w:val="21"/>
                <w:szCs w:val="21"/>
                <w:color w:val="auto"/>
              </w:rPr>
            </w:pPr>
          </w:p>
        </w:tc>
        <w:tc>
          <w:tcPr>
            <w:tcW w:w="2240" w:type="dxa"/>
            <w:vAlign w:val="bottom"/>
            <w:tcBorders>
              <w:bottom w:val="single" w:sz="8" w:color="0F2F50"/>
            </w:tcBorders>
            <w:shd w:val="clear" w:color="auto" w:fill="0F2F50"/>
          </w:tcPr>
          <w:p>
            <w:pPr>
              <w:jc w:val="center"/>
              <w:spacing w:after="0"/>
              <w:rPr>
                <w:sz w:val="20"/>
                <w:szCs w:val="20"/>
                <w:color w:val="auto"/>
              </w:rPr>
            </w:pPr>
            <w:r>
              <w:rPr>
                <w:rFonts w:ascii="Arial" w:cs="Arial" w:eastAsia="Arial" w:hAnsi="Arial"/>
                <w:sz w:val="14"/>
                <w:szCs w:val="14"/>
                <w:b w:val="1"/>
                <w:bCs w:val="1"/>
                <w:color w:val="FFFFFF"/>
              </w:rPr>
              <w:t>Net Income Per Share</w:t>
            </w:r>
          </w:p>
        </w:tc>
        <w:tc>
          <w:tcPr>
            <w:tcW w:w="620" w:type="dxa"/>
            <w:vAlign w:val="bottom"/>
            <w:tcBorders>
              <w:bottom w:val="single" w:sz="8" w:color="0F2F50"/>
            </w:tcBorders>
            <w:shd w:val="clear" w:color="auto" w:fill="0F2F50"/>
          </w:tcPr>
          <w:p>
            <w:pPr>
              <w:spacing w:after="0"/>
              <w:rPr>
                <w:sz w:val="21"/>
                <w:szCs w:val="21"/>
                <w:color w:val="auto"/>
              </w:rPr>
            </w:pPr>
          </w:p>
        </w:tc>
      </w:tr>
      <w:tr>
        <w:trPr>
          <w:trHeight w:val="241"/>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2025:</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$0.63</w:t>
            </w:r>
          </w:p>
        </w:tc>
      </w:tr>
      <w:tr>
        <w:trPr>
          <w:trHeight w:val="29"/>
        </w:trPr>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4"/>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2240" w:type="dxa"/>
            <w:vAlign w:val="bottom"/>
          </w:tcPr>
          <w:p>
            <w:pPr>
              <w:spacing w:after="0"/>
              <w:rPr>
                <w:sz w:val="20"/>
                <w:szCs w:val="20"/>
                <w:color w:val="auto"/>
              </w:rPr>
            </w:pPr>
            <w:r>
              <w:rPr>
                <w:rFonts w:ascii="Arial" w:cs="Arial" w:eastAsia="Arial" w:hAnsi="Arial"/>
                <w:sz w:val="14"/>
                <w:szCs w:val="14"/>
                <w:b w:val="1"/>
                <w:bCs w:val="1"/>
                <w:color w:val="auto"/>
              </w:rPr>
              <w:t>(adjusted):</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$0.64</w:t>
            </w:r>
          </w:p>
        </w:tc>
      </w:tr>
      <w:tr>
        <w:trPr>
          <w:trHeight w:val="191"/>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0"/>
        </w:trPr>
        <w:tc>
          <w:tcPr>
            <w:tcW w:w="220" w:type="dxa"/>
            <w:vAlign w:val="bottom"/>
            <w:tcBorders>
              <w:bottom w:val="single" w:sz="8" w:color="0F2F50"/>
            </w:tcBorders>
            <w:shd w:val="clear" w:color="auto" w:fill="0F2F50"/>
          </w:tcPr>
          <w:p>
            <w:pPr>
              <w:spacing w:after="0"/>
              <w:rPr>
                <w:sz w:val="21"/>
                <w:szCs w:val="21"/>
                <w:color w:val="auto"/>
              </w:rPr>
            </w:pPr>
          </w:p>
        </w:tc>
        <w:tc>
          <w:tcPr>
            <w:tcW w:w="380" w:type="dxa"/>
            <w:vAlign w:val="bottom"/>
            <w:tcBorders>
              <w:bottom w:val="single" w:sz="8" w:color="0F2F50"/>
            </w:tcBorders>
            <w:shd w:val="clear" w:color="auto" w:fill="0F2F50"/>
          </w:tcPr>
          <w:p>
            <w:pPr>
              <w:spacing w:after="0"/>
              <w:rPr>
                <w:sz w:val="21"/>
                <w:szCs w:val="21"/>
                <w:color w:val="auto"/>
              </w:rPr>
            </w:pPr>
          </w:p>
        </w:tc>
        <w:tc>
          <w:tcPr>
            <w:tcW w:w="2240" w:type="dxa"/>
            <w:vAlign w:val="bottom"/>
            <w:tcBorders>
              <w:bottom w:val="single" w:sz="8" w:color="0F2F50"/>
            </w:tcBorders>
            <w:shd w:val="clear" w:color="auto" w:fill="0F2F50"/>
          </w:tcPr>
          <w:p>
            <w:pPr>
              <w:jc w:val="center"/>
              <w:spacing w:after="0"/>
              <w:rPr>
                <w:sz w:val="20"/>
                <w:szCs w:val="20"/>
                <w:color w:val="auto"/>
              </w:rPr>
            </w:pPr>
            <w:r>
              <w:rPr>
                <w:rFonts w:ascii="Arial" w:cs="Arial" w:eastAsia="Arial" w:hAnsi="Arial"/>
                <w:sz w:val="14"/>
                <w:szCs w:val="14"/>
                <w:b w:val="1"/>
                <w:bCs w:val="1"/>
                <w:color w:val="FFFFFF"/>
              </w:rPr>
              <w:t>Return on Equity</w:t>
            </w:r>
          </w:p>
        </w:tc>
        <w:tc>
          <w:tcPr>
            <w:tcW w:w="620" w:type="dxa"/>
            <w:vAlign w:val="bottom"/>
            <w:tcBorders>
              <w:bottom w:val="single" w:sz="8" w:color="0F2F50"/>
            </w:tcBorders>
            <w:shd w:val="clear" w:color="auto" w:fill="0F2F50"/>
          </w:tcPr>
          <w:p>
            <w:pPr>
              <w:spacing w:after="0"/>
              <w:rPr>
                <w:sz w:val="21"/>
                <w:szCs w:val="21"/>
                <w:color w:val="auto"/>
              </w:rPr>
            </w:pPr>
          </w:p>
        </w:tc>
      </w:tr>
      <w:tr>
        <w:trPr>
          <w:trHeight w:val="241"/>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2240" w:type="dxa"/>
            <w:vAlign w:val="bottom"/>
          </w:tcPr>
          <w:p>
            <w:pPr>
              <w:spacing w:after="0"/>
              <w:rPr>
                <w:sz w:val="20"/>
                <w:szCs w:val="20"/>
                <w:color w:val="auto"/>
              </w:rPr>
            </w:pPr>
            <w:r>
              <w:rPr>
                <w:rFonts w:ascii="Arial" w:cs="Arial" w:eastAsia="Arial" w:hAnsi="Arial"/>
                <w:sz w:val="14"/>
                <w:szCs w:val="14"/>
                <w:b w:val="1"/>
                <w:bCs w:val="1"/>
                <w:color w:val="auto"/>
              </w:rPr>
              <w:t>(NII):</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12.7%</w:t>
            </w:r>
          </w:p>
        </w:tc>
      </w:tr>
      <w:tr>
        <w:trPr>
          <w:trHeight w:val="29"/>
        </w:trPr>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4"/>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2240" w:type="dxa"/>
            <w:vAlign w:val="bottom"/>
          </w:tcPr>
          <w:p>
            <w:pPr>
              <w:spacing w:after="0"/>
              <w:rPr>
                <w:sz w:val="20"/>
                <w:szCs w:val="20"/>
                <w:color w:val="auto"/>
              </w:rPr>
            </w:pPr>
            <w:r>
              <w:rPr>
                <w:rFonts w:ascii="Arial" w:cs="Arial" w:eastAsia="Arial" w:hAnsi="Arial"/>
                <w:sz w:val="14"/>
                <w:szCs w:val="14"/>
                <w:b w:val="1"/>
                <w:bCs w:val="1"/>
                <w:color w:val="auto"/>
              </w:rPr>
              <w:t>(NI):</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14.7%</w:t>
            </w:r>
          </w:p>
        </w:tc>
      </w:tr>
      <w:tr>
        <w:trPr>
          <w:trHeight w:val="29"/>
        </w:trPr>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4"/>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2240" w:type="dxa"/>
            <w:vAlign w:val="bottom"/>
          </w:tcPr>
          <w:p>
            <w:pPr>
              <w:spacing w:after="0"/>
              <w:rPr>
                <w:sz w:val="20"/>
                <w:szCs w:val="20"/>
                <w:color w:val="auto"/>
              </w:rPr>
            </w:pPr>
            <w:r>
              <w:rPr>
                <w:rFonts w:ascii="Arial" w:cs="Arial" w:eastAsia="Arial" w:hAnsi="Arial"/>
                <w:sz w:val="14"/>
                <w:szCs w:val="14"/>
                <w:b w:val="1"/>
                <w:bCs w:val="1"/>
                <w:color w:val="auto"/>
              </w:rPr>
              <w:t>(Adj. NII):</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13.1%</w:t>
            </w:r>
          </w:p>
        </w:tc>
      </w:tr>
      <w:tr>
        <w:trPr>
          <w:trHeight w:val="29"/>
        </w:trPr>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4"/>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2240" w:type="dxa"/>
            <w:vAlign w:val="bottom"/>
          </w:tcPr>
          <w:p>
            <w:pPr>
              <w:spacing w:after="0"/>
              <w:rPr>
                <w:sz w:val="20"/>
                <w:szCs w:val="20"/>
                <w:color w:val="auto"/>
              </w:rPr>
            </w:pPr>
            <w:r>
              <w:rPr>
                <w:rFonts w:ascii="Arial" w:cs="Arial" w:eastAsia="Arial" w:hAnsi="Arial"/>
                <w:sz w:val="14"/>
                <w:szCs w:val="14"/>
                <w:b w:val="1"/>
                <w:bCs w:val="1"/>
                <w:color w:val="auto"/>
              </w:rPr>
              <w:t>(Adj. NI):</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15.1%</w:t>
            </w:r>
          </w:p>
        </w:tc>
      </w:tr>
      <w:tr>
        <w:trPr>
          <w:trHeight w:val="191"/>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0"/>
        </w:trPr>
        <w:tc>
          <w:tcPr>
            <w:tcW w:w="220" w:type="dxa"/>
            <w:vAlign w:val="bottom"/>
            <w:tcBorders>
              <w:bottom w:val="single" w:sz="8" w:color="0F2F50"/>
            </w:tcBorders>
            <w:shd w:val="clear" w:color="auto" w:fill="0F2F50"/>
          </w:tcPr>
          <w:p>
            <w:pPr>
              <w:spacing w:after="0"/>
              <w:rPr>
                <w:sz w:val="21"/>
                <w:szCs w:val="21"/>
                <w:color w:val="auto"/>
              </w:rPr>
            </w:pPr>
          </w:p>
        </w:tc>
        <w:tc>
          <w:tcPr>
            <w:tcW w:w="380" w:type="dxa"/>
            <w:vAlign w:val="bottom"/>
            <w:tcBorders>
              <w:bottom w:val="single" w:sz="8" w:color="0F2F50"/>
            </w:tcBorders>
            <w:shd w:val="clear" w:color="auto" w:fill="0F2F50"/>
          </w:tcPr>
          <w:p>
            <w:pPr>
              <w:spacing w:after="0"/>
              <w:rPr>
                <w:sz w:val="21"/>
                <w:szCs w:val="21"/>
                <w:color w:val="auto"/>
              </w:rPr>
            </w:pPr>
          </w:p>
        </w:tc>
        <w:tc>
          <w:tcPr>
            <w:tcW w:w="2240" w:type="dxa"/>
            <w:vAlign w:val="bottom"/>
            <w:tcBorders>
              <w:bottom w:val="single" w:sz="8" w:color="0F2F50"/>
            </w:tcBorders>
            <w:shd w:val="clear" w:color="auto" w:fill="0F2F50"/>
          </w:tcPr>
          <w:p>
            <w:pPr>
              <w:jc w:val="center"/>
              <w:spacing w:after="0"/>
              <w:rPr>
                <w:sz w:val="20"/>
                <w:szCs w:val="20"/>
                <w:color w:val="auto"/>
              </w:rPr>
            </w:pPr>
            <w:r>
              <w:rPr>
                <w:rFonts w:ascii="Arial" w:cs="Arial" w:eastAsia="Arial" w:hAnsi="Arial"/>
                <w:sz w:val="14"/>
                <w:szCs w:val="14"/>
                <w:b w:val="1"/>
                <w:bCs w:val="1"/>
                <w:color w:val="FFFFFF"/>
              </w:rPr>
              <w:t>NAV</w:t>
            </w:r>
          </w:p>
        </w:tc>
        <w:tc>
          <w:tcPr>
            <w:tcW w:w="620" w:type="dxa"/>
            <w:vAlign w:val="bottom"/>
            <w:tcBorders>
              <w:bottom w:val="single" w:sz="8" w:color="0F2F50"/>
            </w:tcBorders>
            <w:shd w:val="clear" w:color="auto" w:fill="0F2F50"/>
          </w:tcPr>
          <w:p>
            <w:pPr>
              <w:spacing w:after="0"/>
              <w:rPr>
                <w:sz w:val="21"/>
                <w:szCs w:val="21"/>
                <w:color w:val="auto"/>
              </w:rPr>
            </w:pPr>
          </w:p>
        </w:tc>
      </w:tr>
      <w:tr>
        <w:trPr>
          <w:trHeight w:val="241"/>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2240" w:type="dxa"/>
            <w:vAlign w:val="bottom"/>
          </w:tcPr>
          <w:p>
            <w:pPr>
              <w:spacing w:after="0"/>
              <w:rPr>
                <w:sz w:val="20"/>
                <w:szCs w:val="20"/>
                <w:color w:val="auto"/>
              </w:rPr>
            </w:pPr>
            <w:r>
              <w:rPr>
                <w:rFonts w:ascii="Arial" w:cs="Arial" w:eastAsia="Arial" w:hAnsi="Arial"/>
                <w:sz w:val="14"/>
                <w:szCs w:val="14"/>
                <w:b w:val="1"/>
                <w:bCs w:val="1"/>
                <w:color w:val="auto"/>
              </w:rPr>
              <w:t>($MM):</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$1,617.6</w:t>
            </w:r>
          </w:p>
        </w:tc>
      </w:tr>
      <w:tr>
        <w:trPr>
          <w:trHeight w:val="29"/>
        </w:trPr>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5"/>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2240" w:type="dxa"/>
            <w:vAlign w:val="bottom"/>
          </w:tcPr>
          <w:p>
            <w:pPr>
              <w:spacing w:after="0"/>
              <w:rPr>
                <w:sz w:val="20"/>
                <w:szCs w:val="20"/>
                <w:color w:val="auto"/>
              </w:rPr>
            </w:pPr>
            <w:r>
              <w:rPr>
                <w:rFonts w:ascii="Arial" w:cs="Arial" w:eastAsia="Arial" w:hAnsi="Arial"/>
                <w:sz w:val="14"/>
                <w:szCs w:val="14"/>
                <w:b w:val="1"/>
                <w:bCs w:val="1"/>
                <w:color w:val="auto"/>
              </w:rPr>
              <w:t>(per share):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$17.17</w:t>
            </w:r>
          </w:p>
        </w:tc>
      </w:tr>
      <w:tr>
        <w:trPr>
          <w:trHeight w:val="29"/>
        </w:trPr>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5"/>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2240" w:type="dxa"/>
            <w:vAlign w:val="bottom"/>
          </w:tcPr>
          <w:p>
            <w:pPr>
              <w:spacing w:after="0"/>
              <w:rPr>
                <w:sz w:val="20"/>
                <w:szCs w:val="20"/>
                <w:color w:val="auto"/>
              </w:rPr>
            </w:pPr>
            <w:r>
              <w:rPr>
                <w:rFonts w:ascii="Arial" w:cs="Arial" w:eastAsia="Arial" w:hAnsi="Arial"/>
                <w:sz w:val="14"/>
                <w:szCs w:val="14"/>
                <w:b w:val="1"/>
                <w:bCs w:val="1"/>
                <w:color w:val="auto"/>
              </w:rPr>
              <w:t>(per share, adj):</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$17.12</w:t>
            </w:r>
          </w:p>
        </w:tc>
      </w:tr>
      <w:tr>
        <w:trPr>
          <w:trHeight w:val="191"/>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0"/>
        </w:trPr>
        <w:tc>
          <w:tcPr>
            <w:tcW w:w="220" w:type="dxa"/>
            <w:vAlign w:val="bottom"/>
            <w:tcBorders>
              <w:bottom w:val="single" w:sz="8" w:color="0F2F50"/>
            </w:tcBorders>
            <w:shd w:val="clear" w:color="auto" w:fill="0F2F50"/>
          </w:tcPr>
          <w:p>
            <w:pPr>
              <w:spacing w:after="0"/>
              <w:rPr>
                <w:sz w:val="21"/>
                <w:szCs w:val="21"/>
                <w:color w:val="auto"/>
              </w:rPr>
            </w:pPr>
          </w:p>
        </w:tc>
        <w:tc>
          <w:tcPr>
            <w:tcW w:w="380" w:type="dxa"/>
            <w:vAlign w:val="bottom"/>
            <w:tcBorders>
              <w:bottom w:val="single" w:sz="8" w:color="0F2F50"/>
            </w:tcBorders>
            <w:shd w:val="clear" w:color="auto" w:fill="0F2F50"/>
          </w:tcPr>
          <w:p>
            <w:pPr>
              <w:spacing w:after="0"/>
              <w:rPr>
                <w:sz w:val="21"/>
                <w:szCs w:val="21"/>
                <w:color w:val="auto"/>
              </w:rPr>
            </w:pPr>
          </w:p>
        </w:tc>
        <w:tc>
          <w:tcPr>
            <w:tcW w:w="2240" w:type="dxa"/>
            <w:vAlign w:val="bottom"/>
            <w:tcBorders>
              <w:bottom w:val="single" w:sz="8" w:color="0F2F50"/>
            </w:tcBorders>
            <w:shd w:val="clear" w:color="auto" w:fill="0F2F50"/>
          </w:tcPr>
          <w:p>
            <w:pPr>
              <w:jc w:val="center"/>
              <w:spacing w:after="0"/>
              <w:rPr>
                <w:sz w:val="20"/>
                <w:szCs w:val="20"/>
                <w:color w:val="auto"/>
              </w:rPr>
            </w:pPr>
            <w:r>
              <w:rPr>
                <w:rFonts w:ascii="Arial" w:cs="Arial" w:eastAsia="Arial" w:hAnsi="Arial"/>
                <w:sz w:val="14"/>
                <w:szCs w:val="14"/>
                <w:b w:val="1"/>
                <w:bCs w:val="1"/>
                <w:color w:val="FFFFFF"/>
              </w:rPr>
              <w:t>Dividends Declared (per share)</w:t>
            </w:r>
          </w:p>
        </w:tc>
        <w:tc>
          <w:tcPr>
            <w:tcW w:w="620" w:type="dxa"/>
            <w:vAlign w:val="bottom"/>
            <w:tcBorders>
              <w:bottom w:val="single" w:sz="8" w:color="0F2F50"/>
            </w:tcBorders>
            <w:shd w:val="clear" w:color="auto" w:fill="0F2F50"/>
          </w:tcPr>
          <w:p>
            <w:pPr>
              <w:spacing w:after="0"/>
              <w:rPr>
                <w:sz w:val="21"/>
                <w:szCs w:val="21"/>
                <w:color w:val="auto"/>
              </w:rPr>
            </w:pPr>
          </w:p>
        </w:tc>
      </w:tr>
      <w:tr>
        <w:trPr>
          <w:trHeight w:val="241"/>
        </w:trPr>
        <w:tc>
          <w:tcPr>
            <w:tcW w:w="220" w:type="dxa"/>
            <w:vAlign w:val="bottom"/>
          </w:tcPr>
          <w:p>
            <w:pPr>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2240" w:type="dxa"/>
            <w:vAlign w:val="bottom"/>
          </w:tcPr>
          <w:p>
            <w:pPr>
              <w:spacing w:after="0"/>
              <w:rPr>
                <w:sz w:val="20"/>
                <w:szCs w:val="20"/>
                <w:color w:val="auto"/>
              </w:rPr>
            </w:pPr>
            <w:r>
              <w:rPr>
                <w:rFonts w:ascii="Arial" w:cs="Arial" w:eastAsia="Arial" w:hAnsi="Arial"/>
                <w:sz w:val="14"/>
                <w:szCs w:val="14"/>
                <w:b w:val="1"/>
                <w:bCs w:val="1"/>
                <w:color w:val="auto"/>
              </w:rPr>
              <w:t>(Base):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$0.46</w:t>
            </w:r>
          </w:p>
        </w:tc>
      </w:tr>
      <w:tr>
        <w:trPr>
          <w:trHeight w:val="29"/>
        </w:trPr>
        <w:tc>
          <w:tcPr>
            <w:tcW w:w="28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5"/>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LTM Q2 2025 (Base):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$1.84</w:t>
            </w:r>
          </w:p>
        </w:tc>
      </w:tr>
      <w:tr>
        <w:trPr>
          <w:trHeight w:val="29"/>
        </w:trPr>
        <w:tc>
          <w:tcPr>
            <w:tcW w:w="28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5"/>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LTM Q2 2025 (Supplemental):</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$0.23</w:t>
            </w:r>
          </w:p>
        </w:tc>
      </w:tr>
      <w:tr>
        <w:trPr>
          <w:trHeight w:val="29"/>
        </w:trPr>
        <w:tc>
          <w:tcPr>
            <w:tcW w:w="28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5"/>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LTM Q2 2025 (Total):</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$2.07</w:t>
            </w:r>
          </w:p>
        </w:tc>
      </w:tr>
    </w:tbl>
    <w:p>
      <w:pPr>
        <w:spacing w:after="0" w:line="200" w:lineRule="exact"/>
        <w:rPr>
          <w:sz w:val="20"/>
          <w:szCs w:val="20"/>
          <w:color w:val="auto"/>
        </w:rPr>
      </w:pPr>
    </w:p>
    <w:p>
      <w:pPr>
        <w:sectPr>
          <w:pgSz w:w="11900" w:h="16838" w:orient="portrait"/>
          <w:cols w:equalWidth="0" w:num="2">
            <w:col w:w="7520" w:space="260"/>
            <w:col w:w="3460"/>
          </w:cols>
          <w:pgMar w:left="320" w:top="769" w:right="339" w:bottom="1440" w:gutter="0" w:footer="0" w:header="0"/>
          <w:type w:val="continuous"/>
        </w:sectPr>
      </w:pPr>
    </w:p>
    <w:p>
      <w:pPr>
        <w:spacing w:after="0" w:line="33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 w:name="page5"/>
    <w:bookmarkEnd w:id="4"/>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00" w:lineRule="exact"/>
        <w:rPr>
          <w:sz w:val="20"/>
          <w:szCs w:val="20"/>
          <w:color w:val="auto"/>
        </w:rPr>
      </w:pPr>
    </w:p>
    <w:p>
      <w:pPr>
        <w:spacing w:after="0" w:line="25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For the quarter ended June 30, 2025, new investment commitments totaled $297.7 million. This compares to $154.4 million for the quarter ended March 31, 2025.</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quarter ended June 30, 2025, the principal amount of new investments funded was $208.6 million across thirteen new portfolio companies and four upsizes to existing portfolio companies. For this period, the Company had $388.7 million aggregate principal amount in exits and repayments. For the quarter ended March 31, 2025, the principal amount of new investments funded was $136.8 million across six new portfolio companies and four upsizes to existing portfolio companies. For this period, the Company had $269.6 million aggregate principal amount in exits and repayments.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June 30, 2025 and March 31, 2025, the Company had investments in 109 and 115 portfolio companies, respectively, with an aggregate fair value of $3,294.9 million and $3,412.0 million, respectively. As of June 30, 2025, the average investment size in each portfolio company was $30.2 million based on fair value.</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June 30, 2025, the Company’s portfolio based on fair value consisted of 92.4% first-lien debt investments, 0.9% second-lien debt investments, 1.6% mezzanine debt investments, and 5.1% equity investments. As of March 31, 2025, the Company’s portfolio based on fair value consisted of 92.9% first-lien debt investments, 1.0% second-lien debt investments, 1.5% mezzanine debt investments, and 4.6% equity and other investments.</w:t>
      </w:r>
    </w:p>
    <w:p>
      <w:pPr>
        <w:spacing w:after="0" w:line="14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As of June 30, 2025, 96.5% of debt investments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June 30, 2025 and March 31, 2025, the weighted average total yield of debt and income-producing securities at fair value (which includes interest income and amortization of fees and discounts) was 11.7% and 12.1%, respectively, and the weighted average total yield of debt and income-producing securities at amortized cost (which includes interest income and amortization of fees and discounts) was 12.0% and 12.3% for the quarter ended June 30, 2025 and March 31, 2025, respectively.</w:t>
      </w:r>
    </w:p>
    <w:p>
      <w:pPr>
        <w:spacing w:after="0" w:line="16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As of June 30, 2025 and March 31, 2025, 0.6% and 1.2% of the portfolio at fair value was on non-accrual status, respectively. The decline was driven by the restructuring of Lithium Technologies during the quarter, which is now paying cash interest and therefore has been removed from non-accrual status. No new investments were added to non-accrual status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916940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2"/>
        <w:spacing w:after="0"/>
        <w:rPr>
          <w:sz w:val="20"/>
          <w:szCs w:val="20"/>
          <w:color w:val="auto"/>
        </w:rPr>
      </w:pPr>
      <w:r>
        <w:rPr>
          <w:rFonts w:ascii="Arial" w:cs="Arial" w:eastAsia="Arial" w:hAnsi="Arial"/>
          <w:sz w:val="15"/>
          <w:szCs w:val="15"/>
          <w:b w:val="1"/>
          <w:bCs w:val="1"/>
          <w:color w:val="FFFFFF"/>
        </w:rPr>
        <w:t>Q2 2025 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213423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4235" cy="128905"/>
                    </a:xfrm>
                    <a:prstGeom prst="rect">
                      <a:avLst/>
                    </a:prstGeom>
                    <a:noFill/>
                  </pic:spPr>
                </pic:pic>
              </a:graphicData>
            </a:graphic>
          </wp:anchor>
        </w:drawing>
      </w:r>
    </w:p>
    <w:p>
      <w:pPr>
        <w:spacing w:after="0" w:line="18" w:lineRule="exact"/>
        <w:rPr>
          <w:sz w:val="20"/>
          <w:szCs w:val="20"/>
          <w:color w:val="auto"/>
        </w:rPr>
      </w:pPr>
    </w:p>
    <w:tbl>
      <w:tblPr>
        <w:tblLayout w:type="fixed"/>
        <w:tblInd w:w="22" w:type="dxa"/>
        <w:tblCellMar>
          <w:top w:w="0" w:type="dxa"/>
          <w:left w:w="0" w:type="dxa"/>
          <w:bottom w:w="0" w:type="dxa"/>
          <w:right w:w="0" w:type="dxa"/>
        </w:tblCellMar>
      </w:tblPr>
      <w:tr>
        <w:trPr>
          <w:trHeight w:val="195"/>
        </w:trPr>
        <w:tc>
          <w:tcPr>
            <w:tcW w:w="1740" w:type="dxa"/>
            <w:vAlign w:val="bottom"/>
          </w:tcPr>
          <w:p>
            <w:pPr>
              <w:spacing w:after="0"/>
              <w:rPr>
                <w:sz w:val="20"/>
                <w:szCs w:val="20"/>
                <w:color w:val="auto"/>
              </w:rPr>
            </w:pPr>
            <w:r>
              <w:rPr>
                <w:rFonts w:ascii="Arial" w:cs="Arial" w:eastAsia="Arial" w:hAnsi="Arial"/>
                <w:sz w:val="15"/>
                <w:szCs w:val="15"/>
                <w:b w:val="1"/>
                <w:bCs w:val="1"/>
                <w:color w:val="auto"/>
              </w:rPr>
              <w:t>Commitments:</w:t>
            </w:r>
          </w:p>
        </w:tc>
        <w:tc>
          <w:tcPr>
            <w:tcW w:w="1400" w:type="dxa"/>
            <w:vAlign w:val="bottom"/>
          </w:tcPr>
          <w:p>
            <w:pPr>
              <w:ind w:left="680"/>
              <w:spacing w:after="0"/>
              <w:rPr>
                <w:sz w:val="20"/>
                <w:szCs w:val="20"/>
                <w:color w:val="auto"/>
              </w:rPr>
            </w:pPr>
            <w:r>
              <w:rPr>
                <w:rFonts w:ascii="Arial" w:cs="Arial" w:eastAsia="Arial" w:hAnsi="Arial"/>
                <w:sz w:val="15"/>
                <w:szCs w:val="15"/>
                <w:b w:val="1"/>
                <w:bCs w:val="1"/>
                <w:color w:val="auto"/>
                <w:w w:val="98"/>
              </w:rPr>
              <w:t>$297.7MM</w:t>
            </w:r>
          </w:p>
        </w:tc>
      </w:tr>
      <w:tr>
        <w:trPr>
          <w:trHeight w:val="203"/>
        </w:trPr>
        <w:tc>
          <w:tcPr>
            <w:tcW w:w="1740" w:type="dxa"/>
            <w:vAlign w:val="bottom"/>
          </w:tcPr>
          <w:p>
            <w:pPr>
              <w:spacing w:after="0"/>
              <w:rPr>
                <w:sz w:val="20"/>
                <w:szCs w:val="20"/>
                <w:color w:val="auto"/>
              </w:rPr>
            </w:pPr>
            <w:r>
              <w:rPr>
                <w:rFonts w:ascii="Arial" w:cs="Arial" w:eastAsia="Arial" w:hAnsi="Arial"/>
                <w:sz w:val="15"/>
                <w:szCs w:val="15"/>
                <w:b w:val="1"/>
                <w:bCs w:val="1"/>
                <w:color w:val="auto"/>
              </w:rPr>
              <w:t>Fundings:</w:t>
            </w:r>
          </w:p>
        </w:tc>
        <w:tc>
          <w:tcPr>
            <w:tcW w:w="1400" w:type="dxa"/>
            <w:vAlign w:val="bottom"/>
          </w:tcPr>
          <w:p>
            <w:pPr>
              <w:ind w:left="680"/>
              <w:spacing w:after="0"/>
              <w:rPr>
                <w:sz w:val="20"/>
                <w:szCs w:val="20"/>
                <w:color w:val="auto"/>
              </w:rPr>
            </w:pPr>
            <w:r>
              <w:rPr>
                <w:rFonts w:ascii="Arial" w:cs="Arial" w:eastAsia="Arial" w:hAnsi="Arial"/>
                <w:sz w:val="15"/>
                <w:szCs w:val="15"/>
                <w:b w:val="1"/>
                <w:bCs w:val="1"/>
                <w:color w:val="auto"/>
                <w:w w:val="98"/>
              </w:rPr>
              <w:t>$208.6MM</w:t>
            </w:r>
          </w:p>
        </w:tc>
      </w:tr>
      <w:tr>
        <w:trPr>
          <w:trHeight w:val="210"/>
        </w:trPr>
        <w:tc>
          <w:tcPr>
            <w:tcW w:w="1740" w:type="dxa"/>
            <w:vAlign w:val="bottom"/>
          </w:tcPr>
          <w:p>
            <w:pPr>
              <w:spacing w:after="0"/>
              <w:rPr>
                <w:sz w:val="20"/>
                <w:szCs w:val="20"/>
                <w:color w:val="auto"/>
              </w:rPr>
            </w:pPr>
            <w:r>
              <w:rPr>
                <w:rFonts w:ascii="Arial" w:cs="Arial" w:eastAsia="Arial" w:hAnsi="Arial"/>
                <w:sz w:val="15"/>
                <w:szCs w:val="15"/>
                <w:b w:val="1"/>
                <w:bCs w:val="1"/>
                <w:color w:val="auto"/>
              </w:rPr>
              <w:t>Net Payoffs:</w:t>
            </w:r>
          </w:p>
        </w:tc>
        <w:tc>
          <w:tcPr>
            <w:tcW w:w="1400" w:type="dxa"/>
            <w:vAlign w:val="bottom"/>
          </w:tcPr>
          <w:p>
            <w:pPr>
              <w:ind w:left="680"/>
              <w:spacing w:after="0"/>
              <w:rPr>
                <w:sz w:val="20"/>
                <w:szCs w:val="20"/>
                <w:color w:val="auto"/>
              </w:rPr>
            </w:pPr>
            <w:r>
              <w:rPr>
                <w:rFonts w:ascii="Arial" w:cs="Arial" w:eastAsia="Arial" w:hAnsi="Arial"/>
                <w:sz w:val="15"/>
                <w:szCs w:val="15"/>
                <w:b w:val="1"/>
                <w:bCs w:val="1"/>
                <w:color w:val="auto"/>
                <w:w w:val="98"/>
              </w:rPr>
              <w:t>$180.0MM</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8"/>
        <w:spacing w:after="0"/>
        <w:rPr>
          <w:sz w:val="20"/>
          <w:szCs w:val="20"/>
          <w:color w:val="auto"/>
        </w:rPr>
      </w:pPr>
      <w:r>
        <w:rPr>
          <w:rFonts w:ascii="Arial" w:cs="Arial" w:eastAsia="Arial" w:hAnsi="Arial"/>
          <w:sz w:val="15"/>
          <w:szCs w:val="15"/>
          <w:b w:val="1"/>
          <w:bCs w:val="1"/>
          <w:color w:val="FFFFFF"/>
        </w:rPr>
        <w:t>Average Investment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213423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4235" cy="128905"/>
                    </a:xfrm>
                    <a:prstGeom prst="rect">
                      <a:avLst/>
                    </a:prstGeom>
                    <a:noFill/>
                  </pic:spPr>
                </pic:pic>
              </a:graphicData>
            </a:graphic>
          </wp:anchor>
        </w:drawing>
      </w:r>
    </w:p>
    <w:p>
      <w:pPr>
        <w:spacing w:after="0" w:line="18" w:lineRule="exact"/>
        <w:rPr>
          <w:sz w:val="20"/>
          <w:szCs w:val="20"/>
          <w:color w:val="auto"/>
        </w:rPr>
      </w:pPr>
    </w:p>
    <w:p>
      <w:pPr>
        <w:jc w:val="center"/>
        <w:ind w:right="18"/>
        <w:spacing w:after="0"/>
        <w:rPr>
          <w:sz w:val="20"/>
          <w:szCs w:val="20"/>
          <w:color w:val="auto"/>
        </w:rPr>
      </w:pPr>
      <w:r>
        <w:rPr>
          <w:rFonts w:ascii="Arial" w:cs="Arial" w:eastAsia="Arial" w:hAnsi="Arial"/>
          <w:sz w:val="15"/>
          <w:szCs w:val="15"/>
          <w:b w:val="1"/>
          <w:bCs w:val="1"/>
          <w:color w:val="auto"/>
        </w:rPr>
        <w:t>$30.2MM</w:t>
      </w:r>
    </w:p>
    <w:p>
      <w:pPr>
        <w:spacing w:after="0" w:line="30" w:lineRule="exact"/>
        <w:rPr>
          <w:sz w:val="20"/>
          <w:szCs w:val="20"/>
          <w:color w:val="auto"/>
        </w:rPr>
      </w:pPr>
    </w:p>
    <w:p>
      <w:pPr>
        <w:jc w:val="center"/>
        <w:ind w:right="18"/>
        <w:spacing w:after="0"/>
        <w:rPr>
          <w:sz w:val="20"/>
          <w:szCs w:val="20"/>
          <w:color w:val="auto"/>
        </w:rPr>
      </w:pPr>
      <w:r>
        <w:rPr>
          <w:rFonts w:ascii="Arial" w:cs="Arial" w:eastAsia="Arial" w:hAnsi="Arial"/>
          <w:sz w:val="15"/>
          <w:szCs w:val="15"/>
          <w:i w:val="1"/>
          <w:iCs w:val="1"/>
          <w:color w:val="auto"/>
        </w:rPr>
        <w:t>(0.9% of the portfolio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8"/>
        <w:spacing w:after="0"/>
        <w:rPr>
          <w:sz w:val="20"/>
          <w:szCs w:val="20"/>
          <w:color w:val="auto"/>
        </w:rPr>
      </w:pPr>
      <w:r>
        <w:rPr>
          <w:rFonts w:ascii="Arial" w:cs="Arial" w:eastAsia="Arial" w:hAnsi="Arial"/>
          <w:sz w:val="15"/>
          <w:szCs w:val="15"/>
          <w:b w:val="1"/>
          <w:bCs w:val="1"/>
          <w:color w:val="FFFFFF"/>
        </w:rPr>
        <w:t>First Lien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213423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4235" cy="128905"/>
                    </a:xfrm>
                    <a:prstGeom prst="rect">
                      <a:avLst/>
                    </a:prstGeom>
                    <a:noFill/>
                  </pic:spPr>
                </pic:pic>
              </a:graphicData>
            </a:graphic>
          </wp:anchor>
        </w:drawing>
      </w:r>
    </w:p>
    <w:p>
      <w:pPr>
        <w:spacing w:after="0" w:line="18" w:lineRule="exact"/>
        <w:rPr>
          <w:sz w:val="20"/>
          <w:szCs w:val="20"/>
          <w:color w:val="auto"/>
        </w:rPr>
      </w:pPr>
    </w:p>
    <w:p>
      <w:pPr>
        <w:ind w:left="1462"/>
        <w:spacing w:after="0"/>
        <w:rPr>
          <w:sz w:val="20"/>
          <w:szCs w:val="20"/>
          <w:color w:val="auto"/>
        </w:rPr>
      </w:pPr>
      <w:r>
        <w:rPr>
          <w:rFonts w:ascii="Arial" w:cs="Arial" w:eastAsia="Arial" w:hAnsi="Arial"/>
          <w:sz w:val="15"/>
          <w:szCs w:val="15"/>
          <w:b w:val="1"/>
          <w:bCs w:val="1"/>
          <w:color w:val="auto"/>
        </w:rPr>
        <w:t>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857885</wp:posOffset>
            </wp:positionV>
            <wp:extent cx="2134235"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42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8"/>
        <w:spacing w:after="0"/>
        <w:rPr>
          <w:sz w:val="20"/>
          <w:szCs w:val="20"/>
          <w:color w:val="auto"/>
        </w:rPr>
      </w:pPr>
      <w:r>
        <w:rPr>
          <w:rFonts w:ascii="Arial" w:cs="Arial" w:eastAsia="Arial" w:hAnsi="Arial"/>
          <w:sz w:val="15"/>
          <w:szCs w:val="15"/>
          <w:b w:val="1"/>
          <w:bCs w:val="1"/>
          <w:color w:val="FFFFFF"/>
        </w:rPr>
        <w:t>Floating Rate Debt Investments</w:t>
      </w:r>
      <w:r>
        <w:rPr>
          <w:rFonts w:ascii="Arial" w:cs="Arial" w:eastAsia="Arial" w:hAnsi="Arial"/>
          <w:sz w:val="20"/>
          <w:szCs w:val="20"/>
          <w:b w:val="1"/>
          <w:bCs w:val="1"/>
          <w:color w:val="FFFFFF"/>
          <w:vertAlign w:val="superscript"/>
        </w:rPr>
        <w:t>1</w:t>
      </w:r>
    </w:p>
    <w:p>
      <w:pPr>
        <w:jc w:val="center"/>
        <w:ind w:right="18"/>
        <w:spacing w:after="0"/>
        <w:rPr>
          <w:sz w:val="20"/>
          <w:szCs w:val="20"/>
          <w:color w:val="auto"/>
        </w:rPr>
      </w:pPr>
      <w:r>
        <w:rPr>
          <w:rFonts w:ascii="Arial" w:cs="Arial" w:eastAsia="Arial" w:hAnsi="Arial"/>
          <w:sz w:val="15"/>
          <w:szCs w:val="15"/>
          <w:b w:val="1"/>
          <w:bCs w:val="1"/>
          <w:color w:val="FFFFFF"/>
        </w:rPr>
        <w:t>(% FV)</w:t>
      </w:r>
    </w:p>
    <w:p>
      <w:pPr>
        <w:spacing w:after="0" w:line="82" w:lineRule="exact"/>
        <w:rPr>
          <w:sz w:val="20"/>
          <w:szCs w:val="20"/>
          <w:color w:val="auto"/>
        </w:rPr>
      </w:pPr>
    </w:p>
    <w:p>
      <w:pPr>
        <w:ind w:left="1462"/>
        <w:spacing w:after="0"/>
        <w:rPr>
          <w:sz w:val="20"/>
          <w:szCs w:val="20"/>
          <w:color w:val="auto"/>
        </w:rPr>
      </w:pPr>
      <w:r>
        <w:rPr>
          <w:rFonts w:ascii="Arial" w:cs="Arial" w:eastAsia="Arial" w:hAnsi="Arial"/>
          <w:sz w:val="15"/>
          <w:szCs w:val="15"/>
          <w:b w:val="1"/>
          <w:bCs w:val="1"/>
          <w:color w:val="auto"/>
        </w:rPr>
        <w:t>96.5%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2" w:right="400" w:hanging="203"/>
        <w:spacing w:after="0" w:line="245" w:lineRule="auto"/>
        <w:rPr>
          <w:sz w:val="20"/>
          <w:szCs w:val="20"/>
          <w:color w:val="auto"/>
        </w:rPr>
      </w:pPr>
      <w:r>
        <w:rPr>
          <w:rFonts w:ascii="Arial" w:cs="Arial" w:eastAsia="Arial" w:hAnsi="Arial"/>
          <w:sz w:val="15"/>
          <w:szCs w:val="15"/>
          <w:b w:val="1"/>
          <w:bCs w:val="1"/>
          <w:color w:val="FFFFFF"/>
        </w:rPr>
        <w:t>Weighted Average Yield of Debt and Incoming-Producing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213423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4235" cy="205740"/>
                    </a:xfrm>
                    <a:prstGeom prst="rect">
                      <a:avLst/>
                    </a:prstGeom>
                    <a:noFill/>
                  </pic:spPr>
                </pic:pic>
              </a:graphicData>
            </a:graphic>
          </wp:anchor>
        </w:drawing>
      </w:r>
    </w:p>
    <w:tbl>
      <w:tblPr>
        <w:tblLayout w:type="fixed"/>
        <w:tblInd w:w="2" w:type="dxa"/>
        <w:tblCellMar>
          <w:top w:w="0" w:type="dxa"/>
          <w:left w:w="0" w:type="dxa"/>
          <w:bottom w:w="0" w:type="dxa"/>
          <w:right w:w="0" w:type="dxa"/>
        </w:tblCellMar>
      </w:tblPr>
      <w:tr>
        <w:trPr>
          <w:trHeight w:val="179"/>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Yield at Fair Value:</w:t>
            </w:r>
          </w:p>
        </w:tc>
        <w:tc>
          <w:tcPr>
            <w:tcW w:w="11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11.7%</w:t>
            </w:r>
          </w:p>
        </w:tc>
      </w:tr>
      <w:tr>
        <w:trPr>
          <w:trHeight w:val="204"/>
        </w:trPr>
        <w:tc>
          <w:tcPr>
            <w:tcW w:w="2180" w:type="dxa"/>
            <w:vAlign w:val="bottom"/>
          </w:tcPr>
          <w:p>
            <w:pPr>
              <w:ind w:left="20"/>
              <w:spacing w:after="0"/>
              <w:rPr>
                <w:sz w:val="20"/>
                <w:szCs w:val="20"/>
                <w:color w:val="auto"/>
              </w:rPr>
            </w:pPr>
            <w:r>
              <w:rPr>
                <w:rFonts w:ascii="Arial" w:cs="Arial" w:eastAsia="Arial" w:hAnsi="Arial"/>
                <w:sz w:val="15"/>
                <w:szCs w:val="15"/>
                <w:b w:val="1"/>
                <w:bCs w:val="1"/>
                <w:color w:val="auto"/>
              </w:rPr>
              <w:t>Yield at Amortized Cost:</w:t>
            </w:r>
          </w:p>
        </w:tc>
        <w:tc>
          <w:tcPr>
            <w:tcW w:w="1180" w:type="dxa"/>
            <w:vAlign w:val="bottom"/>
          </w:tcPr>
          <w:p>
            <w:pPr>
              <w:jc w:val="right"/>
              <w:ind w:right="264"/>
              <w:spacing w:after="0"/>
              <w:rPr>
                <w:sz w:val="20"/>
                <w:szCs w:val="20"/>
                <w:color w:val="auto"/>
              </w:rPr>
            </w:pPr>
            <w:r>
              <w:rPr>
                <w:rFonts w:ascii="Arial" w:cs="Arial" w:eastAsia="Arial" w:hAnsi="Arial"/>
                <w:sz w:val="15"/>
                <w:szCs w:val="15"/>
                <w:b w:val="1"/>
                <w:bCs w:val="1"/>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 w:right="20" w:hanging="2"/>
        <w:spacing w:after="0" w:line="285" w:lineRule="auto"/>
        <w:tabs>
          <w:tab w:leader="none" w:pos="272"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Calculation includes income earning debt investments only.</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640" w:space="238"/>
            <w:col w:w="3362"/>
          </w:cols>
          <w:pgMar w:left="320" w:top="1440" w:right="339" w:bottom="1440" w:gutter="0" w:footer="0" w:header="0"/>
        </w:sectPr>
      </w:pPr>
    </w:p>
    <w:bookmarkStart w:id="5" w:name="page6"/>
    <w:bookmarkEnd w:id="5"/>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auto"/>
        </w:rPr>
        <w:t>RESULTS OF OPERATIONS FOR THE THREE MONTHS ENDED JUNE 30, 2025</w:t>
      </w:r>
    </w:p>
    <w:p>
      <w:pPr>
        <w:sectPr>
          <w:pgSz w:w="11900" w:h="16838" w:orient="portrait"/>
          <w:cols w:equalWidth="0" w:num="1">
            <w:col w:w="11240"/>
          </w:cols>
          <w:pgMar w:left="320" w:top="1440" w:right="3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Investment Income</w:t>
      </w:r>
    </w:p>
    <w:p>
      <w:pPr>
        <w:spacing w:after="0" w:line="250"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For the three months ended June 30, 2025 and 2024, investment income was $115.0 million and $121.8 million, respectively. The decrease in investment income was largely the result of lower interest rates, partially offset by higher activity-based fee income.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Expenses</w:t>
      </w:r>
    </w:p>
    <w:p>
      <w:pPr>
        <w:spacing w:after="0" w:line="29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Net expenses totaled $62.9 million and $65.4 million for the three months ended June 30, 2025 and 2024, respectively. The decrease in net expenses was primarily due to the downward movement in reference rates which decreased the Company’s weighted average interest rate on average debt outstanding.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and Capital Resources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the Company had $39.2 million in cash and cash equivalents (including</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$35.3 million of restricted cash), total principal value of debt outstanding of $1,757.1 million, and $1,148.2 million of undrawn capacity on its revolving credit facility, subject to borrowing base and other limitations. The Company’s weighted average interest rate on debt outstanding was 6.3% and 6.4% for the three-month periods ended June 30, 2025 and March 31, 2025, respectively. At June 30, 2025, the Company’s debt to equity ratio was 1.09x, compared to</w:t>
      </w:r>
    </w:p>
    <w:p>
      <w:pPr>
        <w:spacing w:after="0" w:line="3"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1.18x at March 31, 2025. Average debt to equity was 1.20x for the three-month period ended June 30, 2025, compared to 1.19x for the three-month period ended March 31, 2025.</w:t>
      </w:r>
    </w:p>
    <w:p>
      <w:pPr>
        <w:spacing w:after="0" w:line="73" w:lineRule="exact"/>
        <w:rPr>
          <w:sz w:val="20"/>
          <w:szCs w:val="20"/>
          <w:color w:val="auto"/>
        </w:rPr>
      </w:pPr>
    </w:p>
    <w:p>
      <w:pPr>
        <w:ind w:left="160" w:right="80" w:hanging="152"/>
        <w:spacing w:after="0" w:line="255" w:lineRule="auto"/>
        <w:tabs>
          <w:tab w:leader="none" w:pos="160" w:val="left"/>
        </w:tabs>
        <w:numPr>
          <w:ilvl w:val="0"/>
          <w:numId w:val="3"/>
        </w:numPr>
        <w:rPr>
          <w:rFonts w:ascii="Calibri" w:cs="Calibri" w:eastAsia="Calibri" w:hAnsi="Calibri"/>
          <w:sz w:val="14"/>
          <w:szCs w:val="14"/>
          <w:color w:val="auto"/>
        </w:rPr>
      </w:pPr>
      <w:r>
        <w:rPr>
          <w:rFonts w:ascii="Arial" w:cs="Arial" w:eastAsia="Arial" w:hAnsi="Arial"/>
          <w:sz w:val="14"/>
          <w:szCs w:val="14"/>
          <w:color w:val="auto"/>
        </w:rPr>
        <w:t>Daily average debt outstanding during the quarter divided by the average net assets during the quarter.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-173990</wp:posOffset>
            </wp:positionV>
            <wp:extent cx="2134235"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4235" cy="266065"/>
                    </a:xfrm>
                    <a:prstGeom prst="rect">
                      <a:avLst/>
                    </a:prstGeom>
                    <a:noFill/>
                  </pic:spPr>
                </pic:pic>
              </a:graphicData>
            </a:graphic>
          </wp:anchor>
        </w:drawing>
      </w:r>
    </w:p>
    <w:p>
      <w:pPr>
        <w:spacing w:after="0" w:line="267"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$115.0MM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331470</wp:posOffset>
            </wp:positionV>
            <wp:extent cx="2134235" cy="38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42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FFFFFF"/>
        </w:rPr>
        <w:t>Net Expenses</w:t>
      </w:r>
    </w:p>
    <w:p>
      <w:pPr>
        <w:spacing w:after="0" w:line="381"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$62.9MM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FFFFFF"/>
        </w:rPr>
        <w:t>Total Principal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213423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4235" cy="128905"/>
                    </a:xfrm>
                    <a:prstGeom prst="rect">
                      <a:avLst/>
                    </a:prstGeom>
                    <a:noFill/>
                  </pic:spPr>
                </pic:pic>
              </a:graphicData>
            </a:graphic>
          </wp:anchor>
        </w:drawing>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5"/>
          <w:szCs w:val="15"/>
          <w:b w:val="1"/>
          <w:bCs w:val="1"/>
          <w:color w:val="auto"/>
        </w:rPr>
        <w:t>$1,757.1MM</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shd w:val="clear" w:color="auto" w:fill="0F2F50"/>
          </w:tcPr>
          <w:p>
            <w:pPr>
              <w:spacing w:after="0"/>
              <w:rPr>
                <w:sz w:val="17"/>
                <w:szCs w:val="17"/>
                <w:color w:val="auto"/>
              </w:rPr>
            </w:pPr>
          </w:p>
        </w:tc>
        <w:tc>
          <w:tcPr>
            <w:tcW w:w="2060" w:type="dxa"/>
            <w:vAlign w:val="bottom"/>
            <w:shd w:val="clear" w:color="auto" w:fill="0F2F50"/>
          </w:tcPr>
          <w:p>
            <w:pPr>
              <w:ind w:left="320"/>
              <w:spacing w:after="0"/>
              <w:rPr>
                <w:sz w:val="20"/>
                <w:szCs w:val="20"/>
                <w:color w:val="auto"/>
              </w:rPr>
            </w:pPr>
            <w:r>
              <w:rPr>
                <w:rFonts w:ascii="Arial" w:cs="Arial" w:eastAsia="Arial" w:hAnsi="Arial"/>
                <w:sz w:val="15"/>
                <w:szCs w:val="15"/>
                <w:b w:val="1"/>
                <w:bCs w:val="1"/>
                <w:color w:val="FFFFFF"/>
              </w:rPr>
              <w:t>Debt-to-Equity Ratio</w:t>
            </w:r>
          </w:p>
        </w:tc>
        <w:tc>
          <w:tcPr>
            <w:tcW w:w="680" w:type="dxa"/>
            <w:vAlign w:val="bottom"/>
            <w:shd w:val="clear" w:color="auto" w:fill="0F2F50"/>
          </w:tcPr>
          <w:p>
            <w:pPr>
              <w:spacing w:after="0"/>
              <w:rPr>
                <w:sz w:val="17"/>
                <w:szCs w:val="17"/>
                <w:color w:val="auto"/>
              </w:rPr>
            </w:pPr>
          </w:p>
        </w:tc>
      </w:tr>
      <w:tr>
        <w:trPr>
          <w:trHeight w:val="167"/>
        </w:trPr>
        <w:tc>
          <w:tcPr>
            <w:tcW w:w="620" w:type="dxa"/>
            <w:vAlign w:val="bottom"/>
          </w:tcPr>
          <w:p>
            <w:pPr>
              <w:ind w:left="20"/>
              <w:spacing w:after="0" w:line="167" w:lineRule="exact"/>
              <w:rPr>
                <w:sz w:val="20"/>
                <w:szCs w:val="20"/>
                <w:color w:val="auto"/>
              </w:rPr>
            </w:pPr>
            <w:r>
              <w:rPr>
                <w:rFonts w:ascii="Arial" w:cs="Arial" w:eastAsia="Arial" w:hAnsi="Arial"/>
                <w:sz w:val="15"/>
                <w:szCs w:val="15"/>
                <w:b w:val="1"/>
                <w:bCs w:val="1"/>
                <w:color w:val="auto"/>
              </w:rPr>
              <w:t>Q2 2025</w:t>
            </w:r>
          </w:p>
        </w:tc>
        <w:tc>
          <w:tcPr>
            <w:tcW w:w="2060" w:type="dxa"/>
            <w:vAlign w:val="bottom"/>
          </w:tcPr>
          <w:p>
            <w:pPr>
              <w:ind w:left="20"/>
              <w:spacing w:after="0" w:line="167" w:lineRule="exact"/>
              <w:rPr>
                <w:sz w:val="20"/>
                <w:szCs w:val="20"/>
                <w:color w:val="auto"/>
              </w:rPr>
            </w:pPr>
            <w:r>
              <w:rPr>
                <w:rFonts w:ascii="Arial" w:cs="Arial" w:eastAsia="Arial" w:hAnsi="Arial"/>
                <w:sz w:val="15"/>
                <w:szCs w:val="15"/>
                <w:b w:val="1"/>
                <w:bCs w:val="1"/>
                <w:color w:val="auto"/>
              </w:rPr>
              <w:t>Quarter End:</w:t>
            </w:r>
          </w:p>
        </w:tc>
        <w:tc>
          <w:tcPr>
            <w:tcW w:w="680" w:type="dxa"/>
            <w:vAlign w:val="bottom"/>
          </w:tcPr>
          <w:p>
            <w:pPr>
              <w:ind w:left="280"/>
              <w:spacing w:after="0" w:line="167" w:lineRule="exact"/>
              <w:rPr>
                <w:sz w:val="20"/>
                <w:szCs w:val="20"/>
                <w:color w:val="auto"/>
              </w:rPr>
            </w:pPr>
            <w:r>
              <w:rPr>
                <w:rFonts w:ascii="Arial" w:cs="Arial" w:eastAsia="Arial" w:hAnsi="Arial"/>
                <w:sz w:val="15"/>
                <w:szCs w:val="15"/>
                <w:b w:val="1"/>
                <w:bCs w:val="1"/>
                <w:color w:val="auto"/>
              </w:rPr>
              <w:t>1.09x</w:t>
            </w:r>
          </w:p>
        </w:tc>
      </w:tr>
      <w:tr>
        <w:trPr>
          <w:trHeight w:val="280"/>
        </w:trPr>
        <w:tc>
          <w:tcPr>
            <w:tcW w:w="620" w:type="dxa"/>
            <w:vAlign w:val="bottom"/>
          </w:tcPr>
          <w:p>
            <w:pPr>
              <w:ind w:left="20"/>
              <w:spacing w:after="0"/>
              <w:rPr>
                <w:sz w:val="20"/>
                <w:szCs w:val="20"/>
                <w:color w:val="auto"/>
              </w:rPr>
            </w:pPr>
            <w:r>
              <w:rPr>
                <w:rFonts w:ascii="Arial" w:cs="Arial" w:eastAsia="Arial" w:hAnsi="Arial"/>
                <w:sz w:val="15"/>
                <w:szCs w:val="15"/>
                <w:b w:val="1"/>
                <w:bCs w:val="1"/>
                <w:color w:val="auto"/>
              </w:rPr>
              <w:t>Q2 2025</w:t>
            </w:r>
          </w:p>
        </w:tc>
        <w:tc>
          <w:tcPr>
            <w:tcW w:w="2060" w:type="dxa"/>
            <w:vAlign w:val="bottom"/>
          </w:tcPr>
          <w:p>
            <w:pPr>
              <w:ind w:left="20"/>
              <w:spacing w:after="0"/>
              <w:rPr>
                <w:sz w:val="20"/>
                <w:szCs w:val="20"/>
                <w:color w:val="auto"/>
              </w:rPr>
            </w:pPr>
            <w:r>
              <w:rPr>
                <w:rFonts w:ascii="Arial" w:cs="Arial" w:eastAsia="Arial" w:hAnsi="Arial"/>
                <w:sz w:val="15"/>
                <w:szCs w:val="15"/>
                <w:b w:val="1"/>
                <w:bCs w:val="1"/>
                <w:color w:val="auto"/>
              </w:rPr>
              <w:t>Average</w:t>
            </w:r>
            <w:r>
              <w:rPr>
                <w:rFonts w:ascii="Arial" w:cs="Arial" w:eastAsia="Arial" w:hAnsi="Arial"/>
                <w:sz w:val="20"/>
                <w:szCs w:val="20"/>
                <w:b w:val="1"/>
                <w:bCs w:val="1"/>
                <w:color w:val="auto"/>
                <w:vertAlign w:val="superscript"/>
              </w:rPr>
              <w:t>1</w:t>
            </w:r>
            <w:r>
              <w:rPr>
                <w:rFonts w:ascii="Arial" w:cs="Arial" w:eastAsia="Arial" w:hAnsi="Arial"/>
                <w:sz w:val="15"/>
                <w:szCs w:val="15"/>
                <w:b w:val="1"/>
                <w:bCs w:val="1"/>
                <w:color w:val="auto"/>
              </w:rPr>
              <w:t>:</w:t>
            </w:r>
          </w:p>
        </w:tc>
        <w:tc>
          <w:tcPr>
            <w:tcW w:w="680" w:type="dxa"/>
            <w:vAlign w:val="bottom"/>
          </w:tcPr>
          <w:p>
            <w:pPr>
              <w:ind w:left="280"/>
              <w:spacing w:after="0"/>
              <w:rPr>
                <w:sz w:val="20"/>
                <w:szCs w:val="20"/>
                <w:color w:val="auto"/>
              </w:rPr>
            </w:pPr>
            <w:r>
              <w:rPr>
                <w:rFonts w:ascii="Arial" w:cs="Arial" w:eastAsia="Arial" w:hAnsi="Arial"/>
                <w:sz w:val="15"/>
                <w:szCs w:val="15"/>
                <w:b w:val="1"/>
                <w:bCs w:val="1"/>
                <w:color w:val="auto"/>
              </w:rPr>
              <w:t>1.20x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620" w:space="260"/>
            <w:col w:w="3360"/>
          </w:cols>
          <w:pgMar w:left="320" w:top="1440" w:right="339" w:bottom="1440" w:gutter="0" w:footer="0" w:header="0"/>
          <w:type w:val="continuous"/>
        </w:sectPr>
      </w:pPr>
    </w:p>
    <w:bookmarkStart w:id="6" w:name="page7"/>
    <w:bookmarkEnd w:id="6"/>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LIQUIDITY AND FUNDING PROFILE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liquidity at June 30, 2025 and changes to unfunded commitments since March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20"/>
                <w:szCs w:val="20"/>
                <w:color w:val="auto"/>
              </w:rPr>
            </w:pPr>
            <w:r>
              <w:rPr>
                <w:rFonts w:ascii="Arial" w:cs="Arial" w:eastAsia="Arial" w:hAnsi="Arial"/>
                <w:sz w:val="14"/>
                <w:szCs w:val="14"/>
                <w:color w:val="auto"/>
              </w:rPr>
              <w:t>$ Millions</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7"/>
        </w:trPr>
        <w:tc>
          <w:tcPr>
            <w:tcW w:w="4460" w:type="dxa"/>
            <w:vAlign w:val="bottom"/>
            <w:shd w:val="clear" w:color="auto" w:fill="0F2F50"/>
          </w:tcPr>
          <w:p>
            <w:pPr>
              <w:ind w:left="1700"/>
              <w:spacing w:after="0" w:line="257" w:lineRule="exact"/>
              <w:rPr>
                <w:sz w:val="20"/>
                <w:szCs w:val="20"/>
                <w:color w:val="auto"/>
              </w:rPr>
            </w:pPr>
            <w:r>
              <w:rPr>
                <w:rFonts w:ascii="Arial" w:cs="Arial" w:eastAsia="Arial" w:hAnsi="Arial"/>
                <w:sz w:val="18"/>
                <w:szCs w:val="18"/>
                <w:b w:val="1"/>
                <w:bCs w:val="1"/>
                <w:color w:val="FFFFFF"/>
              </w:rPr>
              <w:t>Revolving Credit Facility</w:t>
            </w:r>
            <w:r>
              <w:rPr>
                <w:rFonts w:ascii="Arial" w:cs="Arial" w:eastAsia="Arial" w:hAnsi="Arial"/>
                <w:sz w:val="24"/>
                <w:szCs w:val="24"/>
                <w:b w:val="1"/>
                <w:bCs w:val="1"/>
                <w:color w:val="FFFFFF"/>
                <w:vertAlign w:val="superscript"/>
              </w:rPr>
              <w:t>1</w:t>
            </w:r>
          </w:p>
        </w:tc>
        <w:tc>
          <w:tcPr>
            <w:tcW w:w="1100" w:type="dxa"/>
            <w:vAlign w:val="bottom"/>
            <w:shd w:val="clear" w:color="auto" w:fill="0F2F50"/>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shd w:val="clear" w:color="auto" w:fill="0F2F50"/>
          </w:tcPr>
          <w:p>
            <w:pPr>
              <w:ind w:left="1380"/>
              <w:spacing w:after="0"/>
              <w:rPr>
                <w:sz w:val="20"/>
                <w:szCs w:val="20"/>
                <w:color w:val="auto"/>
              </w:rPr>
            </w:pPr>
            <w:r>
              <w:rPr>
                <w:rFonts w:ascii="Arial" w:cs="Arial" w:eastAsia="Arial" w:hAnsi="Arial"/>
                <w:sz w:val="18"/>
                <w:szCs w:val="18"/>
                <w:b w:val="1"/>
                <w:bCs w:val="1"/>
                <w:color w:val="FFFFFF"/>
              </w:rPr>
              <w:t>Unfunded Commitment Activity</w:t>
            </w:r>
          </w:p>
        </w:tc>
        <w:tc>
          <w:tcPr>
            <w:tcW w:w="860" w:type="dxa"/>
            <w:vAlign w:val="bottom"/>
            <w:shd w:val="clear" w:color="auto" w:fill="0F2F50"/>
          </w:tcPr>
          <w:p>
            <w:pPr>
              <w:spacing w:after="0"/>
              <w:rPr>
                <w:sz w:val="22"/>
                <w:szCs w:val="22"/>
                <w:color w:val="auto"/>
              </w:rPr>
            </w:pPr>
          </w:p>
        </w:tc>
      </w:tr>
      <w:tr>
        <w:trPr>
          <w:trHeight w:val="189"/>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$1,675</w:t>
            </w:r>
          </w:p>
        </w:tc>
        <w:tc>
          <w:tcPr>
            <w:tcW w:w="24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b w:val="1"/>
                <w:bCs w:val="1"/>
                <w:color w:val="auto"/>
              </w:rPr>
              <w:t>Unfunded Commitments (See Note 8 in 3/31/25 10-Q)</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$323</w:t>
            </w: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83"/>
        </w:trPr>
        <w:tc>
          <w:tcPr>
            <w:tcW w:w="4640" w:type="dxa"/>
            <w:vAlign w:val="bottom"/>
            <w:tcBorders>
              <w:top w:val="single" w:sz="8" w:color="ECEEF0"/>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Drawn on Revolver</w:t>
            </w:r>
          </w:p>
        </w:tc>
        <w:tc>
          <w:tcPr>
            <w:tcW w:w="920" w:type="dxa"/>
            <w:vAlign w:val="bottom"/>
            <w:tcBorders>
              <w:top w:val="single" w:sz="8" w:color="ECEEF0"/>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($507)</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Unrestricted Cash Balance</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$4</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Issued Letters of Credit</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($20)</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b w:val="1"/>
                <w:bCs w:val="1"/>
                <w:color w:val="auto"/>
              </w:rPr>
              <w:t>Total Liquidity (Pre-Unfunded Commitments)</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b w:val="1"/>
                <w:bCs w:val="1"/>
                <w:color w:val="auto"/>
              </w:rPr>
              <w:t>$1,152</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Available Unfunded Commitments</w:t>
            </w:r>
            <w:r>
              <w:rPr>
                <w:rFonts w:ascii="Arial" w:cs="Arial" w:eastAsia="Arial" w:hAnsi="Arial"/>
                <w:sz w:val="21"/>
                <w:szCs w:val="21"/>
                <w:color w:val="auto"/>
                <w:vertAlign w:val="superscript"/>
              </w:rPr>
              <w:t>2</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($159)</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b w:val="1"/>
                <w:bCs w:val="1"/>
                <w:color w:val="auto"/>
              </w:rPr>
              <w:t>Total Liquidity (Burdened for Unfunded Commitments)</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b w:val="1"/>
                <w:bCs w:val="1"/>
                <w:color w:val="auto"/>
              </w:rPr>
              <w:t>$993</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4000" w:type="dxa"/>
            <w:vAlign w:val="bottom"/>
            <w:tcBorders>
              <w:top w:val="single" w:sz="8" w:color="ECEEF0"/>
            </w:tcBorders>
          </w:tcPr>
          <w:p>
            <w:pPr>
              <w:spacing w:after="0" w:line="183" w:lineRule="exact"/>
              <w:rPr>
                <w:sz w:val="20"/>
                <w:szCs w:val="20"/>
                <w:color w:val="auto"/>
              </w:rPr>
            </w:pPr>
            <w:r>
              <w:rPr>
                <w:rFonts w:ascii="Arial" w:cs="Arial" w:eastAsia="Arial" w:hAnsi="Arial"/>
                <w:sz w:val="16"/>
                <w:szCs w:val="16"/>
                <w:color w:val="auto"/>
              </w:rPr>
              <w:t>Extinguished Unfunded Commitments</w:t>
            </w:r>
          </w:p>
        </w:tc>
        <w:tc>
          <w:tcPr>
            <w:tcW w:w="1480" w:type="dxa"/>
            <w:vAlign w:val="bottom"/>
            <w:tcBorders>
              <w:top w:val="single" w:sz="8" w:color="ECEEF0"/>
            </w:tcBorders>
            <w:gridSpan w:val="3"/>
          </w:tcPr>
          <w:p>
            <w:pPr>
              <w:jc w:val="right"/>
              <w:ind w:right="40"/>
              <w:spacing w:after="0" w:line="183" w:lineRule="exact"/>
              <w:rPr>
                <w:sz w:val="20"/>
                <w:szCs w:val="20"/>
                <w:color w:val="auto"/>
              </w:rPr>
            </w:pPr>
            <w:r>
              <w:rPr>
                <w:rFonts w:ascii="Arial" w:cs="Arial" w:eastAsia="Arial" w:hAnsi="Arial"/>
                <w:sz w:val="16"/>
                <w:szCs w:val="16"/>
                <w:color w:val="auto"/>
              </w:rPr>
              <w:t>($41)</w:t>
            </w:r>
          </w:p>
        </w:tc>
      </w:tr>
      <w:tr>
        <w:trPr>
          <w:trHeight w:val="183"/>
        </w:trPr>
        <w:tc>
          <w:tcPr>
            <w:tcW w:w="4000" w:type="dxa"/>
            <w:vAlign w:val="bottom"/>
            <w:tcBorders>
              <w:top w:val="single" w:sz="8" w:color="ECEEF0"/>
              <w:bottom w:val="single" w:sz="8" w:color="ECEEF0"/>
            </w:tcBorders>
          </w:tcPr>
          <w:p>
            <w:pPr>
              <w:spacing w:after="0" w:line="183" w:lineRule="exact"/>
              <w:rPr>
                <w:sz w:val="20"/>
                <w:szCs w:val="20"/>
                <w:color w:val="auto"/>
              </w:rPr>
            </w:pPr>
            <w:r>
              <w:rPr>
                <w:rFonts w:ascii="Arial" w:cs="Arial" w:eastAsia="Arial" w:hAnsi="Arial"/>
                <w:sz w:val="16"/>
                <w:szCs w:val="16"/>
                <w:color w:val="auto"/>
              </w:rPr>
              <w:t>New Unfunded Commitments</w:t>
            </w:r>
          </w:p>
        </w:tc>
        <w:tc>
          <w:tcPr>
            <w:tcW w:w="1460" w:type="dxa"/>
            <w:vAlign w:val="bottom"/>
            <w:tcBorders>
              <w:top w:val="single" w:sz="8" w:color="ECEEF0"/>
              <w:bottom w:val="single" w:sz="8" w:color="ECEEF0"/>
            </w:tcBorders>
            <w:gridSpan w:val="2"/>
          </w:tcPr>
          <w:p>
            <w:pPr>
              <w:jc w:val="right"/>
              <w:ind w:right="20"/>
              <w:spacing w:after="0" w:line="183" w:lineRule="exact"/>
              <w:rPr>
                <w:sz w:val="20"/>
                <w:szCs w:val="20"/>
                <w:color w:val="auto"/>
              </w:rPr>
            </w:pPr>
            <w:r>
              <w:rPr>
                <w:rFonts w:ascii="Arial" w:cs="Arial" w:eastAsia="Arial" w:hAnsi="Arial"/>
                <w:sz w:val="16"/>
                <w:szCs w:val="16"/>
                <w:color w:val="auto"/>
              </w:rPr>
              <w:t>$126</w:t>
            </w:r>
          </w:p>
        </w:tc>
        <w:tc>
          <w:tcPr>
            <w:tcW w:w="20" w:type="dxa"/>
            <w:vAlign w:val="bottom"/>
          </w:tcPr>
          <w:p>
            <w:pPr>
              <w:spacing w:after="0"/>
              <w:rPr>
                <w:sz w:val="15"/>
                <w:szCs w:val="15"/>
                <w:color w:val="auto"/>
              </w:rPr>
            </w:pPr>
          </w:p>
        </w:tc>
      </w:tr>
      <w:tr>
        <w:trPr>
          <w:trHeight w:val="183"/>
        </w:trPr>
        <w:tc>
          <w:tcPr>
            <w:tcW w:w="4000" w:type="dxa"/>
            <w:vAlign w:val="bottom"/>
            <w:tcBorders>
              <w:bottom w:val="single" w:sz="8" w:color="ECEEF0"/>
            </w:tcBorders>
          </w:tcPr>
          <w:p>
            <w:pPr>
              <w:spacing w:after="0" w:line="183" w:lineRule="exact"/>
              <w:rPr>
                <w:sz w:val="20"/>
                <w:szCs w:val="20"/>
                <w:color w:val="auto"/>
              </w:rPr>
            </w:pPr>
            <w:r>
              <w:rPr>
                <w:rFonts w:ascii="Arial" w:cs="Arial" w:eastAsia="Arial" w:hAnsi="Arial"/>
                <w:sz w:val="16"/>
                <w:szCs w:val="16"/>
                <w:color w:val="auto"/>
              </w:rPr>
              <w:t>Net Drawdown of Unfunded Commitments</w:t>
            </w:r>
          </w:p>
        </w:tc>
        <w:tc>
          <w:tcPr>
            <w:tcW w:w="1460" w:type="dxa"/>
            <w:vAlign w:val="bottom"/>
            <w:tcBorders>
              <w:bottom w:val="single" w:sz="8" w:color="ECEEF0"/>
            </w:tcBorders>
            <w:gridSpan w:val="2"/>
          </w:tcPr>
          <w:p>
            <w:pPr>
              <w:jc w:val="right"/>
              <w:ind w:right="20"/>
              <w:spacing w:after="0" w:line="183" w:lineRule="exact"/>
              <w:rPr>
                <w:sz w:val="20"/>
                <w:szCs w:val="20"/>
                <w:color w:val="auto"/>
              </w:rPr>
            </w:pPr>
            <w:r>
              <w:rPr>
                <w:rFonts w:ascii="Arial" w:cs="Arial" w:eastAsia="Arial" w:hAnsi="Arial"/>
                <w:sz w:val="16"/>
                <w:szCs w:val="16"/>
                <w:color w:val="auto"/>
              </w:rPr>
              <w:t>($67)</w:t>
            </w:r>
          </w:p>
        </w:tc>
        <w:tc>
          <w:tcPr>
            <w:tcW w:w="20" w:type="dxa"/>
            <w:vAlign w:val="bottom"/>
          </w:tcPr>
          <w:p>
            <w:pPr>
              <w:spacing w:after="0"/>
              <w:rPr>
                <w:sz w:val="15"/>
                <w:szCs w:val="15"/>
                <w:color w:val="auto"/>
              </w:rPr>
            </w:pPr>
          </w:p>
        </w:tc>
      </w:tr>
      <w:tr>
        <w:trPr>
          <w:trHeight w:val="183"/>
        </w:trPr>
        <w:tc>
          <w:tcPr>
            <w:tcW w:w="4000" w:type="dxa"/>
            <w:vAlign w:val="bottom"/>
          </w:tcPr>
          <w:p>
            <w:pPr>
              <w:spacing w:after="0" w:line="183" w:lineRule="exact"/>
              <w:rPr>
                <w:sz w:val="20"/>
                <w:szCs w:val="20"/>
                <w:color w:val="auto"/>
              </w:rPr>
            </w:pPr>
            <w:r>
              <w:rPr>
                <w:rFonts w:ascii="Arial" w:cs="Arial" w:eastAsia="Arial" w:hAnsi="Arial"/>
                <w:sz w:val="16"/>
                <w:szCs w:val="16"/>
                <w:b w:val="1"/>
                <w:bCs w:val="1"/>
                <w:color w:val="auto"/>
              </w:rPr>
              <w:t>Total Unfunded Commitments</w:t>
            </w:r>
          </w:p>
        </w:tc>
        <w:tc>
          <w:tcPr>
            <w:tcW w:w="146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$341</w:t>
            </w:r>
          </w:p>
        </w:tc>
        <w:tc>
          <w:tcPr>
            <w:tcW w:w="20" w:type="dxa"/>
            <w:vAlign w:val="bottom"/>
          </w:tcPr>
          <w:p>
            <w:pPr>
              <w:spacing w:after="0"/>
              <w:rPr>
                <w:sz w:val="15"/>
                <w:szCs w:val="15"/>
                <w:color w:val="auto"/>
              </w:rPr>
            </w:pPr>
          </w:p>
        </w:tc>
      </w:tr>
      <w:tr>
        <w:trPr>
          <w:trHeight w:val="183"/>
        </w:trPr>
        <w:tc>
          <w:tcPr>
            <w:tcW w:w="4000" w:type="dxa"/>
            <w:vAlign w:val="bottom"/>
            <w:tcBorders>
              <w:top w:val="single" w:sz="8" w:color="ECEEF0"/>
              <w:bottom w:val="single" w:sz="8" w:color="ECEEF0"/>
            </w:tcBorders>
          </w:tcPr>
          <w:p>
            <w:pPr>
              <w:spacing w:after="0" w:line="183" w:lineRule="exact"/>
              <w:rPr>
                <w:sz w:val="20"/>
                <w:szCs w:val="20"/>
                <w:color w:val="auto"/>
              </w:rPr>
            </w:pPr>
            <w:r>
              <w:rPr>
                <w:rFonts w:ascii="Arial" w:cs="Arial" w:eastAsia="Arial" w:hAnsi="Arial"/>
                <w:sz w:val="16"/>
                <w:szCs w:val="16"/>
                <w:color w:val="auto"/>
              </w:rPr>
              <w:t>Unavailable Unfunded Commitments</w:t>
            </w:r>
            <w:r>
              <w:rPr>
                <w:rFonts w:ascii="Arial" w:cs="Arial" w:eastAsia="Arial" w:hAnsi="Arial"/>
                <w:sz w:val="21"/>
                <w:szCs w:val="21"/>
                <w:color w:val="auto"/>
                <w:vertAlign w:val="superscript"/>
              </w:rPr>
              <w:t>2</w:t>
            </w:r>
          </w:p>
        </w:tc>
        <w:tc>
          <w:tcPr>
            <w:tcW w:w="1440" w:type="dxa"/>
            <w:vAlign w:val="bottom"/>
            <w:tcBorders>
              <w:top w:val="single" w:sz="8" w:color="ECEEF0"/>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($182)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000" w:type="dxa"/>
            <w:vAlign w:val="bottom"/>
            <w:tcBorders>
              <w:bottom w:val="single" w:sz="8" w:color="ECEEF0"/>
            </w:tcBorders>
          </w:tcPr>
          <w:p>
            <w:pPr>
              <w:spacing w:after="0" w:line="183" w:lineRule="exact"/>
              <w:rPr>
                <w:sz w:val="20"/>
                <w:szCs w:val="20"/>
                <w:color w:val="auto"/>
              </w:rPr>
            </w:pPr>
            <w:r>
              <w:rPr>
                <w:rFonts w:ascii="Arial" w:cs="Arial" w:eastAsia="Arial" w:hAnsi="Arial"/>
                <w:sz w:val="16"/>
                <w:szCs w:val="16"/>
                <w:b w:val="1"/>
                <w:bCs w:val="1"/>
                <w:color w:val="auto"/>
              </w:rPr>
              <w:t>Available Unfunded Commitments</w:t>
            </w:r>
            <w:r>
              <w:rPr>
                <w:rFonts w:ascii="Arial" w:cs="Arial" w:eastAsia="Arial" w:hAnsi="Arial"/>
                <w:sz w:val="21"/>
                <w:szCs w:val="21"/>
                <w:color w:val="auto"/>
                <w:vertAlign w:val="superscript"/>
              </w:rPr>
              <w:t>2</w:t>
            </w:r>
          </w:p>
        </w:tc>
        <w:tc>
          <w:tcPr>
            <w:tcW w:w="144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b w:val="1"/>
                <w:bCs w:val="1"/>
                <w:color w:val="auto"/>
              </w:rPr>
              <w:t>$159</w:t>
            </w:r>
          </w:p>
        </w:tc>
        <w:tc>
          <w:tcPr>
            <w:tcW w:w="20" w:type="dxa"/>
            <w:vAlign w:val="bottom"/>
            <w:tcBorders>
              <w:bottom w:val="single" w:sz="8" w:color="ECEEF0"/>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102" w:lineRule="exact"/>
        <w:rPr>
          <w:sz w:val="20"/>
          <w:szCs w:val="20"/>
          <w:color w:val="auto"/>
        </w:rPr>
      </w:pPr>
    </w:p>
    <w:p>
      <w:pPr>
        <w:sectPr>
          <w:pgSz w:w="11900" w:h="16838" w:orient="portrait"/>
          <w:cols w:equalWidth="0" w:num="2">
            <w:col w:w="5560" w:space="240"/>
            <w:col w:w="5440"/>
          </w:cols>
          <w:pgMar w:left="320" w:top="1440" w:right="339" w:bottom="1440" w:gutter="0" w:footer="0" w:header="0"/>
          <w:type w:val="continuous"/>
        </w:sectPr>
      </w:pPr>
    </w:p>
    <w:p>
      <w:pPr>
        <w:ind w:left="380" w:hanging="372"/>
        <w:spacing w:after="0" w:line="159" w:lineRule="exact"/>
        <w:tabs>
          <w:tab w:leader="none" w:pos="380" w:val="left"/>
        </w:tabs>
        <w:numPr>
          <w:ilvl w:val="0"/>
          <w:numId w:val="4"/>
        </w:numPr>
        <w:rPr>
          <w:rFonts w:ascii="Calibri" w:cs="Calibri" w:eastAsia="Calibri" w:hAnsi="Calibri"/>
          <w:sz w:val="13"/>
          <w:szCs w:val="13"/>
          <w:color w:val="auto"/>
        </w:rPr>
      </w:pPr>
      <w:r>
        <w:rPr>
          <w:rFonts w:ascii="Arial" w:cs="Arial" w:eastAsia="Arial" w:hAnsi="Arial"/>
          <w:sz w:val="13"/>
          <w:szCs w:val="13"/>
          <w:color w:val="auto"/>
        </w:rPr>
        <w:t>Includes $150 million of non</w:t>
      </w:r>
      <w:r>
        <w:rPr>
          <w:rFonts w:ascii="MS PGothic" w:cs="MS PGothic" w:eastAsia="MS PGothic" w:hAnsi="MS PGothic"/>
          <w:sz w:val="13"/>
          <w:szCs w:val="13"/>
          <w:color w:val="auto"/>
        </w:rPr>
        <w:t>‐</w:t>
      </w:r>
      <w:r>
        <w:rPr>
          <w:rFonts w:ascii="Arial" w:cs="Arial" w:eastAsia="Arial" w:hAnsi="Arial"/>
          <w:sz w:val="13"/>
          <w:szCs w:val="13"/>
          <w:color w:val="auto"/>
        </w:rPr>
        <w:t>extending commitments with a maturity of April 23, 2027 and a revolving period ending April 24, 2026.</w:t>
      </w:r>
    </w:p>
    <w:p>
      <w:pPr>
        <w:spacing w:after="0" w:line="30" w:lineRule="exact"/>
        <w:rPr>
          <w:rFonts w:ascii="Calibri" w:cs="Calibri" w:eastAsia="Calibri" w:hAnsi="Calibri"/>
          <w:sz w:val="13"/>
          <w:szCs w:val="13"/>
          <w:color w:val="auto"/>
        </w:rPr>
      </w:pPr>
    </w:p>
    <w:p>
      <w:pPr>
        <w:ind w:left="380" w:hanging="372"/>
        <w:spacing w:after="0" w:line="210" w:lineRule="auto"/>
        <w:tabs>
          <w:tab w:leader="none" w:pos="380" w:val="left"/>
        </w:tabs>
        <w:numPr>
          <w:ilvl w:val="0"/>
          <w:numId w:val="4"/>
        </w:numPr>
        <w:rPr>
          <w:rFonts w:ascii="Calibri" w:cs="Calibri" w:eastAsia="Calibri" w:hAnsi="Calibri"/>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rPr>
          <w:sz w:val="20"/>
          <w:szCs w:val="20"/>
          <w:color w:val="auto"/>
        </w:rPr>
      </w:pPr>
      <w:r>
        <w:rPr>
          <w:rFonts w:ascii="Arial" w:cs="Arial" w:eastAsia="Arial" w:hAnsi="Arial"/>
          <w:sz w:val="13"/>
          <w:szCs w:val="13"/>
          <w:color w:val="auto"/>
        </w:rPr>
        <w:t>Note: May not sum due to rounding.</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June 30, 2025, the Company’s funding mix was comprised of approximately 71% unsecured and 29% secured debt. As illustrated below, the Company’s nearest debt maturity is in August 2026 at $300 million, and the weighted average remaining life of investments funded with debt was ~2.5 years, compared to a weighted average remaining maturity on debt of ~3.9 years</w:t>
      </w:r>
      <w:r>
        <w:rPr>
          <w:rFonts w:ascii="Arial" w:cs="Arial" w:eastAsia="Arial" w:hAnsi="Arial"/>
          <w:sz w:val="24"/>
          <w:szCs w:val="24"/>
          <w:color w:val="auto"/>
          <w:vertAlign w:val="superscript"/>
        </w:rPr>
        <w:t>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5795010" cy="1637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501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hanging="292"/>
        <w:spacing w:after="0" w:line="219" w:lineRule="auto"/>
        <w:tabs>
          <w:tab w:leader="none" w:pos="300" w:val="left"/>
        </w:tabs>
        <w:numPr>
          <w:ilvl w:val="0"/>
          <w:numId w:val="5"/>
        </w:numPr>
        <w:rPr>
          <w:rFonts w:ascii="Calibri" w:cs="Calibri" w:eastAsia="Calibri" w:hAnsi="Calibri"/>
          <w:sz w:val="13"/>
          <w:szCs w:val="13"/>
          <w:color w:val="auto"/>
        </w:rPr>
      </w:pPr>
      <w:r>
        <w:rPr>
          <w:rFonts w:ascii="Arial" w:cs="Arial" w:eastAsia="Arial" w:hAnsi="Arial"/>
          <w:sz w:val="13"/>
          <w:szCs w:val="13"/>
          <w:color w:val="auto"/>
        </w:rPr>
        <w:t>Includes $150 million of remaining non-extending commitments with a maturity of April 23, 2027 and a revolving period ending April 24, 2026. The amount available may be subject to limitations related to the borrowing base under the Revolving Credit Facility, outstanding letters of credit and asset coverage requirements</w:t>
      </w:r>
    </w:p>
    <w:p>
      <w:pPr>
        <w:ind w:left="300" w:hanging="292"/>
        <w:spacing w:after="0" w:line="232" w:lineRule="auto"/>
        <w:tabs>
          <w:tab w:leader="none" w:pos="300" w:val="left"/>
        </w:tabs>
        <w:numPr>
          <w:ilvl w:val="0"/>
          <w:numId w:val="5"/>
        </w:numPr>
        <w:rPr>
          <w:rFonts w:ascii="Calibri" w:cs="Calibri" w:eastAsia="Calibri" w:hAnsi="Calibri"/>
          <w:sz w:val="13"/>
          <w:szCs w:val="13"/>
          <w:color w:val="auto"/>
        </w:rPr>
      </w:pPr>
      <w:r>
        <w:rPr>
          <w:rFonts w:ascii="Arial" w:cs="Arial" w:eastAsia="Arial" w:hAnsi="Arial"/>
          <w:sz w:val="13"/>
          <w:szCs w:val="13"/>
          <w:color w:val="auto"/>
        </w:rPr>
        <w:t>Weighted by gross commitment amount.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Note: Numbers may not sum due to rounding.</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auto"/>
        </w:rPr>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3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conference call to discuss the Company’s financial results will be held at 8:30 a.m. Eastern Time on July 31, 2025.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analysts who wish to participate in the conference call must first register at https://register-conf.media-server.com/register/BI73c5fa5d5e2f499687125b817183a9f2. Upon registration, all telephone participants will receive a confirmation email detailing how to join the conference call, including the dial-in number along with a unique passcode and registrant ID that can be used to access the call.</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3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 recorded version will be available under the same webcast link (</w:t>
      </w:r>
      <w:r>
        <w:rPr>
          <w:rFonts w:ascii="Arial" w:cs="Arial" w:eastAsia="Arial" w:hAnsi="Arial"/>
          <w:sz w:val="18"/>
          <w:szCs w:val="18"/>
          <w:color w:val="0563C1"/>
        </w:rPr>
        <w:t>https://sixthstreetspecialtylending.gcs-web.com/events-and-presentations</w:t>
      </w:r>
      <w:r>
        <w:rPr>
          <w:rFonts w:ascii="Arial" w:cs="Arial" w:eastAsia="Arial" w:hAnsi="Arial"/>
          <w:sz w:val="18"/>
          <w:szCs w:val="18"/>
          <w:color w:val="auto"/>
        </w:rPr>
        <w:t>) following the conclusion of the conference call.</w:t>
      </w: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3,317.1</w:t>
            </w: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3,415.8</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3,582.2</w:t>
            </w:r>
          </w:p>
        </w:tc>
        <w:tc>
          <w:tcPr>
            <w:tcW w:w="260" w:type="dxa"/>
            <w:vAlign w:val="bottom"/>
          </w:tcPr>
          <w:p>
            <w:pPr>
              <w:spacing w:after="0"/>
              <w:rPr>
                <w:sz w:val="18"/>
                <w:szCs w:val="18"/>
                <w:color w:val="auto"/>
              </w:rPr>
            </w:pP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18"/>
                <w:szCs w:val="18"/>
                <w:color w:val="auto"/>
              </w:rPr>
            </w:pP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Asset Value Per Share </w:t>
            </w:r>
            <w:r>
              <w:rPr>
                <w:rFonts w:ascii="Times New Roman" w:cs="Times New Roman" w:eastAsia="Times New Roman" w:hAnsi="Times New Roman"/>
                <w:sz w:val="24"/>
                <w:szCs w:val="24"/>
                <w:color w:val="auto"/>
                <w:vertAlign w:val="superscript"/>
              </w:rPr>
              <w:t>(1)</w:t>
            </w:r>
          </w:p>
        </w:tc>
        <w:tc>
          <w:tcPr>
            <w:tcW w:w="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2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tcPr>
          <w:p>
            <w:pPr>
              <w:spacing w:after="0"/>
              <w:rPr>
                <w:sz w:val="18"/>
                <w:szCs w:val="18"/>
                <w:color w:val="auto"/>
              </w:rPr>
            </w:pP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Investment Income </w:t>
            </w:r>
            <w:r>
              <w:rPr>
                <w:rFonts w:ascii="Times New Roman" w:cs="Times New Roman" w:eastAsia="Times New Roman" w:hAnsi="Times New Roman"/>
                <w:sz w:val="24"/>
                <w:szCs w:val="24"/>
                <w:color w:val="auto"/>
                <w:vertAlign w:val="superscript"/>
              </w:rPr>
              <w:t>(2)</w:t>
            </w:r>
          </w:p>
        </w:tc>
        <w:tc>
          <w:tcPr>
            <w:tcW w:w="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(2)</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21"/>
                <w:szCs w:val="21"/>
                <w:color w:val="auto"/>
              </w:rPr>
            </w:pP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60" w:type="dxa"/>
            <w:vAlign w:val="bottom"/>
          </w:tcPr>
          <w:p>
            <w:pPr>
              <w:spacing w:after="0"/>
              <w:rPr>
                <w:sz w:val="20"/>
                <w:szCs w:val="20"/>
                <w:color w:val="auto"/>
              </w:rPr>
            </w:pP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 Per Share</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Investment Income Per Share </w:t>
            </w:r>
            <w:r>
              <w:rPr>
                <w:rFonts w:ascii="Times New Roman" w:cs="Times New Roman" w:eastAsia="Times New Roman" w:hAnsi="Times New Roman"/>
                <w:sz w:val="24"/>
                <w:szCs w:val="24"/>
                <w:color w:val="auto"/>
                <w:vertAlign w:val="superscript"/>
              </w:rPr>
              <w:t>(2)</w:t>
            </w:r>
          </w:p>
        </w:tc>
        <w:tc>
          <w:tcPr>
            <w:tcW w:w="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Per Share </w:t>
            </w:r>
            <w:r>
              <w:rPr>
                <w:rFonts w:ascii="Times New Roman" w:cs="Times New Roman" w:eastAsia="Times New Roman" w:hAnsi="Times New Roman"/>
                <w:sz w:val="24"/>
                <w:szCs w:val="24"/>
                <w:color w:val="auto"/>
                <w:vertAlign w:val="superscript"/>
              </w:rPr>
              <w:t>(2)</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60" w:type="dxa"/>
            <w:vAlign w:val="bottom"/>
          </w:tcPr>
          <w:p>
            <w:pPr>
              <w:spacing w:after="0"/>
              <w:rPr>
                <w:sz w:val="21"/>
                <w:szCs w:val="21"/>
                <w:color w:val="auto"/>
              </w:rPr>
            </w:pP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(Net Investment Income)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(Net Income) </w:t>
            </w:r>
            <w:r>
              <w:rPr>
                <w:rFonts w:ascii="Times New Roman" w:cs="Times New Roman" w:eastAsia="Times New Roman" w:hAnsi="Times New Roman"/>
                <w:sz w:val="24"/>
                <w:szCs w:val="24"/>
                <w:color w:val="auto"/>
                <w:vertAlign w:val="superscript"/>
              </w:rPr>
              <w:t>(3)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Annualized Return on Equity (Adjusted Net Investment Income) </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Income) </w:t>
            </w:r>
            <w:r>
              <w:rPr>
                <w:rFonts w:ascii="Times New Roman" w:cs="Times New Roman" w:eastAsia="Times New Roman" w:hAnsi="Times New Roman"/>
                <w:sz w:val="24"/>
                <w:szCs w:val="24"/>
                <w:color w:val="auto"/>
                <w:vertAlign w:val="superscript"/>
              </w:rPr>
              <w:t>(2)(3)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 Producing Securities</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0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at Fair Value</w:t>
            </w:r>
          </w:p>
        </w:tc>
        <w:tc>
          <w:tcPr>
            <w:tcW w:w="1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8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34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 Producing Securities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at Amortized Cost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Debt Investment Commitments at Floating Rates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60" w:hanging="378"/>
        <w:spacing w:after="0"/>
        <w:tabs>
          <w:tab w:leader="none" w:pos="760" w:val="left"/>
        </w:tabs>
        <w:numPr>
          <w:ilvl w:val="0"/>
          <w:numId w:val="6"/>
        </w:numPr>
        <w:rPr>
          <w:rFonts w:ascii="Calibri" w:cs="Calibri" w:eastAsia="Calibri" w:hAnsi="Calibri"/>
          <w:sz w:val="14"/>
          <w:szCs w:val="14"/>
          <w:color w:val="auto"/>
        </w:rPr>
      </w:pPr>
      <w:r>
        <w:rPr>
          <w:rFonts w:ascii="Arial" w:cs="Arial" w:eastAsia="Arial" w:hAnsi="Arial"/>
          <w:sz w:val="14"/>
          <w:szCs w:val="14"/>
          <w:color w:val="auto"/>
        </w:rPr>
        <w:t>Adjusted net asset value per share gives effect to the supplemental dividend declared related to earnings or special dividend in the applicable period.</w:t>
      </w:r>
    </w:p>
    <w:p>
      <w:pPr>
        <w:spacing w:after="0" w:line="19" w:lineRule="exact"/>
        <w:rPr>
          <w:rFonts w:ascii="Calibri" w:cs="Calibri" w:eastAsia="Calibri" w:hAnsi="Calibri"/>
          <w:sz w:val="14"/>
          <w:szCs w:val="14"/>
          <w:color w:val="auto"/>
        </w:rPr>
      </w:pPr>
    </w:p>
    <w:p>
      <w:pPr>
        <w:ind w:left="760" w:right="20" w:hanging="378"/>
        <w:spacing w:after="0" w:line="243" w:lineRule="auto"/>
        <w:tabs>
          <w:tab w:leader="none" w:pos="760" w:val="left"/>
        </w:tabs>
        <w:numPr>
          <w:ilvl w:val="0"/>
          <w:numId w:val="6"/>
        </w:numPr>
        <w:rPr>
          <w:rFonts w:ascii="Calibri" w:cs="Calibri" w:eastAsia="Calibri" w:hAnsi="Calibri"/>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760" w:hanging="378"/>
        <w:spacing w:after="0"/>
        <w:tabs>
          <w:tab w:leader="none" w:pos="760" w:val="left"/>
        </w:tabs>
        <w:numPr>
          <w:ilvl w:val="0"/>
          <w:numId w:val="6"/>
        </w:numPr>
        <w:rPr>
          <w:rFonts w:ascii="Calibri" w:cs="Calibri" w:eastAsia="Calibri" w:hAnsi="Calibri"/>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auto"/>
        </w:rPr>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Sixth Street Specialty Lending, Inc.</w:t>
      </w:r>
    </w:p>
    <w:p>
      <w:pPr>
        <w:jc w:val="center"/>
        <w:spacing w:after="0" w:line="234" w:lineRule="auto"/>
        <w:rPr>
          <w:sz w:val="20"/>
          <w:szCs w:val="20"/>
          <w:color w:val="auto"/>
        </w:rPr>
      </w:pPr>
      <w:r>
        <w:rPr>
          <w:rFonts w:ascii="Arial" w:cs="Arial" w:eastAsia="Arial" w:hAnsi="Arial"/>
          <w:sz w:val="20"/>
          <w:szCs w:val="20"/>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00" w:type="dxa"/>
            <w:vAlign w:val="bottom"/>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fair value</w:t>
            </w: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 (amortized cost of $3,161,381 and $3,450,644, respectively)</w:t>
            </w:r>
          </w:p>
        </w:tc>
        <w:tc>
          <w:tcPr>
            <w:tcW w:w="1180" w:type="dxa"/>
            <w:vAlign w:val="bottom"/>
            <w:shd w:val="clear" w:color="auto" w:fill="CFF0FC"/>
          </w:tcPr>
          <w:p>
            <w:pPr>
              <w:jc w:val="right"/>
              <w:ind w:right="10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3,228,407</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3,453,317</w:t>
            </w:r>
          </w:p>
        </w:tc>
        <w:tc>
          <w:tcPr>
            <w:tcW w:w="0" w:type="dxa"/>
            <w:vAlign w:val="bottom"/>
          </w:tcPr>
          <w:p>
            <w:pPr>
              <w:spacing w:after="0"/>
              <w:rPr>
                <w:sz w:val="1"/>
                <w:szCs w:val="1"/>
                <w:color w:val="auto"/>
              </w:rPr>
            </w:pPr>
          </w:p>
        </w:tc>
      </w:tr>
      <w:tr>
        <w:trPr>
          <w:trHeight w:val="148"/>
        </w:trPr>
        <w:tc>
          <w:tcPr>
            <w:tcW w:w="7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 (amortized cost of $94,279 and $88,509, respectively)</w:t>
            </w:r>
          </w:p>
        </w:tc>
        <w:tc>
          <w:tcPr>
            <w:tcW w:w="11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66,498</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65,095</w:t>
            </w:r>
          </w:p>
        </w:tc>
        <w:tc>
          <w:tcPr>
            <w:tcW w:w="0" w:type="dxa"/>
            <w:vAlign w:val="bottom"/>
          </w:tcPr>
          <w:p>
            <w:pPr>
              <w:spacing w:after="0"/>
              <w:rPr>
                <w:sz w:val="1"/>
                <w:szCs w:val="1"/>
                <w:color w:val="auto"/>
              </w:rPr>
            </w:pPr>
          </w:p>
        </w:tc>
      </w:tr>
      <w:tr>
        <w:trPr>
          <w:trHeight w:val="142"/>
        </w:trPr>
        <w:tc>
          <w:tcPr>
            <w:tcW w:w="7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investments at fair value (amortized cost of $3,255,660 and $3,539,153, respectively)</w:t>
            </w:r>
          </w:p>
        </w:tc>
        <w:tc>
          <w:tcPr>
            <w:tcW w:w="1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3,294,905</w:t>
            </w:r>
          </w:p>
        </w:tc>
        <w:tc>
          <w:tcPr>
            <w:tcW w:w="30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5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3,518,412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(restricted cash of $35,256 and $22,362, respectively)</w:t>
            </w:r>
          </w:p>
        </w:tc>
        <w:tc>
          <w:tcPr>
            <w:tcW w:w="11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39,169</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27,328</w:t>
            </w: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1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24,741</w:t>
            </w:r>
          </w:p>
        </w:tc>
        <w:tc>
          <w:tcPr>
            <w:tcW w:w="26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30,518</w:t>
            </w: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1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57,033</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5,967</w:t>
            </w:r>
          </w:p>
        </w:tc>
        <w:tc>
          <w:tcPr>
            <w:tcW w:w="0" w:type="dxa"/>
            <w:vAlign w:val="bottom"/>
          </w:tcPr>
          <w:p>
            <w:pPr>
              <w:spacing w:after="0"/>
              <w:rPr>
                <w:sz w:val="1"/>
                <w:szCs w:val="1"/>
                <w:color w:val="auto"/>
              </w:rPr>
            </w:pPr>
          </w:p>
        </w:tc>
      </w:tr>
      <w:tr>
        <w:trPr>
          <w:trHeight w:val="18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180" w:type="dxa"/>
            <w:vAlign w:val="bottom"/>
            <w:tcBorders>
              <w:top w:val="single" w:sz="8" w:color="auto"/>
              <w:bottom w:val="single" w:sz="8" w:color="auto"/>
            </w:tcBorders>
            <w:shd w:val="clear" w:color="auto" w:fill="CFF0FC"/>
          </w:tcPr>
          <w:p>
            <w:pPr>
              <w:jc w:val="right"/>
              <w:ind w:right="10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3,415,848</w:t>
            </w:r>
          </w:p>
        </w:tc>
        <w:tc>
          <w:tcPr>
            <w:tcW w:w="3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3,582,225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3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(net of deferred financing costs of $27,924 and $23,837, respectively)</w:t>
            </w:r>
          </w:p>
        </w:tc>
        <w:tc>
          <w:tcPr>
            <w:tcW w:w="1180" w:type="dxa"/>
            <w:vAlign w:val="bottom"/>
            <w:shd w:val="clear" w:color="auto" w:fill="CFF0FC"/>
          </w:tcPr>
          <w:p>
            <w:pPr>
              <w:jc w:val="right"/>
              <w:ind w:right="10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1,726,557</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1,901,142</w:t>
            </w: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11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12,620</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12,953</w:t>
            </w: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1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11,089</w:t>
            </w:r>
          </w:p>
        </w:tc>
        <w:tc>
          <w:tcPr>
            <w:tcW w:w="26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12,013</w:t>
            </w: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11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2,822</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5,071</w:t>
            </w: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payables to affiliate</w:t>
            </w:r>
          </w:p>
        </w:tc>
        <w:tc>
          <w:tcPr>
            <w:tcW w:w="1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5,360</w:t>
            </w:r>
          </w:p>
        </w:tc>
        <w:tc>
          <w:tcPr>
            <w:tcW w:w="26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3,635</w:t>
            </w: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1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39,754</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39,882</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1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1,798,202</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1,974,696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$0.01 par value; 100,000,000 shares authorized; no shares</w:t>
            </w:r>
          </w:p>
        </w:tc>
        <w:tc>
          <w:tcPr>
            <w:tcW w:w="1180" w:type="dxa"/>
            <w:vAlign w:val="bottom"/>
          </w:tcPr>
          <w:p>
            <w:pPr>
              <w:spacing w:after="0"/>
              <w:rPr>
                <w:sz w:val="10"/>
                <w:szCs w:val="10"/>
                <w:color w:val="auto"/>
              </w:rPr>
            </w:pP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6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and outstanding</w:t>
            </w:r>
          </w:p>
        </w:tc>
        <w:tc>
          <w:tcPr>
            <w:tcW w:w="1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400,000,000 shares authorized, 94,904,598</w:t>
            </w:r>
          </w:p>
        </w:tc>
        <w:tc>
          <w:tcPr>
            <w:tcW w:w="1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94,325,686 shares issued, respectively; and 94,240,348 and 93,661,436</w:t>
            </w:r>
          </w:p>
        </w:tc>
        <w:tc>
          <w:tcPr>
            <w:tcW w:w="118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949</w:t>
            </w:r>
          </w:p>
        </w:tc>
        <w:tc>
          <w:tcPr>
            <w:tcW w:w="26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171"/>
        </w:trPr>
        <w:tc>
          <w:tcPr>
            <w:tcW w:w="7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outstanding, respectively</w:t>
            </w:r>
          </w:p>
        </w:tc>
        <w:tc>
          <w:tcPr>
            <w:tcW w:w="1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1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1,531,993</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1,519,337</w:t>
            </w: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Treasury stock at cost; 664,250 and 664,250 shares held, respectively</w:t>
            </w:r>
          </w:p>
        </w:tc>
        <w:tc>
          <w:tcPr>
            <w:tcW w:w="1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26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Distributable earnings</w:t>
            </w:r>
          </w:p>
        </w:tc>
        <w:tc>
          <w:tcPr>
            <w:tcW w:w="11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95,163</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97,708</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11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1,617,646</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1,607,529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180" w:type="dxa"/>
            <w:vAlign w:val="bottom"/>
          </w:tcPr>
          <w:p>
            <w:pPr>
              <w:jc w:val="right"/>
              <w:ind w:right="10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3,415,848</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3,582,225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300" w:type="dxa"/>
            <w:vAlign w:val="bottom"/>
            <w:shd w:val="clear" w:color="auto" w:fill="CFF0FC"/>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180" w:type="dxa"/>
            <w:vAlign w:val="bottom"/>
            <w:shd w:val="clear" w:color="auto" w:fill="CFF0FC"/>
          </w:tcPr>
          <w:p>
            <w:pPr>
              <w:jc w:val="right"/>
              <w:ind w:right="10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300"/>
              <w:spacing w:after="0" w:line="129" w:lineRule="exact"/>
              <w:rPr>
                <w:sz w:val="20"/>
                <w:szCs w:val="20"/>
                <w:color w:val="auto"/>
              </w:rPr>
            </w:pPr>
            <w:r>
              <w:rPr>
                <w:rFonts w:ascii="Times New Roman" w:cs="Times New Roman" w:eastAsia="Times New Roman" w:hAnsi="Times New Roman"/>
                <w:sz w:val="14"/>
                <w:szCs w:val="14"/>
                <w:color w:val="auto"/>
              </w:rPr>
              <w:t>17.17</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shd w:val="clear" w:color="auto" w:fill="CFF0FC"/>
          </w:tcPr>
          <w:p>
            <w:pPr>
              <w:jc w:val="right"/>
              <w:ind w:right="10"/>
              <w:spacing w:after="0" w:line="129" w:lineRule="exact"/>
              <w:rPr>
                <w:sz w:val="20"/>
                <w:szCs w:val="20"/>
                <w:color w:val="auto"/>
              </w:rPr>
            </w:pPr>
            <w:r>
              <w:rPr>
                <w:rFonts w:ascii="Times New Roman" w:cs="Times New Roman" w:eastAsia="Times New Roman" w:hAnsi="Times New Roman"/>
                <w:sz w:val="14"/>
                <w:szCs w:val="14"/>
                <w:color w:val="auto"/>
              </w:rPr>
              <w:t>17.16</w:t>
            </w:r>
          </w:p>
        </w:tc>
        <w:tc>
          <w:tcPr>
            <w:tcW w:w="0" w:type="dxa"/>
            <w:vAlign w:val="bottom"/>
          </w:tcPr>
          <w:p>
            <w:pPr>
              <w:spacing w:after="0"/>
              <w:rPr>
                <w:sz w:val="1"/>
                <w:szCs w:val="1"/>
                <w:color w:val="auto"/>
              </w:rPr>
            </w:pPr>
          </w:p>
        </w:tc>
      </w:tr>
      <w:tr>
        <w:trPr>
          <w:trHeight w:val="416"/>
        </w:trPr>
        <w:tc>
          <w:tcPr>
            <w:tcW w:w="730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948"/>
        </w:trPr>
        <w:tc>
          <w:tcPr>
            <w:tcW w:w="7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-2982595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-2965450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-2193925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-1139190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-916305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-899795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Sixth Street Specialty Lending, Inc.</w:t>
      </w:r>
    </w:p>
    <w:p>
      <w:pPr>
        <w:jc w:val="center"/>
        <w:spacing w:after="0" w:line="234" w:lineRule="auto"/>
        <w:rPr>
          <w:sz w:val="20"/>
          <w:szCs w:val="20"/>
          <w:color w:val="auto"/>
        </w:rPr>
      </w:pPr>
      <w:r>
        <w:rPr>
          <w:rFonts w:ascii="Arial" w:cs="Arial" w:eastAsia="Arial" w:hAnsi="Arial"/>
          <w:sz w:val="20"/>
          <w:szCs w:val="20"/>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5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2"/>
                <w:szCs w:val="12"/>
                <w:color w:val="auto"/>
              </w:rPr>
            </w:pPr>
          </w:p>
        </w:tc>
      </w:tr>
      <w:tr>
        <w:trPr>
          <w:trHeight w:val="142"/>
        </w:trPr>
        <w:tc>
          <w:tcPr>
            <w:tcW w:w="5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2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98,684</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102,707</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202,877</w:t>
            </w:r>
          </w:p>
        </w:tc>
        <w:tc>
          <w:tcPr>
            <w:tcW w:w="1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205,114</w:t>
            </w: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Paid-in-kind interest income</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17,543</w:t>
            </w:r>
          </w:p>
        </w:tc>
        <w:tc>
          <w:tcPr>
            <w:tcW w:w="100" w:type="dxa"/>
            <w:vAlign w:val="bottom"/>
          </w:tcPr>
          <w:p>
            <w:pPr>
              <w:spacing w:after="0"/>
              <w:rPr>
                <w:sz w:val="12"/>
                <w:szCs w:val="12"/>
                <w:color w:val="auto"/>
              </w:rPr>
            </w:pPr>
          </w:p>
        </w:tc>
      </w:tr>
      <w:tr>
        <w:trPr>
          <w:trHeight w:val="149"/>
        </w:trPr>
        <w:tc>
          <w:tcPr>
            <w:tcW w:w="52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2,596</w:t>
            </w: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5,533</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11,068</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9,787</w:t>
            </w:r>
          </w:p>
        </w:tc>
        <w:tc>
          <w:tcPr>
            <w:tcW w:w="100" w:type="dxa"/>
            <w:vAlign w:val="bottom"/>
          </w:tcPr>
          <w:p>
            <w:pPr>
              <w:spacing w:after="0"/>
              <w:rPr>
                <w:sz w:val="12"/>
                <w:szCs w:val="12"/>
                <w:color w:val="auto"/>
              </w:rPr>
            </w:pPr>
          </w:p>
        </w:tc>
      </w:tr>
      <w:tr>
        <w:trPr>
          <w:trHeight w:val="142"/>
        </w:trPr>
        <w:tc>
          <w:tcPr>
            <w:tcW w:w="528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112,463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119,490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226,383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235,040</w:t>
            </w: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4,977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4,551</w:t>
            </w: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r>
      <w:tr>
        <w:trPr>
          <w:trHeight w:val="142"/>
        </w:trPr>
        <w:tc>
          <w:tcPr>
            <w:tcW w:w="5280" w:type="dxa"/>
            <w:vAlign w:val="bottom"/>
            <w:tcBorders>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14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2,552</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2,325</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4,981</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4,559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28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121,815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231,364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239,599</w:t>
            </w:r>
          </w:p>
        </w:tc>
        <w:tc>
          <w:tcPr>
            <w:tcW w:w="100" w:type="dxa"/>
            <w:vAlign w:val="bottom"/>
          </w:tcPr>
          <w:p>
            <w:pPr>
              <w:spacing w:after="0"/>
              <w:rPr>
                <w:sz w:val="12"/>
                <w:szCs w:val="12"/>
                <w:color w:val="auto"/>
              </w:rPr>
            </w:pPr>
          </w:p>
        </w:tc>
      </w:tr>
      <w:tr>
        <w:trPr>
          <w:trHeight w:val="142"/>
        </w:trPr>
        <w:tc>
          <w:tcPr>
            <w:tcW w:w="5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39,234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66,617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78,266</w:t>
            </w:r>
          </w:p>
        </w:tc>
        <w:tc>
          <w:tcPr>
            <w:tcW w:w="100" w:type="dxa"/>
            <w:vAlign w:val="bottom"/>
          </w:tcPr>
          <w:p>
            <w:pPr>
              <w:spacing w:after="0"/>
              <w:rPr>
                <w:sz w:val="12"/>
                <w:szCs w:val="12"/>
                <w:color w:val="auto"/>
              </w:rPr>
            </w:pPr>
          </w:p>
        </w:tc>
      </w:tr>
      <w:tr>
        <w:trPr>
          <w:trHeight w:val="148"/>
        </w:trPr>
        <w:tc>
          <w:tcPr>
            <w:tcW w:w="5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25,361</w:t>
            </w: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22,342</w:t>
            </w:r>
          </w:p>
        </w:tc>
        <w:tc>
          <w:tcPr>
            <w:tcW w:w="100" w:type="dxa"/>
            <w:vAlign w:val="bottom"/>
          </w:tcPr>
          <w:p>
            <w:pPr>
              <w:spacing w:after="0"/>
              <w:rPr>
                <w:sz w:val="12"/>
                <w:szCs w:val="12"/>
                <w:color w:val="auto"/>
              </w:rPr>
            </w:pPr>
          </w:p>
        </w:tc>
      </w:tr>
      <w:tr>
        <w:trPr>
          <w:trHeight w:val="149"/>
        </w:trPr>
        <w:tc>
          <w:tcPr>
            <w:tcW w:w="5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(1,335)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(2,179)</w:t>
            </w: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3,866</w:t>
            </w:r>
          </w:p>
        </w:tc>
        <w:tc>
          <w:tcPr>
            <w:tcW w:w="100" w:type="dxa"/>
            <w:vAlign w:val="bottom"/>
          </w:tcPr>
          <w:p>
            <w:pPr>
              <w:spacing w:after="0"/>
              <w:rPr>
                <w:sz w:val="12"/>
                <w:szCs w:val="12"/>
                <w:color w:val="auto"/>
              </w:rPr>
            </w:pPr>
          </w:p>
        </w:tc>
      </w:tr>
      <w:tr>
        <w:trPr>
          <w:trHeight w:val="148"/>
        </w:trPr>
        <w:tc>
          <w:tcPr>
            <w:tcW w:w="5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Directors’ fees</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general and administrative</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w:t>
            </w:r>
          </w:p>
        </w:tc>
        <w:tc>
          <w:tcPr>
            <w:tcW w:w="100" w:type="dxa"/>
            <w:vAlign w:val="bottom"/>
          </w:tcPr>
          <w:p>
            <w:pPr>
              <w:spacing w:after="0"/>
              <w:rPr>
                <w:sz w:val="12"/>
                <w:szCs w:val="12"/>
                <w:color w:val="auto"/>
              </w:rPr>
            </w:pPr>
          </w:p>
        </w:tc>
      </w:tr>
      <w:tr>
        <w:trPr>
          <w:trHeight w:val="142"/>
        </w:trPr>
        <w:tc>
          <w:tcPr>
            <w:tcW w:w="5280" w:type="dxa"/>
            <w:vAlign w:val="bottom"/>
            <w:tcBorders>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63,181</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65,743</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120,610</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130,711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Management and incentive fees waived (Note 3)</w:t>
            </w:r>
          </w:p>
        </w:tc>
        <w:tc>
          <w:tcPr>
            <w:tcW w:w="140" w:type="dxa"/>
            <w:vAlign w:val="bottom"/>
          </w:tcPr>
          <w:p>
            <w:pPr>
              <w:spacing w:after="0"/>
              <w:rPr>
                <w:sz w:val="12"/>
                <w:szCs w:val="12"/>
                <w:color w:val="auto"/>
              </w:rPr>
            </w:pPr>
          </w:p>
        </w:tc>
        <w:tc>
          <w:tcPr>
            <w:tcW w:w="12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(694)</w:t>
            </w:r>
          </w:p>
        </w:tc>
      </w:tr>
      <w:tr>
        <w:trPr>
          <w:trHeight w:val="142"/>
        </w:trPr>
        <w:tc>
          <w:tcPr>
            <w:tcW w:w="528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62,884</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65,446</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119,904</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130,017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1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52,131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56,369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111,460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109,582</w:t>
            </w:r>
          </w:p>
        </w:tc>
        <w:tc>
          <w:tcPr>
            <w:tcW w:w="100" w:type="dxa"/>
            <w:vAlign w:val="bottom"/>
          </w:tcPr>
          <w:p>
            <w:pPr>
              <w:spacing w:after="0"/>
              <w:rPr>
                <w:sz w:val="12"/>
                <w:szCs w:val="12"/>
                <w:color w:val="auto"/>
              </w:rPr>
            </w:pPr>
          </w:p>
        </w:tc>
      </w:tr>
      <w:tr>
        <w:trPr>
          <w:trHeight w:val="148"/>
        </w:trPr>
        <w:tc>
          <w:tcPr>
            <w:tcW w:w="52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taxes, including excise taxes</w:t>
            </w:r>
          </w:p>
        </w:tc>
        <w:tc>
          <w:tcPr>
            <w:tcW w:w="14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1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50,840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55,143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108,818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107,506</w:t>
            </w:r>
          </w:p>
        </w:tc>
        <w:tc>
          <w:tcPr>
            <w:tcW w:w="100" w:type="dxa"/>
            <w:vAlign w:val="bottom"/>
          </w:tcPr>
          <w:p>
            <w:pPr>
              <w:spacing w:after="0"/>
              <w:rPr>
                <w:sz w:val="12"/>
                <w:szCs w:val="12"/>
                <w:color w:val="auto"/>
              </w:rPr>
            </w:pPr>
          </w:p>
        </w:tc>
      </w:tr>
      <w:tr>
        <w:trPr>
          <w:trHeight w:val="148"/>
        </w:trPr>
        <w:tc>
          <w:tcPr>
            <w:tcW w:w="5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73,790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(7,852)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64,352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(17,166)</w:t>
            </w:r>
          </w:p>
        </w:tc>
      </w:tr>
      <w:tr>
        <w:trPr>
          <w:trHeight w:val="148"/>
        </w:trPr>
        <w:tc>
          <w:tcPr>
            <w:tcW w:w="5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w:t>
            </w:r>
          </w:p>
        </w:tc>
        <w:tc>
          <w:tcPr>
            <w:tcW w:w="14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(2,381)</w:t>
            </w:r>
          </w:p>
        </w:tc>
      </w:tr>
      <w:tr>
        <w:trPr>
          <w:trHeight w:val="149"/>
        </w:trPr>
        <w:tc>
          <w:tcPr>
            <w:tcW w:w="52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(25,764)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(36,807)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3,085</w:t>
            </w:r>
          </w:p>
        </w:tc>
        <w:tc>
          <w:tcPr>
            <w:tcW w:w="100" w:type="dxa"/>
            <w:vAlign w:val="bottom"/>
            <w:shd w:val="clear" w:color="auto" w:fill="CFF0FC"/>
          </w:tcPr>
          <w:p>
            <w:pPr>
              <w:spacing w:after="0"/>
              <w:rPr>
                <w:sz w:val="12"/>
                <w:szCs w:val="12"/>
                <w:color w:val="auto"/>
              </w:rPr>
            </w:pPr>
          </w:p>
        </w:tc>
      </w:tr>
      <w:tr>
        <w:trPr>
          <w:trHeight w:val="142"/>
        </w:trPr>
        <w:tc>
          <w:tcPr>
            <w:tcW w:w="528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45,039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(9,493)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23,179</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(16,462)</w:t>
            </w:r>
          </w:p>
        </w:tc>
        <w:tc>
          <w:tcPr>
            <w:tcW w:w="100" w:type="dxa"/>
            <w:vAlign w:val="bottom"/>
          </w:tcPr>
          <w:p>
            <w:pPr>
              <w:spacing w:after="0"/>
              <w:rPr>
                <w:sz w:val="12"/>
                <w:szCs w:val="12"/>
                <w:color w:val="auto"/>
              </w:rPr>
            </w:pPr>
          </w:p>
        </w:tc>
      </w:tr>
      <w:tr>
        <w:trPr>
          <w:trHeight w:val="142"/>
        </w:trPr>
        <w:tc>
          <w:tcPr>
            <w:tcW w:w="5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Realized gains (losses):</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(36,803)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(35,688)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3,863</w:t>
            </w:r>
          </w:p>
        </w:tc>
        <w:tc>
          <w:tcPr>
            <w:tcW w:w="100" w:type="dxa"/>
            <w:vAlign w:val="bottom"/>
          </w:tcPr>
          <w:p>
            <w:pPr>
              <w:spacing w:after="0"/>
              <w:rPr>
                <w:sz w:val="12"/>
                <w:szCs w:val="12"/>
                <w:color w:val="auto"/>
              </w:rPr>
            </w:pPr>
          </w:p>
        </w:tc>
      </w:tr>
      <w:tr>
        <w:trPr>
          <w:trHeight w:val="149"/>
        </w:trPr>
        <w:tc>
          <w:tcPr>
            <w:tcW w:w="52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transactions</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2"/>
                <w:szCs w:val="12"/>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28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net realized gains (losses)</w:t>
            </w:r>
          </w:p>
        </w:tc>
        <w:tc>
          <w:tcPr>
            <w:tcW w:w="140" w:type="dxa"/>
            <w:vAlign w:val="bottom"/>
          </w:tcPr>
          <w:p>
            <w:pPr>
              <w:spacing w:after="0"/>
              <w:rPr>
                <w:sz w:val="12"/>
                <w:szCs w:val="12"/>
                <w:color w:val="auto"/>
              </w:rPr>
            </w:pPr>
          </w:p>
        </w:tc>
        <w:tc>
          <w:tcPr>
            <w:tcW w:w="12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(36,876)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(36,040)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3,875</w:t>
            </w:r>
          </w:p>
        </w:tc>
        <w:tc>
          <w:tcPr>
            <w:tcW w:w="100" w:type="dxa"/>
            <w:vAlign w:val="bottom"/>
          </w:tcPr>
          <w:p>
            <w:pPr>
              <w:spacing w:after="0"/>
              <w:rPr>
                <w:sz w:val="12"/>
                <w:szCs w:val="12"/>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28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8,163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(7,742)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(12,861)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(12,587)</w:t>
            </w:r>
          </w:p>
        </w:tc>
      </w:tr>
      <w:tr>
        <w:trPr>
          <w:trHeight w:val="20"/>
        </w:trPr>
        <w:tc>
          <w:tcPr>
            <w:tcW w:w="5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28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59,003</w:t>
            </w:r>
          </w:p>
        </w:tc>
        <w:tc>
          <w:tcPr>
            <w:tcW w:w="160" w:type="dxa"/>
            <w:vAlign w:val="bottom"/>
          </w:tcPr>
          <w:p>
            <w:pPr>
              <w:spacing w:after="0"/>
              <w:rPr>
                <w:sz w:val="12"/>
                <w:szCs w:val="12"/>
                <w:color w:val="auto"/>
              </w:rPr>
            </w:pPr>
          </w:p>
        </w:tc>
        <w:tc>
          <w:tcPr>
            <w:tcW w:w="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47,401</w:t>
            </w:r>
          </w:p>
        </w:tc>
        <w:tc>
          <w:tcPr>
            <w:tcW w:w="120" w:type="dxa"/>
            <w:vAlign w:val="bottom"/>
          </w:tcPr>
          <w:p>
            <w:pPr>
              <w:spacing w:after="0"/>
              <w:rPr>
                <w:sz w:val="12"/>
                <w:szCs w:val="12"/>
                <w:color w:val="auto"/>
              </w:rPr>
            </w:pP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95,957</w:t>
            </w:r>
          </w:p>
        </w:tc>
        <w:tc>
          <w:tcPr>
            <w:tcW w:w="120" w:type="dxa"/>
            <w:vAlign w:val="bottom"/>
          </w:tcPr>
          <w:p>
            <w:pPr>
              <w:spacing w:after="0"/>
              <w:rPr>
                <w:sz w:val="12"/>
                <w:szCs w:val="12"/>
                <w:color w:val="auto"/>
              </w:rPr>
            </w:pP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94,919</w:t>
            </w:r>
          </w:p>
        </w:tc>
        <w:tc>
          <w:tcPr>
            <w:tcW w:w="100" w:type="dxa"/>
            <w:vAlign w:val="bottom"/>
          </w:tcPr>
          <w:p>
            <w:pPr>
              <w:spacing w:after="0"/>
              <w:rPr>
                <w:sz w:val="12"/>
                <w:szCs w:val="12"/>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0.63</w:t>
            </w:r>
          </w:p>
        </w:tc>
        <w:tc>
          <w:tcPr>
            <w:tcW w:w="16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0.51</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FF0FC"/>
          </w:tcPr>
          <w:p>
            <w:pPr>
              <w:spacing w:after="0"/>
              <w:rPr>
                <w:sz w:val="11"/>
                <w:szCs w:val="11"/>
                <w:color w:val="auto"/>
              </w:rPr>
            </w:pPr>
          </w:p>
        </w:tc>
      </w:tr>
      <w:tr>
        <w:trPr>
          <w:trHeight w:val="142"/>
        </w:trPr>
        <w:tc>
          <w:tcPr>
            <w:tcW w:w="52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93,971,164</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92,734,320</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93,821,251</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90,883,350</w:t>
            </w:r>
          </w:p>
        </w:tc>
        <w:tc>
          <w:tcPr>
            <w:tcW w:w="100" w:type="dxa"/>
            <w:vAlign w:val="bottom"/>
            <w:tcBorders>
              <w:top w:val="single" w:sz="8" w:color="CFF0FC"/>
            </w:tcBorders>
          </w:tcPr>
          <w:p>
            <w:pPr>
              <w:spacing w:after="0"/>
              <w:rPr>
                <w:sz w:val="12"/>
                <w:szCs w:val="12"/>
                <w:color w:val="auto"/>
              </w:rPr>
            </w:pPr>
          </w:p>
        </w:tc>
      </w:tr>
      <w:tr>
        <w:trPr>
          <w:trHeight w:val="430"/>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948"/>
        </w:trPr>
        <w:tc>
          <w:tcPr>
            <w:tcW w:w="5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-3771265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-3771265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-3771265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-2802255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-2802255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-2802255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-2596515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-2596515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-2596515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-2399665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-2399665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-2399665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-1837690</wp:posOffset>
            </wp:positionV>
            <wp:extent cx="102870" cy="136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-1837690</wp:posOffset>
            </wp:positionV>
            <wp:extent cx="102235" cy="136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-1837690</wp:posOffset>
            </wp:positionV>
            <wp:extent cx="93980" cy="136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-1837690</wp:posOffset>
            </wp:positionV>
            <wp:extent cx="93980" cy="136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-1430655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-1430655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-1430655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-1224915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-1224915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-1224915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-1002030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-1002030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-1002030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ind w:right="20"/>
        <w:spacing w:after="0" w:line="271" w:lineRule="auto"/>
        <w:rPr>
          <w:sz w:val="20"/>
          <w:szCs w:val="20"/>
          <w:color w:val="auto"/>
        </w:rPr>
      </w:pPr>
      <w:r>
        <w:rPr>
          <w:rFonts w:ascii="Arial" w:cs="Arial" w:eastAsia="Arial" w:hAnsi="Arial"/>
          <w:sz w:val="18"/>
          <w:szCs w:val="18"/>
          <w:color w:val="auto"/>
        </w:rPr>
        <w:t>The Company’s investment activity for the quarter ended June 30, 2025 and 2025 presented below (information presented herein is at par value unless otherwise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Pr>
          <w:p>
            <w:pPr>
              <w:spacing w:after="0"/>
              <w:rPr>
                <w:sz w:val="15"/>
                <w:szCs w:val="15"/>
                <w:color w:val="auto"/>
              </w:rPr>
            </w:pPr>
          </w:p>
        </w:tc>
        <w:tc>
          <w:tcPr>
            <w:tcW w:w="3560" w:type="dxa"/>
            <w:vAlign w:val="bottom"/>
            <w:gridSpan w:val="6"/>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46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2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2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Borders>
              <w:bottom w:val="single" w:sz="8" w:color="CFF0FC"/>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1,627.8</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First-lien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Second-lien</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Mezzanine</w:t>
            </w:r>
          </w:p>
        </w:tc>
        <w:tc>
          <w:tcPr>
            <w:tcW w:w="2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 and other</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Structured Credit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First-lien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Second-lien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Mezzanine</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and other</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Structured Credit</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220" w:type="dxa"/>
            <w:vAlign w:val="bottom"/>
            <w:tcBorders>
              <w:top w:val="single" w:sz="8" w:color="auto"/>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48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22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4"/>
        </w:trPr>
        <w:tc>
          <w:tcPr>
            <w:tcW w:w="74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7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22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4"/>
        </w:trPr>
        <w:tc>
          <w:tcPr>
            <w:tcW w:w="74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reference rate of new</w:t>
            </w: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4"/>
        </w:trPr>
        <w:tc>
          <w:tcPr>
            <w:tcW w:w="7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22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-4422775</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-4422775</wp:posOffset>
            </wp:positionV>
            <wp:extent cx="1117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-2485390</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-2485390</wp:posOffset>
            </wp:positionV>
            <wp:extent cx="1117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92" w:lineRule="exact"/>
        <w:rPr>
          <w:sz w:val="20"/>
          <w:szCs w:val="20"/>
          <w:color w:val="auto"/>
        </w:rPr>
      </w:pPr>
    </w:p>
    <w:p>
      <w:pPr>
        <w:ind w:left="760" w:hanging="378"/>
        <w:spacing w:after="0"/>
        <w:tabs>
          <w:tab w:leader="none" w:pos="760" w:val="left"/>
        </w:tabs>
        <w:numPr>
          <w:ilvl w:val="0"/>
          <w:numId w:val="7"/>
        </w:numPr>
        <w:rPr>
          <w:rFonts w:ascii="Calibri" w:cs="Calibri" w:eastAsia="Calibri" w:hAnsi="Calibri"/>
          <w:sz w:val="14"/>
          <w:szCs w:val="14"/>
          <w:color w:val="auto"/>
        </w:rPr>
      </w:pPr>
      <w:r>
        <w:rPr>
          <w:rFonts w:ascii="Arial" w:cs="Arial" w:eastAsia="Arial" w:hAnsi="Arial"/>
          <w:sz w:val="14"/>
          <w:szCs w:val="14"/>
          <w:color w:val="auto"/>
        </w:rPr>
        <w:t>Includes affiliates of Sixth Street.</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$115 billion in assets under management and committed capital. For more information, visit the Company’s website at </w:t>
      </w:r>
      <w:r>
        <w:rPr>
          <w:rFonts w:ascii="Arial" w:cs="Arial" w:eastAsia="Arial" w:hAnsi="Arial"/>
          <w:sz w:val="18"/>
          <w:szCs w:val="18"/>
          <w:color w:val="0563C1"/>
        </w:rPr>
        <w:t>https://sixthstreetspecialtylending.com</w:t>
      </w: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Sixth Street is a global investment firm with over $115 billion in assets under management and committed capital. The firm uses its long-term flexible capital, data-enabled capabilities, and One Team culture to develop themes and offer solutions to companies across all stages of growth. Founded in 2009, Sixth Street has more than 690 team members including over 280 investment professionals around the world. For more information, visit https://sixthstreet.com or follow Sixth Street on LinkedIn.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Statements included herein may constitute “forward-looking statements,” within the meaning of the federal securities laws and the Private Securities Litigation Reform Act of 1995, which relate to future events or the Company’s future performance or financial condition. These forward-looking statements can be identified by the use of forward-looking terminology, such as “outlook,” “indicator,” “believes,” “expects,” “potential,” “continues,” “may,” “can,” “will,” “should,” “seeks,” “approximately,” “predicts,” “intends,” “plans,” “estimates,” “anticipates”, “confident,” “conviction,” “identified” or the negative versions of these words or other comparable words thereof.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which are accessible on the SEC’s website at www.sec.gov. Except as otherwise required by federal securities laws, the Company assumes no obligation to update any such forward-looking statements, whether as a result of new information, future developments or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Cami VanHorn, 469-621-2033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rPr>
          <w:sz w:val="20"/>
          <w:szCs w:val="20"/>
          <w:color w:val="auto"/>
        </w:rPr>
      </w:pPr>
      <w:r>
        <w:rPr>
          <w:rFonts w:ascii="Arial" w:cs="Arial" w:eastAsia="Arial" w:hAnsi="Arial"/>
          <w:sz w:val="18"/>
          <w:szCs w:val="18"/>
          <w:color w:val="auto"/>
        </w:rPr>
        <w:t>IRTSLX@sixthstreet.com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234" w:lineRule="auto"/>
        <w:rPr>
          <w:sz w:val="20"/>
          <w:szCs w:val="20"/>
          <w:color w:val="auto"/>
        </w:rPr>
      </w:pPr>
      <w:r>
        <w:rPr>
          <w:rFonts w:ascii="Arial" w:cs="Arial" w:eastAsia="Arial" w:hAnsi="Arial"/>
          <w:sz w:val="18"/>
          <w:szCs w:val="18"/>
          <w:color w:val="auto"/>
        </w:rPr>
        <w:t>PClifford@sixthstreet.com</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2025-07-30T15:14:51Z</dcterms:created>
  <dcterms:modified xsi:type="dcterms:W3CDTF">2025-07-30T15:14:51Z</dcterms:modified>
</cp:coreProperties>
</file>