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40"/>
        <w:spacing w:after="0"/>
        <w:rPr>
          <w:sz w:val="20"/>
          <w:szCs w:val="20"/>
          <w:color w:val="auto"/>
        </w:rPr>
      </w:pPr>
      <w:r>
        <w:rPr>
          <w:rFonts w:ascii="Arial" w:cs="Arial" w:eastAsia="Arial" w:hAnsi="Arial"/>
          <w:sz w:val="32"/>
          <w:szCs w:val="32"/>
          <w:b w:val="1"/>
          <w:bCs w:val="1"/>
          <w:color w:val="auto"/>
        </w:rPr>
        <w:t>SECURITIES AND EXCHANGE COMMISSION</w:t>
      </w:r>
    </w:p>
    <w:p>
      <w:pPr>
        <w:ind w:left="39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740"/>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40"/>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40"/>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87265K102</w:t>
      </w:r>
    </w:p>
    <w:p>
      <w:pPr>
        <w:spacing w:after="0" w:line="21"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August 11, 2014</w:t>
      </w:r>
    </w:p>
    <w:p>
      <w:pPr>
        <w:spacing w:after="0" w:line="21" w:lineRule="exact"/>
        <w:rPr>
          <w:sz w:val="24"/>
          <w:szCs w:val="24"/>
          <w:color w:val="auto"/>
        </w:rPr>
      </w:pPr>
    </w:p>
    <w:p>
      <w:pPr>
        <w:ind w:left="356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199"/>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199"/>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199"/>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220980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59"/>
          </w:cols>
          <w:pgMar w:left="700" w:top="517" w:right="1440" w:bottom="1440" w:gutter="0" w:footer="0" w:header="0"/>
        </w:sectPr>
      </w:pPr>
    </w:p>
    <w:bookmarkStart w:id="1" w:name="page2"/>
    <w:bookmarkEnd w:id="1"/>
    <w:p>
      <w:pPr>
        <w:jc w:val="center"/>
        <w:ind w:right="8"/>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87265K102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254875" cy="5385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385435"/>
                    </a:xfrm>
                    <a:prstGeom prst="rect">
                      <a:avLst/>
                    </a:prstGeom>
                    <a:noFill/>
                  </pic:spPr>
                </pic:pic>
              </a:graphicData>
            </a:graphic>
          </wp:anchor>
        </w:drawing>
      </w:r>
    </w:p>
    <w:p>
      <w:pPr>
        <w:spacing w:after="0" w:line="7" w:lineRule="exact"/>
        <w:rPr>
          <w:sz w:val="20"/>
          <w:szCs w:val="20"/>
          <w:color w:val="auto"/>
        </w:rPr>
      </w:pPr>
    </w:p>
    <w:p>
      <w:pPr>
        <w:ind w:left="812" w:hanging="565"/>
        <w:spacing w:after="0"/>
        <w:tabs>
          <w:tab w:leader="none" w:pos="8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38" w:lineRule="exact"/>
        <w:rPr>
          <w:sz w:val="20"/>
          <w:szCs w:val="20"/>
          <w:color w:val="auto"/>
        </w:rPr>
      </w:pPr>
    </w:p>
    <w:p>
      <w:pPr>
        <w:ind w:left="812"/>
        <w:spacing w:after="0"/>
        <w:rPr>
          <w:sz w:val="20"/>
          <w:szCs w:val="20"/>
          <w:color w:val="auto"/>
        </w:rPr>
      </w:pPr>
      <w:r>
        <w:rPr>
          <w:rFonts w:ascii="Arial" w:cs="Arial" w:eastAsia="Arial" w:hAnsi="Arial"/>
          <w:sz w:val="22"/>
          <w:szCs w:val="22"/>
          <w:b w:val="1"/>
          <w:bCs w:val="1"/>
          <w:color w:val="auto"/>
        </w:rPr>
        <w:t>Morgan Stanley</w:t>
      </w:r>
    </w:p>
    <w:p>
      <w:pPr>
        <w:spacing w:after="0" w:line="28" w:lineRule="exact"/>
        <w:rPr>
          <w:sz w:val="20"/>
          <w:szCs w:val="20"/>
          <w:color w:val="auto"/>
        </w:rPr>
      </w:pPr>
    </w:p>
    <w:p>
      <w:pPr>
        <w:ind w:left="812" w:hanging="565"/>
        <w:spacing w:after="0"/>
        <w:tabs>
          <w:tab w:leader="none" w:pos="8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sz w:val="20"/>
          <w:szCs w:val="20"/>
          <w:color w:val="auto"/>
        </w:rPr>
      </w:pPr>
    </w:p>
    <w:p>
      <w:pPr>
        <w:ind w:left="812"/>
        <w:spacing w:after="0" w:line="207" w:lineRule="exact"/>
        <w:tabs>
          <w:tab w:leader="none" w:pos="1612"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12" w:hanging="565"/>
        <w:spacing w:after="0"/>
        <w:tabs>
          <w:tab w:leader="none" w:pos="81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12" w:hanging="565"/>
        <w:spacing w:after="0"/>
        <w:tabs>
          <w:tab w:leader="none" w:pos="81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jc w:val="center"/>
        <w:ind w:right="5828"/>
        <w:spacing w:after="0"/>
        <w:rPr>
          <w:sz w:val="20"/>
          <w:szCs w:val="20"/>
          <w:color w:val="auto"/>
        </w:rPr>
      </w:pPr>
      <w:r>
        <w:rPr>
          <w:rFonts w:ascii="Arial" w:cs="Arial" w:eastAsia="Arial" w:hAnsi="Arial"/>
          <w:sz w:val="22"/>
          <w:szCs w:val="22"/>
          <w:color w:val="auto"/>
        </w:rPr>
        <w:t>The state of organization is Delaware.</w:t>
      </w:r>
    </w:p>
    <w:p>
      <w:pPr>
        <w:spacing w:after="0" w:line="22" w:lineRule="exact"/>
        <w:rPr>
          <w:sz w:val="20"/>
          <w:szCs w:val="20"/>
          <w:color w:val="auto"/>
        </w:rPr>
      </w:pPr>
    </w:p>
    <w:p>
      <w:pPr>
        <w:ind w:left="1572"/>
        <w:spacing w:after="0"/>
        <w:tabs>
          <w:tab w:leader="none" w:pos="1812"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Sole voting power.</w:t>
      </w:r>
    </w:p>
    <w:p>
      <w:pPr>
        <w:spacing w:after="0" w:line="248" w:lineRule="exact"/>
        <w:rPr>
          <w:sz w:val="20"/>
          <w:szCs w:val="20"/>
          <w:color w:val="auto"/>
        </w:rPr>
      </w:pPr>
    </w:p>
    <w:tbl>
      <w:tblPr>
        <w:tblLayout w:type="fixed"/>
        <w:tblInd w:w="152" w:type="dxa"/>
        <w:tblCellMar>
          <w:top w:w="0" w:type="dxa"/>
          <w:left w:w="0" w:type="dxa"/>
          <w:bottom w:w="0" w:type="dxa"/>
          <w:right w:w="0" w:type="dxa"/>
        </w:tblCellMar>
      </w:tblPr>
      <w:tr>
        <w:trPr>
          <w:trHeight w:val="276"/>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3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6</w:t>
            </w:r>
          </w:p>
        </w:tc>
        <w:tc>
          <w:tcPr>
            <w:tcW w:w="96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5"/>
              </w:rPr>
              <w:t>SHARES</w:t>
            </w:r>
          </w:p>
        </w:tc>
        <w:tc>
          <w:tcPr>
            <w:tcW w:w="200" w:type="dxa"/>
            <w:vAlign w:val="bottom"/>
            <w:vMerge w:val="continue"/>
          </w:tcPr>
          <w:p>
            <w:pPr>
              <w:spacing w:after="0"/>
              <w:rPr>
                <w:sz w:val="15"/>
                <w:szCs w:val="15"/>
                <w:color w:val="auto"/>
              </w:rPr>
            </w:pPr>
          </w:p>
        </w:tc>
        <w:tc>
          <w:tcPr>
            <w:tcW w:w="9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9680" w:type="dxa"/>
            <w:vAlign w:val="bottom"/>
            <w:vMerge w:val="restart"/>
          </w:tcPr>
          <w:p>
            <w:pPr>
              <w:ind w:left="80"/>
              <w:spacing w:after="0"/>
              <w:rPr>
                <w:sz w:val="20"/>
                <w:szCs w:val="20"/>
                <w:color w:val="auto"/>
              </w:rPr>
            </w:pPr>
            <w:r>
              <w:rPr>
                <w:rFonts w:ascii="Arial" w:cs="Arial" w:eastAsia="Arial" w:hAnsi="Arial"/>
                <w:sz w:val="22"/>
                <w:szCs w:val="22"/>
                <w:color w:val="auto"/>
              </w:rPr>
              <w:t>3,055,430 shares*</w:t>
            </w: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OWNED BY</w:t>
            </w:r>
          </w:p>
        </w:tc>
        <w:tc>
          <w:tcPr>
            <w:tcW w:w="200" w:type="dxa"/>
            <w:vAlign w:val="bottom"/>
          </w:tcPr>
          <w:p>
            <w:pPr>
              <w:spacing w:after="0"/>
              <w:rPr>
                <w:sz w:val="20"/>
                <w:szCs w:val="20"/>
                <w:color w:val="auto"/>
              </w:rPr>
            </w:pPr>
          </w:p>
        </w:tc>
        <w:tc>
          <w:tcPr>
            <w:tcW w:w="9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w w:val="99"/>
              </w:rPr>
              <w:t>7</w:t>
            </w:r>
          </w:p>
        </w:tc>
        <w:tc>
          <w:tcPr>
            <w:tcW w:w="9680" w:type="dxa"/>
            <w:vAlign w:val="bottom"/>
            <w:tcBorders>
              <w:top w:val="single" w:sz="8" w:color="auto"/>
            </w:tcBorders>
          </w:tcPr>
          <w:p>
            <w:pPr>
              <w:ind w:left="8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REPORTING</w:t>
            </w:r>
          </w:p>
        </w:tc>
        <w:tc>
          <w:tcPr>
            <w:tcW w:w="20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PERSON</w:t>
            </w:r>
          </w:p>
        </w:tc>
        <w:tc>
          <w:tcPr>
            <w:tcW w:w="200" w:type="dxa"/>
            <w:vAlign w:val="bottom"/>
          </w:tcPr>
          <w:p>
            <w:pPr>
              <w:spacing w:after="0"/>
              <w:rPr>
                <w:sz w:val="20"/>
                <w:szCs w:val="20"/>
                <w:color w:val="auto"/>
              </w:rPr>
            </w:pPr>
          </w:p>
        </w:tc>
        <w:tc>
          <w:tcPr>
            <w:tcW w:w="9680" w:type="dxa"/>
            <w:vAlign w:val="bottom"/>
          </w:tcPr>
          <w:p>
            <w:pPr>
              <w:ind w:left="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8</w:t>
            </w:r>
          </w:p>
        </w:tc>
        <w:tc>
          <w:tcPr>
            <w:tcW w:w="96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9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32"/>
        <w:spacing w:after="0"/>
        <w:rPr>
          <w:sz w:val="20"/>
          <w:szCs w:val="20"/>
          <w:color w:val="auto"/>
        </w:rPr>
      </w:pPr>
      <w:r>
        <w:rPr>
          <w:rFonts w:ascii="Arial" w:cs="Arial" w:eastAsia="Arial" w:hAnsi="Arial"/>
          <w:sz w:val="22"/>
          <w:szCs w:val="22"/>
          <w:color w:val="auto"/>
        </w:rPr>
        <w:t>3,055,430 shares*</w:t>
      </w:r>
    </w:p>
    <w:p>
      <w:pPr>
        <w:spacing w:after="0" w:line="22" w:lineRule="exact"/>
        <w:rPr>
          <w:sz w:val="20"/>
          <w:szCs w:val="20"/>
          <w:color w:val="auto"/>
        </w:rPr>
      </w:pPr>
    </w:p>
    <w:p>
      <w:pPr>
        <w:ind w:left="812" w:hanging="565"/>
        <w:spacing w:after="0"/>
        <w:tabs>
          <w:tab w:leader="none" w:pos="8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12"/>
        <w:spacing w:after="0"/>
        <w:rPr>
          <w:sz w:val="20"/>
          <w:szCs w:val="20"/>
          <w:color w:val="auto"/>
        </w:rPr>
      </w:pPr>
      <w:r>
        <w:rPr>
          <w:rFonts w:ascii="Arial" w:cs="Arial" w:eastAsia="Arial" w:hAnsi="Arial"/>
          <w:sz w:val="22"/>
          <w:szCs w:val="22"/>
          <w:color w:val="auto"/>
        </w:rPr>
        <w:t>3,055,430 shares</w:t>
      </w:r>
    </w:p>
    <w:p>
      <w:pPr>
        <w:spacing w:after="0" w:line="22" w:lineRule="exact"/>
        <w:rPr>
          <w:sz w:val="20"/>
          <w:szCs w:val="20"/>
          <w:color w:val="auto"/>
        </w:rPr>
      </w:pPr>
    </w:p>
    <w:p>
      <w:pPr>
        <w:ind w:left="812" w:hanging="655"/>
        <w:spacing w:after="0" w:line="207" w:lineRule="exact"/>
        <w:tabs>
          <w:tab w:leader="none" w:pos="8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812" w:hanging="655"/>
        <w:spacing w:after="0"/>
        <w:tabs>
          <w:tab w:leader="none" w:pos="8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249" w:lineRule="exact"/>
        <w:rPr>
          <w:sz w:val="20"/>
          <w:szCs w:val="20"/>
          <w:color w:val="auto"/>
        </w:rPr>
      </w:pPr>
    </w:p>
    <w:p>
      <w:pPr>
        <w:ind w:left="812"/>
        <w:spacing w:after="0"/>
        <w:rPr>
          <w:sz w:val="20"/>
          <w:szCs w:val="20"/>
          <w:color w:val="auto"/>
        </w:rPr>
      </w:pPr>
      <w:r>
        <w:rPr>
          <w:rFonts w:ascii="Arial" w:cs="Arial" w:eastAsia="Arial" w:hAnsi="Arial"/>
          <w:sz w:val="22"/>
          <w:szCs w:val="22"/>
          <w:color w:val="auto"/>
        </w:rPr>
        <w:t>5.7%</w:t>
      </w:r>
    </w:p>
    <w:p>
      <w:pPr>
        <w:spacing w:after="0" w:line="22" w:lineRule="exact"/>
        <w:rPr>
          <w:sz w:val="20"/>
          <w:szCs w:val="20"/>
          <w:color w:val="auto"/>
        </w:rPr>
      </w:pPr>
    </w:p>
    <w:p>
      <w:pPr>
        <w:ind w:left="152"/>
        <w:spacing w:after="0"/>
        <w:tabs>
          <w:tab w:leader="none" w:pos="792"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Type of reporting person</w:t>
      </w:r>
    </w:p>
    <w:p>
      <w:pPr>
        <w:spacing w:after="0" w:line="248" w:lineRule="exact"/>
        <w:rPr>
          <w:sz w:val="20"/>
          <w:szCs w:val="20"/>
          <w:color w:val="auto"/>
        </w:rPr>
      </w:pPr>
    </w:p>
    <w:p>
      <w:pPr>
        <w:ind w:left="812"/>
        <w:spacing w:after="0"/>
        <w:rPr>
          <w:sz w:val="20"/>
          <w:szCs w:val="20"/>
          <w:color w:val="auto"/>
        </w:rPr>
      </w:pPr>
      <w:r>
        <w:rPr>
          <w:rFonts w:ascii="Arial" w:cs="Arial" w:eastAsia="Arial" w:hAnsi="Arial"/>
          <w:sz w:val="22"/>
          <w:szCs w:val="22"/>
          <w:color w:val="auto"/>
        </w:rPr>
        <w:t>HC, CO</w:t>
      </w:r>
    </w:p>
    <w:p>
      <w:pPr>
        <w:spacing w:after="0" w:line="267" w:lineRule="exact"/>
        <w:rPr>
          <w:sz w:val="20"/>
          <w:szCs w:val="20"/>
          <w:color w:val="auto"/>
        </w:rPr>
      </w:pPr>
    </w:p>
    <w:p>
      <w:pPr>
        <w:ind w:left="452" w:right="80" w:hanging="452"/>
        <w:spacing w:after="0" w:line="293" w:lineRule="auto"/>
        <w:tabs>
          <w:tab w:leader="none" w:pos="4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Although MSSB TPG Specialty Lending Onshore Feeder Fund (the “Trust”) beneficially owns 3,012,582 shares of the common stock of the Issuer and would otherwise be entitled to vote such shares, the Trust has contractually agreed to pass such voting rights through to the Trust’s underlying investors (each a “Unitholder” and collectively, the “Unitholders”)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ectPr>
          <w:pgSz w:w="11900" w:h="16838" w:orient="portrait"/>
          <w:cols w:equalWidth="0" w:num="1">
            <w:col w:w="11432"/>
          </w:cols>
          <w:pgMar w:left="248" w:top="283" w:right="219" w:bottom="1440" w:gutter="0" w:footer="0" w:header="0"/>
        </w:sectPr>
      </w:pPr>
    </w:p>
    <w:bookmarkStart w:id="2" w:name="page3"/>
    <w:bookmarkEnd w:id="2"/>
    <w:p>
      <w:pPr>
        <w:jc w:val="center"/>
        <w:ind w:right="8"/>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87265K102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254875" cy="5385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385435"/>
                    </a:xfrm>
                    <a:prstGeom prst="rect">
                      <a:avLst/>
                    </a:prstGeom>
                    <a:noFill/>
                  </pic:spPr>
                </pic:pic>
              </a:graphicData>
            </a:graphic>
          </wp:anchor>
        </w:drawing>
      </w:r>
    </w:p>
    <w:p>
      <w:pPr>
        <w:spacing w:after="0" w:line="7" w:lineRule="exact"/>
        <w:rPr>
          <w:sz w:val="20"/>
          <w:szCs w:val="20"/>
          <w:color w:val="auto"/>
        </w:rPr>
      </w:pPr>
    </w:p>
    <w:p>
      <w:pPr>
        <w:ind w:left="812" w:hanging="565"/>
        <w:spacing w:after="0"/>
        <w:tabs>
          <w:tab w:leader="none" w:pos="8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38" w:lineRule="exact"/>
        <w:rPr>
          <w:sz w:val="20"/>
          <w:szCs w:val="20"/>
          <w:color w:val="auto"/>
        </w:rPr>
      </w:pPr>
    </w:p>
    <w:p>
      <w:pPr>
        <w:ind w:left="812"/>
        <w:spacing w:after="0"/>
        <w:rPr>
          <w:sz w:val="20"/>
          <w:szCs w:val="20"/>
          <w:color w:val="auto"/>
        </w:rPr>
      </w:pPr>
      <w:r>
        <w:rPr>
          <w:rFonts w:ascii="Arial" w:cs="Arial" w:eastAsia="Arial" w:hAnsi="Arial"/>
          <w:sz w:val="22"/>
          <w:szCs w:val="22"/>
          <w:b w:val="1"/>
          <w:bCs w:val="1"/>
          <w:color w:val="auto"/>
        </w:rPr>
        <w:t>Morgan Stanley Smith Barney Holdings LLC</w:t>
      </w:r>
    </w:p>
    <w:p>
      <w:pPr>
        <w:spacing w:after="0" w:line="28" w:lineRule="exact"/>
        <w:rPr>
          <w:sz w:val="20"/>
          <w:szCs w:val="20"/>
          <w:color w:val="auto"/>
        </w:rPr>
      </w:pPr>
    </w:p>
    <w:p>
      <w:pPr>
        <w:ind w:left="812" w:hanging="565"/>
        <w:spacing w:after="0"/>
        <w:tabs>
          <w:tab w:leader="none" w:pos="8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sz w:val="20"/>
          <w:szCs w:val="20"/>
          <w:color w:val="auto"/>
        </w:rPr>
      </w:pPr>
    </w:p>
    <w:p>
      <w:pPr>
        <w:ind w:left="812"/>
        <w:spacing w:after="0" w:line="207" w:lineRule="exact"/>
        <w:tabs>
          <w:tab w:leader="none" w:pos="1612"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12" w:hanging="565"/>
        <w:spacing w:after="0"/>
        <w:tabs>
          <w:tab w:leader="none" w:pos="81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12" w:hanging="565"/>
        <w:spacing w:after="0"/>
        <w:tabs>
          <w:tab w:leader="none" w:pos="81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jc w:val="center"/>
        <w:ind w:right="5828"/>
        <w:spacing w:after="0"/>
        <w:rPr>
          <w:sz w:val="20"/>
          <w:szCs w:val="20"/>
          <w:color w:val="auto"/>
        </w:rPr>
      </w:pPr>
      <w:r>
        <w:rPr>
          <w:rFonts w:ascii="Arial" w:cs="Arial" w:eastAsia="Arial" w:hAnsi="Arial"/>
          <w:sz w:val="22"/>
          <w:szCs w:val="22"/>
          <w:color w:val="auto"/>
        </w:rPr>
        <w:t>The state of organization is Delaware.</w:t>
      </w:r>
    </w:p>
    <w:p>
      <w:pPr>
        <w:spacing w:after="0" w:line="22" w:lineRule="exact"/>
        <w:rPr>
          <w:sz w:val="20"/>
          <w:szCs w:val="20"/>
          <w:color w:val="auto"/>
        </w:rPr>
      </w:pPr>
    </w:p>
    <w:p>
      <w:pPr>
        <w:ind w:left="1572"/>
        <w:spacing w:after="0"/>
        <w:tabs>
          <w:tab w:leader="none" w:pos="1812"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Sole voting power.</w:t>
      </w:r>
    </w:p>
    <w:p>
      <w:pPr>
        <w:spacing w:after="0" w:line="248" w:lineRule="exact"/>
        <w:rPr>
          <w:sz w:val="20"/>
          <w:szCs w:val="20"/>
          <w:color w:val="auto"/>
        </w:rPr>
      </w:pPr>
    </w:p>
    <w:tbl>
      <w:tblPr>
        <w:tblLayout w:type="fixed"/>
        <w:tblInd w:w="152" w:type="dxa"/>
        <w:tblCellMar>
          <w:top w:w="0" w:type="dxa"/>
          <w:left w:w="0" w:type="dxa"/>
          <w:bottom w:w="0" w:type="dxa"/>
          <w:right w:w="0" w:type="dxa"/>
        </w:tblCellMar>
      </w:tblPr>
      <w:tr>
        <w:trPr>
          <w:trHeight w:val="276"/>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3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6</w:t>
            </w:r>
          </w:p>
        </w:tc>
        <w:tc>
          <w:tcPr>
            <w:tcW w:w="96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5"/>
              </w:rPr>
              <w:t>SHARES</w:t>
            </w:r>
          </w:p>
        </w:tc>
        <w:tc>
          <w:tcPr>
            <w:tcW w:w="200" w:type="dxa"/>
            <w:vAlign w:val="bottom"/>
            <w:vMerge w:val="continue"/>
          </w:tcPr>
          <w:p>
            <w:pPr>
              <w:spacing w:after="0"/>
              <w:rPr>
                <w:sz w:val="15"/>
                <w:szCs w:val="15"/>
                <w:color w:val="auto"/>
              </w:rPr>
            </w:pPr>
          </w:p>
        </w:tc>
        <w:tc>
          <w:tcPr>
            <w:tcW w:w="9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9680" w:type="dxa"/>
            <w:vAlign w:val="bottom"/>
            <w:vMerge w:val="restart"/>
          </w:tcPr>
          <w:p>
            <w:pPr>
              <w:ind w:left="80"/>
              <w:spacing w:after="0"/>
              <w:rPr>
                <w:sz w:val="20"/>
                <w:szCs w:val="20"/>
                <w:color w:val="auto"/>
              </w:rPr>
            </w:pPr>
            <w:r>
              <w:rPr>
                <w:rFonts w:ascii="Arial" w:cs="Arial" w:eastAsia="Arial" w:hAnsi="Arial"/>
                <w:sz w:val="22"/>
                <w:szCs w:val="22"/>
                <w:color w:val="auto"/>
              </w:rPr>
              <w:t>3,012,582 shares*</w:t>
            </w: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OWNED BY</w:t>
            </w:r>
          </w:p>
        </w:tc>
        <w:tc>
          <w:tcPr>
            <w:tcW w:w="200" w:type="dxa"/>
            <w:vAlign w:val="bottom"/>
          </w:tcPr>
          <w:p>
            <w:pPr>
              <w:spacing w:after="0"/>
              <w:rPr>
                <w:sz w:val="20"/>
                <w:szCs w:val="20"/>
                <w:color w:val="auto"/>
              </w:rPr>
            </w:pPr>
          </w:p>
        </w:tc>
        <w:tc>
          <w:tcPr>
            <w:tcW w:w="9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w w:val="99"/>
              </w:rPr>
              <w:t>7</w:t>
            </w:r>
          </w:p>
        </w:tc>
        <w:tc>
          <w:tcPr>
            <w:tcW w:w="9680" w:type="dxa"/>
            <w:vAlign w:val="bottom"/>
            <w:tcBorders>
              <w:top w:val="single" w:sz="8" w:color="auto"/>
            </w:tcBorders>
          </w:tcPr>
          <w:p>
            <w:pPr>
              <w:ind w:left="8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REPORTING</w:t>
            </w:r>
          </w:p>
        </w:tc>
        <w:tc>
          <w:tcPr>
            <w:tcW w:w="20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PERSON</w:t>
            </w:r>
          </w:p>
        </w:tc>
        <w:tc>
          <w:tcPr>
            <w:tcW w:w="200" w:type="dxa"/>
            <w:vAlign w:val="bottom"/>
          </w:tcPr>
          <w:p>
            <w:pPr>
              <w:spacing w:after="0"/>
              <w:rPr>
                <w:sz w:val="20"/>
                <w:szCs w:val="20"/>
                <w:color w:val="auto"/>
              </w:rPr>
            </w:pPr>
          </w:p>
        </w:tc>
        <w:tc>
          <w:tcPr>
            <w:tcW w:w="9680" w:type="dxa"/>
            <w:vAlign w:val="bottom"/>
          </w:tcPr>
          <w:p>
            <w:pPr>
              <w:ind w:left="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8</w:t>
            </w:r>
          </w:p>
        </w:tc>
        <w:tc>
          <w:tcPr>
            <w:tcW w:w="96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9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32"/>
        <w:spacing w:after="0"/>
        <w:rPr>
          <w:sz w:val="20"/>
          <w:szCs w:val="20"/>
          <w:color w:val="auto"/>
        </w:rPr>
      </w:pPr>
      <w:r>
        <w:rPr>
          <w:rFonts w:ascii="Arial" w:cs="Arial" w:eastAsia="Arial" w:hAnsi="Arial"/>
          <w:sz w:val="22"/>
          <w:szCs w:val="22"/>
          <w:color w:val="auto"/>
        </w:rPr>
        <w:t>3,012,582 shares*</w:t>
      </w:r>
    </w:p>
    <w:p>
      <w:pPr>
        <w:spacing w:after="0" w:line="22" w:lineRule="exact"/>
        <w:rPr>
          <w:sz w:val="20"/>
          <w:szCs w:val="20"/>
          <w:color w:val="auto"/>
        </w:rPr>
      </w:pPr>
    </w:p>
    <w:p>
      <w:pPr>
        <w:ind w:left="812" w:hanging="565"/>
        <w:spacing w:after="0"/>
        <w:tabs>
          <w:tab w:leader="none" w:pos="81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12"/>
        <w:spacing w:after="0"/>
        <w:rPr>
          <w:sz w:val="20"/>
          <w:szCs w:val="20"/>
          <w:color w:val="auto"/>
        </w:rPr>
      </w:pPr>
      <w:r>
        <w:rPr>
          <w:rFonts w:ascii="Arial" w:cs="Arial" w:eastAsia="Arial" w:hAnsi="Arial"/>
          <w:sz w:val="22"/>
          <w:szCs w:val="22"/>
          <w:color w:val="auto"/>
        </w:rPr>
        <w:t>3,012,582 shares</w:t>
      </w:r>
    </w:p>
    <w:p>
      <w:pPr>
        <w:spacing w:after="0" w:line="22" w:lineRule="exact"/>
        <w:rPr>
          <w:sz w:val="20"/>
          <w:szCs w:val="20"/>
          <w:color w:val="auto"/>
        </w:rPr>
      </w:pPr>
    </w:p>
    <w:p>
      <w:pPr>
        <w:ind w:left="812" w:hanging="655"/>
        <w:spacing w:after="0" w:line="207" w:lineRule="exact"/>
        <w:tabs>
          <w:tab w:leader="none" w:pos="81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812" w:hanging="655"/>
        <w:spacing w:after="0"/>
        <w:tabs>
          <w:tab w:leader="none" w:pos="81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249" w:lineRule="exact"/>
        <w:rPr>
          <w:sz w:val="20"/>
          <w:szCs w:val="20"/>
          <w:color w:val="auto"/>
        </w:rPr>
      </w:pPr>
    </w:p>
    <w:p>
      <w:pPr>
        <w:ind w:left="812"/>
        <w:spacing w:after="0"/>
        <w:rPr>
          <w:sz w:val="20"/>
          <w:szCs w:val="20"/>
          <w:color w:val="auto"/>
        </w:rPr>
      </w:pPr>
      <w:r>
        <w:rPr>
          <w:rFonts w:ascii="Arial" w:cs="Arial" w:eastAsia="Arial" w:hAnsi="Arial"/>
          <w:sz w:val="22"/>
          <w:szCs w:val="22"/>
          <w:color w:val="auto"/>
        </w:rPr>
        <w:t>5.6%</w:t>
      </w:r>
    </w:p>
    <w:p>
      <w:pPr>
        <w:spacing w:after="0" w:line="22" w:lineRule="exact"/>
        <w:rPr>
          <w:sz w:val="20"/>
          <w:szCs w:val="20"/>
          <w:color w:val="auto"/>
        </w:rPr>
      </w:pPr>
    </w:p>
    <w:p>
      <w:pPr>
        <w:ind w:left="152"/>
        <w:spacing w:after="0"/>
        <w:tabs>
          <w:tab w:leader="none" w:pos="792"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Type of reporting person</w:t>
      </w:r>
    </w:p>
    <w:p>
      <w:pPr>
        <w:spacing w:after="0" w:line="248" w:lineRule="exact"/>
        <w:rPr>
          <w:sz w:val="20"/>
          <w:szCs w:val="20"/>
          <w:color w:val="auto"/>
        </w:rPr>
      </w:pPr>
    </w:p>
    <w:p>
      <w:pPr>
        <w:ind w:left="812"/>
        <w:spacing w:after="0"/>
        <w:rPr>
          <w:sz w:val="20"/>
          <w:szCs w:val="20"/>
          <w:color w:val="auto"/>
        </w:rPr>
      </w:pPr>
      <w:r>
        <w:rPr>
          <w:rFonts w:ascii="Arial" w:cs="Arial" w:eastAsia="Arial" w:hAnsi="Arial"/>
          <w:sz w:val="22"/>
          <w:szCs w:val="22"/>
          <w:color w:val="auto"/>
        </w:rPr>
        <w:t>OO</w:t>
      </w:r>
    </w:p>
    <w:p>
      <w:pPr>
        <w:spacing w:after="0" w:line="267" w:lineRule="exact"/>
        <w:rPr>
          <w:sz w:val="20"/>
          <w:szCs w:val="20"/>
          <w:color w:val="auto"/>
        </w:rPr>
      </w:pPr>
    </w:p>
    <w:p>
      <w:pPr>
        <w:ind w:left="452" w:right="60" w:hanging="452"/>
        <w:spacing w:after="0" w:line="255" w:lineRule="auto"/>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Although the Trust beneficially owns 3,012,582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ectPr>
          <w:pgSz w:w="11900" w:h="16838" w:orient="portrait"/>
          <w:cols w:equalWidth="0" w:num="1">
            <w:col w:w="11432"/>
          </w:cols>
          <w:pgMar w:left="248" w:top="283" w:right="219" w:bottom="1440" w:gutter="0" w:footer="0" w:header="0"/>
        </w:sectPr>
      </w:pPr>
    </w:p>
    <w:bookmarkStart w:id="3" w:name="page4"/>
    <w:bookmarkEnd w:id="3"/>
    <w:p>
      <w:pPr>
        <w:jc w:val="center"/>
        <w:ind w:right="8"/>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87265K102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254875" cy="5385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385435"/>
                    </a:xfrm>
                    <a:prstGeom prst="rect">
                      <a:avLst/>
                    </a:prstGeom>
                    <a:noFill/>
                  </pic:spPr>
                </pic:pic>
              </a:graphicData>
            </a:graphic>
          </wp:anchor>
        </w:drawing>
      </w:r>
    </w:p>
    <w:p>
      <w:pPr>
        <w:spacing w:after="0" w:line="7" w:lineRule="exact"/>
        <w:rPr>
          <w:sz w:val="20"/>
          <w:szCs w:val="20"/>
          <w:color w:val="auto"/>
        </w:rPr>
      </w:pPr>
    </w:p>
    <w:p>
      <w:pPr>
        <w:ind w:left="812" w:hanging="565"/>
        <w:spacing w:after="0"/>
        <w:tabs>
          <w:tab w:leader="none" w:pos="81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38" w:lineRule="exact"/>
        <w:rPr>
          <w:sz w:val="20"/>
          <w:szCs w:val="20"/>
          <w:color w:val="auto"/>
        </w:rPr>
      </w:pPr>
    </w:p>
    <w:p>
      <w:pPr>
        <w:ind w:left="812"/>
        <w:spacing w:after="0"/>
        <w:rPr>
          <w:sz w:val="20"/>
          <w:szCs w:val="20"/>
          <w:color w:val="auto"/>
        </w:rPr>
      </w:pPr>
      <w:r>
        <w:rPr>
          <w:rFonts w:ascii="Arial" w:cs="Arial" w:eastAsia="Arial" w:hAnsi="Arial"/>
          <w:sz w:val="22"/>
          <w:szCs w:val="22"/>
          <w:b w:val="1"/>
          <w:bCs w:val="1"/>
          <w:color w:val="auto"/>
        </w:rPr>
        <w:t>Morgan Stanley GWM Feeder Strategies LLC</w:t>
      </w:r>
    </w:p>
    <w:p>
      <w:pPr>
        <w:spacing w:after="0" w:line="28" w:lineRule="exact"/>
        <w:rPr>
          <w:sz w:val="20"/>
          <w:szCs w:val="20"/>
          <w:color w:val="auto"/>
        </w:rPr>
      </w:pPr>
    </w:p>
    <w:p>
      <w:pPr>
        <w:ind w:left="812" w:hanging="565"/>
        <w:spacing w:after="0"/>
        <w:tabs>
          <w:tab w:leader="none" w:pos="81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sz w:val="20"/>
          <w:szCs w:val="20"/>
          <w:color w:val="auto"/>
        </w:rPr>
      </w:pPr>
    </w:p>
    <w:p>
      <w:pPr>
        <w:ind w:left="812"/>
        <w:spacing w:after="0" w:line="207" w:lineRule="exact"/>
        <w:tabs>
          <w:tab w:leader="none" w:pos="1612"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12" w:hanging="565"/>
        <w:spacing w:after="0"/>
        <w:tabs>
          <w:tab w:leader="none" w:pos="81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12" w:hanging="565"/>
        <w:spacing w:after="0"/>
        <w:tabs>
          <w:tab w:leader="none" w:pos="81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jc w:val="center"/>
        <w:ind w:right="5828"/>
        <w:spacing w:after="0"/>
        <w:rPr>
          <w:sz w:val="20"/>
          <w:szCs w:val="20"/>
          <w:color w:val="auto"/>
        </w:rPr>
      </w:pPr>
      <w:r>
        <w:rPr>
          <w:rFonts w:ascii="Arial" w:cs="Arial" w:eastAsia="Arial" w:hAnsi="Arial"/>
          <w:sz w:val="22"/>
          <w:szCs w:val="22"/>
          <w:color w:val="auto"/>
        </w:rPr>
        <w:t>The state of organization is Delaware.</w:t>
      </w:r>
    </w:p>
    <w:p>
      <w:pPr>
        <w:spacing w:after="0" w:line="22" w:lineRule="exact"/>
        <w:rPr>
          <w:sz w:val="20"/>
          <w:szCs w:val="20"/>
          <w:color w:val="auto"/>
        </w:rPr>
      </w:pPr>
    </w:p>
    <w:p>
      <w:pPr>
        <w:ind w:left="1572"/>
        <w:spacing w:after="0"/>
        <w:tabs>
          <w:tab w:leader="none" w:pos="1812"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Sole voting power.</w:t>
      </w:r>
    </w:p>
    <w:p>
      <w:pPr>
        <w:spacing w:after="0" w:line="248" w:lineRule="exact"/>
        <w:rPr>
          <w:sz w:val="20"/>
          <w:szCs w:val="20"/>
          <w:color w:val="auto"/>
        </w:rPr>
      </w:pPr>
    </w:p>
    <w:tbl>
      <w:tblPr>
        <w:tblLayout w:type="fixed"/>
        <w:tblInd w:w="152" w:type="dxa"/>
        <w:tblCellMar>
          <w:top w:w="0" w:type="dxa"/>
          <w:left w:w="0" w:type="dxa"/>
          <w:bottom w:w="0" w:type="dxa"/>
          <w:right w:w="0" w:type="dxa"/>
        </w:tblCellMar>
      </w:tblPr>
      <w:tr>
        <w:trPr>
          <w:trHeight w:val="276"/>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3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6</w:t>
            </w:r>
          </w:p>
        </w:tc>
        <w:tc>
          <w:tcPr>
            <w:tcW w:w="96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5"/>
              </w:rPr>
              <w:t>SHARES</w:t>
            </w:r>
          </w:p>
        </w:tc>
        <w:tc>
          <w:tcPr>
            <w:tcW w:w="200" w:type="dxa"/>
            <w:vAlign w:val="bottom"/>
            <w:vMerge w:val="continue"/>
          </w:tcPr>
          <w:p>
            <w:pPr>
              <w:spacing w:after="0"/>
              <w:rPr>
                <w:sz w:val="15"/>
                <w:szCs w:val="15"/>
                <w:color w:val="auto"/>
              </w:rPr>
            </w:pPr>
          </w:p>
        </w:tc>
        <w:tc>
          <w:tcPr>
            <w:tcW w:w="9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9680" w:type="dxa"/>
            <w:vAlign w:val="bottom"/>
            <w:vMerge w:val="restart"/>
          </w:tcPr>
          <w:p>
            <w:pPr>
              <w:ind w:left="80"/>
              <w:spacing w:after="0"/>
              <w:rPr>
                <w:sz w:val="20"/>
                <w:szCs w:val="20"/>
                <w:color w:val="auto"/>
              </w:rPr>
            </w:pPr>
            <w:r>
              <w:rPr>
                <w:rFonts w:ascii="Arial" w:cs="Arial" w:eastAsia="Arial" w:hAnsi="Arial"/>
                <w:sz w:val="22"/>
                <w:szCs w:val="22"/>
                <w:color w:val="auto"/>
              </w:rPr>
              <w:t>3,012,582 shares*</w:t>
            </w: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OWNED BY</w:t>
            </w:r>
          </w:p>
        </w:tc>
        <w:tc>
          <w:tcPr>
            <w:tcW w:w="200" w:type="dxa"/>
            <w:vAlign w:val="bottom"/>
          </w:tcPr>
          <w:p>
            <w:pPr>
              <w:spacing w:after="0"/>
              <w:rPr>
                <w:sz w:val="20"/>
                <w:szCs w:val="20"/>
                <w:color w:val="auto"/>
              </w:rPr>
            </w:pPr>
          </w:p>
        </w:tc>
        <w:tc>
          <w:tcPr>
            <w:tcW w:w="9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w w:val="99"/>
              </w:rPr>
              <w:t>7</w:t>
            </w:r>
          </w:p>
        </w:tc>
        <w:tc>
          <w:tcPr>
            <w:tcW w:w="9680" w:type="dxa"/>
            <w:vAlign w:val="bottom"/>
            <w:tcBorders>
              <w:top w:val="single" w:sz="8" w:color="auto"/>
            </w:tcBorders>
          </w:tcPr>
          <w:p>
            <w:pPr>
              <w:ind w:left="8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REPORTING</w:t>
            </w:r>
          </w:p>
        </w:tc>
        <w:tc>
          <w:tcPr>
            <w:tcW w:w="20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PERSON</w:t>
            </w:r>
          </w:p>
        </w:tc>
        <w:tc>
          <w:tcPr>
            <w:tcW w:w="200" w:type="dxa"/>
            <w:vAlign w:val="bottom"/>
          </w:tcPr>
          <w:p>
            <w:pPr>
              <w:spacing w:after="0"/>
              <w:rPr>
                <w:sz w:val="20"/>
                <w:szCs w:val="20"/>
                <w:color w:val="auto"/>
              </w:rPr>
            </w:pPr>
          </w:p>
        </w:tc>
        <w:tc>
          <w:tcPr>
            <w:tcW w:w="9680" w:type="dxa"/>
            <w:vAlign w:val="bottom"/>
          </w:tcPr>
          <w:p>
            <w:pPr>
              <w:ind w:left="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8</w:t>
            </w:r>
          </w:p>
        </w:tc>
        <w:tc>
          <w:tcPr>
            <w:tcW w:w="96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9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32"/>
        <w:spacing w:after="0"/>
        <w:rPr>
          <w:sz w:val="20"/>
          <w:szCs w:val="20"/>
          <w:color w:val="auto"/>
        </w:rPr>
      </w:pPr>
      <w:r>
        <w:rPr>
          <w:rFonts w:ascii="Arial" w:cs="Arial" w:eastAsia="Arial" w:hAnsi="Arial"/>
          <w:sz w:val="22"/>
          <w:szCs w:val="22"/>
          <w:color w:val="auto"/>
        </w:rPr>
        <w:t>3,012,582 shares*</w:t>
      </w:r>
    </w:p>
    <w:p>
      <w:pPr>
        <w:spacing w:after="0" w:line="22" w:lineRule="exact"/>
        <w:rPr>
          <w:sz w:val="20"/>
          <w:szCs w:val="20"/>
          <w:color w:val="auto"/>
        </w:rPr>
      </w:pPr>
    </w:p>
    <w:p>
      <w:pPr>
        <w:ind w:left="812" w:hanging="565"/>
        <w:spacing w:after="0"/>
        <w:tabs>
          <w:tab w:leader="none" w:pos="81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12"/>
        <w:spacing w:after="0"/>
        <w:rPr>
          <w:sz w:val="20"/>
          <w:szCs w:val="20"/>
          <w:color w:val="auto"/>
        </w:rPr>
      </w:pPr>
      <w:r>
        <w:rPr>
          <w:rFonts w:ascii="Arial" w:cs="Arial" w:eastAsia="Arial" w:hAnsi="Arial"/>
          <w:sz w:val="22"/>
          <w:szCs w:val="22"/>
          <w:color w:val="auto"/>
        </w:rPr>
        <w:t>3,012,582 shares</w:t>
      </w:r>
    </w:p>
    <w:p>
      <w:pPr>
        <w:spacing w:after="0" w:line="22" w:lineRule="exact"/>
        <w:rPr>
          <w:sz w:val="20"/>
          <w:szCs w:val="20"/>
          <w:color w:val="auto"/>
        </w:rPr>
      </w:pPr>
    </w:p>
    <w:p>
      <w:pPr>
        <w:ind w:left="812" w:hanging="655"/>
        <w:spacing w:after="0" w:line="207" w:lineRule="exact"/>
        <w:tabs>
          <w:tab w:leader="none" w:pos="81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812" w:hanging="655"/>
        <w:spacing w:after="0"/>
        <w:tabs>
          <w:tab w:leader="none" w:pos="81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249" w:lineRule="exact"/>
        <w:rPr>
          <w:sz w:val="20"/>
          <w:szCs w:val="20"/>
          <w:color w:val="auto"/>
        </w:rPr>
      </w:pPr>
    </w:p>
    <w:p>
      <w:pPr>
        <w:ind w:left="812"/>
        <w:spacing w:after="0"/>
        <w:rPr>
          <w:sz w:val="20"/>
          <w:szCs w:val="20"/>
          <w:color w:val="auto"/>
        </w:rPr>
      </w:pPr>
      <w:r>
        <w:rPr>
          <w:rFonts w:ascii="Arial" w:cs="Arial" w:eastAsia="Arial" w:hAnsi="Arial"/>
          <w:sz w:val="22"/>
          <w:szCs w:val="22"/>
          <w:color w:val="auto"/>
        </w:rPr>
        <w:t>5.6%</w:t>
      </w:r>
    </w:p>
    <w:p>
      <w:pPr>
        <w:spacing w:after="0" w:line="22" w:lineRule="exact"/>
        <w:rPr>
          <w:sz w:val="20"/>
          <w:szCs w:val="20"/>
          <w:color w:val="auto"/>
        </w:rPr>
      </w:pPr>
    </w:p>
    <w:p>
      <w:pPr>
        <w:ind w:left="152"/>
        <w:spacing w:after="0"/>
        <w:tabs>
          <w:tab w:leader="none" w:pos="792"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Type of reporting person</w:t>
      </w:r>
    </w:p>
    <w:p>
      <w:pPr>
        <w:spacing w:after="0" w:line="248" w:lineRule="exact"/>
        <w:rPr>
          <w:sz w:val="20"/>
          <w:szCs w:val="20"/>
          <w:color w:val="auto"/>
        </w:rPr>
      </w:pPr>
    </w:p>
    <w:p>
      <w:pPr>
        <w:ind w:left="812"/>
        <w:spacing w:after="0"/>
        <w:rPr>
          <w:sz w:val="20"/>
          <w:szCs w:val="20"/>
          <w:color w:val="auto"/>
        </w:rPr>
      </w:pPr>
      <w:r>
        <w:rPr>
          <w:rFonts w:ascii="Arial" w:cs="Arial" w:eastAsia="Arial" w:hAnsi="Arial"/>
          <w:sz w:val="22"/>
          <w:szCs w:val="22"/>
          <w:color w:val="auto"/>
        </w:rPr>
        <w:t>OO</w:t>
      </w:r>
    </w:p>
    <w:p>
      <w:pPr>
        <w:spacing w:after="0" w:line="267" w:lineRule="exact"/>
        <w:rPr>
          <w:sz w:val="20"/>
          <w:szCs w:val="20"/>
          <w:color w:val="auto"/>
        </w:rPr>
      </w:pPr>
    </w:p>
    <w:p>
      <w:pPr>
        <w:ind w:left="452" w:right="60" w:hanging="452"/>
        <w:spacing w:after="0" w:line="255" w:lineRule="auto"/>
        <w:tabs>
          <w:tab w:leader="none" w:pos="4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Although the Trust beneficially owns 3,012,582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ectPr>
          <w:pgSz w:w="11900" w:h="16838" w:orient="portrait"/>
          <w:cols w:equalWidth="0" w:num="1">
            <w:col w:w="11432"/>
          </w:cols>
          <w:pgMar w:left="248" w:top="283" w:right="219" w:bottom="1440" w:gutter="0" w:footer="0" w:header="0"/>
        </w:sectPr>
      </w:pPr>
    </w:p>
    <w:bookmarkStart w:id="4" w:name="page5"/>
    <w:bookmarkEnd w:id="4"/>
    <w:p>
      <w:pPr>
        <w:jc w:val="center"/>
        <w:ind w:right="8"/>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87265K102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254875" cy="5385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385435"/>
                    </a:xfrm>
                    <a:prstGeom prst="rect">
                      <a:avLst/>
                    </a:prstGeom>
                    <a:noFill/>
                  </pic:spPr>
                </pic:pic>
              </a:graphicData>
            </a:graphic>
          </wp:anchor>
        </w:drawing>
      </w:r>
    </w:p>
    <w:p>
      <w:pPr>
        <w:spacing w:after="0" w:line="7" w:lineRule="exact"/>
        <w:rPr>
          <w:sz w:val="20"/>
          <w:szCs w:val="20"/>
          <w:color w:val="auto"/>
        </w:rPr>
      </w:pPr>
    </w:p>
    <w:p>
      <w:pPr>
        <w:ind w:left="812" w:hanging="565"/>
        <w:spacing w:after="0"/>
        <w:tabs>
          <w:tab w:leader="none" w:pos="81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38" w:lineRule="exact"/>
        <w:rPr>
          <w:sz w:val="20"/>
          <w:szCs w:val="20"/>
          <w:color w:val="auto"/>
        </w:rPr>
      </w:pPr>
    </w:p>
    <w:p>
      <w:pPr>
        <w:ind w:left="812"/>
        <w:spacing w:after="0"/>
        <w:rPr>
          <w:sz w:val="20"/>
          <w:szCs w:val="20"/>
          <w:color w:val="auto"/>
        </w:rPr>
      </w:pPr>
      <w:r>
        <w:rPr>
          <w:rFonts w:ascii="Arial" w:cs="Arial" w:eastAsia="Arial" w:hAnsi="Arial"/>
          <w:sz w:val="22"/>
          <w:szCs w:val="22"/>
          <w:b w:val="1"/>
          <w:bCs w:val="1"/>
          <w:color w:val="auto"/>
        </w:rPr>
        <w:t>MSSB TPG Specialty Lending Onshore Feeder Fund</w:t>
      </w:r>
    </w:p>
    <w:p>
      <w:pPr>
        <w:spacing w:after="0" w:line="28" w:lineRule="exact"/>
        <w:rPr>
          <w:sz w:val="20"/>
          <w:szCs w:val="20"/>
          <w:color w:val="auto"/>
        </w:rPr>
      </w:pPr>
    </w:p>
    <w:p>
      <w:pPr>
        <w:ind w:left="812" w:hanging="565"/>
        <w:spacing w:after="0"/>
        <w:tabs>
          <w:tab w:leader="none" w:pos="81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 w:lineRule="exact"/>
        <w:rPr>
          <w:sz w:val="20"/>
          <w:szCs w:val="20"/>
          <w:color w:val="auto"/>
        </w:rPr>
      </w:pPr>
    </w:p>
    <w:p>
      <w:pPr>
        <w:ind w:left="812"/>
        <w:spacing w:after="0" w:line="207" w:lineRule="exact"/>
        <w:tabs>
          <w:tab w:leader="none" w:pos="1612"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12" w:hanging="565"/>
        <w:spacing w:after="0"/>
        <w:tabs>
          <w:tab w:leader="none" w:pos="81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12" w:hanging="565"/>
        <w:spacing w:after="0"/>
        <w:tabs>
          <w:tab w:leader="none" w:pos="81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jc w:val="center"/>
        <w:ind w:right="5828"/>
        <w:spacing w:after="0"/>
        <w:rPr>
          <w:sz w:val="20"/>
          <w:szCs w:val="20"/>
          <w:color w:val="auto"/>
        </w:rPr>
      </w:pPr>
      <w:r>
        <w:rPr>
          <w:rFonts w:ascii="Arial" w:cs="Arial" w:eastAsia="Arial" w:hAnsi="Arial"/>
          <w:sz w:val="22"/>
          <w:szCs w:val="22"/>
          <w:color w:val="auto"/>
        </w:rPr>
        <w:t>The state of organization is Delaware.</w:t>
      </w:r>
    </w:p>
    <w:p>
      <w:pPr>
        <w:spacing w:after="0" w:line="22" w:lineRule="exact"/>
        <w:rPr>
          <w:sz w:val="20"/>
          <w:szCs w:val="20"/>
          <w:color w:val="auto"/>
        </w:rPr>
      </w:pPr>
    </w:p>
    <w:p>
      <w:pPr>
        <w:ind w:left="1572"/>
        <w:spacing w:after="0"/>
        <w:tabs>
          <w:tab w:leader="none" w:pos="1812"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Sole voting power.</w:t>
      </w:r>
    </w:p>
    <w:p>
      <w:pPr>
        <w:spacing w:after="0" w:line="248" w:lineRule="exact"/>
        <w:rPr>
          <w:sz w:val="20"/>
          <w:szCs w:val="20"/>
          <w:color w:val="auto"/>
        </w:rPr>
      </w:pPr>
    </w:p>
    <w:tbl>
      <w:tblPr>
        <w:tblLayout w:type="fixed"/>
        <w:tblInd w:w="152" w:type="dxa"/>
        <w:tblCellMar>
          <w:top w:w="0" w:type="dxa"/>
          <w:left w:w="0" w:type="dxa"/>
          <w:bottom w:w="0" w:type="dxa"/>
          <w:right w:w="0" w:type="dxa"/>
        </w:tblCellMar>
      </w:tblPr>
      <w:tr>
        <w:trPr>
          <w:trHeight w:val="276"/>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4"/>
        </w:trPr>
        <w:tc>
          <w:tcPr>
            <w:tcW w:w="13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6</w:t>
            </w:r>
          </w:p>
        </w:tc>
        <w:tc>
          <w:tcPr>
            <w:tcW w:w="96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80"/>
        </w:trPr>
        <w:tc>
          <w:tcPr>
            <w:tcW w:w="14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5"/>
              </w:rPr>
              <w:t>SHARES</w:t>
            </w:r>
          </w:p>
        </w:tc>
        <w:tc>
          <w:tcPr>
            <w:tcW w:w="200" w:type="dxa"/>
            <w:vAlign w:val="bottom"/>
            <w:vMerge w:val="continue"/>
          </w:tcPr>
          <w:p>
            <w:pPr>
              <w:spacing w:after="0"/>
              <w:rPr>
                <w:sz w:val="15"/>
                <w:szCs w:val="15"/>
                <w:color w:val="auto"/>
              </w:rPr>
            </w:pPr>
          </w:p>
        </w:tc>
        <w:tc>
          <w:tcPr>
            <w:tcW w:w="9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9680" w:type="dxa"/>
            <w:vAlign w:val="bottom"/>
            <w:vMerge w:val="restart"/>
          </w:tcPr>
          <w:p>
            <w:pPr>
              <w:ind w:left="80"/>
              <w:spacing w:after="0"/>
              <w:rPr>
                <w:sz w:val="20"/>
                <w:szCs w:val="20"/>
                <w:color w:val="auto"/>
              </w:rPr>
            </w:pPr>
            <w:r>
              <w:rPr>
                <w:rFonts w:ascii="Arial" w:cs="Arial" w:eastAsia="Arial" w:hAnsi="Arial"/>
                <w:sz w:val="22"/>
                <w:szCs w:val="22"/>
                <w:color w:val="auto"/>
              </w:rPr>
              <w:t>3,012,582 shares*</w:t>
            </w:r>
          </w:p>
        </w:tc>
        <w:tc>
          <w:tcPr>
            <w:tcW w:w="0" w:type="dxa"/>
            <w:vAlign w:val="bottom"/>
          </w:tcPr>
          <w:p>
            <w:pPr>
              <w:spacing w:after="0"/>
              <w:rPr>
                <w:sz w:val="1"/>
                <w:szCs w:val="1"/>
                <w:color w:val="auto"/>
              </w:rPr>
            </w:pPr>
          </w:p>
        </w:tc>
      </w:tr>
      <w:tr>
        <w:trPr>
          <w:trHeight w:val="234"/>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OWNED BY</w:t>
            </w:r>
          </w:p>
        </w:tc>
        <w:tc>
          <w:tcPr>
            <w:tcW w:w="200" w:type="dxa"/>
            <w:vAlign w:val="bottom"/>
          </w:tcPr>
          <w:p>
            <w:pPr>
              <w:spacing w:after="0"/>
              <w:rPr>
                <w:sz w:val="20"/>
                <w:szCs w:val="20"/>
                <w:color w:val="auto"/>
              </w:rPr>
            </w:pPr>
          </w:p>
        </w:tc>
        <w:tc>
          <w:tcPr>
            <w:tcW w:w="9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w w:val="99"/>
              </w:rPr>
              <w:t>7</w:t>
            </w:r>
          </w:p>
        </w:tc>
        <w:tc>
          <w:tcPr>
            <w:tcW w:w="9680" w:type="dxa"/>
            <w:vAlign w:val="bottom"/>
            <w:tcBorders>
              <w:top w:val="single" w:sz="8" w:color="auto"/>
            </w:tcBorders>
          </w:tcPr>
          <w:p>
            <w:pPr>
              <w:ind w:left="8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REPORTING</w:t>
            </w:r>
          </w:p>
        </w:tc>
        <w:tc>
          <w:tcPr>
            <w:tcW w:w="200" w:type="dxa"/>
            <w:vAlign w:val="bottom"/>
          </w:tcPr>
          <w:p>
            <w:pPr>
              <w:spacing w:after="0"/>
              <w:rPr>
                <w:sz w:val="18"/>
                <w:szCs w:val="18"/>
                <w:color w:val="auto"/>
              </w:rPr>
            </w:pPr>
          </w:p>
        </w:tc>
        <w:tc>
          <w:tcPr>
            <w:tcW w:w="9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PERSON</w:t>
            </w:r>
          </w:p>
        </w:tc>
        <w:tc>
          <w:tcPr>
            <w:tcW w:w="200" w:type="dxa"/>
            <w:vAlign w:val="bottom"/>
          </w:tcPr>
          <w:p>
            <w:pPr>
              <w:spacing w:after="0"/>
              <w:rPr>
                <w:sz w:val="20"/>
                <w:szCs w:val="20"/>
                <w:color w:val="auto"/>
              </w:rPr>
            </w:pPr>
          </w:p>
        </w:tc>
        <w:tc>
          <w:tcPr>
            <w:tcW w:w="9680" w:type="dxa"/>
            <w:vAlign w:val="bottom"/>
          </w:tcPr>
          <w:p>
            <w:pPr>
              <w:ind w:left="80"/>
              <w:spacing w:after="0" w:line="236"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8</w:t>
            </w:r>
          </w:p>
        </w:tc>
        <w:tc>
          <w:tcPr>
            <w:tcW w:w="96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93"/>
        </w:trPr>
        <w:tc>
          <w:tcPr>
            <w:tcW w:w="1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9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32"/>
        <w:spacing w:after="0"/>
        <w:rPr>
          <w:sz w:val="20"/>
          <w:szCs w:val="20"/>
          <w:color w:val="auto"/>
        </w:rPr>
      </w:pPr>
      <w:r>
        <w:rPr>
          <w:rFonts w:ascii="Arial" w:cs="Arial" w:eastAsia="Arial" w:hAnsi="Arial"/>
          <w:sz w:val="22"/>
          <w:szCs w:val="22"/>
          <w:color w:val="auto"/>
        </w:rPr>
        <w:t>3,012,582 shares*</w:t>
      </w:r>
    </w:p>
    <w:p>
      <w:pPr>
        <w:spacing w:after="0" w:line="22" w:lineRule="exact"/>
        <w:rPr>
          <w:sz w:val="20"/>
          <w:szCs w:val="20"/>
          <w:color w:val="auto"/>
        </w:rPr>
      </w:pPr>
    </w:p>
    <w:p>
      <w:pPr>
        <w:ind w:left="812" w:hanging="565"/>
        <w:spacing w:after="0"/>
        <w:tabs>
          <w:tab w:leader="none" w:pos="81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248" w:lineRule="exact"/>
        <w:rPr>
          <w:sz w:val="20"/>
          <w:szCs w:val="20"/>
          <w:color w:val="auto"/>
        </w:rPr>
      </w:pPr>
    </w:p>
    <w:p>
      <w:pPr>
        <w:ind w:left="812"/>
        <w:spacing w:after="0"/>
        <w:rPr>
          <w:sz w:val="20"/>
          <w:szCs w:val="20"/>
          <w:color w:val="auto"/>
        </w:rPr>
      </w:pPr>
      <w:r>
        <w:rPr>
          <w:rFonts w:ascii="Arial" w:cs="Arial" w:eastAsia="Arial" w:hAnsi="Arial"/>
          <w:sz w:val="22"/>
          <w:szCs w:val="22"/>
          <w:color w:val="auto"/>
        </w:rPr>
        <w:t>3,012,582 shares</w:t>
      </w:r>
    </w:p>
    <w:p>
      <w:pPr>
        <w:spacing w:after="0" w:line="22" w:lineRule="exact"/>
        <w:rPr>
          <w:sz w:val="20"/>
          <w:szCs w:val="20"/>
          <w:color w:val="auto"/>
        </w:rPr>
      </w:pPr>
    </w:p>
    <w:p>
      <w:pPr>
        <w:ind w:left="812" w:hanging="655"/>
        <w:spacing w:after="0" w:line="207" w:lineRule="exact"/>
        <w:tabs>
          <w:tab w:leader="none" w:pos="81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77" w:lineRule="exact"/>
        <w:rPr>
          <w:rFonts w:ascii="Arial" w:cs="Arial" w:eastAsia="Arial" w:hAnsi="Arial"/>
          <w:sz w:val="18"/>
          <w:szCs w:val="18"/>
          <w:b w:val="1"/>
          <w:bCs w:val="1"/>
          <w:color w:val="auto"/>
        </w:rPr>
      </w:pPr>
    </w:p>
    <w:p>
      <w:pPr>
        <w:ind w:left="812" w:hanging="655"/>
        <w:spacing w:after="0"/>
        <w:tabs>
          <w:tab w:leader="none" w:pos="81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249" w:lineRule="exact"/>
        <w:rPr>
          <w:sz w:val="20"/>
          <w:szCs w:val="20"/>
          <w:color w:val="auto"/>
        </w:rPr>
      </w:pPr>
    </w:p>
    <w:p>
      <w:pPr>
        <w:ind w:left="812"/>
        <w:spacing w:after="0"/>
        <w:rPr>
          <w:sz w:val="20"/>
          <w:szCs w:val="20"/>
          <w:color w:val="auto"/>
        </w:rPr>
      </w:pPr>
      <w:r>
        <w:rPr>
          <w:rFonts w:ascii="Arial" w:cs="Arial" w:eastAsia="Arial" w:hAnsi="Arial"/>
          <w:sz w:val="22"/>
          <w:szCs w:val="22"/>
          <w:color w:val="auto"/>
        </w:rPr>
        <w:t>5.6%</w:t>
      </w:r>
    </w:p>
    <w:p>
      <w:pPr>
        <w:spacing w:after="0" w:line="22" w:lineRule="exact"/>
        <w:rPr>
          <w:sz w:val="20"/>
          <w:szCs w:val="20"/>
          <w:color w:val="auto"/>
        </w:rPr>
      </w:pPr>
    </w:p>
    <w:p>
      <w:pPr>
        <w:ind w:left="152"/>
        <w:spacing w:after="0"/>
        <w:tabs>
          <w:tab w:leader="none" w:pos="792"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Type of reporting person</w:t>
      </w:r>
    </w:p>
    <w:p>
      <w:pPr>
        <w:spacing w:after="0" w:line="248" w:lineRule="exact"/>
        <w:rPr>
          <w:sz w:val="20"/>
          <w:szCs w:val="20"/>
          <w:color w:val="auto"/>
        </w:rPr>
      </w:pPr>
    </w:p>
    <w:p>
      <w:pPr>
        <w:ind w:left="812"/>
        <w:spacing w:after="0"/>
        <w:rPr>
          <w:sz w:val="20"/>
          <w:szCs w:val="20"/>
          <w:color w:val="auto"/>
        </w:rPr>
      </w:pPr>
      <w:r>
        <w:rPr>
          <w:rFonts w:ascii="Arial" w:cs="Arial" w:eastAsia="Arial" w:hAnsi="Arial"/>
          <w:sz w:val="22"/>
          <w:szCs w:val="22"/>
          <w:color w:val="auto"/>
        </w:rPr>
        <w:t>OO</w:t>
      </w:r>
    </w:p>
    <w:p>
      <w:pPr>
        <w:spacing w:after="0" w:line="267" w:lineRule="exact"/>
        <w:rPr>
          <w:sz w:val="20"/>
          <w:szCs w:val="20"/>
          <w:color w:val="auto"/>
        </w:rPr>
      </w:pPr>
    </w:p>
    <w:p>
      <w:pPr>
        <w:ind w:left="452" w:right="60" w:hanging="452"/>
        <w:spacing w:after="0" w:line="255"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Although the Trust beneficially owns 3,012,582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ectPr>
          <w:pgSz w:w="11900" w:h="16838" w:orient="portrait"/>
          <w:cols w:equalWidth="0" w:num="1">
            <w:col w:w="11432"/>
          </w:cols>
          <w:pgMar w:left="248" w:top="283" w:right="219" w:bottom="1440" w:gutter="0" w:footer="0" w:header="0"/>
        </w:sectPr>
      </w:pPr>
    </w:p>
    <w:bookmarkStart w:id="5" w:name="page6"/>
    <w:bookmarkEnd w:id="5"/>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TPG Specialty Lending, Inc.</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Fort Worth, TX 76102</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Schedule 13G is jointly filed by: (i) Morgan Stanley; (ii) Morgan Stanley Smith Barney Holdings LLC; (iii) Morgan Stanley GWM Feeder Strategies LLC; and (iv) MSSB TPG Specialty Lending Onshore Feeder Fund (all together, the “Reporting Persons”), with respect to shares of common stock (the “Shares”) of the Issuer beneficially owned by MSSB TPG Specialty Lending Onshore Feeder Fund. Morgan Stanley GWM Feeder Strategies LLC is the managing owner of MSSB TPG Specialty Lending Onshore Feeder Fund, and is a wholly-owned subsidiary of Morgan Stanley Smith Barney Holdings LLC. Morgan Stanley Smith Barney Holdings LLC is indirectly majority-owned by Morgan Stanley.</w:t>
      </w:r>
    </w:p>
    <w:p>
      <w:pPr>
        <w:spacing w:after="0" w:line="3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principal business address of each of MSSB TPG Specialty Lending Onshore Feeder Fund and Morgan Stanley GWM Feeder Strategies LLC is 522 Fifth Avenue, 13th floor, New York, NY 10036. The principal business address of each of Morgan Stanley Smith Barney Holdings LLC and Morgan Stanley is 1585 Broadway New York, NY 10036.</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state of organization of each of MSSB TPG Specialty Lending Onshore Feeder Fund, Morgan Stanley GWM Feeder Strategies LLC, Morgan Stanley Smith Barney Holdings LLC and Morgan Stanley is Delaware.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 $0.01 par value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87265K102</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 as of August 11, 2014*.</w:t>
      </w:r>
    </w:p>
    <w:p>
      <w:pPr>
        <w:spacing w:after="0" w:line="135"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00" w:lineRule="exact"/>
        <w:rPr>
          <w:sz w:val="20"/>
          <w:szCs w:val="20"/>
          <w:color w:val="auto"/>
        </w:rPr>
      </w:pPr>
    </w:p>
    <w:p>
      <w:pPr>
        <w:spacing w:after="0" w:line="255"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00" w:lineRule="exact"/>
        <w:rPr>
          <w:sz w:val="20"/>
          <w:szCs w:val="20"/>
          <w:color w:val="auto"/>
        </w:rPr>
      </w:pPr>
    </w:p>
    <w:p>
      <w:pPr>
        <w:spacing w:after="0" w:line="255"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ectPr>
          <w:pgSz w:w="11900" w:h="16838" w:orient="portrait"/>
          <w:cols w:equalWidth="0" w:num="1">
            <w:col w:w="11380"/>
          </w:cols>
          <w:pgMar w:left="240" w:top="270" w:right="279" w:bottom="1440" w:gutter="0" w:footer="0" w:header="0"/>
        </w:sectPr>
      </w:pPr>
    </w:p>
    <w:bookmarkStart w:id="6" w:name="page7"/>
    <w:bookmarkEnd w:id="6"/>
    <w:p>
      <w:pPr>
        <w:ind w:left="1480" w:hanging="567"/>
        <w:spacing w:after="0"/>
        <w:tabs>
          <w:tab w:leader="none" w:pos="1480" w:val="left"/>
        </w:tabs>
        <w:numPr>
          <w:ilvl w:val="1"/>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Sole power to dispose or direct the disposition of:</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130" w:lineRule="exact"/>
        <w:rPr>
          <w:rFonts w:ascii="Arial" w:cs="Arial" w:eastAsia="Arial" w:hAnsi="Arial"/>
          <w:sz w:val="18"/>
          <w:szCs w:val="18"/>
          <w:color w:val="auto"/>
        </w:rPr>
      </w:pPr>
    </w:p>
    <w:p>
      <w:pPr>
        <w:ind w:left="1500" w:right="5820" w:hanging="587"/>
        <w:spacing w:after="0" w:line="531" w:lineRule="auto"/>
        <w:tabs>
          <w:tab w:leader="none" w:pos="1489" w:val="left"/>
        </w:tabs>
        <w:numPr>
          <w:ilvl w:val="1"/>
          <w:numId w:val="35"/>
        </w:numPr>
        <w:rPr>
          <w:rFonts w:ascii="Arial" w:cs="Arial" w:eastAsia="Arial" w:hAnsi="Arial"/>
          <w:sz w:val="15"/>
          <w:szCs w:val="15"/>
          <w:color w:val="auto"/>
        </w:rPr>
      </w:pPr>
      <w:r>
        <w:rPr>
          <w:rFonts w:ascii="Arial" w:cs="Arial" w:eastAsia="Arial" w:hAnsi="Arial"/>
          <w:sz w:val="15"/>
          <w:szCs w:val="15"/>
          <w:color w:val="auto"/>
        </w:rPr>
        <w:t>Shared power to dispose or to direct the disposition of: See the responses to Item 8 on the attached cover pages.</w:t>
      </w:r>
    </w:p>
    <w:p>
      <w:pPr>
        <w:spacing w:after="0" w:line="20" w:lineRule="exact"/>
        <w:rPr>
          <w:rFonts w:ascii="Arial" w:cs="Arial" w:eastAsia="Arial" w:hAnsi="Arial"/>
          <w:sz w:val="15"/>
          <w:szCs w:val="15"/>
          <w:color w:val="auto"/>
        </w:rPr>
      </w:pPr>
    </w:p>
    <w:p>
      <w:pPr>
        <w:ind w:left="460" w:right="180" w:hanging="446"/>
        <w:spacing w:after="0" w:line="302" w:lineRule="auto"/>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6"/>
          <w:szCs w:val="16"/>
          <w:color w:val="auto"/>
        </w:rPr>
        <w:t>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by the Parent Holding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99.2.</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firstLine="464"/>
        <w:spacing w:after="0" w:line="264" w:lineRule="auto"/>
        <w:tabs>
          <w:tab w:leader="none" w:pos="7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dated the date hereof, between the Reporting Persons.</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Item 7 Information.</w:t>
      </w:r>
    </w:p>
    <w:p>
      <w:pPr>
        <w:sectPr>
          <w:pgSz w:w="11900" w:h="16838" w:orient="portrait"/>
          <w:cols w:equalWidth="0" w:num="1">
            <w:col w:w="11360"/>
          </w:cols>
          <w:pgMar w:left="240" w:top="274"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August 18, 2014</w:t>
            </w:r>
          </w:p>
        </w:tc>
        <w:tc>
          <w:tcPr>
            <w:tcW w:w="7680" w:type="dxa"/>
            <w:vAlign w:val="bottom"/>
            <w:gridSpan w:val="3"/>
          </w:tcPr>
          <w:p>
            <w:pPr>
              <w:ind w:left="1720"/>
              <w:spacing w:after="0"/>
              <w:rPr>
                <w:sz w:val="20"/>
                <w:szCs w:val="20"/>
                <w:color w:val="auto"/>
              </w:rPr>
            </w:pPr>
            <w:r>
              <w:rPr>
                <w:rFonts w:ascii="Arial" w:cs="Arial" w:eastAsia="Arial" w:hAnsi="Arial"/>
                <w:sz w:val="18"/>
                <w:szCs w:val="18"/>
                <w:color w:val="auto"/>
              </w:rPr>
              <w:t>MSSB TPG SPECIALTY LENDING ONSHORE FEEDER FUND</w:t>
            </w:r>
          </w:p>
        </w:tc>
      </w:tr>
      <w:tr>
        <w:trPr>
          <w:trHeight w:val="418"/>
        </w:trPr>
        <w:tc>
          <w:tcPr>
            <w:tcW w:w="3380" w:type="dxa"/>
            <w:vAlign w:val="bottom"/>
          </w:tcPr>
          <w:p>
            <w:pPr>
              <w:spacing w:after="0"/>
              <w:rPr>
                <w:sz w:val="24"/>
                <w:szCs w:val="24"/>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MORGAN STANLEY GWM FEEDER STRATEGIES LLC</w:t>
            </w:r>
          </w:p>
        </w:tc>
      </w:tr>
      <w:tr>
        <w:trPr>
          <w:trHeight w:val="230"/>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Its Managing Owner</w:t>
            </w:r>
          </w:p>
        </w:tc>
      </w:tr>
      <w:tr>
        <w:trPr>
          <w:trHeight w:val="432"/>
        </w:trPr>
        <w:tc>
          <w:tcPr>
            <w:tcW w:w="3380" w:type="dxa"/>
            <w:vAlign w:val="bottom"/>
          </w:tcPr>
          <w:p>
            <w:pPr>
              <w:spacing w:after="0"/>
              <w:rPr>
                <w:sz w:val="24"/>
                <w:szCs w:val="24"/>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Korn</w:t>
            </w:r>
          </w:p>
        </w:tc>
      </w:tr>
      <w:tr>
        <w:trPr>
          <w:trHeight w:val="209"/>
        </w:trPr>
        <w:tc>
          <w:tcPr>
            <w:tcW w:w="3380" w:type="dxa"/>
            <w:vAlign w:val="bottom"/>
          </w:tcPr>
          <w:p>
            <w:pPr>
              <w:spacing w:after="0"/>
              <w:rPr>
                <w:sz w:val="18"/>
                <w:szCs w:val="18"/>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Michael Korn</w:t>
            </w:r>
          </w:p>
        </w:tc>
      </w:tr>
      <w:tr>
        <w:trPr>
          <w:trHeight w:val="230"/>
        </w:trPr>
        <w:tc>
          <w:tcPr>
            <w:tcW w:w="3380" w:type="dxa"/>
            <w:vAlign w:val="bottom"/>
          </w:tcPr>
          <w:p>
            <w:pPr>
              <w:spacing w:after="0"/>
              <w:rPr>
                <w:sz w:val="20"/>
                <w:szCs w:val="20"/>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380" w:type="dxa"/>
            <w:vAlign w:val="bottom"/>
          </w:tcPr>
          <w:p>
            <w:pPr>
              <w:spacing w:after="0"/>
              <w:rPr>
                <w:sz w:val="24"/>
                <w:szCs w:val="24"/>
                <w:color w:val="auto"/>
              </w:rPr>
            </w:pPr>
          </w:p>
        </w:tc>
        <w:tc>
          <w:tcPr>
            <w:tcW w:w="7680" w:type="dxa"/>
            <w:vAlign w:val="bottom"/>
            <w:gridSpan w:val="3"/>
          </w:tcPr>
          <w:p>
            <w:pPr>
              <w:ind w:left="1720"/>
              <w:spacing w:after="0"/>
              <w:rPr>
                <w:sz w:val="20"/>
                <w:szCs w:val="20"/>
                <w:color w:val="auto"/>
              </w:rPr>
            </w:pPr>
            <w:r>
              <w:rPr>
                <w:rFonts w:ascii="Arial" w:cs="Arial" w:eastAsia="Arial" w:hAnsi="Arial"/>
                <w:sz w:val="18"/>
                <w:szCs w:val="18"/>
                <w:color w:val="auto"/>
              </w:rPr>
              <w:t>MORGAN STANLEY GWM FEEDER STRATEGIES LLC</w:t>
            </w:r>
          </w:p>
        </w:tc>
      </w:tr>
      <w:tr>
        <w:trPr>
          <w:trHeight w:val="432"/>
        </w:trPr>
        <w:tc>
          <w:tcPr>
            <w:tcW w:w="3380" w:type="dxa"/>
            <w:vAlign w:val="bottom"/>
          </w:tcPr>
          <w:p>
            <w:pPr>
              <w:spacing w:after="0"/>
              <w:rPr>
                <w:sz w:val="24"/>
                <w:szCs w:val="24"/>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Korn</w:t>
            </w:r>
          </w:p>
        </w:tc>
      </w:tr>
      <w:tr>
        <w:trPr>
          <w:trHeight w:val="209"/>
        </w:trPr>
        <w:tc>
          <w:tcPr>
            <w:tcW w:w="3380" w:type="dxa"/>
            <w:vAlign w:val="bottom"/>
          </w:tcPr>
          <w:p>
            <w:pPr>
              <w:spacing w:after="0"/>
              <w:rPr>
                <w:sz w:val="18"/>
                <w:szCs w:val="18"/>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Michael Korn</w:t>
            </w:r>
          </w:p>
        </w:tc>
      </w:tr>
      <w:tr>
        <w:trPr>
          <w:trHeight w:val="230"/>
        </w:trPr>
        <w:tc>
          <w:tcPr>
            <w:tcW w:w="3380" w:type="dxa"/>
            <w:vAlign w:val="bottom"/>
          </w:tcPr>
          <w:p>
            <w:pPr>
              <w:spacing w:after="0"/>
              <w:rPr>
                <w:sz w:val="20"/>
                <w:szCs w:val="20"/>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380" w:type="dxa"/>
            <w:vAlign w:val="bottom"/>
          </w:tcPr>
          <w:p>
            <w:pPr>
              <w:spacing w:after="0"/>
              <w:rPr>
                <w:sz w:val="24"/>
                <w:szCs w:val="24"/>
                <w:color w:val="auto"/>
              </w:rPr>
            </w:pPr>
          </w:p>
        </w:tc>
        <w:tc>
          <w:tcPr>
            <w:tcW w:w="7680" w:type="dxa"/>
            <w:vAlign w:val="bottom"/>
            <w:gridSpan w:val="3"/>
          </w:tcPr>
          <w:p>
            <w:pPr>
              <w:ind w:left="1720"/>
              <w:spacing w:after="0"/>
              <w:rPr>
                <w:sz w:val="20"/>
                <w:szCs w:val="20"/>
                <w:color w:val="auto"/>
              </w:rPr>
            </w:pPr>
            <w:r>
              <w:rPr>
                <w:rFonts w:ascii="Arial" w:cs="Arial" w:eastAsia="Arial" w:hAnsi="Arial"/>
                <w:sz w:val="18"/>
                <w:szCs w:val="18"/>
                <w:color w:val="auto"/>
              </w:rPr>
              <w:t>MORGAN STANLEY SMITH BARNEY HOLDINGS LLC</w:t>
            </w:r>
          </w:p>
        </w:tc>
      </w:tr>
      <w:tr>
        <w:trPr>
          <w:trHeight w:val="432"/>
        </w:trPr>
        <w:tc>
          <w:tcPr>
            <w:tcW w:w="3380" w:type="dxa"/>
            <w:vAlign w:val="bottom"/>
          </w:tcPr>
          <w:p>
            <w:pPr>
              <w:spacing w:after="0"/>
              <w:rPr>
                <w:sz w:val="24"/>
                <w:szCs w:val="24"/>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Cooney</w:t>
            </w:r>
          </w:p>
        </w:tc>
      </w:tr>
      <w:tr>
        <w:trPr>
          <w:trHeight w:val="209"/>
        </w:trPr>
        <w:tc>
          <w:tcPr>
            <w:tcW w:w="3380" w:type="dxa"/>
            <w:vAlign w:val="bottom"/>
          </w:tcPr>
          <w:p>
            <w:pPr>
              <w:spacing w:after="0"/>
              <w:rPr>
                <w:sz w:val="18"/>
                <w:szCs w:val="18"/>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Anne Cooney</w:t>
            </w:r>
          </w:p>
        </w:tc>
      </w:tr>
      <w:tr>
        <w:trPr>
          <w:trHeight w:val="230"/>
        </w:trPr>
        <w:tc>
          <w:tcPr>
            <w:tcW w:w="3380" w:type="dxa"/>
            <w:vAlign w:val="bottom"/>
          </w:tcPr>
          <w:p>
            <w:pPr>
              <w:spacing w:after="0"/>
              <w:rPr>
                <w:sz w:val="20"/>
                <w:szCs w:val="20"/>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380" w:type="dxa"/>
            <w:vAlign w:val="bottom"/>
          </w:tcPr>
          <w:p>
            <w:pPr>
              <w:spacing w:after="0"/>
              <w:rPr>
                <w:sz w:val="24"/>
                <w:szCs w:val="24"/>
                <w:color w:val="auto"/>
              </w:rPr>
            </w:pPr>
          </w:p>
        </w:tc>
        <w:tc>
          <w:tcPr>
            <w:tcW w:w="7680" w:type="dxa"/>
            <w:vAlign w:val="bottom"/>
            <w:gridSpan w:val="3"/>
          </w:tcPr>
          <w:p>
            <w:pPr>
              <w:ind w:left="1720"/>
              <w:spacing w:after="0"/>
              <w:rPr>
                <w:sz w:val="20"/>
                <w:szCs w:val="20"/>
                <w:color w:val="auto"/>
              </w:rPr>
            </w:pPr>
            <w:r>
              <w:rPr>
                <w:rFonts w:ascii="Arial" w:cs="Arial" w:eastAsia="Arial" w:hAnsi="Arial"/>
                <w:sz w:val="18"/>
                <w:szCs w:val="18"/>
                <w:color w:val="auto"/>
              </w:rPr>
              <w:t>MORGAN STANLEY</w:t>
            </w:r>
          </w:p>
        </w:tc>
      </w:tr>
      <w:tr>
        <w:trPr>
          <w:trHeight w:val="432"/>
        </w:trPr>
        <w:tc>
          <w:tcPr>
            <w:tcW w:w="3380" w:type="dxa"/>
            <w:vAlign w:val="bottom"/>
          </w:tcPr>
          <w:p>
            <w:pPr>
              <w:spacing w:after="0"/>
              <w:rPr>
                <w:sz w:val="24"/>
                <w:szCs w:val="24"/>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Christina Huffman</w:t>
            </w:r>
          </w:p>
        </w:tc>
      </w:tr>
      <w:tr>
        <w:trPr>
          <w:trHeight w:val="209"/>
        </w:trPr>
        <w:tc>
          <w:tcPr>
            <w:tcW w:w="3380" w:type="dxa"/>
            <w:vAlign w:val="bottom"/>
          </w:tcPr>
          <w:p>
            <w:pPr>
              <w:spacing w:after="0"/>
              <w:rPr>
                <w:sz w:val="18"/>
                <w:szCs w:val="18"/>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Christina Huffman</w:t>
            </w:r>
          </w:p>
        </w:tc>
      </w:tr>
      <w:tr>
        <w:trPr>
          <w:trHeight w:val="230"/>
        </w:trPr>
        <w:tc>
          <w:tcPr>
            <w:tcW w:w="3380" w:type="dxa"/>
            <w:vAlign w:val="bottom"/>
          </w:tcPr>
          <w:p>
            <w:pPr>
              <w:spacing w:after="0"/>
              <w:rPr>
                <w:sz w:val="20"/>
                <w:szCs w:val="20"/>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1420"/>
          </w:cols>
          <w:pgMar w:left="240" w:top="27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agree that the foregoing statement on Schedule 13G, dated August 18, 2014, with respect to the shares of TPG Specialty Lending, Inc.’s Common Stock is, and any amendments thereto executed by each of the undersigned shall be, filed on behalf of each of the undersigned pursuant to and in accordance with the provisions of Rule 13d-1(k)(1) under the Securities Exchange Act of 1934, as amended, and that this Agreement shall be included as an Exhibit to the Schedule 13G and each such amendment. Each of the undersigned agrees to be responsible for the timely filing of the Schedule 13G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this Agreement as of the 18th day of August 2014.</w:t>
      </w:r>
    </w:p>
    <w:p>
      <w:pPr>
        <w:spacing w:after="0" w:line="252"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Date: August 18, 2014</w:t>
            </w:r>
          </w:p>
        </w:tc>
        <w:tc>
          <w:tcPr>
            <w:tcW w:w="7680" w:type="dxa"/>
            <w:vAlign w:val="bottom"/>
            <w:gridSpan w:val="3"/>
          </w:tcPr>
          <w:p>
            <w:pPr>
              <w:ind w:left="1720"/>
              <w:spacing w:after="0"/>
              <w:rPr>
                <w:sz w:val="20"/>
                <w:szCs w:val="20"/>
                <w:color w:val="auto"/>
              </w:rPr>
            </w:pPr>
            <w:r>
              <w:rPr>
                <w:rFonts w:ascii="Arial" w:cs="Arial" w:eastAsia="Arial" w:hAnsi="Arial"/>
                <w:sz w:val="18"/>
                <w:szCs w:val="18"/>
                <w:color w:val="auto"/>
              </w:rPr>
              <w:t>MSSB TPG SPECIALTY LENDING ONSHORE FEEDER FUND</w:t>
            </w:r>
          </w:p>
        </w:tc>
      </w:tr>
      <w:tr>
        <w:trPr>
          <w:trHeight w:val="418"/>
        </w:trPr>
        <w:tc>
          <w:tcPr>
            <w:tcW w:w="3380" w:type="dxa"/>
            <w:vAlign w:val="bottom"/>
          </w:tcPr>
          <w:p>
            <w:pPr>
              <w:spacing w:after="0"/>
              <w:rPr>
                <w:sz w:val="24"/>
                <w:szCs w:val="24"/>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MORGAN STANLEY GWM FEEDER STRATEGIES LLC</w:t>
            </w:r>
          </w:p>
        </w:tc>
      </w:tr>
      <w:tr>
        <w:trPr>
          <w:trHeight w:val="230"/>
        </w:trPr>
        <w:tc>
          <w:tcPr>
            <w:tcW w:w="3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Its Managing Owner</w:t>
            </w:r>
          </w:p>
        </w:tc>
      </w:tr>
      <w:tr>
        <w:trPr>
          <w:trHeight w:val="432"/>
        </w:trPr>
        <w:tc>
          <w:tcPr>
            <w:tcW w:w="3380" w:type="dxa"/>
            <w:vAlign w:val="bottom"/>
          </w:tcPr>
          <w:p>
            <w:pPr>
              <w:spacing w:after="0"/>
              <w:rPr>
                <w:sz w:val="24"/>
                <w:szCs w:val="24"/>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Korn</w:t>
            </w:r>
          </w:p>
        </w:tc>
      </w:tr>
      <w:tr>
        <w:trPr>
          <w:trHeight w:val="209"/>
        </w:trPr>
        <w:tc>
          <w:tcPr>
            <w:tcW w:w="3380" w:type="dxa"/>
            <w:vAlign w:val="bottom"/>
          </w:tcPr>
          <w:p>
            <w:pPr>
              <w:spacing w:after="0"/>
              <w:rPr>
                <w:sz w:val="18"/>
                <w:szCs w:val="18"/>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Michael Korn</w:t>
            </w:r>
          </w:p>
        </w:tc>
      </w:tr>
      <w:tr>
        <w:trPr>
          <w:trHeight w:val="230"/>
        </w:trPr>
        <w:tc>
          <w:tcPr>
            <w:tcW w:w="3380" w:type="dxa"/>
            <w:vAlign w:val="bottom"/>
          </w:tcPr>
          <w:p>
            <w:pPr>
              <w:spacing w:after="0"/>
              <w:rPr>
                <w:sz w:val="20"/>
                <w:szCs w:val="20"/>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380" w:type="dxa"/>
            <w:vAlign w:val="bottom"/>
          </w:tcPr>
          <w:p>
            <w:pPr>
              <w:spacing w:after="0"/>
              <w:rPr>
                <w:sz w:val="24"/>
                <w:szCs w:val="24"/>
                <w:color w:val="auto"/>
              </w:rPr>
            </w:pPr>
          </w:p>
        </w:tc>
        <w:tc>
          <w:tcPr>
            <w:tcW w:w="7680" w:type="dxa"/>
            <w:vAlign w:val="bottom"/>
            <w:gridSpan w:val="3"/>
          </w:tcPr>
          <w:p>
            <w:pPr>
              <w:ind w:left="1720"/>
              <w:spacing w:after="0"/>
              <w:rPr>
                <w:sz w:val="20"/>
                <w:szCs w:val="20"/>
                <w:color w:val="auto"/>
              </w:rPr>
            </w:pPr>
            <w:r>
              <w:rPr>
                <w:rFonts w:ascii="Arial" w:cs="Arial" w:eastAsia="Arial" w:hAnsi="Arial"/>
                <w:sz w:val="18"/>
                <w:szCs w:val="18"/>
                <w:color w:val="auto"/>
              </w:rPr>
              <w:t>MORGAN STANLEY GWM FEEDER STRATEGIES LLC</w:t>
            </w:r>
          </w:p>
        </w:tc>
      </w:tr>
      <w:tr>
        <w:trPr>
          <w:trHeight w:val="432"/>
        </w:trPr>
        <w:tc>
          <w:tcPr>
            <w:tcW w:w="3380" w:type="dxa"/>
            <w:vAlign w:val="bottom"/>
          </w:tcPr>
          <w:p>
            <w:pPr>
              <w:spacing w:after="0"/>
              <w:rPr>
                <w:sz w:val="24"/>
                <w:szCs w:val="24"/>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Korn</w:t>
            </w:r>
          </w:p>
        </w:tc>
      </w:tr>
      <w:tr>
        <w:trPr>
          <w:trHeight w:val="209"/>
        </w:trPr>
        <w:tc>
          <w:tcPr>
            <w:tcW w:w="3380" w:type="dxa"/>
            <w:vAlign w:val="bottom"/>
          </w:tcPr>
          <w:p>
            <w:pPr>
              <w:spacing w:after="0"/>
              <w:rPr>
                <w:sz w:val="18"/>
                <w:szCs w:val="18"/>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Michael Korn</w:t>
            </w:r>
          </w:p>
        </w:tc>
      </w:tr>
      <w:tr>
        <w:trPr>
          <w:trHeight w:val="230"/>
        </w:trPr>
        <w:tc>
          <w:tcPr>
            <w:tcW w:w="3380" w:type="dxa"/>
            <w:vAlign w:val="bottom"/>
          </w:tcPr>
          <w:p>
            <w:pPr>
              <w:spacing w:after="0"/>
              <w:rPr>
                <w:sz w:val="20"/>
                <w:szCs w:val="20"/>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380" w:type="dxa"/>
            <w:vAlign w:val="bottom"/>
          </w:tcPr>
          <w:p>
            <w:pPr>
              <w:spacing w:after="0"/>
              <w:rPr>
                <w:sz w:val="24"/>
                <w:szCs w:val="24"/>
                <w:color w:val="auto"/>
              </w:rPr>
            </w:pPr>
          </w:p>
        </w:tc>
        <w:tc>
          <w:tcPr>
            <w:tcW w:w="7680" w:type="dxa"/>
            <w:vAlign w:val="bottom"/>
            <w:gridSpan w:val="3"/>
          </w:tcPr>
          <w:p>
            <w:pPr>
              <w:ind w:left="1720"/>
              <w:spacing w:after="0"/>
              <w:rPr>
                <w:sz w:val="20"/>
                <w:szCs w:val="20"/>
                <w:color w:val="auto"/>
              </w:rPr>
            </w:pPr>
            <w:r>
              <w:rPr>
                <w:rFonts w:ascii="Arial" w:cs="Arial" w:eastAsia="Arial" w:hAnsi="Arial"/>
                <w:sz w:val="18"/>
                <w:szCs w:val="18"/>
                <w:color w:val="auto"/>
              </w:rPr>
              <w:t>MORGAN STANLEY SMITH BARNEY HOLDINGS LLC</w:t>
            </w:r>
          </w:p>
        </w:tc>
      </w:tr>
      <w:tr>
        <w:trPr>
          <w:trHeight w:val="432"/>
        </w:trPr>
        <w:tc>
          <w:tcPr>
            <w:tcW w:w="3380" w:type="dxa"/>
            <w:vAlign w:val="bottom"/>
          </w:tcPr>
          <w:p>
            <w:pPr>
              <w:spacing w:after="0"/>
              <w:rPr>
                <w:sz w:val="24"/>
                <w:szCs w:val="24"/>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 Cooney</w:t>
            </w:r>
          </w:p>
        </w:tc>
      </w:tr>
      <w:tr>
        <w:trPr>
          <w:trHeight w:val="209"/>
        </w:trPr>
        <w:tc>
          <w:tcPr>
            <w:tcW w:w="3380" w:type="dxa"/>
            <w:vAlign w:val="bottom"/>
          </w:tcPr>
          <w:p>
            <w:pPr>
              <w:spacing w:after="0"/>
              <w:rPr>
                <w:sz w:val="18"/>
                <w:szCs w:val="18"/>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Anne Cooney</w:t>
            </w:r>
          </w:p>
        </w:tc>
      </w:tr>
      <w:tr>
        <w:trPr>
          <w:trHeight w:val="230"/>
        </w:trPr>
        <w:tc>
          <w:tcPr>
            <w:tcW w:w="3380" w:type="dxa"/>
            <w:vAlign w:val="bottom"/>
          </w:tcPr>
          <w:p>
            <w:pPr>
              <w:spacing w:after="0"/>
              <w:rPr>
                <w:sz w:val="20"/>
                <w:szCs w:val="20"/>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3380" w:type="dxa"/>
            <w:vAlign w:val="bottom"/>
          </w:tcPr>
          <w:p>
            <w:pPr>
              <w:spacing w:after="0"/>
              <w:rPr>
                <w:sz w:val="24"/>
                <w:szCs w:val="24"/>
                <w:color w:val="auto"/>
              </w:rPr>
            </w:pPr>
          </w:p>
        </w:tc>
        <w:tc>
          <w:tcPr>
            <w:tcW w:w="7680" w:type="dxa"/>
            <w:vAlign w:val="bottom"/>
            <w:gridSpan w:val="3"/>
          </w:tcPr>
          <w:p>
            <w:pPr>
              <w:ind w:left="1720"/>
              <w:spacing w:after="0"/>
              <w:rPr>
                <w:sz w:val="20"/>
                <w:szCs w:val="20"/>
                <w:color w:val="auto"/>
              </w:rPr>
            </w:pPr>
            <w:r>
              <w:rPr>
                <w:rFonts w:ascii="Arial" w:cs="Arial" w:eastAsia="Arial" w:hAnsi="Arial"/>
                <w:sz w:val="18"/>
                <w:szCs w:val="18"/>
                <w:color w:val="auto"/>
              </w:rPr>
              <w:t>MORGAN STANLEY</w:t>
            </w:r>
          </w:p>
        </w:tc>
      </w:tr>
      <w:tr>
        <w:trPr>
          <w:trHeight w:val="432"/>
        </w:trPr>
        <w:tc>
          <w:tcPr>
            <w:tcW w:w="3380" w:type="dxa"/>
            <w:vAlign w:val="bottom"/>
          </w:tcPr>
          <w:p>
            <w:pPr>
              <w:spacing w:after="0"/>
              <w:rPr>
                <w:sz w:val="24"/>
                <w:szCs w:val="24"/>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Christina Huffman</w:t>
            </w:r>
          </w:p>
        </w:tc>
      </w:tr>
      <w:tr>
        <w:trPr>
          <w:trHeight w:val="209"/>
        </w:trPr>
        <w:tc>
          <w:tcPr>
            <w:tcW w:w="3380" w:type="dxa"/>
            <w:vAlign w:val="bottom"/>
          </w:tcPr>
          <w:p>
            <w:pPr>
              <w:spacing w:after="0"/>
              <w:rPr>
                <w:sz w:val="18"/>
                <w:szCs w:val="18"/>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w w:val="94"/>
              </w:rPr>
              <w:t>Name:</w:t>
            </w:r>
          </w:p>
        </w:tc>
        <w:tc>
          <w:tcPr>
            <w:tcW w:w="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Christina Huffman</w:t>
            </w:r>
          </w:p>
        </w:tc>
      </w:tr>
      <w:tr>
        <w:trPr>
          <w:trHeight w:val="230"/>
        </w:trPr>
        <w:tc>
          <w:tcPr>
            <w:tcW w:w="3380" w:type="dxa"/>
            <w:vAlign w:val="bottom"/>
          </w:tcPr>
          <w:p>
            <w:pPr>
              <w:spacing w:after="0"/>
              <w:rPr>
                <w:sz w:val="20"/>
                <w:szCs w:val="20"/>
                <w:color w:val="auto"/>
              </w:rPr>
            </w:pPr>
          </w:p>
        </w:tc>
        <w:tc>
          <w:tcPr>
            <w:tcW w:w="2240" w:type="dxa"/>
            <w:vAlign w:val="bottom"/>
          </w:tcPr>
          <w:p>
            <w:pPr>
              <w:ind w:left="172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1420"/>
          </w:cols>
          <w:pgMar w:left="240" w:top="12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 INFORMATION</w:t>
      </w:r>
    </w:p>
    <w:p>
      <w:pPr>
        <w:spacing w:after="0" w:line="229"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The securities being reported on by Morgan Stanley as a parent holding company are owned, or may be deemed to be beneficially owned, by MSSB TPG Specialty Lending Onshore Feeder Fund (the “Trust”). Morgan Stanley is the indirect majority owner of Morgan Stanley GWM Feeder Strategies, the managing owner of the Trust.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bullet"/>
      <w:start w:val="1"/>
    </w:lvl>
  </w:abstractNum>
  <w:abstractNum w:abstractNumId="4">
    <w:nsid w:val="436C6125"/>
    <w:multiLevelType w:val="hybridMultilevel"/>
    <w:lvl w:ilvl="0">
      <w:lvlJc w:val="left"/>
      <w:lvlText w:val="2"/>
      <w:numFmt w:val="bullet"/>
      <w:start w:val="1"/>
    </w:lvl>
  </w:abstractNum>
  <w:abstractNum w:abstractNumId="5">
    <w:nsid w:val="628C895D"/>
    <w:multiLevelType w:val="hybridMultilevel"/>
    <w:lvl w:ilvl="0">
      <w:lvlJc w:val="left"/>
      <w:lvlText w:val="3"/>
      <w:numFmt w:val="bullet"/>
      <w:start w:val="1"/>
    </w:lvl>
  </w:abstractNum>
  <w:abstractNum w:abstractNumId="6">
    <w:nsid w:val="333AB105"/>
    <w:multiLevelType w:val="hybridMultilevel"/>
    <w:lvl w:ilvl="0">
      <w:lvlJc w:val="left"/>
      <w:lvlText w:val="4"/>
      <w:numFmt w:val="bullet"/>
      <w:start w:val="1"/>
    </w:lvl>
  </w:abstractNum>
  <w:abstractNum w:abstractNumId="7">
    <w:nsid w:val="721DA317"/>
    <w:multiLevelType w:val="hybridMultilevel"/>
    <w:lvl w:ilvl="0">
      <w:lvlJc w:val="left"/>
      <w:lvlText w:val="9"/>
      <w:numFmt w:val="bullet"/>
      <w:start w:val="1"/>
    </w:lvl>
  </w:abstractNum>
  <w:abstractNum w:abstractNumId="8">
    <w:nsid w:val="2443A858"/>
    <w:multiLevelType w:val="hybridMultilevel"/>
    <w:lvl w:ilvl="0">
      <w:lvlJc w:val="left"/>
      <w:lvlText w:val="%1"/>
      <w:numFmt w:val="decimal"/>
      <w:start w:val="10"/>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bullet"/>
      <w:start w:val="1"/>
    </w:lvl>
  </w:abstractNum>
  <w:abstractNum w:abstractNumId="11">
    <w:nsid w:val="75A2A8D4"/>
    <w:multiLevelType w:val="hybridMultilevel"/>
    <w:lvl w:ilvl="0">
      <w:lvlJc w:val="left"/>
      <w:lvlText w:val="2"/>
      <w:numFmt w:val="bullet"/>
      <w:start w:val="1"/>
    </w:lvl>
  </w:abstractNum>
  <w:abstractNum w:abstractNumId="12">
    <w:nsid w:val="8EDBDAB"/>
    <w:multiLevelType w:val="hybridMultilevel"/>
    <w:lvl w:ilvl="0">
      <w:lvlJc w:val="left"/>
      <w:lvlText w:val="3"/>
      <w:numFmt w:val="bullet"/>
      <w:start w:val="1"/>
    </w:lvl>
  </w:abstractNum>
  <w:abstractNum w:abstractNumId="13">
    <w:nsid w:val="79838CB2"/>
    <w:multiLevelType w:val="hybridMultilevel"/>
    <w:lvl w:ilvl="0">
      <w:lvlJc w:val="left"/>
      <w:lvlText w:val="4"/>
      <w:numFmt w:val="bullet"/>
      <w:start w:val="1"/>
    </w:lvl>
  </w:abstractNum>
  <w:abstractNum w:abstractNumId="14">
    <w:nsid w:val="4353D0CD"/>
    <w:multiLevelType w:val="hybridMultilevel"/>
    <w:lvl w:ilvl="0">
      <w:lvlJc w:val="left"/>
      <w:lvlText w:val="9"/>
      <w:numFmt w:val="bullet"/>
      <w:start w:val="1"/>
    </w:lvl>
  </w:abstractNum>
  <w:abstractNum w:abstractNumId="15">
    <w:nsid w:val="B03E0C6"/>
    <w:multiLevelType w:val="hybridMultilevel"/>
    <w:lvl w:ilvl="0">
      <w:lvlJc w:val="left"/>
      <w:lvlText w:val="%1"/>
      <w:numFmt w:val="decimal"/>
      <w:start w:val="10"/>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bullet"/>
      <w:start w:val="1"/>
    </w:lvl>
  </w:abstractNum>
  <w:abstractNum w:abstractNumId="18">
    <w:nsid w:val="71F32454"/>
    <w:multiLevelType w:val="hybridMultilevel"/>
    <w:lvl w:ilvl="0">
      <w:lvlJc w:val="left"/>
      <w:lvlText w:val="2"/>
      <w:numFmt w:val="bullet"/>
      <w:start w:val="1"/>
    </w:lvl>
  </w:abstractNum>
  <w:abstractNum w:abstractNumId="19">
    <w:nsid w:val="2CA88611"/>
    <w:multiLevelType w:val="hybridMultilevel"/>
    <w:lvl w:ilvl="0">
      <w:lvlJc w:val="left"/>
      <w:lvlText w:val="3"/>
      <w:numFmt w:val="bullet"/>
      <w:start w:val="1"/>
    </w:lvl>
  </w:abstractNum>
  <w:abstractNum w:abstractNumId="20">
    <w:nsid w:val="836C40E"/>
    <w:multiLevelType w:val="hybridMultilevel"/>
    <w:lvl w:ilvl="0">
      <w:lvlJc w:val="left"/>
      <w:lvlText w:val="4"/>
      <w:numFmt w:val="bullet"/>
      <w:start w:val="1"/>
    </w:lvl>
  </w:abstractNum>
  <w:abstractNum w:abstractNumId="21">
    <w:nsid w:val="2901D82"/>
    <w:multiLevelType w:val="hybridMultilevel"/>
    <w:lvl w:ilvl="0">
      <w:lvlJc w:val="left"/>
      <w:lvlText w:val="9"/>
      <w:numFmt w:val="bullet"/>
      <w:start w:val="1"/>
    </w:lvl>
  </w:abstractNum>
  <w:abstractNum w:abstractNumId="22">
    <w:nsid w:val="3A95F874"/>
    <w:multiLevelType w:val="hybridMultilevel"/>
    <w:lvl w:ilvl="0">
      <w:lvlJc w:val="left"/>
      <w:lvlText w:val="%1"/>
      <w:numFmt w:val="decimal"/>
      <w:start w:val="10"/>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bullet"/>
      <w:start w:val="1"/>
    </w:lvl>
  </w:abstractNum>
  <w:abstractNum w:abstractNumId="25">
    <w:nsid w:val="7C3DBD3D"/>
    <w:multiLevelType w:val="hybridMultilevel"/>
    <w:lvl w:ilvl="0">
      <w:lvlJc w:val="left"/>
      <w:lvlText w:val="2"/>
      <w:numFmt w:val="bullet"/>
      <w:start w:val="1"/>
    </w:lvl>
  </w:abstractNum>
  <w:abstractNum w:abstractNumId="26">
    <w:nsid w:val="737B8DDC"/>
    <w:multiLevelType w:val="hybridMultilevel"/>
    <w:lvl w:ilvl="0">
      <w:lvlJc w:val="left"/>
      <w:lvlText w:val="3"/>
      <w:numFmt w:val="bullet"/>
      <w:start w:val="1"/>
    </w:lvl>
  </w:abstractNum>
  <w:abstractNum w:abstractNumId="27">
    <w:nsid w:val="6CEAF087"/>
    <w:multiLevelType w:val="hybridMultilevel"/>
    <w:lvl w:ilvl="0">
      <w:lvlJc w:val="left"/>
      <w:lvlText w:val="4"/>
      <w:numFmt w:val="bullet"/>
      <w:start w:val="1"/>
    </w:lvl>
  </w:abstractNum>
  <w:abstractNum w:abstractNumId="28">
    <w:nsid w:val="22221A70"/>
    <w:multiLevelType w:val="hybridMultilevel"/>
    <w:lvl w:ilvl="0">
      <w:lvlJc w:val="left"/>
      <w:lvlText w:val="9"/>
      <w:numFmt w:val="bullet"/>
      <w:start w:val="1"/>
    </w:lvl>
  </w:abstractNum>
  <w:abstractNum w:abstractNumId="29">
    <w:nsid w:val="4516DDE9"/>
    <w:multiLevelType w:val="hybridMultilevel"/>
    <w:lvl w:ilvl="0">
      <w:lvlJc w:val="left"/>
      <w:lvlText w:val="%1"/>
      <w:numFmt w:val="decimal"/>
      <w:start w:val="10"/>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2"/>
    </w:lvl>
  </w:abstractNum>
  <w:abstractNum w:abstractNumId="33">
    <w:nsid w:val="5577F8E1"/>
    <w:multiLevelType w:val="hybridMultilevel"/>
    <w:lvl w:ilvl="0">
      <w:lvlJc w:val="left"/>
      <w:lvlText w:val="(%1)"/>
      <w:numFmt w:val="lowerLetter"/>
      <w:start w:val="3"/>
    </w:lvl>
    <w:lvl w:ilvl="1">
      <w:lvlJc w:val="left"/>
      <w:lvlText w:val="(%2)"/>
      <w:numFmt w:val="lowerRoman"/>
      <w:start w:val="1"/>
    </w:lvl>
  </w:abstractNum>
  <w:abstractNum w:abstractNumId="34">
    <w:nsid w:val="440BADFC"/>
    <w:multiLevelType w:val="hybridMultilevel"/>
    <w:lvl w:ilvl="0">
      <w:lvlJc w:val="left"/>
      <w:lvlText w:val="*"/>
      <w:numFmt w:val="bullet"/>
      <w:start w:val="1"/>
    </w:lvl>
    <w:lvl w:ilvl="1">
      <w:lvlJc w:val="left"/>
      <w:lvlText w:val="(%2)"/>
      <w:numFmt w:val="lowerRoman"/>
      <w:start w:val="3"/>
    </w:lvl>
  </w:abstractNum>
  <w:abstractNum w:abstractNumId="35">
    <w:nsid w:val="507236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2019-12-07T23:48:59Z</dcterms:created>
  <dcterms:modified xsi:type="dcterms:W3CDTF">2019-12-07T23:48:59Z</dcterms:modified>
</cp:coreProperties>
</file>