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9"/>
        <w:spacing w:after="0"/>
        <w:rPr>
          <w:sz w:val="20"/>
          <w:szCs w:val="20"/>
          <w:color w:val="auto"/>
        </w:rPr>
      </w:pPr>
      <w:r>
        <w:rPr>
          <w:rFonts w:ascii="Arial" w:cs="Arial" w:eastAsia="Arial" w:hAnsi="Arial"/>
          <w:sz w:val="22"/>
          <w:szCs w:val="22"/>
          <w:b w:val="1"/>
          <w:bCs w:val="1"/>
          <w:color w:val="auto"/>
        </w:rPr>
        <w:t>UNITED STATES</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199"/>
        <w:spacing w:after="0"/>
        <w:rPr>
          <w:sz w:val="20"/>
          <w:szCs w:val="20"/>
          <w:color w:val="auto"/>
        </w:rPr>
      </w:pPr>
      <w:r>
        <w:rPr>
          <w:rFonts w:ascii="Arial" w:cs="Arial" w:eastAsia="Arial" w:hAnsi="Arial"/>
          <w:sz w:val="18"/>
          <w:szCs w:val="18"/>
          <w:b w:val="1"/>
          <w:bCs w:val="1"/>
          <w:color w:val="auto"/>
        </w:rPr>
        <w:t>Washington, D.C. 20549</w:t>
      </w:r>
    </w:p>
    <w:p>
      <w:pPr>
        <w:spacing w:after="0" w:line="129" w:lineRule="exact"/>
        <w:rPr>
          <w:sz w:val="24"/>
          <w:szCs w:val="24"/>
          <w:color w:val="auto"/>
        </w:rPr>
      </w:pPr>
    </w:p>
    <w:p>
      <w:pPr>
        <w:jc w:val="center"/>
        <w:ind w:right="-199"/>
        <w:spacing w:after="0"/>
        <w:rPr>
          <w:sz w:val="20"/>
          <w:szCs w:val="20"/>
          <w:color w:val="auto"/>
        </w:rPr>
      </w:pPr>
      <w:r>
        <w:rPr>
          <w:rFonts w:ascii="Arial" w:cs="Arial" w:eastAsia="Arial" w:hAnsi="Arial"/>
          <w:sz w:val="22"/>
          <w:szCs w:val="22"/>
          <w:b w:val="1"/>
          <w:bCs w:val="1"/>
          <w:color w:val="auto"/>
        </w:rPr>
        <w:t>SCHEDULE 14A</w:t>
      </w:r>
    </w:p>
    <w:p>
      <w:pPr>
        <w:spacing w:after="0" w:line="19" w:lineRule="exact"/>
        <w:rPr>
          <w:sz w:val="24"/>
          <w:szCs w:val="24"/>
          <w:color w:val="auto"/>
        </w:rPr>
      </w:pPr>
    </w:p>
    <w:p>
      <w:pPr>
        <w:ind w:left="5080"/>
        <w:spacing w:after="0"/>
        <w:rPr>
          <w:sz w:val="20"/>
          <w:szCs w:val="20"/>
          <w:color w:val="auto"/>
        </w:rPr>
      </w:pPr>
      <w:r>
        <w:rPr>
          <w:rFonts w:ascii="Arial" w:cs="Arial" w:eastAsia="Arial" w:hAnsi="Arial"/>
          <w:sz w:val="18"/>
          <w:szCs w:val="18"/>
          <w:b w:val="1"/>
          <w:bCs w:val="1"/>
          <w:color w:val="auto"/>
        </w:rPr>
        <w:t>(RULE 14a-101)</w:t>
      </w:r>
    </w:p>
    <w:p>
      <w:pPr>
        <w:spacing w:after="0" w:line="124" w:lineRule="exact"/>
        <w:rPr>
          <w:sz w:val="24"/>
          <w:szCs w:val="24"/>
          <w:color w:val="auto"/>
        </w:rPr>
      </w:pPr>
    </w:p>
    <w:p>
      <w:pPr>
        <w:ind w:left="3500"/>
        <w:spacing w:after="0"/>
        <w:rPr>
          <w:sz w:val="20"/>
          <w:szCs w:val="20"/>
          <w:color w:val="auto"/>
        </w:rPr>
      </w:pPr>
      <w:r>
        <w:rPr>
          <w:rFonts w:ascii="Arial" w:cs="Arial" w:eastAsia="Arial" w:hAnsi="Arial"/>
          <w:sz w:val="18"/>
          <w:szCs w:val="18"/>
          <w:b w:val="1"/>
          <w:bCs w:val="1"/>
          <w:color w:val="auto"/>
        </w:rPr>
        <w:t>INFORMATION REQUIRED IN PROXY STATEMENT</w:t>
      </w:r>
    </w:p>
    <w:p>
      <w:pPr>
        <w:spacing w:after="0" w:line="27" w:lineRule="exact"/>
        <w:rPr>
          <w:sz w:val="24"/>
          <w:szCs w:val="24"/>
          <w:color w:val="auto"/>
        </w:rPr>
      </w:pPr>
    </w:p>
    <w:p>
      <w:pPr>
        <w:ind w:left="4360"/>
        <w:spacing w:after="0"/>
        <w:rPr>
          <w:sz w:val="20"/>
          <w:szCs w:val="20"/>
          <w:color w:val="auto"/>
        </w:rPr>
      </w:pPr>
      <w:r>
        <w:rPr>
          <w:rFonts w:ascii="Arial" w:cs="Arial" w:eastAsia="Arial" w:hAnsi="Arial"/>
          <w:sz w:val="18"/>
          <w:szCs w:val="18"/>
          <w:b w:val="1"/>
          <w:bCs w:val="1"/>
          <w:color w:val="auto"/>
        </w:rPr>
        <w:t>SCHEDULE 14A INFORMATION</w:t>
      </w:r>
    </w:p>
    <w:p>
      <w:pPr>
        <w:spacing w:after="0" w:line="139" w:lineRule="exact"/>
        <w:rPr>
          <w:sz w:val="24"/>
          <w:szCs w:val="24"/>
          <w:color w:val="auto"/>
        </w:rPr>
      </w:pPr>
    </w:p>
    <w:p>
      <w:pPr>
        <w:ind w:left="3840"/>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Securities Exchange Act of 1934</w:t>
      </w:r>
    </w:p>
    <w:p>
      <w:pPr>
        <w:spacing w:after="0" w:line="138" w:lineRule="exact"/>
        <w:rPr>
          <w:sz w:val="24"/>
          <w:szCs w:val="24"/>
          <w:color w:val="auto"/>
        </w:rPr>
      </w:pPr>
    </w:p>
    <w:p>
      <w:pPr>
        <w:spacing w:after="0" w:line="207" w:lineRule="exact"/>
        <w:tabs>
          <w:tab w:leader="none" w:pos="1900" w:val="left"/>
        </w:tabs>
        <w:rPr>
          <w:sz w:val="20"/>
          <w:szCs w:val="20"/>
          <w:color w:val="auto"/>
        </w:rPr>
      </w:pPr>
      <w:r>
        <w:rPr>
          <w:rFonts w:ascii="Arial" w:cs="Arial" w:eastAsia="Arial" w:hAnsi="Arial"/>
          <w:sz w:val="18"/>
          <w:szCs w:val="18"/>
          <w:color w:val="auto"/>
        </w:rPr>
        <w:t>Filed by the Registrant</w:t>
      </w:r>
      <w:r>
        <w:rPr>
          <w:sz w:val="20"/>
          <w:szCs w:val="20"/>
          <w:color w:val="auto"/>
        </w:rPr>
        <w:tab/>
      </w:r>
      <w:r>
        <w:rPr>
          <w:rFonts w:ascii="MS PGothic" w:cs="MS PGothic" w:eastAsia="MS PGothic" w:hAnsi="MS PGothic"/>
          <w:sz w:val="16"/>
          <w:szCs w:val="16"/>
          <w:color w:val="auto"/>
        </w:rPr>
        <w:t>☒</w:t>
      </w:r>
    </w:p>
    <w:p>
      <w:pPr>
        <w:spacing w:after="0" w:line="51"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Filed by a Party other than the Registrant</w:t>
      </w:r>
      <w:r>
        <w:rPr>
          <w:rFonts w:ascii="MS PGothic" w:cs="MS PGothic" w:eastAsia="MS PGothic" w:hAnsi="MS PGothic"/>
          <w:sz w:val="18"/>
          <w:szCs w:val="18"/>
          <w:color w:val="auto"/>
        </w:rPr>
        <w:t>☐</w:t>
      </w:r>
    </w:p>
    <w:p>
      <w:pPr>
        <w:spacing w:after="0" w:line="189"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185"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 w:lineRule="exact"/>
        <w:rPr>
          <w:sz w:val="24"/>
          <w:szCs w:val="24"/>
          <w:color w:val="auto"/>
        </w:rPr>
      </w:pPr>
    </w:p>
    <w:p>
      <w:pPr>
        <w:ind w:left="220" w:hanging="212"/>
        <w:spacing w:after="0"/>
        <w:tabs>
          <w:tab w:leader="none" w:pos="22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 w:lineRule="exact"/>
        <w:rPr>
          <w:sz w:val="24"/>
          <w:szCs w:val="24"/>
          <w:color w:val="auto"/>
        </w:rPr>
      </w:pPr>
    </w:p>
    <w:p>
      <w:pPr>
        <w:ind w:left="220" w:hanging="212"/>
        <w:spacing w:after="0"/>
        <w:tabs>
          <w:tab w:leader="none" w:pos="22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2" w:lineRule="exact"/>
        <w:rPr>
          <w:sz w:val="24"/>
          <w:szCs w:val="24"/>
          <w:color w:val="auto"/>
        </w:rPr>
      </w:pPr>
    </w:p>
    <w:p>
      <w:pPr>
        <w:jc w:val="center"/>
        <w:ind w:right="-199"/>
        <w:spacing w:after="0"/>
        <w:rPr>
          <w:sz w:val="20"/>
          <w:szCs w:val="20"/>
          <w:color w:val="auto"/>
        </w:rPr>
      </w:pPr>
      <w:r>
        <w:rPr>
          <w:rFonts w:ascii="Arial" w:cs="Arial" w:eastAsia="Arial" w:hAnsi="Arial"/>
          <w:sz w:val="18"/>
          <w:szCs w:val="18"/>
          <w:b w:val="1"/>
          <w:bCs w:val="1"/>
          <w:color w:val="auto"/>
        </w:rPr>
        <w:t>TPG Specialty Lending,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61"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43" w:lineRule="exact"/>
        <w:rPr>
          <w:sz w:val="24"/>
          <w:szCs w:val="24"/>
          <w:color w:val="auto"/>
        </w:rPr>
      </w:pPr>
    </w:p>
    <w:p>
      <w:pPr>
        <w:ind w:left="3120"/>
        <w:spacing w:after="0"/>
        <w:rPr>
          <w:sz w:val="20"/>
          <w:szCs w:val="20"/>
          <w:color w:val="auto"/>
        </w:rPr>
      </w:pPr>
      <w:r>
        <w:rPr>
          <w:rFonts w:ascii="Arial" w:cs="Arial" w:eastAsia="Arial" w:hAnsi="Arial"/>
          <w:sz w:val="18"/>
          <w:szCs w:val="18"/>
          <w:color w:val="auto"/>
        </w:rPr>
        <w:t>(Name of Person(s) Filing Proxy Statement, if other than the Registrant)</w:t>
      </w:r>
    </w:p>
    <w:p>
      <w:pPr>
        <w:spacing w:after="0" w:line="198" w:lineRule="exact"/>
        <w:rPr>
          <w:sz w:val="24"/>
          <w:szCs w:val="24"/>
          <w:color w:val="auto"/>
        </w:rPr>
      </w:pPr>
    </w:p>
    <w:p>
      <w:pPr>
        <w:ind w:left="100"/>
        <w:spacing w:after="0"/>
        <w:rPr>
          <w:sz w:val="20"/>
          <w:szCs w:val="20"/>
          <w:color w:val="auto"/>
        </w:rPr>
      </w:pPr>
      <w:r>
        <w:rPr>
          <w:rFonts w:ascii="Arial" w:cs="Arial" w:eastAsia="Arial" w:hAnsi="Arial"/>
          <w:sz w:val="18"/>
          <w:szCs w:val="18"/>
          <w:color w:val="auto"/>
        </w:rPr>
        <w:t>Payment of Filing Fee (Check the appropriate box):</w:t>
      </w:r>
    </w:p>
    <w:p>
      <w:pPr>
        <w:spacing w:after="0" w:line="158" w:lineRule="exact"/>
        <w:rPr>
          <w:sz w:val="24"/>
          <w:szCs w:val="24"/>
          <w:color w:val="auto"/>
        </w:rPr>
      </w:pPr>
    </w:p>
    <w:p>
      <w:pPr>
        <w:ind w:left="720" w:hanging="622"/>
        <w:spacing w:after="0"/>
        <w:tabs>
          <w:tab w:leader="none" w:pos="72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144" w:lineRule="exact"/>
        <w:rPr>
          <w:sz w:val="24"/>
          <w:szCs w:val="24"/>
          <w:color w:val="auto"/>
        </w:rPr>
      </w:pPr>
    </w:p>
    <w:p>
      <w:pPr>
        <w:ind w:left="720" w:hanging="622"/>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333" w:lineRule="exact"/>
        <w:rPr>
          <w:rFonts w:ascii="MS PGothic" w:cs="MS PGothic" w:eastAsia="MS PGothic" w:hAnsi="MS PGothic"/>
          <w:sz w:val="18"/>
          <w:szCs w:val="18"/>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60" w:right="2780" w:hanging="450"/>
        <w:spacing w:after="0" w:line="308" w:lineRule="auto"/>
        <w:tabs>
          <w:tab w:leader="none" w:pos="1160" w:val="left"/>
        </w:tabs>
        <w:numPr>
          <w:ilvl w:val="1"/>
          <w:numId w:val="5"/>
        </w:numPr>
        <w:rPr>
          <w:rFonts w:ascii="Arial" w:cs="Arial" w:eastAsia="Arial" w:hAnsi="Arial"/>
          <w:sz w:val="17"/>
          <w:szCs w:val="17"/>
          <w:color w:val="auto"/>
        </w:rPr>
      </w:pPr>
      <w:r>
        <w:rPr>
          <w:rFonts w:ascii="Arial" w:cs="Arial" w:eastAsia="Arial" w:hAnsi="Arial"/>
          <w:sz w:val="17"/>
          <w:szCs w:val="17"/>
          <w:color w:val="auto"/>
        </w:rPr>
        <w:t>Per unit price or other underlying value of transaction computed pursuant to Exchange Act Rule 0-11 (set forth the amount on which the filing fee is calculated and state how it was determined):</w:t>
      </w:r>
    </w:p>
    <w:p>
      <w:pPr>
        <w:spacing w:after="0" w:line="335" w:lineRule="exact"/>
        <w:rPr>
          <w:rFonts w:ascii="Arial" w:cs="Arial" w:eastAsia="Arial" w:hAnsi="Arial"/>
          <w:sz w:val="17"/>
          <w:szCs w:val="17"/>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720" w:hanging="622"/>
        <w:spacing w:after="0"/>
        <w:tabs>
          <w:tab w:leader="none" w:pos="72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00" w:lineRule="exact"/>
        <w:rPr>
          <w:rFonts w:ascii="MS PGothic" w:cs="MS PGothic" w:eastAsia="MS PGothic" w:hAnsi="MS PGothic"/>
          <w:sz w:val="18"/>
          <w:szCs w:val="18"/>
          <w:color w:val="auto"/>
        </w:rPr>
      </w:pPr>
    </w:p>
    <w:p>
      <w:pPr>
        <w:spacing w:after="0" w:line="376" w:lineRule="exact"/>
        <w:rPr>
          <w:rFonts w:ascii="MS PGothic" w:cs="MS PGothic" w:eastAsia="MS PGothic" w:hAnsi="MS PGothic"/>
          <w:sz w:val="18"/>
          <w:szCs w:val="18"/>
          <w:color w:val="auto"/>
        </w:rPr>
      </w:pPr>
    </w:p>
    <w:p>
      <w:pPr>
        <w:ind w:left="720" w:hanging="622"/>
        <w:spacing w:after="0" w:line="308" w:lineRule="auto"/>
        <w:tabs>
          <w:tab w:leader="none" w:pos="720" w:val="left"/>
        </w:tabs>
        <w:numPr>
          <w:ilvl w:val="0"/>
          <w:numId w:val="5"/>
        </w:numPr>
        <w:rPr>
          <w:rFonts w:ascii="MS PGothic" w:cs="MS PGothic" w:eastAsia="MS PGothic" w:hAnsi="MS PGothic"/>
          <w:sz w:val="17"/>
          <w:szCs w:val="17"/>
          <w:color w:val="auto"/>
        </w:rPr>
      </w:pPr>
      <w:r>
        <w:rPr>
          <w:rFonts w:ascii="Arial" w:cs="Arial" w:eastAsia="Arial" w:hAnsi="Arial"/>
          <w:sz w:val="17"/>
          <w:szCs w:val="17"/>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119" w:lineRule="exact"/>
        <w:rPr>
          <w:rFonts w:ascii="MS PGothic" w:cs="MS PGothic" w:eastAsia="MS PGothic" w:hAnsi="MS PGothic"/>
          <w:sz w:val="17"/>
          <w:szCs w:val="17"/>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1160" w:hanging="450"/>
        <w:spacing w:after="0"/>
        <w:tabs>
          <w:tab w:leader="none" w:pos="1160" w:val="left"/>
        </w:tabs>
        <w:numPr>
          <w:ilvl w:val="1"/>
          <w:numId w:val="5"/>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-130175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-524510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-919480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-2205355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-2600325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-2994660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-3526155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-3920490</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220"/>
          </w:cols>
          <w:pgMar w:left="240" w:top="220" w:right="439" w:bottom="1440" w:gutter="0" w:footer="0" w:header="0"/>
        </w:sectPr>
      </w:pPr>
    </w:p>
    <w:bookmarkStart w:id="1" w:name="page2"/>
    <w:bookmarkEnd w:id="1"/>
    <w:p>
      <w:pPr>
        <w:jc w:val="center"/>
        <w:ind w:right="-19"/>
        <w:spacing w:after="0"/>
        <w:rPr>
          <w:sz w:val="20"/>
          <w:szCs w:val="20"/>
          <w:color w:val="auto"/>
        </w:rPr>
      </w:pPr>
      <w:r>
        <w:rPr>
          <w:rFonts w:ascii="Arial" w:cs="Arial" w:eastAsia="Arial" w:hAnsi="Arial"/>
          <w:sz w:val="31"/>
          <w:szCs w:val="31"/>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 Exercise Your </w:t>
      </w:r>
      <w:r>
        <w:rPr>
          <w:rFonts w:ascii="Arial" w:cs="Arial" w:eastAsia="Arial" w:hAnsi="Arial"/>
          <w:sz w:val="31"/>
          <w:szCs w:val="31"/>
          <w:b w:val="1"/>
          <w:bCs w:val="1"/>
          <w:i w:val="1"/>
          <w:iCs w:val="1"/>
          <w:color w:val="auto"/>
        </w:rPr>
        <w:t>Right</w:t>
      </w:r>
      <w:r>
        <w:rPr>
          <w:rFonts w:ascii="Arial" w:cs="Arial" w:eastAsia="Arial" w:hAnsi="Arial"/>
          <w:sz w:val="31"/>
          <w:szCs w:val="31"/>
          <w:b w:val="1"/>
          <w:bCs w:val="1"/>
          <w:color w:val="auto"/>
        </w:rPr>
        <w:t xml:space="preserve"> to Vote ***</w:t>
      </w:r>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Important Notice Regarding the Availability of Proxy Materials for the</w:t>
      </w:r>
    </w:p>
    <w:p>
      <w:pPr>
        <w:spacing w:after="0" w:line="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Stockholder Meeting to Be Held on May 17,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109220</wp:posOffset>
            </wp:positionV>
            <wp:extent cx="3336290" cy="16205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336290" cy="1620520"/>
                    </a:xfrm>
                    <a:prstGeom prst="rect">
                      <a:avLst/>
                    </a:prstGeom>
                    <a:noFill/>
                  </pic:spPr>
                </pic:pic>
              </a:graphicData>
            </a:graphic>
          </wp:anchor>
        </w:drawing>
      </w:r>
    </w:p>
    <w:p>
      <w:pPr>
        <w:sectPr>
          <w:pgSz w:w="11900" w:h="16838" w:orient="portrait"/>
          <w:cols w:equalWidth="0" w:num="1">
            <w:col w:w="10700"/>
          </w:cols>
          <w:pgMar w:left="600" w:top="251" w:right="59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right"/>
        <w:ind w:right="940"/>
        <w:spacing w:after="0"/>
        <w:rPr>
          <w:sz w:val="20"/>
          <w:szCs w:val="20"/>
          <w:color w:val="auto"/>
        </w:rPr>
      </w:pPr>
      <w:r>
        <w:rPr>
          <w:rFonts w:ascii="Arial" w:cs="Arial" w:eastAsia="Arial" w:hAnsi="Arial"/>
          <w:sz w:val="22"/>
          <w:szCs w:val="22"/>
          <w:b w:val="1"/>
          <w:bCs w:val="1"/>
          <w:i w:val="1"/>
          <w:iCs w:val="1"/>
          <w:color w:val="auto"/>
        </w:rPr>
        <w:t>TPG SPECIALTY LENDING,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563245</wp:posOffset>
            </wp:positionV>
            <wp:extent cx="1663700" cy="7289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7289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Arial" w:cs="Arial" w:eastAsia="Arial" w:hAnsi="Arial"/>
          <w:sz w:val="9"/>
          <w:szCs w:val="9"/>
          <w:i w:val="1"/>
          <w:iCs w:val="1"/>
          <w:color w:val="auto"/>
        </w:rPr>
        <w:t>TPG SPECIALTY LENDING, INC.</w:t>
      </w:r>
    </w:p>
    <w:p>
      <w:pPr>
        <w:spacing w:after="0" w:line="219" w:lineRule="auto"/>
        <w:rPr>
          <w:sz w:val="20"/>
          <w:szCs w:val="20"/>
          <w:color w:val="auto"/>
        </w:rPr>
      </w:pPr>
      <w:r>
        <w:rPr>
          <w:rFonts w:ascii="Arial" w:cs="Arial" w:eastAsia="Arial" w:hAnsi="Arial"/>
          <w:sz w:val="9"/>
          <w:szCs w:val="9"/>
          <w:i w:val="1"/>
          <w:iCs w:val="1"/>
          <w:color w:val="auto"/>
        </w:rPr>
        <w:t>301 COMMERCE ST, STE 3300</w:t>
      </w:r>
    </w:p>
    <w:p>
      <w:pPr>
        <w:spacing w:after="0"/>
        <w:rPr>
          <w:sz w:val="20"/>
          <w:szCs w:val="20"/>
          <w:color w:val="auto"/>
        </w:rPr>
      </w:pPr>
      <w:r>
        <w:rPr>
          <w:rFonts w:ascii="Arial" w:cs="Arial" w:eastAsia="Arial" w:hAnsi="Arial"/>
          <w:sz w:val="9"/>
          <w:szCs w:val="9"/>
          <w:i w:val="1"/>
          <w:iCs w:val="1"/>
          <w:color w:val="auto"/>
        </w:rPr>
        <w:t>FORT WORTH, TX 76102-4133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946150</wp:posOffset>
            </wp:positionV>
            <wp:extent cx="85725" cy="8578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85725" cy="8578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ind w:left="1720"/>
        <w:spacing w:after="0"/>
        <w:rPr>
          <w:sz w:val="20"/>
          <w:szCs w:val="20"/>
          <w:color w:val="auto"/>
        </w:rPr>
      </w:pPr>
      <w:r>
        <w:rPr>
          <w:rFonts w:ascii="Arial" w:cs="Arial" w:eastAsia="Arial" w:hAnsi="Arial"/>
          <w:sz w:val="20"/>
          <w:szCs w:val="20"/>
          <w:b w:val="1"/>
          <w:bCs w:val="1"/>
          <w:u w:val="single" w:color="auto"/>
          <w:color w:val="auto"/>
        </w:rPr>
        <w:t>Meeting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-133350</wp:posOffset>
            </wp:positionH>
            <wp:positionV relativeFrom="paragraph">
              <wp:posOffset>-33655</wp:posOffset>
            </wp:positionV>
            <wp:extent cx="128905" cy="14751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475105"/>
                    </a:xfrm>
                    <a:prstGeom prst="rect">
                      <a:avLst/>
                    </a:prstGeom>
                    <a:noFill/>
                  </pic:spPr>
                </pic:pic>
              </a:graphicData>
            </a:graphic>
          </wp:anchor>
        </w:drawing>
      </w:r>
    </w:p>
    <w:p>
      <w:pPr>
        <w:spacing w:after="0" w:line="124"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Meeting Type: </w:t>
      </w:r>
      <w:r>
        <w:rPr>
          <w:rFonts w:ascii="Arial" w:cs="Arial" w:eastAsia="Arial" w:hAnsi="Arial"/>
          <w:sz w:val="16"/>
          <w:szCs w:val="16"/>
          <w:color w:val="auto"/>
        </w:rPr>
        <w:t>Annual Meeting</w:t>
      </w:r>
    </w:p>
    <w:p>
      <w:pPr>
        <w:spacing w:after="0" w:line="59" w:lineRule="exact"/>
        <w:rPr>
          <w:sz w:val="20"/>
          <w:szCs w:val="20"/>
          <w:color w:val="auto"/>
        </w:rPr>
      </w:pPr>
    </w:p>
    <w:p>
      <w:pPr>
        <w:ind w:left="160"/>
        <w:spacing w:after="0"/>
        <w:rPr>
          <w:sz w:val="20"/>
          <w:szCs w:val="20"/>
          <w:color w:val="auto"/>
        </w:rPr>
      </w:pPr>
      <w:r>
        <w:rPr>
          <w:rFonts w:ascii="Arial" w:cs="Arial" w:eastAsia="Arial" w:hAnsi="Arial"/>
          <w:sz w:val="16"/>
          <w:szCs w:val="16"/>
          <w:b w:val="1"/>
          <w:bCs w:val="1"/>
          <w:color w:val="auto"/>
        </w:rPr>
        <w:t xml:space="preserve">For holders as of: </w:t>
      </w:r>
      <w:r>
        <w:rPr>
          <w:rFonts w:ascii="Arial" w:cs="Arial" w:eastAsia="Arial" w:hAnsi="Arial"/>
          <w:sz w:val="16"/>
          <w:szCs w:val="16"/>
          <w:color w:val="auto"/>
        </w:rPr>
        <w:t>March 19, 2018</w:t>
      </w:r>
    </w:p>
    <w:p>
      <w:pPr>
        <w:spacing w:after="0" w:line="59" w:lineRule="exact"/>
        <w:rPr>
          <w:sz w:val="20"/>
          <w:szCs w:val="20"/>
          <w:color w:val="auto"/>
        </w:rPr>
      </w:pPr>
    </w:p>
    <w:p>
      <w:pPr>
        <w:ind w:left="160"/>
        <w:spacing w:after="0"/>
        <w:tabs>
          <w:tab w:leader="none" w:pos="2200" w:val="left"/>
        </w:tabs>
        <w:rPr>
          <w:sz w:val="20"/>
          <w:szCs w:val="20"/>
          <w:color w:val="auto"/>
        </w:rPr>
      </w:pPr>
      <w:r>
        <w:rPr>
          <w:rFonts w:ascii="Arial" w:cs="Arial" w:eastAsia="Arial" w:hAnsi="Arial"/>
          <w:sz w:val="16"/>
          <w:szCs w:val="16"/>
          <w:b w:val="1"/>
          <w:bCs w:val="1"/>
          <w:color w:val="auto"/>
        </w:rPr>
        <w:t xml:space="preserve">Date: </w:t>
      </w:r>
      <w:r>
        <w:rPr>
          <w:rFonts w:ascii="Arial" w:cs="Arial" w:eastAsia="Arial" w:hAnsi="Arial"/>
          <w:sz w:val="16"/>
          <w:szCs w:val="16"/>
          <w:color w:val="auto"/>
        </w:rPr>
        <w:t>May 17, 2018</w:t>
      </w:r>
      <w:r>
        <w:rPr>
          <w:sz w:val="20"/>
          <w:szCs w:val="20"/>
          <w:color w:val="auto"/>
        </w:rPr>
        <w:tab/>
      </w:r>
      <w:r>
        <w:rPr>
          <w:rFonts w:ascii="Arial" w:cs="Arial" w:eastAsia="Arial" w:hAnsi="Arial"/>
          <w:sz w:val="16"/>
          <w:szCs w:val="16"/>
          <w:b w:val="1"/>
          <w:bCs w:val="1"/>
          <w:color w:val="auto"/>
        </w:rPr>
        <w:t xml:space="preserve">Time: </w:t>
      </w:r>
      <w:r>
        <w:rPr>
          <w:rFonts w:ascii="Arial" w:cs="Arial" w:eastAsia="Arial" w:hAnsi="Arial"/>
          <w:sz w:val="16"/>
          <w:szCs w:val="16"/>
          <w:color w:val="auto"/>
        </w:rPr>
        <w:t>9:00 AM EDT</w:t>
      </w:r>
    </w:p>
    <w:p>
      <w:pPr>
        <w:spacing w:after="0" w:line="64" w:lineRule="exact"/>
        <w:rPr>
          <w:sz w:val="20"/>
          <w:szCs w:val="20"/>
          <w:color w:val="auto"/>
        </w:rPr>
      </w:pPr>
    </w:p>
    <w:p>
      <w:pPr>
        <w:jc w:val="center"/>
        <w:ind w:right="1900"/>
        <w:spacing w:after="0"/>
        <w:tabs>
          <w:tab w:leader="none" w:pos="140" w:val="left"/>
        </w:tabs>
        <w:rPr>
          <w:sz w:val="20"/>
          <w:szCs w:val="20"/>
          <w:color w:val="auto"/>
        </w:rPr>
      </w:pPr>
      <w:r>
        <w:rPr>
          <w:rFonts w:ascii="Arial" w:cs="Arial" w:eastAsia="Arial" w:hAnsi="Arial"/>
          <w:sz w:val="14"/>
          <w:szCs w:val="14"/>
          <w:b w:val="1"/>
          <w:bCs w:val="1"/>
          <w:color w:val="auto"/>
        </w:rPr>
        <w:t>Location:</w:t>
      </w:r>
      <w:r>
        <w:rPr>
          <w:sz w:val="20"/>
          <w:szCs w:val="20"/>
          <w:color w:val="auto"/>
        </w:rPr>
        <w:tab/>
      </w:r>
      <w:r>
        <w:rPr>
          <w:rFonts w:ascii="Arial" w:cs="Arial" w:eastAsia="Arial" w:hAnsi="Arial"/>
          <w:sz w:val="14"/>
          <w:szCs w:val="14"/>
          <w:color w:val="auto"/>
        </w:rPr>
        <w:t>TPG Specialty Lending, INC.</w:t>
      </w:r>
    </w:p>
    <w:p>
      <w:pPr>
        <w:spacing w:after="0" w:line="73" w:lineRule="exact"/>
        <w:rPr>
          <w:sz w:val="20"/>
          <w:szCs w:val="20"/>
          <w:color w:val="auto"/>
        </w:rPr>
      </w:pPr>
    </w:p>
    <w:p>
      <w:pPr>
        <w:ind w:left="960"/>
        <w:spacing w:after="0"/>
        <w:rPr>
          <w:sz w:val="20"/>
          <w:szCs w:val="20"/>
          <w:color w:val="auto"/>
        </w:rPr>
      </w:pPr>
      <w:r>
        <w:rPr>
          <w:rFonts w:ascii="Arial" w:cs="Arial" w:eastAsia="Arial" w:hAnsi="Arial"/>
          <w:sz w:val="14"/>
          <w:szCs w:val="14"/>
          <w:color w:val="auto"/>
        </w:rPr>
        <w:t>888 7th Avenue</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Floor 35</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New York, NY</w:t>
      </w:r>
    </w:p>
    <w:p>
      <w:pPr>
        <w:spacing w:after="0" w:line="55" w:lineRule="exact"/>
        <w:rPr>
          <w:sz w:val="20"/>
          <w:szCs w:val="20"/>
          <w:color w:val="auto"/>
        </w:rPr>
      </w:pPr>
    </w:p>
    <w:p>
      <w:pPr>
        <w:ind w:left="960"/>
        <w:spacing w:after="0"/>
        <w:rPr>
          <w:sz w:val="20"/>
          <w:szCs w:val="20"/>
          <w:color w:val="auto"/>
        </w:rPr>
      </w:pPr>
      <w:r>
        <w:rPr>
          <w:rFonts w:ascii="Arial" w:cs="Arial" w:eastAsia="Arial" w:hAnsi="Arial"/>
          <w:sz w:val="14"/>
          <w:szCs w:val="14"/>
          <w:color w:val="auto"/>
        </w:rPr>
        <w:t>10106</w:t>
      </w:r>
    </w:p>
    <w:p>
      <w:pPr>
        <w:spacing w:after="0" w:line="200" w:lineRule="exact"/>
        <w:rPr>
          <w:sz w:val="20"/>
          <w:szCs w:val="20"/>
          <w:color w:val="auto"/>
        </w:rPr>
      </w:pPr>
    </w:p>
    <w:p>
      <w:pPr>
        <w:spacing w:after="0" w:line="271"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You are receiving this communication because you hold shares in the above named company.</w:t>
      </w:r>
    </w:p>
    <w:p>
      <w:pPr>
        <w:spacing w:after="0" w:line="101" w:lineRule="exact"/>
        <w:rPr>
          <w:sz w:val="20"/>
          <w:szCs w:val="20"/>
          <w:color w:val="auto"/>
        </w:rPr>
      </w:pPr>
    </w:p>
    <w:p>
      <w:pPr>
        <w:jc w:val="both"/>
        <w:spacing w:after="0" w:line="250" w:lineRule="auto"/>
        <w:rPr>
          <w:sz w:val="20"/>
          <w:szCs w:val="20"/>
          <w:color w:val="auto"/>
        </w:rPr>
      </w:pPr>
      <w:r>
        <w:rPr>
          <w:rFonts w:ascii="Arial" w:cs="Arial" w:eastAsia="Arial" w:hAnsi="Arial"/>
          <w:sz w:val="16"/>
          <w:szCs w:val="16"/>
          <w:color w:val="auto"/>
        </w:rPr>
        <w:t xml:space="preserve">This is not a ballot. You cannot use this notice to vote these shares. This communication presents only an overview of the more complete proxy materials that are available to you on the Internet. You may view the proxy materials online at </w:t>
      </w:r>
      <w:r>
        <w:rPr>
          <w:rFonts w:ascii="Arial" w:cs="Arial" w:eastAsia="Arial" w:hAnsi="Arial"/>
          <w:sz w:val="16"/>
          <w:szCs w:val="16"/>
          <w:i w:val="1"/>
          <w:iCs w:val="1"/>
          <w:color w:val="auto"/>
        </w:rPr>
        <w:t>www.proxyvote.com</w:t>
      </w:r>
      <w:r>
        <w:rPr>
          <w:rFonts w:ascii="Arial" w:cs="Arial" w:eastAsia="Arial" w:hAnsi="Arial"/>
          <w:sz w:val="16"/>
          <w:szCs w:val="16"/>
          <w:color w:val="auto"/>
        </w:rPr>
        <w:t xml:space="preserve"> or easily request a paper copy (see reverse side).</w:t>
      </w:r>
    </w:p>
    <w:p>
      <w:pPr>
        <w:spacing w:after="0" w:line="109" w:lineRule="exact"/>
        <w:rPr>
          <w:sz w:val="20"/>
          <w:szCs w:val="20"/>
          <w:color w:val="auto"/>
        </w:rPr>
      </w:pPr>
    </w:p>
    <w:p>
      <w:pPr>
        <w:jc w:val="both"/>
        <w:spacing w:after="0" w:line="260" w:lineRule="auto"/>
        <w:rPr>
          <w:sz w:val="20"/>
          <w:szCs w:val="20"/>
          <w:color w:val="auto"/>
        </w:rPr>
      </w:pPr>
      <w:r>
        <w:rPr>
          <w:rFonts w:ascii="Arial" w:cs="Arial" w:eastAsia="Arial" w:hAnsi="Arial"/>
          <w:sz w:val="16"/>
          <w:szCs w:val="16"/>
          <w:color w:val="auto"/>
        </w:rPr>
        <w:t>We encourage you to access and review all of the important information contained in the proxy materials before voting.</w:t>
      </w:r>
    </w:p>
    <w:p>
      <w:pPr>
        <w:spacing w:after="0" w:line="99" w:lineRule="exact"/>
        <w:rPr>
          <w:sz w:val="20"/>
          <w:szCs w:val="20"/>
          <w:color w:val="auto"/>
        </w:rPr>
      </w:pPr>
    </w:p>
    <w:p>
      <w:pPr>
        <w:sectPr>
          <w:pgSz w:w="11900" w:h="16838" w:orient="portrait"/>
          <w:cols w:equalWidth="0" w:num="2">
            <w:col w:w="4960" w:space="720"/>
            <w:col w:w="5020"/>
          </w:cols>
          <w:pgMar w:left="600" w:top="251" w:right="599" w:bottom="1440" w:gutter="0" w:footer="0" w:header="0"/>
          <w:type w:val="continuous"/>
        </w:sectPr>
      </w:pPr>
    </w:p>
    <w:p>
      <w:pPr>
        <w:ind w:left="5860"/>
        <w:spacing w:after="0"/>
        <w:rPr>
          <w:sz w:val="20"/>
          <w:szCs w:val="20"/>
          <w:color w:val="auto"/>
        </w:rPr>
      </w:pPr>
      <w:r>
        <w:rPr>
          <w:rFonts w:ascii="Arial" w:cs="Arial" w:eastAsia="Arial" w:hAnsi="Arial"/>
          <w:sz w:val="19"/>
          <w:szCs w:val="19"/>
          <w:b w:val="1"/>
          <w:bCs w:val="1"/>
          <w:color w:val="FFFFFF"/>
        </w:rPr>
        <w:t>See the reverse side of this notice to obtain proxy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3601085</wp:posOffset>
            </wp:positionH>
            <wp:positionV relativeFrom="paragraph">
              <wp:posOffset>-128905</wp:posOffset>
            </wp:positionV>
            <wp:extent cx="3207385" cy="29146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3207385" cy="291465"/>
                    </a:xfrm>
                    <a:prstGeom prst="rect">
                      <a:avLst/>
                    </a:prstGeom>
                    <a:noFill/>
                  </pic:spPr>
                </pic:pic>
              </a:graphicData>
            </a:graphic>
          </wp:anchor>
        </w:drawing>
      </w:r>
    </w:p>
    <w:p>
      <w:pPr>
        <w:spacing w:after="0" w:line="2" w:lineRule="exact"/>
        <w:rPr>
          <w:sz w:val="20"/>
          <w:szCs w:val="20"/>
          <w:color w:val="auto"/>
        </w:rPr>
      </w:pPr>
    </w:p>
    <w:p>
      <w:pPr>
        <w:ind w:left="5860"/>
        <w:spacing w:after="0"/>
        <w:rPr>
          <w:sz w:val="20"/>
          <w:szCs w:val="20"/>
          <w:color w:val="auto"/>
        </w:rPr>
      </w:pPr>
      <w:r>
        <w:rPr>
          <w:rFonts w:ascii="Arial" w:cs="Arial" w:eastAsia="Arial" w:hAnsi="Arial"/>
          <w:sz w:val="20"/>
          <w:szCs w:val="20"/>
          <w:b w:val="1"/>
          <w:bCs w:val="1"/>
          <w:color w:val="FFFFFF"/>
        </w:rPr>
        <w:t>materials and voting instructions.</w:t>
      </w:r>
    </w:p>
    <w:p>
      <w:pPr>
        <w:sectPr>
          <w:pgSz w:w="11900" w:h="16838" w:orient="portrait"/>
          <w:cols w:equalWidth="0" w:num="1">
            <w:col w:w="10700"/>
          </w:cols>
          <w:pgMar w:left="600" w:top="251" w:right="599" w:bottom="1440" w:gutter="0" w:footer="0" w:header="0"/>
          <w:type w:val="continuous"/>
        </w:sectPr>
      </w:pPr>
    </w:p>
    <w:bookmarkStart w:id="2" w:name="page3"/>
    <w:bookmarkEnd w:id="2"/>
    <w:p>
      <w:pPr>
        <w:ind w:left="330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Before You Vote —</w:t>
      </w:r>
    </w:p>
    <w:p>
      <w:pPr>
        <w:spacing w:after="0" w:line="31" w:lineRule="exact"/>
        <w:rPr>
          <w:sz w:val="20"/>
          <w:szCs w:val="20"/>
          <w:color w:val="auto"/>
        </w:rPr>
      </w:pPr>
    </w:p>
    <w:p>
      <w:pPr>
        <w:ind w:left="3200"/>
        <w:spacing w:after="0"/>
        <w:rPr>
          <w:sz w:val="20"/>
          <w:szCs w:val="20"/>
          <w:color w:val="auto"/>
        </w:rPr>
      </w:pPr>
      <w:r>
        <w:rPr>
          <w:rFonts w:ascii="Arial" w:cs="Arial" w:eastAsia="Arial" w:hAnsi="Arial"/>
          <w:sz w:val="22"/>
          <w:szCs w:val="22"/>
          <w:color w:val="auto"/>
        </w:rPr>
        <w:t>How to Access the Proxy Materials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-167640</wp:posOffset>
            </wp:positionH>
            <wp:positionV relativeFrom="paragraph">
              <wp:posOffset>40640</wp:posOffset>
            </wp:positionV>
            <wp:extent cx="6894830" cy="223837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94830" cy="2238375"/>
                    </a:xfrm>
                    <a:prstGeom prst="rect">
                      <a:avLst/>
                    </a:prstGeom>
                    <a:noFill/>
                  </pic:spPr>
                </pic:pic>
              </a:graphicData>
            </a:graphic>
          </wp:anchor>
        </w:drawing>
      </w:r>
    </w:p>
    <w:p>
      <w:pPr>
        <w:spacing w:after="0" w:line="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Proxy Materials Available to VIEW or RECEIVE:</w:t>
      </w:r>
    </w:p>
    <w:p>
      <w:pPr>
        <w:spacing w:after="0" w:line="45" w:lineRule="exact"/>
        <w:rPr>
          <w:sz w:val="20"/>
          <w:szCs w:val="20"/>
          <w:color w:val="auto"/>
        </w:rPr>
      </w:pPr>
    </w:p>
    <w:p>
      <w:pPr>
        <w:spacing w:after="0"/>
        <w:tabs>
          <w:tab w:leader="none" w:pos="2820" w:val="left"/>
        </w:tabs>
        <w:rPr>
          <w:sz w:val="20"/>
          <w:szCs w:val="20"/>
          <w:color w:val="auto"/>
        </w:rPr>
      </w:pPr>
      <w:r>
        <w:rPr>
          <w:rFonts w:ascii="Arial" w:cs="Arial" w:eastAsia="Arial" w:hAnsi="Arial"/>
          <w:sz w:val="18"/>
          <w:szCs w:val="18"/>
          <w:color w:val="auto"/>
        </w:rPr>
        <w:t>1. Notice and Proxy Statement</w:t>
      </w:r>
      <w:r>
        <w:rPr>
          <w:sz w:val="20"/>
          <w:szCs w:val="20"/>
          <w:color w:val="auto"/>
        </w:rPr>
        <w:tab/>
      </w:r>
      <w:r>
        <w:rPr>
          <w:rFonts w:ascii="Arial" w:cs="Arial" w:eastAsia="Arial" w:hAnsi="Arial"/>
          <w:sz w:val="17"/>
          <w:szCs w:val="17"/>
          <w:color w:val="auto"/>
        </w:rPr>
        <w:t>2. Annual Report on Form 10-K</w:t>
      </w:r>
    </w:p>
    <w:p>
      <w:pPr>
        <w:spacing w:after="0" w:line="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View Online:</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Have the information that is printed in the box marked by the arrow  </w:t>
      </w:r>
      <w:r>
        <w:rPr>
          <w:sz w:val="1"/>
          <w:szCs w:val="1"/>
          <w:color w:val="auto"/>
        </w:rPr>
        <w:drawing>
          <wp:inline distT="0" distB="0" distL="0" distR="0">
            <wp:extent cx="926465" cy="102870"/>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9264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and</w:t>
      </w:r>
    </w:p>
    <w:p>
      <w:pPr>
        <w:spacing w:after="0"/>
        <w:rPr>
          <w:sz w:val="20"/>
          <w:szCs w:val="20"/>
          <w:color w:val="auto"/>
        </w:rPr>
      </w:pPr>
      <w:r>
        <w:rPr>
          <w:rFonts w:ascii="Arial" w:cs="Arial" w:eastAsia="Arial" w:hAnsi="Arial"/>
          <w:sz w:val="18"/>
          <w:szCs w:val="18"/>
          <w:color w:val="auto"/>
        </w:rPr>
        <w:t xml:space="preserve">visit: </w:t>
      </w:r>
      <w:r>
        <w:rPr>
          <w:rFonts w:ascii="Arial" w:cs="Arial" w:eastAsia="Arial" w:hAnsi="Arial"/>
          <w:sz w:val="18"/>
          <w:szCs w:val="18"/>
          <w:i w:val="1"/>
          <w:iCs w:val="1"/>
          <w:color w:val="auto"/>
        </w:rPr>
        <w:t>www.proxyvote.com.</w:t>
      </w:r>
    </w:p>
    <w:p>
      <w:pPr>
        <w:spacing w:after="0" w:line="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to Request and Receive a PAPER or E-MAIL Copy:</w:t>
      </w:r>
    </w:p>
    <w:p>
      <w:pPr>
        <w:spacing w:after="0" w:line="45"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If you want to receive a paper or e-mail copy of these documents, you must request one. There is NO charge for requesting a copy. Please choose one of the following methods to make your request:</w:t>
      </w:r>
    </w:p>
    <w:tbl>
      <w:tblPr>
        <w:tblLayout w:type="fixed"/>
        <w:tblInd w:w="1440" w:type="dxa"/>
        <w:tblCellMar>
          <w:top w:w="0" w:type="dxa"/>
          <w:left w:w="0" w:type="dxa"/>
          <w:bottom w:w="0" w:type="dxa"/>
          <w:right w:w="0" w:type="dxa"/>
        </w:tblCellMar>
      </w:tblPr>
      <w:tr>
        <w:trPr>
          <w:trHeight w:val="211"/>
        </w:trPr>
        <w:tc>
          <w:tcPr>
            <w:tcW w:w="180" w:type="dxa"/>
            <w:vAlign w:val="bottom"/>
          </w:tcPr>
          <w:p>
            <w:pPr>
              <w:jc w:val="right"/>
              <w:spacing w:after="0"/>
              <w:rPr>
                <w:sz w:val="20"/>
                <w:szCs w:val="20"/>
                <w:color w:val="auto"/>
              </w:rPr>
            </w:pPr>
            <w:r>
              <w:rPr>
                <w:rFonts w:ascii="Arial" w:cs="Arial" w:eastAsia="Arial" w:hAnsi="Arial"/>
                <w:sz w:val="18"/>
                <w:szCs w:val="18"/>
                <w:color w:val="auto"/>
                <w:w w:val="87"/>
              </w:rPr>
              <w:t>1)</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INTERNET</w:t>
            </w:r>
            <w:r>
              <w:rPr>
                <w:rFonts w:ascii="Arial" w:cs="Arial" w:eastAsia="Arial" w:hAnsi="Arial"/>
                <w:sz w:val="18"/>
                <w:szCs w:val="18"/>
                <w:color w:val="auto"/>
              </w:rPr>
              <w:t>:</w:t>
            </w:r>
          </w:p>
        </w:tc>
        <w:tc>
          <w:tcPr>
            <w:tcW w:w="2560" w:type="dxa"/>
            <w:vAlign w:val="bottom"/>
          </w:tcPr>
          <w:p>
            <w:pPr>
              <w:ind w:left="160"/>
              <w:spacing w:after="0"/>
              <w:rPr>
                <w:sz w:val="20"/>
                <w:szCs w:val="20"/>
                <w:color w:val="auto"/>
              </w:rPr>
            </w:pPr>
            <w:r>
              <w:rPr>
                <w:rFonts w:ascii="Arial" w:cs="Arial" w:eastAsia="Arial" w:hAnsi="Arial"/>
                <w:sz w:val="18"/>
                <w:szCs w:val="18"/>
                <w:color w:val="auto"/>
              </w:rPr>
              <w:t>www.proxyvote.com</w:t>
            </w:r>
          </w:p>
        </w:tc>
      </w:tr>
      <w:tr>
        <w:trPr>
          <w:trHeight w:val="203"/>
        </w:trPr>
        <w:tc>
          <w:tcPr>
            <w:tcW w:w="180" w:type="dxa"/>
            <w:vAlign w:val="bottom"/>
          </w:tcPr>
          <w:p>
            <w:pPr>
              <w:jc w:val="right"/>
              <w:spacing w:after="0" w:line="202" w:lineRule="exact"/>
              <w:rPr>
                <w:sz w:val="20"/>
                <w:szCs w:val="20"/>
                <w:color w:val="auto"/>
              </w:rPr>
            </w:pPr>
            <w:r>
              <w:rPr>
                <w:rFonts w:ascii="Arial" w:cs="Arial" w:eastAsia="Arial" w:hAnsi="Arial"/>
                <w:sz w:val="18"/>
                <w:szCs w:val="18"/>
                <w:color w:val="auto"/>
                <w:w w:val="87"/>
              </w:rPr>
              <w:t>2)</w:t>
            </w:r>
          </w:p>
        </w:tc>
        <w:tc>
          <w:tcPr>
            <w:tcW w:w="1600" w:type="dxa"/>
            <w:vAlign w:val="bottom"/>
          </w:tcPr>
          <w:p>
            <w:pPr>
              <w:ind w:left="20"/>
              <w:spacing w:after="0" w:line="202" w:lineRule="exact"/>
              <w:rPr>
                <w:sz w:val="20"/>
                <w:szCs w:val="20"/>
                <w:color w:val="auto"/>
              </w:rPr>
            </w:pPr>
            <w:r>
              <w:rPr>
                <w:rFonts w:ascii="Arial" w:cs="Arial" w:eastAsia="Arial" w:hAnsi="Arial"/>
                <w:sz w:val="18"/>
                <w:szCs w:val="18"/>
                <w:i w:val="1"/>
                <w:iCs w:val="1"/>
                <w:color w:val="auto"/>
              </w:rPr>
              <w:t>BY TELEPHONE</w:t>
            </w:r>
            <w:r>
              <w:rPr>
                <w:rFonts w:ascii="Arial" w:cs="Arial" w:eastAsia="Arial" w:hAnsi="Arial"/>
                <w:sz w:val="18"/>
                <w:szCs w:val="18"/>
                <w:color w:val="auto"/>
              </w:rPr>
              <w:t>:</w:t>
            </w:r>
          </w:p>
        </w:tc>
        <w:tc>
          <w:tcPr>
            <w:tcW w:w="2560" w:type="dxa"/>
            <w:vAlign w:val="bottom"/>
          </w:tcPr>
          <w:p>
            <w:pPr>
              <w:ind w:left="160"/>
              <w:spacing w:after="0" w:line="202" w:lineRule="exact"/>
              <w:rPr>
                <w:sz w:val="20"/>
                <w:szCs w:val="20"/>
                <w:color w:val="auto"/>
              </w:rPr>
            </w:pPr>
            <w:r>
              <w:rPr>
                <w:rFonts w:ascii="Arial" w:cs="Arial" w:eastAsia="Arial" w:hAnsi="Arial"/>
                <w:sz w:val="18"/>
                <w:szCs w:val="18"/>
                <w:color w:val="auto"/>
              </w:rPr>
              <w:t>1-800-579-1639</w:t>
            </w:r>
          </w:p>
        </w:tc>
      </w:tr>
      <w:tr>
        <w:trPr>
          <w:trHeight w:val="234"/>
        </w:trPr>
        <w:tc>
          <w:tcPr>
            <w:tcW w:w="180" w:type="dxa"/>
            <w:vAlign w:val="bottom"/>
          </w:tcPr>
          <w:p>
            <w:pPr>
              <w:jc w:val="right"/>
              <w:spacing w:after="0"/>
              <w:rPr>
                <w:sz w:val="20"/>
                <w:szCs w:val="20"/>
                <w:color w:val="auto"/>
              </w:rPr>
            </w:pPr>
            <w:r>
              <w:rPr>
                <w:rFonts w:ascii="Arial" w:cs="Arial" w:eastAsia="Arial" w:hAnsi="Arial"/>
                <w:sz w:val="18"/>
                <w:szCs w:val="18"/>
                <w:color w:val="auto"/>
                <w:w w:val="87"/>
              </w:rPr>
              <w:t>3)</w:t>
            </w:r>
          </w:p>
        </w:tc>
        <w:tc>
          <w:tcPr>
            <w:tcW w:w="1600" w:type="dxa"/>
            <w:vAlign w:val="bottom"/>
          </w:tcPr>
          <w:p>
            <w:pPr>
              <w:ind w:left="20"/>
              <w:spacing w:after="0"/>
              <w:rPr>
                <w:sz w:val="20"/>
                <w:szCs w:val="20"/>
                <w:color w:val="auto"/>
              </w:rPr>
            </w:pPr>
            <w:r>
              <w:rPr>
                <w:rFonts w:ascii="Arial" w:cs="Arial" w:eastAsia="Arial" w:hAnsi="Arial"/>
                <w:sz w:val="18"/>
                <w:szCs w:val="18"/>
                <w:i w:val="1"/>
                <w:iCs w:val="1"/>
                <w:color w:val="auto"/>
              </w:rPr>
              <w:t>BY E-MAIL*</w:t>
            </w:r>
            <w:r>
              <w:rPr>
                <w:rFonts w:ascii="Arial" w:cs="Arial" w:eastAsia="Arial" w:hAnsi="Arial"/>
                <w:sz w:val="18"/>
                <w:szCs w:val="18"/>
                <w:color w:val="auto"/>
              </w:rPr>
              <w:t>:</w:t>
            </w:r>
          </w:p>
        </w:tc>
        <w:tc>
          <w:tcPr>
            <w:tcW w:w="2560" w:type="dxa"/>
            <w:vAlign w:val="bottom"/>
          </w:tcPr>
          <w:p>
            <w:pPr>
              <w:ind w:left="180"/>
              <w:spacing w:after="0"/>
              <w:rPr>
                <w:sz w:val="20"/>
                <w:szCs w:val="20"/>
                <w:color w:val="auto"/>
              </w:rPr>
            </w:pPr>
            <w:r>
              <w:rPr>
                <w:rFonts w:ascii="Arial" w:cs="Arial" w:eastAsia="Arial" w:hAnsi="Arial"/>
                <w:sz w:val="18"/>
                <w:szCs w:val="18"/>
                <w:color w:val="auto"/>
                <w:w w:val="98"/>
              </w:rPr>
              <w:t>sendmaterial@proxyvote.com</w:t>
            </w:r>
          </w:p>
        </w:tc>
      </w:tr>
    </w:tbl>
    <w:p>
      <w:pPr>
        <w:spacing w:after="0" w:line="234" w:lineRule="auto"/>
        <w:tabs>
          <w:tab w:leader="none" w:pos="320" w:val="left"/>
        </w:tabs>
        <w:rPr>
          <w:sz w:val="20"/>
          <w:szCs w:val="20"/>
          <w:color w:val="auto"/>
        </w:rPr>
      </w:pPr>
      <w:r>
        <w:rPr>
          <w:rFonts w:ascii="Arial" w:cs="Arial" w:eastAsia="Arial" w:hAnsi="Arial"/>
          <w:sz w:val="18"/>
          <w:szCs w:val="18"/>
          <w:color w:val="auto"/>
        </w:rPr>
        <w:t>*</w:t>
        <w:tab/>
        <w:t>If requesting materials by e-mail, please send a blank e-mail with the information that is printed in the box marked by the</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arrow  </w:t>
      </w:r>
      <w:r>
        <w:rPr>
          <w:sz w:val="1"/>
          <w:szCs w:val="1"/>
          <w:color w:val="auto"/>
        </w:rPr>
        <w:drawing>
          <wp:inline distT="0" distB="0" distL="0" distR="0">
            <wp:extent cx="926465" cy="102870"/>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926465" cy="102870"/>
                    </a:xfrm>
                    <a:prstGeom prst="rect">
                      <a:avLst/>
                    </a:prstGeom>
                    <a:noFill/>
                    <a:ln>
                      <a:noFill/>
                    </a:ln>
                  </pic:spPr>
                </pic:pic>
              </a:graphicData>
            </a:graphic>
          </wp:inline>
        </w:drawing>
      </w:r>
      <w:r>
        <w:rPr>
          <w:rFonts w:ascii="Arial" w:cs="Arial" w:eastAsia="Arial" w:hAnsi="Arial"/>
          <w:sz w:val="18"/>
          <w:szCs w:val="18"/>
          <w:color w:val="auto"/>
        </w:rPr>
        <w:t xml:space="preserve">   (located on the following page) in the subject line.</w:t>
      </w:r>
    </w:p>
    <w:p>
      <w:pPr>
        <w:spacing w:after="0" w:line="2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Requests, instructions and other inquiries sent to this e-mail address will NOT be forwarded to your investment advisor. Please make the request as instructed above on or before May 03, 2018 to facilitate timely delivery.</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 How To Vote —</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Please Choose One of the Following Voting Methods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-527685</wp:posOffset>
            </wp:positionH>
            <wp:positionV relativeFrom="paragraph">
              <wp:posOffset>49530</wp:posOffset>
            </wp:positionV>
            <wp:extent cx="7254875" cy="12947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4875" cy="1294765"/>
                    </a:xfrm>
                    <a:prstGeom prst="rect">
                      <a:avLst/>
                    </a:prstGeom>
                    <a:noFill/>
                  </pic:spPr>
                </pic:pic>
              </a:graphicData>
            </a:graphic>
          </wp:anchor>
        </w:drawing>
      </w:r>
    </w:p>
    <w:p>
      <w:pPr>
        <w:spacing w:after="0" w:line="19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b w:val="1"/>
          <w:bCs w:val="1"/>
          <w:color w:val="auto"/>
        </w:rPr>
        <w:t xml:space="preserve">Vote In Person: </w:t>
      </w:r>
      <w:r>
        <w:rPr>
          <w:rFonts w:ascii="Arial" w:cs="Arial" w:eastAsia="Arial" w:hAnsi="Arial"/>
          <w:sz w:val="18"/>
          <w:szCs w:val="18"/>
          <w:color w:val="auto"/>
        </w:rPr>
        <w:t>Many stockholder meetings have attendance requirements including, but not limited to, the possession of an</w:t>
      </w:r>
      <w:r>
        <w:rPr>
          <w:rFonts w:ascii="Arial" w:cs="Arial" w:eastAsia="Arial" w:hAnsi="Arial"/>
          <w:sz w:val="18"/>
          <w:szCs w:val="18"/>
          <w:b w:val="1"/>
          <w:bCs w:val="1"/>
          <w:color w:val="auto"/>
        </w:rPr>
        <w:t xml:space="preserve"> </w:t>
      </w:r>
      <w:r>
        <w:rPr>
          <w:rFonts w:ascii="Arial" w:cs="Arial" w:eastAsia="Arial" w:hAnsi="Arial"/>
          <w:sz w:val="18"/>
          <w:szCs w:val="18"/>
          <w:color w:val="auto"/>
        </w:rPr>
        <w:t>attendance ticket issued by the entity holding the meeting. Please check the meeting materials for any special requirements for meeting attendance. At the meeting, you will need to request a ballot to vote these shares.</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Internet: </w:t>
      </w:r>
      <w:r>
        <w:rPr>
          <w:rFonts w:ascii="Arial" w:cs="Arial" w:eastAsia="Arial" w:hAnsi="Arial"/>
          <w:sz w:val="18"/>
          <w:szCs w:val="18"/>
          <w:color w:val="auto"/>
        </w:rPr>
        <w:t>To vote now by Internet, go to</w:t>
      </w:r>
      <w:r>
        <w:rPr>
          <w:rFonts w:ascii="Arial" w:cs="Arial" w:eastAsia="Arial" w:hAnsi="Arial"/>
          <w:sz w:val="18"/>
          <w:szCs w:val="18"/>
          <w:b w:val="1"/>
          <w:bCs w:val="1"/>
          <w:color w:val="auto"/>
        </w:rPr>
        <w:t xml:space="preserve"> </w:t>
      </w:r>
      <w:r>
        <w:rPr>
          <w:rFonts w:ascii="Arial" w:cs="Arial" w:eastAsia="Arial" w:hAnsi="Arial"/>
          <w:sz w:val="18"/>
          <w:szCs w:val="18"/>
          <w:i w:val="1"/>
          <w:iCs w:val="1"/>
          <w:color w:val="auto"/>
        </w:rPr>
        <w:t>www.proxyvote.com.</w:t>
      </w:r>
      <w:r>
        <w:rPr>
          <w:rFonts w:ascii="Arial" w:cs="Arial" w:eastAsia="Arial" w:hAnsi="Arial"/>
          <w:sz w:val="18"/>
          <w:szCs w:val="18"/>
          <w:b w:val="1"/>
          <w:bCs w:val="1"/>
          <w:color w:val="auto"/>
        </w:rPr>
        <w:t xml:space="preserve"> </w:t>
      </w:r>
      <w:r>
        <w:rPr>
          <w:rFonts w:ascii="Arial" w:cs="Arial" w:eastAsia="Arial" w:hAnsi="Arial"/>
          <w:sz w:val="18"/>
          <w:szCs w:val="18"/>
          <w:color w:val="auto"/>
        </w:rPr>
        <w:t>Have the information that is printed in the box marked by</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the arrow  </w:t>
      </w:r>
      <w:r>
        <w:rPr>
          <w:sz w:val="1"/>
          <w:szCs w:val="1"/>
          <w:color w:val="auto"/>
        </w:rPr>
        <w:drawing>
          <wp:inline distT="0" distB="0" distL="0" distR="0">
            <wp:extent cx="926465" cy="102870"/>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926465" cy="102870"/>
                    </a:xfrm>
                    <a:prstGeom prst="rect">
                      <a:avLst/>
                    </a:prstGeom>
                    <a:noFill/>
                    <a:ln>
                      <a:noFill/>
                    </a:ln>
                  </pic:spPr>
                </pic:pic>
              </a:graphicData>
            </a:graphic>
          </wp:inline>
        </w:drawing>
      </w:r>
      <w:r>
        <w:rPr>
          <w:rFonts w:ascii="Arial" w:cs="Arial" w:eastAsia="Arial" w:hAnsi="Arial"/>
          <w:sz w:val="18"/>
          <w:szCs w:val="18"/>
          <w:color w:val="auto"/>
        </w:rPr>
        <w:t xml:space="preserve">   available and follow the instructions.</w:t>
      </w:r>
    </w:p>
    <w:p>
      <w:pPr>
        <w:spacing w:after="0" w:line="10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Vote By Mail: </w:t>
      </w:r>
      <w:r>
        <w:rPr>
          <w:rFonts w:ascii="Arial" w:cs="Arial" w:eastAsia="Arial" w:hAnsi="Arial"/>
          <w:sz w:val="18"/>
          <w:szCs w:val="18"/>
          <w:color w:val="auto"/>
        </w:rPr>
        <w:t>You can vote by mail by requesting a paper copy of the materials, which will include a proxy card.</w:t>
      </w:r>
    </w:p>
    <w:p>
      <w:pPr>
        <w:sectPr>
          <w:pgSz w:w="11900" w:h="16838" w:orient="portrait"/>
          <w:cols w:equalWidth="0" w:num="1">
            <w:col w:w="10360"/>
          </w:cols>
          <w:pgMar w:left="1080" w:top="247" w:right="459" w:bottom="1440" w:gutter="0" w:footer="0" w:header="0"/>
        </w:sectPr>
      </w:pPr>
    </w:p>
    <w:bookmarkStart w:id="3" w:name="page4"/>
    <w:bookmarkEnd w:id="3"/>
    <w:p>
      <w:pPr>
        <w:ind w:left="1080"/>
        <w:spacing w:after="0"/>
        <w:rPr>
          <w:sz w:val="20"/>
          <w:szCs w:val="20"/>
          <w:color w:val="auto"/>
        </w:rPr>
      </w:pPr>
      <w:r>
        <w:rPr>
          <w:rFonts w:ascii="Arial" w:cs="Arial" w:eastAsia="Arial" w:hAnsi="Arial"/>
          <w:sz w:val="14"/>
          <w:szCs w:val="14"/>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149225</wp:posOffset>
            </wp:positionH>
            <wp:positionV relativeFrom="page">
              <wp:posOffset>183515</wp:posOffset>
            </wp:positionV>
            <wp:extent cx="183515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835150" cy="137160"/>
                    </a:xfrm>
                    <a:prstGeom prst="rect">
                      <a:avLst/>
                    </a:prstGeom>
                    <a:noFill/>
                  </pic:spPr>
                </pic:pic>
              </a:graphicData>
            </a:graphic>
          </wp:anchor>
        </w:drawing>
        <w:t>Voting items</w:t>
      </w:r>
    </w:p>
    <w:p>
      <w:pPr>
        <w:spacing w:after="0" w:line="2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w:t>
      </w:r>
    </w:p>
    <w:p>
      <w:pPr>
        <w:spacing w:after="0"/>
        <w:rPr>
          <w:sz w:val="20"/>
          <w:szCs w:val="20"/>
          <w:color w:val="auto"/>
        </w:rPr>
      </w:pPr>
      <w:r>
        <w:rPr>
          <w:rFonts w:ascii="Arial" w:cs="Arial" w:eastAsia="Arial" w:hAnsi="Arial"/>
          <w:sz w:val="13"/>
          <w:szCs w:val="13"/>
          <w:b w:val="1"/>
          <w:bCs w:val="1"/>
          <w:color w:val="auto"/>
        </w:rPr>
        <w:t>FOR the following:</w:t>
      </w:r>
    </w:p>
    <w:p>
      <w:pPr>
        <w:spacing w:after="0" w:line="283" w:lineRule="exact"/>
        <w:rPr>
          <w:sz w:val="20"/>
          <w:szCs w:val="20"/>
          <w:color w:val="auto"/>
        </w:rPr>
      </w:pPr>
    </w:p>
    <w:p>
      <w:pPr>
        <w:ind w:left="220" w:hanging="212"/>
        <w:spacing w:after="0"/>
        <w:tabs>
          <w:tab w:leader="none" w:pos="220" w:val="left"/>
        </w:tabs>
        <w:numPr>
          <w:ilvl w:val="0"/>
          <w:numId w:val="6"/>
        </w:numPr>
        <w:rPr>
          <w:rFonts w:ascii="Arial" w:cs="Arial" w:eastAsia="Arial" w:hAnsi="Arial"/>
          <w:sz w:val="13"/>
          <w:szCs w:val="13"/>
          <w:b w:val="1"/>
          <w:bCs w:val="1"/>
          <w:color w:val="auto"/>
        </w:rPr>
      </w:pPr>
      <w:r>
        <w:rPr>
          <w:rFonts w:ascii="Arial" w:cs="Arial" w:eastAsia="Arial" w:hAnsi="Arial"/>
          <w:sz w:val="13"/>
          <w:szCs w:val="13"/>
          <w:color w:val="auto"/>
        </w:rPr>
        <w:t>Election of Directors</w:t>
      </w:r>
    </w:p>
    <w:p>
      <w:pPr>
        <w:spacing w:after="0" w:line="185" w:lineRule="exact"/>
        <w:rPr>
          <w:rFonts w:ascii="Arial" w:cs="Arial" w:eastAsia="Arial" w:hAnsi="Arial"/>
          <w:sz w:val="13"/>
          <w:szCs w:val="13"/>
          <w:b w:val="1"/>
          <w:bCs w:val="1"/>
          <w:color w:val="auto"/>
        </w:rPr>
      </w:pPr>
    </w:p>
    <w:p>
      <w:pPr>
        <w:ind w:left="240"/>
        <w:spacing w:after="0"/>
        <w:rPr>
          <w:rFonts w:ascii="Arial" w:cs="Arial" w:eastAsia="Arial" w:hAnsi="Arial"/>
          <w:sz w:val="13"/>
          <w:szCs w:val="13"/>
          <w:b w:val="1"/>
          <w:bCs w:val="1"/>
          <w:color w:val="auto"/>
        </w:rPr>
      </w:pPr>
      <w:r>
        <w:rPr>
          <w:rFonts w:ascii="Arial" w:cs="Arial" w:eastAsia="Arial" w:hAnsi="Arial"/>
          <w:sz w:val="13"/>
          <w:szCs w:val="13"/>
          <w:b w:val="1"/>
          <w:bCs w:val="1"/>
          <w:color w:val="auto"/>
        </w:rPr>
        <w:t>Nominees</w:t>
      </w:r>
    </w:p>
    <w:p>
      <w:pPr>
        <w:spacing w:after="0" w:line="258" w:lineRule="exact"/>
        <w:rPr>
          <w:sz w:val="20"/>
          <w:szCs w:val="20"/>
          <w:color w:val="auto"/>
        </w:rPr>
      </w:pPr>
    </w:p>
    <w:p>
      <w:pPr>
        <w:spacing w:after="0"/>
        <w:tabs>
          <w:tab w:leader="none" w:pos="260" w:val="left"/>
          <w:tab w:leader="none" w:pos="1860" w:val="left"/>
          <w:tab w:leader="none" w:pos="2140" w:val="left"/>
        </w:tabs>
        <w:rPr>
          <w:sz w:val="20"/>
          <w:szCs w:val="20"/>
          <w:color w:val="auto"/>
        </w:rPr>
      </w:pPr>
      <w:r>
        <w:rPr>
          <w:rFonts w:ascii="Arial" w:cs="Arial" w:eastAsia="Arial" w:hAnsi="Arial"/>
          <w:sz w:val="13"/>
          <w:szCs w:val="13"/>
          <w:color w:val="auto"/>
        </w:rPr>
        <w:t>01</w:t>
        <w:tab/>
        <w:t>Richard Higginbotham</w:t>
      </w:r>
      <w:r>
        <w:rPr>
          <w:sz w:val="20"/>
          <w:szCs w:val="20"/>
          <w:color w:val="auto"/>
        </w:rPr>
        <w:tab/>
      </w:r>
      <w:r>
        <w:rPr>
          <w:rFonts w:ascii="Arial" w:cs="Arial" w:eastAsia="Arial" w:hAnsi="Arial"/>
          <w:sz w:val="13"/>
          <w:szCs w:val="13"/>
          <w:color w:val="auto"/>
        </w:rPr>
        <w:t>02</w:t>
      </w:r>
      <w:r>
        <w:rPr>
          <w:sz w:val="20"/>
          <w:szCs w:val="20"/>
          <w:color w:val="auto"/>
        </w:rPr>
        <w:tab/>
      </w:r>
      <w:r>
        <w:rPr>
          <w:rFonts w:ascii="Arial" w:cs="Arial" w:eastAsia="Arial" w:hAnsi="Arial"/>
          <w:sz w:val="12"/>
          <w:szCs w:val="12"/>
          <w:color w:val="auto"/>
        </w:rPr>
        <w:t>Ronald Tanemura</w:t>
      </w:r>
    </w:p>
    <w:p>
      <w:pPr>
        <w:spacing w:after="0" w:line="200" w:lineRule="exact"/>
        <w:rPr>
          <w:sz w:val="20"/>
          <w:szCs w:val="20"/>
          <w:color w:val="auto"/>
        </w:rPr>
      </w:pPr>
    </w:p>
    <w:p>
      <w:pPr>
        <w:spacing w:after="0" w:line="202"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The Board of Directors recommends you vote FOR the following proposal:</w:t>
      </w:r>
    </w:p>
    <w:p>
      <w:pPr>
        <w:spacing w:after="0" w:line="245" w:lineRule="exact"/>
        <w:rPr>
          <w:sz w:val="20"/>
          <w:szCs w:val="20"/>
          <w:color w:val="auto"/>
        </w:rPr>
      </w:pPr>
    </w:p>
    <w:p>
      <w:pPr>
        <w:ind w:left="220" w:hanging="212"/>
        <w:spacing w:after="0"/>
        <w:tabs>
          <w:tab w:leader="none" w:pos="220" w:val="left"/>
        </w:tabs>
        <w:numPr>
          <w:ilvl w:val="0"/>
          <w:numId w:val="7"/>
        </w:numPr>
        <w:rPr>
          <w:rFonts w:ascii="Arial" w:cs="Arial" w:eastAsia="Arial" w:hAnsi="Arial"/>
          <w:sz w:val="13"/>
          <w:szCs w:val="13"/>
          <w:b w:val="1"/>
          <w:bCs w:val="1"/>
          <w:color w:val="auto"/>
        </w:rPr>
      </w:pPr>
      <w:r>
        <w:rPr>
          <w:rFonts w:ascii="Arial" w:cs="Arial" w:eastAsia="Arial" w:hAnsi="Arial"/>
          <w:sz w:val="13"/>
          <w:szCs w:val="13"/>
          <w:color w:val="auto"/>
        </w:rPr>
        <w:t>To ratify the selection of KPMG LLP as the Company’s independent registered public accounting firm for the fiscal year ending December 31, 2018.</w:t>
      </w:r>
    </w:p>
    <w:p>
      <w:pPr>
        <w:spacing w:after="0" w:line="78" w:lineRule="exact"/>
        <w:rPr>
          <w:sz w:val="20"/>
          <w:szCs w:val="20"/>
          <w:color w:val="auto"/>
        </w:rPr>
      </w:pPr>
    </w:p>
    <w:p>
      <w:pPr>
        <w:ind w:right="739"/>
        <w:spacing w:after="0" w:line="246" w:lineRule="auto"/>
        <w:rPr>
          <w:sz w:val="20"/>
          <w:szCs w:val="20"/>
          <w:color w:val="auto"/>
        </w:rPr>
      </w:pPr>
      <w:r>
        <w:rPr>
          <w:rFonts w:ascii="Arial" w:cs="Arial" w:eastAsia="Arial" w:hAnsi="Arial"/>
          <w:sz w:val="13"/>
          <w:szCs w:val="13"/>
          <w:b w:val="1"/>
          <w:bCs w:val="1"/>
          <w:color w:val="auto"/>
        </w:rPr>
        <w:t xml:space="preserve">NOTE: </w:t>
      </w:r>
      <w:r>
        <w:rPr>
          <w:rFonts w:ascii="Arial" w:cs="Arial" w:eastAsia="Arial" w:hAnsi="Arial"/>
          <w:sz w:val="13"/>
          <w:szCs w:val="13"/>
          <w:color w:val="auto"/>
        </w:rPr>
        <w:t>The named proxies are also authorized to transact such other business as may properly come before the 2018 Annual Meeting of Stockholders or any</w:t>
      </w:r>
      <w:r>
        <w:rPr>
          <w:rFonts w:ascii="Arial" w:cs="Arial" w:eastAsia="Arial" w:hAnsi="Arial"/>
          <w:sz w:val="13"/>
          <w:szCs w:val="13"/>
          <w:b w:val="1"/>
          <w:bCs w:val="1"/>
          <w:color w:val="auto"/>
        </w:rPr>
        <w:t xml:space="preserve"> </w:t>
      </w:r>
      <w:r>
        <w:rPr>
          <w:rFonts w:ascii="Arial" w:cs="Arial" w:eastAsia="Arial" w:hAnsi="Arial"/>
          <w:sz w:val="13"/>
          <w:szCs w:val="13"/>
          <w:color w:val="auto"/>
        </w:rPr>
        <w:t>postponement or adjournment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2357755</wp:posOffset>
            </wp:positionV>
            <wp:extent cx="85725" cy="85788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5725" cy="857885"/>
                    </a:xfrm>
                    <a:prstGeom prst="rect">
                      <a:avLst/>
                    </a:prstGeom>
                    <a:noFill/>
                  </pic:spPr>
                </pic:pic>
              </a:graphicData>
            </a:graphic>
          </wp:anchor>
        </w:drawing>
      </w:r>
    </w:p>
    <w:p>
      <w:pPr>
        <w:sectPr>
          <w:pgSz w:w="11900" w:h="16838" w:orient="portrait"/>
          <w:cols w:equalWidth="0" w:num="1">
            <w:col w:w="10219"/>
          </w:cols>
          <w:pgMar w:left="240" w:top="302" w:right="1440"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2679065</wp:posOffset>
            </wp:positionV>
            <wp:extent cx="6955155"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55155" cy="26035"/>
                    </a:xfrm>
                    <a:prstGeom prst="rect">
                      <a:avLst/>
                    </a:prstGeom>
                    <a:noFill/>
                  </pic:spPr>
                </pic:pic>
              </a:graphicData>
            </a:graphic>
          </wp:anchor>
        </w:drawing>
        <w:drawing>
          <wp:anchor simplePos="0" relativeHeight="251657728" behindDoc="1" locked="0" layoutInCell="0" allowOverlap="1">
            <wp:simplePos x="0" y="0"/>
            <wp:positionH relativeFrom="page">
              <wp:posOffset>448945</wp:posOffset>
            </wp:positionH>
            <wp:positionV relativeFrom="page">
              <wp:posOffset>2713355</wp:posOffset>
            </wp:positionV>
            <wp:extent cx="6955155"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55155"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3836670</wp:posOffset>
            </wp:positionV>
            <wp:extent cx="85725" cy="85788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clrChange>
                        <a:clrFrom>
                          <a:srgbClr val="FFFFFF"/>
                        </a:clrFrom>
                        <a:clrTo>
                          <a:srgbClr val="FFFFFF">
                            <a:alpha val="0"/>
                          </a:srgbClr>
                        </a:clrTo>
                      </a:clrChange>
                      <a:extLst>
                        <a:ext uri="{28A0092B-C50C-407E-A947-70E740481C1C}"/>
                      </a:extLst>
                    </a:blip>
                    <a:srcRect/>
                    <a:stretch>
                      <a:fillRect/>
                    </a:stretch>
                  </pic:blipFill>
                  <pic:spPr bwMode="auto">
                    <a:xfrm>
                      <a:off x="0" y="0"/>
                      <a:ext cx="85725" cy="857885"/>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1."/>
      <w:numFmt w:val="decimal"/>
      <w:start w:val="1"/>
    </w:lvl>
  </w:abstractNum>
  <w:abstractNum w:abstractNumId="6">
    <w:nsid w:val="41B71EFB"/>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jpe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jpe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2019-12-07T21:15:51Z</dcterms:created>
  <dcterms:modified xsi:type="dcterms:W3CDTF">2019-12-07T21:15:51Z</dcterms:modified>
</cp:coreProperties>
</file>