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149860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88265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81915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3720" w:type="dxa"/>
            <w:vAlign w:val="bottom"/>
          </w:tcPr>
          <w:p>
            <w:pPr>
              <w:jc w:val="center"/>
              <w:ind w:right="959"/>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center"/>
              <w:ind w:left="1281"/>
              <w:spacing w:after="0"/>
              <w:rPr>
                <w:sz w:val="20"/>
                <w:szCs w:val="20"/>
                <w:color w:val="auto"/>
              </w:rPr>
            </w:pPr>
            <w:r>
              <w:rPr>
                <w:rFonts w:ascii="Arial" w:cs="Arial" w:eastAsia="Arial" w:hAnsi="Arial"/>
                <w:sz w:val="18"/>
                <w:szCs w:val="18"/>
                <w:b w:val="1"/>
                <w:bCs w:val="1"/>
                <w:color w:val="auto"/>
                <w:w w:val="89"/>
              </w:rPr>
              <w:t>27-3380000</w:t>
            </w:r>
          </w:p>
        </w:tc>
      </w:tr>
      <w:tr>
        <w:trPr>
          <w:trHeight w:val="153"/>
        </w:trPr>
        <w:tc>
          <w:tcPr>
            <w:tcW w:w="3720" w:type="dxa"/>
            <w:vAlign w:val="bottom"/>
          </w:tcPr>
          <w:p>
            <w:pPr>
              <w:jc w:val="center"/>
              <w:ind w:right="979"/>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3240" w:type="dxa"/>
            <w:vAlign w:val="bottom"/>
          </w:tcPr>
          <w:p>
            <w:pPr>
              <w:ind w:left="1040"/>
              <w:spacing w:after="0" w:line="153"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281"/>
              <w:spacing w:after="0" w:line="153"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720" w:type="dxa"/>
            <w:vAlign w:val="bottom"/>
          </w:tcPr>
          <w:p>
            <w:pPr>
              <w:jc w:val="center"/>
              <w:ind w:right="979"/>
              <w:spacing w:after="0"/>
              <w:rPr>
                <w:sz w:val="20"/>
                <w:szCs w:val="20"/>
                <w:color w:val="auto"/>
              </w:rPr>
            </w:pPr>
            <w:r>
              <w:rPr>
                <w:rFonts w:ascii="Arial" w:cs="Arial" w:eastAsia="Arial" w:hAnsi="Arial"/>
                <w:sz w:val="14"/>
                <w:szCs w:val="14"/>
                <w:b w:val="1"/>
                <w:bCs w:val="1"/>
                <w:color w:val="auto"/>
                <w:w w:val="94"/>
              </w:rPr>
              <w:t>of Incorporation)</w:t>
            </w:r>
          </w:p>
        </w:tc>
        <w:tc>
          <w:tcPr>
            <w:tcW w:w="324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720" w:type="dxa"/>
            <w:vAlign w:val="bottom"/>
          </w:tcPr>
          <w:p>
            <w:pPr>
              <w:jc w:val="center"/>
              <w:ind w:right="939"/>
              <w:spacing w:after="0"/>
              <w:rPr>
                <w:sz w:val="20"/>
                <w:szCs w:val="20"/>
                <w:color w:val="auto"/>
              </w:rPr>
            </w:pPr>
            <w:r>
              <w:rPr>
                <w:rFonts w:ascii="Arial" w:cs="Arial" w:eastAsia="Arial" w:hAnsi="Arial"/>
                <w:sz w:val="18"/>
                <w:szCs w:val="18"/>
                <w:b w:val="1"/>
                <w:bCs w:val="1"/>
                <w:color w:val="auto"/>
                <w:w w:val="90"/>
              </w:rPr>
              <w:t>2100 McKinney Avenue, Suite 1500</w:t>
            </w:r>
          </w:p>
        </w:tc>
        <w:tc>
          <w:tcPr>
            <w:tcW w:w="32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4"/>
        </w:trPr>
        <w:tc>
          <w:tcPr>
            <w:tcW w:w="3720" w:type="dxa"/>
            <w:vAlign w:val="bottom"/>
          </w:tcPr>
          <w:p>
            <w:pPr>
              <w:jc w:val="center"/>
              <w:ind w:right="959"/>
              <w:spacing w:after="0"/>
              <w:rPr>
                <w:sz w:val="20"/>
                <w:szCs w:val="20"/>
                <w:color w:val="auto"/>
              </w:rPr>
            </w:pPr>
            <w:r>
              <w:rPr>
                <w:rFonts w:ascii="Arial" w:cs="Arial" w:eastAsia="Arial" w:hAnsi="Arial"/>
                <w:sz w:val="18"/>
                <w:szCs w:val="18"/>
                <w:b w:val="1"/>
                <w:bCs w:val="1"/>
                <w:color w:val="auto"/>
                <w:w w:val="92"/>
              </w:rPr>
              <w:t>Dallas, TX</w:t>
            </w:r>
          </w:p>
        </w:tc>
        <w:tc>
          <w:tcPr>
            <w:tcW w:w="3240" w:type="dxa"/>
            <w:vAlign w:val="bottom"/>
          </w:tcPr>
          <w:p>
            <w:pPr>
              <w:spacing w:after="0"/>
              <w:rPr>
                <w:sz w:val="20"/>
                <w:szCs w:val="20"/>
                <w:color w:val="auto"/>
              </w:rPr>
            </w:pPr>
          </w:p>
        </w:tc>
        <w:tc>
          <w:tcPr>
            <w:tcW w:w="2500" w:type="dxa"/>
            <w:vAlign w:val="bottom"/>
          </w:tcPr>
          <w:p>
            <w:pPr>
              <w:jc w:val="center"/>
              <w:ind w:left="1301"/>
              <w:spacing w:after="0"/>
              <w:rPr>
                <w:sz w:val="20"/>
                <w:szCs w:val="20"/>
                <w:color w:val="auto"/>
              </w:rPr>
            </w:pPr>
            <w:r>
              <w:rPr>
                <w:rFonts w:ascii="Arial" w:cs="Arial" w:eastAsia="Arial" w:hAnsi="Arial"/>
                <w:sz w:val="18"/>
                <w:szCs w:val="18"/>
                <w:b w:val="1"/>
                <w:bCs w:val="1"/>
                <w:color w:val="auto"/>
                <w:w w:val="87"/>
              </w:rPr>
              <w:t>75201</w:t>
            </w:r>
          </w:p>
        </w:tc>
      </w:tr>
      <w:tr>
        <w:trPr>
          <w:trHeight w:val="190"/>
        </w:trPr>
        <w:tc>
          <w:tcPr>
            <w:tcW w:w="3720" w:type="dxa"/>
            <w:vAlign w:val="bottom"/>
          </w:tcPr>
          <w:p>
            <w:pPr>
              <w:jc w:val="center"/>
              <w:ind w:right="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40" w:type="dxa"/>
            <w:vAlign w:val="bottom"/>
          </w:tcPr>
          <w:p>
            <w:pPr>
              <w:spacing w:after="0"/>
              <w:rPr>
                <w:sz w:val="16"/>
                <w:szCs w:val="16"/>
                <w:color w:val="auto"/>
              </w:rPr>
            </w:pPr>
          </w:p>
        </w:tc>
        <w:tc>
          <w:tcPr>
            <w:tcW w:w="2500" w:type="dxa"/>
            <w:vAlign w:val="bottom"/>
          </w:tcPr>
          <w:p>
            <w:pPr>
              <w:jc w:val="center"/>
              <w:ind w:left="1301"/>
              <w:spacing w:after="0"/>
              <w:rPr>
                <w:sz w:val="20"/>
                <w:szCs w:val="20"/>
                <w:color w:val="auto"/>
              </w:rPr>
            </w:pPr>
            <w:r>
              <w:rPr>
                <w:rFonts w:ascii="Arial" w:cs="Arial" w:eastAsia="Arial" w:hAnsi="Arial"/>
                <w:sz w:val="14"/>
                <w:szCs w:val="14"/>
                <w:b w:val="1"/>
                <w:bCs w:val="1"/>
                <w:color w:val="auto"/>
                <w:w w:val="91"/>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77470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52"/>
        </w:trPr>
        <w:tc>
          <w:tcPr>
            <w:tcW w:w="376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TSLX</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2"/>
              </w:rPr>
              <w:t>The New York Stock Exchange</w:t>
            </w:r>
          </w:p>
        </w:tc>
      </w:tr>
    </w:tbl>
    <w:p>
      <w:pPr>
        <w:spacing w:after="0" w:line="10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3, 2023, the registrant issued a press release announcing its financial results for the quarter ended June 30, 2023. The text of the press release is included as Exhibit 99.1 to this Form 8-K.</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3, 2023, the registrant issued a press release, included herewith as Exhibit 99.1, announcing the declaration of a third quarter 2023 base dividend per share of $0.46 to shareholders of record as of September 15, 2023, payable on September 29, 2023, and a second quarter 2023 supplemental dividend per share of $0.06 to shareholders of record as of August 31, 2023, payable on September 20, 2023.</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Press Release, dated August 3, 2023</w:t>
            </w:r>
          </w:p>
        </w:tc>
        <w:tc>
          <w:tcPr>
            <w:tcW w:w="7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560"/>
        </w:trPr>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93"/>
        </w:trPr>
        <w:tc>
          <w:tcPr>
            <w:tcW w:w="3600" w:type="dxa"/>
            <w:vAlign w:val="bottom"/>
          </w:tcPr>
          <w:p>
            <w:pPr>
              <w:ind w:left="20"/>
              <w:spacing w:after="0"/>
              <w:rPr>
                <w:sz w:val="20"/>
                <w:szCs w:val="20"/>
                <w:color w:val="auto"/>
              </w:rPr>
            </w:pPr>
            <w:r>
              <w:rPr>
                <w:rFonts w:ascii="Arial" w:cs="Arial" w:eastAsia="Arial" w:hAnsi="Arial"/>
                <w:sz w:val="18"/>
                <w:szCs w:val="18"/>
                <w:color w:val="auto"/>
              </w:rPr>
              <w:t>Date: August 3, 2023</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Ian Simmonds</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Ian Simmonds</w:t>
            </w:r>
          </w:p>
        </w:tc>
      </w:tr>
      <w:tr>
        <w:trPr>
          <w:trHeight w:val="242"/>
        </w:trPr>
        <w:tc>
          <w:tcPr>
            <w:tcW w:w="36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60"/>
        </w:trPr>
        <w:tc>
          <w:tcPr>
            <w:tcW w:w="36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37160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SECOND QUARTER 2023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Sixth Street Specialty Lending, Inc. Reports Second Quarter Results; Declares a Third Quarter Base Dividend Per Share of $0.46, and a Second Quarter Supplemental Dividend Per Share of $0.06</w:t>
      </w:r>
    </w:p>
    <w:p>
      <w:pPr>
        <w:sectPr>
          <w:pgSz w:w="11900" w:h="16838" w:orient="portrait"/>
          <w:cols w:equalWidth="0" w:num="1">
            <w:col w:w="11240"/>
          </w:cols>
          <w:pgMar w:left="320" w:top="105" w:right="339" w:bottom="1440" w:gutter="0" w:footer="0" w:header="0"/>
        </w:sectPr>
      </w:pPr>
    </w:p>
    <w:p>
      <w:pPr>
        <w:spacing w:after="0" w:line="103" w:lineRule="exact"/>
        <w:rPr>
          <w:sz w:val="20"/>
          <w:szCs w:val="20"/>
          <w:color w:val="auto"/>
        </w:rPr>
      </w:pPr>
    </w:p>
    <w:p>
      <w:pPr>
        <w:jc w:val="both"/>
        <w:ind w:left="20"/>
        <w:spacing w:after="0" w:line="300" w:lineRule="auto"/>
        <w:rPr>
          <w:sz w:val="20"/>
          <w:szCs w:val="20"/>
          <w:color w:val="auto"/>
        </w:rPr>
      </w:pPr>
      <w:r>
        <w:rPr>
          <w:rFonts w:ascii="Arial" w:cs="Arial" w:eastAsia="Arial" w:hAnsi="Arial"/>
          <w:sz w:val="16"/>
          <w:szCs w:val="16"/>
          <w:color w:val="auto"/>
        </w:rPr>
        <w:t>NEW YORK—August 3, 2023— Sixth Street Specialty Lending, Inc. (NYSE: TSLX, or the “Company”) today reported net investment income of $0.58 per share and net income of $0.63 per share for the second quarter ended June 30, 2023. These results correspond to an annualized return on equity (ROE) on net investment income and net income of 14.0% and 15.2%, respectvely.</w:t>
      </w:r>
    </w:p>
    <w:p>
      <w:pPr>
        <w:spacing w:after="0" w:line="52"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Both net investment income per share and net income per share include approximately $0.01 per share of capital gains incentve fee expenses that were accrued, but not paid or payable, related to cumulatve unrealized capital gains in excess of cumulatve net realized capital gains less any cumulatve unrealized losses and capital gains incentve fees paid incepton-to-date. Excluding the impact of the accrued capital gains incentve fee expenses, the Company’s adjusted net investment income and adjusted net income for the quarter ended June 30, 2023, were $49.5 million, or $0.59 per share, and $53.8 million, or $0.64 per share, respectvely. These results correspond to an annualized return on equity (ROE) on adjusted net investment income and adjusted net income of 14.2% and 15.4%, respectvely. The Company’s strong net investment income in the second quarter refects contnued strength of the core earnings power of its portolio. Net investment income was supported by elevated portolio yields driven by higher interest rates.</w:t>
      </w:r>
    </w:p>
    <w:p>
      <w:pPr>
        <w:spacing w:after="0" w:line="64"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Reported net asset value (NAV) per share was $16.74 at June 30, 2023 as compared to NAV per share of $16.59 or an adjusted NAV per share of $16.55 at March 31, 2023 (which accounts for the impact of the $0.04 per share frst quarter 2023 supplemental dividend). The drivers of this quarter’s NAV per share growth were primarily the contnued overearning of the Company’s base quarterly dividend, the accretve equity raised during the quarter and net unrealized and realized gains from investments.</w:t>
      </w:r>
    </w:p>
    <w:p>
      <w:pPr>
        <w:spacing w:after="0" w:line="84"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Company announced that its Board of Directors has declared a third quarter 2023 base dividend of $0.46 per share to shareholders of record as of September 15, 2023, payable on September 29, 2023, and a second quarter supplemental dividend of $0.06 per share to shareholders of record as of August 31, 2023, payable on September 20, 2023. Adjusted for the impact of the supplemental dividend related to this quarter’s earnings, the Company’s Q2 adjusted NAV per share was $16.68.</w:t>
      </w:r>
    </w:p>
    <w:p>
      <w:pPr>
        <w:spacing w:after="0" w:line="84"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In May 2023, the Company issued a total of 4,500,000 shares of common stock at $17.60 per share. Net of underwritng fees and ofering costs, the Company received total cash proceeds of approximately $77.6 million. Subsequent to the ofering, the Company issued an additonal 675,000 shares in June 2023 pursuant to the overallotment opton granted to underwriters and received, net of underwritng fees and ofering costs, total cash proceeds of approximately $11.7 million.</w:t>
      </w:r>
    </w:p>
    <w:p>
      <w:pPr>
        <w:spacing w:after="0" w:line="84"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On June 12, 2023, the Company completed an amendment to its Revolving Credit Facility, which, among other changes, (a) increased the aggregate commitments under the facility from $1.585 billion to $1.710 billion, (b) extended the stated maturity date to June 12, 2028 for $1.465 billion of commitments, and (c) added two new banks to the syndicate.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236601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66010" cy="22288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$0.58</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(adjusted):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$0.59</w:t>
            </w:r>
          </w:p>
        </w:tc>
      </w:tr>
      <w:tr>
        <w:trPr>
          <w:trHeight w:val="370"/>
        </w:trPr>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4"/>
        </w:trPr>
        <w:tc>
          <w:tcPr>
            <w:tcW w:w="300" w:type="dxa"/>
            <w:vAlign w:val="bottom"/>
            <w:shd w:val="clear" w:color="auto" w:fill="0F2F50"/>
          </w:tcPr>
          <w:p>
            <w:pPr>
              <w:spacing w:after="0"/>
              <w:rPr>
                <w:sz w:val="22"/>
                <w:szCs w:val="22"/>
                <w:color w:val="auto"/>
              </w:rPr>
            </w:pPr>
          </w:p>
        </w:tc>
        <w:tc>
          <w:tcPr>
            <w:tcW w:w="400" w:type="dxa"/>
            <w:vAlign w:val="bottom"/>
            <w:shd w:val="clear" w:color="auto" w:fill="0F2F50"/>
          </w:tcPr>
          <w:p>
            <w:pPr>
              <w:spacing w:after="0"/>
              <w:rPr>
                <w:sz w:val="22"/>
                <w:szCs w:val="22"/>
                <w:color w:val="auto"/>
              </w:rPr>
            </w:pPr>
          </w:p>
        </w:tc>
        <w:tc>
          <w:tcPr>
            <w:tcW w:w="234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5"/>
              </w:rPr>
              <w:t>Net Income Per Share</w:t>
            </w:r>
          </w:p>
        </w:tc>
        <w:tc>
          <w:tcPr>
            <w:tcW w:w="680" w:type="dxa"/>
            <w:vAlign w:val="bottom"/>
            <w:shd w:val="clear" w:color="auto" w:fill="0F2F50"/>
          </w:tcPr>
          <w:p>
            <w:pPr>
              <w:spacing w:after="0"/>
              <w:rPr>
                <w:sz w:val="22"/>
                <w:szCs w:val="22"/>
                <w:color w:val="auto"/>
              </w:rPr>
            </w:pPr>
          </w:p>
        </w:tc>
      </w:tr>
      <w:tr>
        <w:trPr>
          <w:trHeight w:val="87"/>
        </w:trPr>
        <w:tc>
          <w:tcPr>
            <w:tcW w:w="300" w:type="dxa"/>
            <w:vAlign w:val="bottom"/>
            <w:shd w:val="clear" w:color="auto" w:fill="0F2F50"/>
          </w:tcPr>
          <w:p>
            <w:pPr>
              <w:spacing w:after="0"/>
              <w:rPr>
                <w:sz w:val="7"/>
                <w:szCs w:val="7"/>
                <w:color w:val="auto"/>
              </w:rPr>
            </w:pPr>
          </w:p>
        </w:tc>
        <w:tc>
          <w:tcPr>
            <w:tcW w:w="2740" w:type="dxa"/>
            <w:vAlign w:val="bottom"/>
            <w:gridSpan w:val="2"/>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64"/>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$0.63</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(adjusted):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$0.64</w:t>
            </w:r>
          </w:p>
        </w:tc>
      </w:tr>
      <w:tr>
        <w:trPr>
          <w:trHeight w:val="370"/>
        </w:trPr>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4"/>
        </w:trPr>
        <w:tc>
          <w:tcPr>
            <w:tcW w:w="300" w:type="dxa"/>
            <w:vAlign w:val="bottom"/>
            <w:shd w:val="clear" w:color="auto" w:fill="0F2F50"/>
          </w:tcPr>
          <w:p>
            <w:pPr>
              <w:spacing w:after="0"/>
              <w:rPr>
                <w:sz w:val="22"/>
                <w:szCs w:val="22"/>
                <w:color w:val="auto"/>
              </w:rPr>
            </w:pPr>
          </w:p>
        </w:tc>
        <w:tc>
          <w:tcPr>
            <w:tcW w:w="400" w:type="dxa"/>
            <w:vAlign w:val="bottom"/>
            <w:shd w:val="clear" w:color="auto" w:fill="0F2F50"/>
          </w:tcPr>
          <w:p>
            <w:pPr>
              <w:spacing w:after="0"/>
              <w:rPr>
                <w:sz w:val="22"/>
                <w:szCs w:val="22"/>
                <w:color w:val="auto"/>
              </w:rPr>
            </w:pPr>
          </w:p>
        </w:tc>
        <w:tc>
          <w:tcPr>
            <w:tcW w:w="234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4"/>
              </w:rPr>
              <w:t>Annualized ROE</w:t>
            </w:r>
          </w:p>
        </w:tc>
        <w:tc>
          <w:tcPr>
            <w:tcW w:w="680" w:type="dxa"/>
            <w:vAlign w:val="bottom"/>
            <w:shd w:val="clear" w:color="auto" w:fill="0F2F50"/>
          </w:tcPr>
          <w:p>
            <w:pPr>
              <w:spacing w:after="0"/>
              <w:rPr>
                <w:sz w:val="22"/>
                <w:szCs w:val="22"/>
                <w:color w:val="auto"/>
              </w:rPr>
            </w:pPr>
          </w:p>
        </w:tc>
      </w:tr>
      <w:tr>
        <w:trPr>
          <w:trHeight w:val="87"/>
        </w:trPr>
        <w:tc>
          <w:tcPr>
            <w:tcW w:w="300" w:type="dxa"/>
            <w:vAlign w:val="bottom"/>
            <w:shd w:val="clear" w:color="auto" w:fill="0F2F50"/>
          </w:tcPr>
          <w:p>
            <w:pPr>
              <w:spacing w:after="0"/>
              <w:rPr>
                <w:sz w:val="7"/>
                <w:szCs w:val="7"/>
                <w:color w:val="auto"/>
              </w:rPr>
            </w:pPr>
          </w:p>
        </w:tc>
        <w:tc>
          <w:tcPr>
            <w:tcW w:w="400" w:type="dxa"/>
            <w:vAlign w:val="bottom"/>
            <w:shd w:val="clear" w:color="auto" w:fill="0F2F50"/>
          </w:tcPr>
          <w:p>
            <w:pPr>
              <w:spacing w:after="0"/>
              <w:rPr>
                <w:sz w:val="7"/>
                <w:szCs w:val="7"/>
                <w:color w:val="auto"/>
              </w:rPr>
            </w:pPr>
          </w:p>
        </w:tc>
        <w:tc>
          <w:tcPr>
            <w:tcW w:w="2340" w:type="dxa"/>
            <w:vAlign w:val="bottom"/>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64"/>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(NII):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(NI):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(Adj NII):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7"/>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(Adj NI):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15.4%</w:t>
            </w:r>
          </w:p>
        </w:tc>
      </w:tr>
      <w:tr>
        <w:trPr>
          <w:trHeight w:val="371"/>
        </w:trPr>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4"/>
        </w:trPr>
        <w:tc>
          <w:tcPr>
            <w:tcW w:w="300" w:type="dxa"/>
            <w:vAlign w:val="bottom"/>
            <w:shd w:val="clear" w:color="auto" w:fill="0F2F50"/>
          </w:tcPr>
          <w:p>
            <w:pPr>
              <w:spacing w:after="0"/>
              <w:rPr>
                <w:sz w:val="22"/>
                <w:szCs w:val="22"/>
                <w:color w:val="auto"/>
              </w:rPr>
            </w:pPr>
          </w:p>
        </w:tc>
        <w:tc>
          <w:tcPr>
            <w:tcW w:w="400" w:type="dxa"/>
            <w:vAlign w:val="bottom"/>
            <w:shd w:val="clear" w:color="auto" w:fill="0F2F50"/>
          </w:tcPr>
          <w:p>
            <w:pPr>
              <w:spacing w:after="0"/>
              <w:rPr>
                <w:sz w:val="22"/>
                <w:szCs w:val="22"/>
                <w:color w:val="auto"/>
              </w:rPr>
            </w:pPr>
          </w:p>
        </w:tc>
        <w:tc>
          <w:tcPr>
            <w:tcW w:w="234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4"/>
              </w:rPr>
              <w:t>NAV</w:t>
            </w:r>
          </w:p>
        </w:tc>
        <w:tc>
          <w:tcPr>
            <w:tcW w:w="680" w:type="dxa"/>
            <w:vAlign w:val="bottom"/>
            <w:shd w:val="clear" w:color="auto" w:fill="0F2F50"/>
          </w:tcPr>
          <w:p>
            <w:pPr>
              <w:spacing w:after="0"/>
              <w:rPr>
                <w:sz w:val="22"/>
                <w:szCs w:val="22"/>
                <w:color w:val="auto"/>
              </w:rPr>
            </w:pPr>
          </w:p>
        </w:tc>
      </w:tr>
      <w:tr>
        <w:trPr>
          <w:trHeight w:val="87"/>
        </w:trPr>
        <w:tc>
          <w:tcPr>
            <w:tcW w:w="300" w:type="dxa"/>
            <w:vAlign w:val="bottom"/>
            <w:shd w:val="clear" w:color="auto" w:fill="0F2F50"/>
          </w:tcPr>
          <w:p>
            <w:pPr>
              <w:spacing w:after="0"/>
              <w:rPr>
                <w:sz w:val="7"/>
                <w:szCs w:val="7"/>
                <w:color w:val="auto"/>
              </w:rPr>
            </w:pPr>
          </w:p>
        </w:tc>
        <w:tc>
          <w:tcPr>
            <w:tcW w:w="400" w:type="dxa"/>
            <w:vAlign w:val="bottom"/>
            <w:shd w:val="clear" w:color="auto" w:fill="0F2F50"/>
          </w:tcPr>
          <w:p>
            <w:pPr>
              <w:spacing w:after="0"/>
              <w:rPr>
                <w:sz w:val="7"/>
                <w:szCs w:val="7"/>
                <w:color w:val="auto"/>
              </w:rPr>
            </w:pPr>
          </w:p>
        </w:tc>
        <w:tc>
          <w:tcPr>
            <w:tcW w:w="2340" w:type="dxa"/>
            <w:vAlign w:val="bottom"/>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64"/>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($MM):</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$1,460.5</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7"/>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(per share):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$16.74</w:t>
            </w:r>
          </w:p>
        </w:tc>
      </w:tr>
      <w:tr>
        <w:trPr>
          <w:trHeight w:val="87"/>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(per share, adj):</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$16.68</w:t>
            </w:r>
          </w:p>
        </w:tc>
      </w:tr>
      <w:tr>
        <w:trPr>
          <w:trHeight w:val="371"/>
        </w:trPr>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300" w:type="dxa"/>
            <w:vAlign w:val="bottom"/>
            <w:shd w:val="clear" w:color="auto" w:fill="0F2F50"/>
          </w:tcPr>
          <w:p>
            <w:pPr>
              <w:spacing w:after="0"/>
              <w:rPr>
                <w:sz w:val="21"/>
                <w:szCs w:val="21"/>
                <w:color w:val="auto"/>
              </w:rPr>
            </w:pPr>
          </w:p>
        </w:tc>
        <w:tc>
          <w:tcPr>
            <w:tcW w:w="400" w:type="dxa"/>
            <w:vAlign w:val="bottom"/>
            <w:shd w:val="clear" w:color="auto" w:fill="0F2F50"/>
          </w:tcPr>
          <w:p>
            <w:pPr>
              <w:spacing w:after="0"/>
              <w:rPr>
                <w:sz w:val="21"/>
                <w:szCs w:val="21"/>
                <w:color w:val="auto"/>
              </w:rPr>
            </w:pPr>
          </w:p>
        </w:tc>
        <w:tc>
          <w:tcPr>
            <w:tcW w:w="2340" w:type="dxa"/>
            <w:vAlign w:val="bottom"/>
            <w:shd w:val="clear" w:color="auto" w:fill="0F2F50"/>
          </w:tcPr>
          <w:p>
            <w:pPr>
              <w:ind w:left="20"/>
              <w:spacing w:after="0"/>
              <w:rPr>
                <w:sz w:val="20"/>
                <w:szCs w:val="20"/>
                <w:color w:val="auto"/>
              </w:rPr>
            </w:pPr>
            <w:r>
              <w:rPr>
                <w:rFonts w:ascii="Arial" w:cs="Arial" w:eastAsia="Arial" w:hAnsi="Arial"/>
                <w:sz w:val="18"/>
                <w:szCs w:val="18"/>
                <w:b w:val="1"/>
                <w:bCs w:val="1"/>
                <w:color w:val="FFFFFF"/>
                <w:w w:val="86"/>
              </w:rPr>
              <w:t>Dividends Declared (per share)</w:t>
            </w:r>
          </w:p>
        </w:tc>
        <w:tc>
          <w:tcPr>
            <w:tcW w:w="680" w:type="dxa"/>
            <w:vAlign w:val="bottom"/>
            <w:shd w:val="clear" w:color="auto" w:fill="0F2F50"/>
          </w:tcPr>
          <w:p>
            <w:pPr>
              <w:spacing w:after="0"/>
              <w:rPr>
                <w:sz w:val="21"/>
                <w:szCs w:val="21"/>
                <w:color w:val="auto"/>
              </w:rPr>
            </w:pPr>
          </w:p>
        </w:tc>
      </w:tr>
      <w:tr>
        <w:trPr>
          <w:trHeight w:val="87"/>
        </w:trPr>
        <w:tc>
          <w:tcPr>
            <w:tcW w:w="300" w:type="dxa"/>
            <w:vAlign w:val="bottom"/>
            <w:shd w:val="clear" w:color="auto" w:fill="0F2F50"/>
          </w:tcPr>
          <w:p>
            <w:pPr>
              <w:spacing w:after="0"/>
              <w:rPr>
                <w:sz w:val="7"/>
                <w:szCs w:val="7"/>
                <w:color w:val="auto"/>
              </w:rPr>
            </w:pPr>
          </w:p>
        </w:tc>
        <w:tc>
          <w:tcPr>
            <w:tcW w:w="400" w:type="dxa"/>
            <w:vAlign w:val="bottom"/>
            <w:shd w:val="clear" w:color="auto" w:fill="0F2F50"/>
          </w:tcPr>
          <w:p>
            <w:pPr>
              <w:spacing w:after="0"/>
              <w:rPr>
                <w:sz w:val="7"/>
                <w:szCs w:val="7"/>
                <w:color w:val="auto"/>
              </w:rPr>
            </w:pPr>
          </w:p>
        </w:tc>
        <w:tc>
          <w:tcPr>
            <w:tcW w:w="2340" w:type="dxa"/>
            <w:vAlign w:val="bottom"/>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64"/>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(Base):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$0.46</w:t>
            </w:r>
          </w:p>
        </w:tc>
      </w:tr>
      <w:tr>
        <w:trPr>
          <w:trHeight w:val="87"/>
        </w:trPr>
        <w:tc>
          <w:tcPr>
            <w:tcW w:w="3040" w:type="dxa"/>
            <w:vAlign w:val="bottom"/>
            <w:tcBorders>
              <w:bottom w:val="single" w:sz="8" w:color="auto"/>
            </w:tcBorders>
            <w:gridSpan w:val="3"/>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40" w:type="dxa"/>
            <w:vAlign w:val="bottom"/>
            <w:gridSpan w:val="3"/>
          </w:tcPr>
          <w:p>
            <w:pPr>
              <w:ind w:left="80"/>
              <w:spacing w:after="0"/>
              <w:rPr>
                <w:sz w:val="20"/>
                <w:szCs w:val="20"/>
                <w:color w:val="auto"/>
              </w:rPr>
            </w:pPr>
            <w:r>
              <w:rPr>
                <w:rFonts w:ascii="Arial" w:cs="Arial" w:eastAsia="Arial" w:hAnsi="Arial"/>
                <w:sz w:val="18"/>
                <w:szCs w:val="18"/>
                <w:b w:val="1"/>
                <w:bCs w:val="1"/>
                <w:color w:val="auto"/>
              </w:rPr>
              <w:t>LTM Q2’23 (Base):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$1.79</w:t>
            </w:r>
          </w:p>
        </w:tc>
      </w:tr>
      <w:tr>
        <w:trPr>
          <w:trHeight w:val="87"/>
        </w:trPr>
        <w:tc>
          <w:tcPr>
            <w:tcW w:w="3040" w:type="dxa"/>
            <w:vAlign w:val="bottom"/>
            <w:tcBorders>
              <w:bottom w:val="single" w:sz="8" w:color="auto"/>
            </w:tcBorders>
            <w:gridSpan w:val="3"/>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7"/>
        </w:trPr>
        <w:tc>
          <w:tcPr>
            <w:tcW w:w="3040" w:type="dxa"/>
            <w:vAlign w:val="bottom"/>
            <w:gridSpan w:val="3"/>
          </w:tcPr>
          <w:p>
            <w:pPr>
              <w:ind w:left="80"/>
              <w:spacing w:after="0"/>
              <w:rPr>
                <w:sz w:val="20"/>
                <w:szCs w:val="20"/>
                <w:color w:val="auto"/>
              </w:rPr>
            </w:pPr>
            <w:r>
              <w:rPr>
                <w:rFonts w:ascii="Arial" w:cs="Arial" w:eastAsia="Arial" w:hAnsi="Arial"/>
                <w:sz w:val="18"/>
                <w:szCs w:val="18"/>
                <w:b w:val="1"/>
                <w:bCs w:val="1"/>
                <w:color w:val="auto"/>
              </w:rPr>
              <w:t>LTM Q2’23 (Supplemental):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$0.13</w:t>
            </w:r>
          </w:p>
        </w:tc>
      </w:tr>
      <w:tr>
        <w:trPr>
          <w:trHeight w:val="87"/>
        </w:trPr>
        <w:tc>
          <w:tcPr>
            <w:tcW w:w="3040" w:type="dxa"/>
            <w:vAlign w:val="bottom"/>
            <w:tcBorders>
              <w:bottom w:val="single" w:sz="8" w:color="auto"/>
            </w:tcBorders>
            <w:gridSpan w:val="3"/>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58"/>
        </w:trPr>
        <w:tc>
          <w:tcPr>
            <w:tcW w:w="3040" w:type="dxa"/>
            <w:vAlign w:val="bottom"/>
            <w:gridSpan w:val="3"/>
          </w:tcPr>
          <w:p>
            <w:pPr>
              <w:ind w:left="80"/>
              <w:spacing w:after="0"/>
              <w:rPr>
                <w:sz w:val="20"/>
                <w:szCs w:val="20"/>
                <w:color w:val="auto"/>
              </w:rPr>
            </w:pPr>
            <w:r>
              <w:rPr>
                <w:rFonts w:ascii="Arial" w:cs="Arial" w:eastAsia="Arial" w:hAnsi="Arial"/>
                <w:sz w:val="18"/>
                <w:szCs w:val="18"/>
                <w:b w:val="1"/>
                <w:bCs w:val="1"/>
                <w:color w:val="auto"/>
              </w:rPr>
              <w:t>LTM Q2’23 (Total):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$1.92</w:t>
            </w:r>
          </w:p>
        </w:tc>
      </w:tr>
    </w:tbl>
    <w:p>
      <w:pPr>
        <w:spacing w:after="0" w:line="550" w:lineRule="exact"/>
        <w:rPr>
          <w:sz w:val="20"/>
          <w:szCs w:val="20"/>
          <w:color w:val="auto"/>
        </w:rPr>
      </w:pPr>
    </w:p>
    <w:p>
      <w:pPr>
        <w:sectPr>
          <w:pgSz w:w="11900" w:h="16838" w:orient="portrait"/>
          <w:cols w:equalWidth="0" w:num="2">
            <w:col w:w="7260" w:space="260"/>
            <w:col w:w="3720"/>
          </w:cols>
          <w:pgMar w:left="320" w:top="105" w:right="339" w:bottom="1440" w:gutter="0" w:footer="0" w:header="0"/>
          <w:type w:val="continuous"/>
        </w:sectPr>
      </w:pPr>
    </w:p>
    <w:p>
      <w:pPr>
        <w:spacing w:after="0" w:line="13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PORTFOLIO AND INVESTMENT ACTIVITY</w:t>
      </w:r>
    </w:p>
    <w:p>
      <w:pPr>
        <w:sectPr>
          <w:pgSz w:w="11900" w:h="16838" w:orient="portrait"/>
          <w:cols w:equalWidth="0" w:num="1">
            <w:col w:w="11240"/>
          </w:cols>
          <w:pgMar w:left="320" w:top="104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both"/>
        <w:ind w:left="20"/>
        <w:spacing w:after="0" w:line="273" w:lineRule="auto"/>
        <w:rPr>
          <w:sz w:val="20"/>
          <w:szCs w:val="20"/>
          <w:color w:val="auto"/>
        </w:rPr>
      </w:pPr>
      <w:r>
        <w:rPr>
          <w:rFonts w:ascii="Arial" w:cs="Arial" w:eastAsia="Arial" w:hAnsi="Arial"/>
          <w:sz w:val="18"/>
          <w:szCs w:val="18"/>
          <w:color w:val="auto"/>
        </w:rPr>
        <w:t>For the quarter ended June 30, 2023, new investment commitments totaled $260.4 million. This compares to $176.1 million for the quarter ended March 31, 2023.</w:t>
      </w:r>
    </w:p>
    <w:p>
      <w:pPr>
        <w:spacing w:after="0" w:line="83" w:lineRule="exact"/>
        <w:rPr>
          <w:sz w:val="20"/>
          <w:szCs w:val="20"/>
          <w:color w:val="auto"/>
        </w:rPr>
      </w:pPr>
    </w:p>
    <w:p>
      <w:pPr>
        <w:jc w:val="both"/>
        <w:ind w:left="20"/>
        <w:spacing w:after="0" w:line="292" w:lineRule="auto"/>
        <w:rPr>
          <w:sz w:val="20"/>
          <w:szCs w:val="20"/>
          <w:color w:val="auto"/>
        </w:rPr>
      </w:pPr>
      <w:r>
        <w:rPr>
          <w:rFonts w:ascii="Arial" w:cs="Arial" w:eastAsia="Arial" w:hAnsi="Arial"/>
          <w:sz w:val="16"/>
          <w:szCs w:val="16"/>
          <w:color w:val="auto"/>
        </w:rPr>
        <w:t>For the quarter ended June 30, 2023, the principal amount of new investments funded was $240.0 million across 6 new portolio companies and 4 upsizes to existng portolio companies. For this period, the Company had $114.0 million aggregate principal amount in exits and repayments. For the quarter ended March 31, 2023, the principal amount of new investments funded was $138.9 million across 6 new portolio companies, 5 existng portolio companies and 1 structured credit positon. For that period, the Company had $50.8 million aggregate principal amount in exits and repayments.</w:t>
      </w:r>
    </w:p>
    <w:p>
      <w:pPr>
        <w:spacing w:after="0" w:line="40" w:lineRule="exact"/>
        <w:rPr>
          <w:sz w:val="20"/>
          <w:szCs w:val="20"/>
          <w:color w:val="auto"/>
        </w:rPr>
      </w:pPr>
    </w:p>
    <w:p>
      <w:pPr>
        <w:jc w:val="both"/>
        <w:ind w:left="20"/>
        <w:spacing w:after="0" w:line="232" w:lineRule="auto"/>
        <w:rPr>
          <w:sz w:val="20"/>
          <w:szCs w:val="20"/>
          <w:color w:val="auto"/>
        </w:rPr>
      </w:pPr>
      <w:r>
        <w:rPr>
          <w:rFonts w:ascii="Arial" w:cs="Arial" w:eastAsia="Arial" w:hAnsi="Arial"/>
          <w:sz w:val="18"/>
          <w:szCs w:val="18"/>
          <w:color w:val="auto"/>
        </w:rPr>
        <w:t>As of June 30, 2023 and March 31, 2023, the Company had investments in 86</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83</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portolio companies, respectvely, with an aggregate fair value of $3,089.0 million and $2,918.6 million, respectvely. As of June 30, 2023, the average investment size in each portolio company was $35.3</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million based on fair value.</w:t>
      </w:r>
    </w:p>
    <w:p>
      <w:pPr>
        <w:spacing w:after="0" w:line="5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As of June 30, 2023, the Company’s portolio based on fair value consisted of 90.6% frst-lien debt investments, 1.3% second-lien debt investments, 1.8% structured credit investments, 1.3% mezzanine investments, and 5.0% equity and other investments. As of March 31, 2023, the Company’s portolio based on fair value consisted of 90.8% frst-lien debt investments, 1.6% second-lien debt investments, 1.8% structured credit investments, 0.4% mezzanine debt investments, and 5.4% equity and other investments.</w:t>
      </w:r>
    </w:p>
    <w:p>
      <w:pPr>
        <w:spacing w:after="0" w:line="64" w:lineRule="exact"/>
        <w:rPr>
          <w:sz w:val="20"/>
          <w:szCs w:val="20"/>
          <w:color w:val="auto"/>
        </w:rPr>
      </w:pPr>
    </w:p>
    <w:p>
      <w:pPr>
        <w:jc w:val="both"/>
        <w:ind w:left="20"/>
        <w:spacing w:after="0" w:line="258" w:lineRule="auto"/>
        <w:rPr>
          <w:sz w:val="20"/>
          <w:szCs w:val="20"/>
          <w:color w:val="auto"/>
        </w:rPr>
      </w:pPr>
      <w:r>
        <w:rPr>
          <w:rFonts w:ascii="Arial" w:cs="Arial" w:eastAsia="Arial" w:hAnsi="Arial"/>
          <w:sz w:val="17"/>
          <w:szCs w:val="17"/>
          <w:color w:val="auto"/>
        </w:rPr>
        <w:t>As of June 30, 2023, 99.2% of debt investments</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84"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As of June 30, 2023 and March 31, 2023, the weighted average total yield of debt and income-producing securites at fair value (which includes interest income and amortzaton of fees and discounts) was 14.0% and 13.9%, respectvely, and the weighted average total yield of debt and income-producing securites at amortzed cost (which includes interest income and amortzaton of fees and discounts) was 14.1% and 13.9% for the quarter ended June 30, 2023 and March 31, 2023, respectvely.</w:t>
      </w:r>
    </w:p>
    <w:p>
      <w:pPr>
        <w:spacing w:after="0" w:line="84" w:lineRule="exact"/>
        <w:rPr>
          <w:sz w:val="20"/>
          <w:szCs w:val="20"/>
          <w:color w:val="auto"/>
        </w:rPr>
      </w:pPr>
    </w:p>
    <w:p>
      <w:pPr>
        <w:jc w:val="both"/>
        <w:ind w:left="20"/>
        <w:spacing w:after="0" w:line="337" w:lineRule="auto"/>
        <w:rPr>
          <w:sz w:val="20"/>
          <w:szCs w:val="20"/>
          <w:color w:val="auto"/>
        </w:rPr>
      </w:pPr>
      <w:r>
        <w:rPr>
          <w:rFonts w:ascii="Arial" w:cs="Arial" w:eastAsia="Arial" w:hAnsi="Arial"/>
          <w:sz w:val="16"/>
          <w:szCs w:val="16"/>
          <w:color w:val="auto"/>
        </w:rPr>
        <w:t>As of June 30, 2023 and March 31, 2023, 0.63% and 0.68% of the portolio at fair value was on non-accrual status, respectvely. No new investments were added to non-accrual status during the quarter.</w:t>
      </w:r>
    </w:p>
    <w:p>
      <w:pPr>
        <w:spacing w:after="0" w:line="31" w:lineRule="exact"/>
        <w:rPr>
          <w:sz w:val="20"/>
          <w:szCs w:val="20"/>
          <w:color w:val="auto"/>
        </w:rPr>
      </w:pPr>
    </w:p>
    <w:p>
      <w:pPr>
        <w:ind w:left="260" w:hanging="239"/>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June 30, 2023, excludes 44 structured credit investments with a total fair value of $54.2 million.</w:t>
      </w:r>
    </w:p>
    <w:p>
      <w:pPr>
        <w:spacing w:after="0" w:line="26" w:lineRule="exact"/>
        <w:rPr>
          <w:rFonts w:ascii="Arial" w:cs="Arial" w:eastAsia="Arial" w:hAnsi="Arial"/>
          <w:sz w:val="14"/>
          <w:szCs w:val="14"/>
          <w:color w:val="auto"/>
        </w:rPr>
      </w:pPr>
    </w:p>
    <w:p>
      <w:pPr>
        <w:ind w:left="260" w:hanging="239"/>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March 31, 2023, excludes 44 structured credit investments with a total fair value of $53.7 million.</w:t>
      </w:r>
    </w:p>
    <w:p>
      <w:pPr>
        <w:spacing w:after="0" w:line="8" w:lineRule="exact"/>
        <w:rPr>
          <w:rFonts w:ascii="Arial" w:cs="Arial" w:eastAsia="Arial" w:hAnsi="Arial"/>
          <w:sz w:val="14"/>
          <w:szCs w:val="14"/>
          <w:color w:val="auto"/>
        </w:rPr>
      </w:pPr>
    </w:p>
    <w:p>
      <w:pPr>
        <w:ind w:left="260" w:hanging="239"/>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Calculaton includes income earning debt investments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FFFFFF"/>
        </w:rPr>
        <w:t>Originaton Actvity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22205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0595" cy="15430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60" w:type="dxa"/>
            <w:vAlign w:val="bottom"/>
          </w:tcPr>
          <w:p>
            <w:pPr>
              <w:ind w:left="80"/>
              <w:spacing w:after="0"/>
              <w:rPr>
                <w:sz w:val="20"/>
                <w:szCs w:val="20"/>
                <w:color w:val="auto"/>
              </w:rPr>
            </w:pPr>
            <w:r>
              <w:rPr>
                <w:rFonts w:ascii="Arial" w:cs="Arial" w:eastAsia="Arial" w:hAnsi="Arial"/>
                <w:sz w:val="18"/>
                <w:szCs w:val="18"/>
                <w:b w:val="1"/>
                <w:bCs w:val="1"/>
                <w:color w:val="auto"/>
              </w:rPr>
              <w:t>Commitments:</w:t>
            </w:r>
          </w:p>
        </w:tc>
        <w:tc>
          <w:tcPr>
            <w:tcW w:w="1640" w:type="dxa"/>
            <w:vAlign w:val="bottom"/>
          </w:tcPr>
          <w:p>
            <w:pPr>
              <w:ind w:left="660"/>
              <w:spacing w:after="0"/>
              <w:rPr>
                <w:sz w:val="20"/>
                <w:szCs w:val="20"/>
                <w:color w:val="auto"/>
              </w:rPr>
            </w:pPr>
            <w:r>
              <w:rPr>
                <w:rFonts w:ascii="Arial" w:cs="Arial" w:eastAsia="Arial" w:hAnsi="Arial"/>
                <w:sz w:val="18"/>
                <w:szCs w:val="18"/>
                <w:b w:val="1"/>
                <w:bCs w:val="1"/>
                <w:color w:val="auto"/>
              </w:rPr>
              <w:t>$260.4MM</w:t>
            </w:r>
          </w:p>
        </w:tc>
      </w:tr>
      <w:tr>
        <w:trPr>
          <w:trHeight w:val="33"/>
        </w:trPr>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Fundings:</w:t>
            </w:r>
          </w:p>
        </w:tc>
        <w:tc>
          <w:tcPr>
            <w:tcW w:w="16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$240.0MM</w:t>
            </w:r>
          </w:p>
        </w:tc>
      </w:tr>
      <w:tr>
        <w:trPr>
          <w:trHeight w:val="230"/>
        </w:trPr>
        <w:tc>
          <w:tcPr>
            <w:tcW w:w="1860" w:type="dxa"/>
            <w:vAlign w:val="bottom"/>
          </w:tcPr>
          <w:p>
            <w:pPr>
              <w:ind w:left="80"/>
              <w:spacing w:after="0"/>
              <w:rPr>
                <w:sz w:val="20"/>
                <w:szCs w:val="20"/>
                <w:color w:val="auto"/>
              </w:rPr>
            </w:pPr>
            <w:r>
              <w:rPr>
                <w:rFonts w:ascii="Arial" w:cs="Arial" w:eastAsia="Arial" w:hAnsi="Arial"/>
                <w:sz w:val="18"/>
                <w:szCs w:val="18"/>
                <w:b w:val="1"/>
                <w:bCs w:val="1"/>
                <w:color w:val="auto"/>
              </w:rPr>
              <w:t>Net Fundings:</w:t>
            </w:r>
          </w:p>
        </w:tc>
        <w:tc>
          <w:tcPr>
            <w:tcW w:w="1640" w:type="dxa"/>
            <w:vAlign w:val="bottom"/>
          </w:tcPr>
          <w:p>
            <w:pPr>
              <w:ind w:left="660"/>
              <w:spacing w:after="0"/>
              <w:rPr>
                <w:sz w:val="20"/>
                <w:szCs w:val="20"/>
                <w:color w:val="auto"/>
              </w:rPr>
            </w:pPr>
            <w:r>
              <w:rPr>
                <w:rFonts w:ascii="Arial" w:cs="Arial" w:eastAsia="Arial" w:hAnsi="Arial"/>
                <w:sz w:val="18"/>
                <w:szCs w:val="18"/>
                <w:b w:val="1"/>
                <w:bCs w:val="1"/>
                <w:color w:val="auto"/>
              </w:rPr>
              <w:t>$126.0MM</w:t>
            </w: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24"/>
          <w:szCs w:val="24"/>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22205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0595" cy="154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$35.3MM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 of the portolio at fair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22205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0595" cy="15430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90.6%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222059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0595" cy="15430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91.9%</w:t>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FFFF"/>
        </w:rPr>
        <w:t>Floatng Rate Debt Investments</w:t>
      </w:r>
      <w:r>
        <w:rPr>
          <w:rFonts w:ascii="Arial" w:cs="Arial" w:eastAsia="Arial" w:hAnsi="Arial"/>
          <w:sz w:val="24"/>
          <w:szCs w:val="24"/>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20595"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0595" cy="3683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FFFFFF"/>
        </w:rPr>
        <w:t>(% FV)</w:t>
      </w:r>
    </w:p>
    <w:p>
      <w:pPr>
        <w:spacing w:after="0" w:line="12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99.2%</w:t>
      </w:r>
    </w:p>
    <w:p>
      <w:pPr>
        <w:spacing w:after="0" w:line="360" w:lineRule="exact"/>
        <w:rPr>
          <w:sz w:val="20"/>
          <w:szCs w:val="20"/>
          <w:color w:val="auto"/>
        </w:rPr>
      </w:pPr>
    </w:p>
    <w:p>
      <w:pPr>
        <w:jc w:val="center"/>
        <w:ind w:left="20"/>
        <w:spacing w:after="0" w:line="266" w:lineRule="auto"/>
        <w:rPr>
          <w:sz w:val="20"/>
          <w:szCs w:val="20"/>
          <w:color w:val="auto"/>
        </w:rPr>
      </w:pPr>
      <w:r>
        <w:rPr>
          <w:rFonts w:ascii="Arial" w:cs="Arial" w:eastAsia="Arial" w:hAnsi="Arial"/>
          <w:sz w:val="18"/>
          <w:szCs w:val="18"/>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-277495</wp:posOffset>
            </wp:positionV>
            <wp:extent cx="222059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0595" cy="291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Yield at Fair Value:</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14.0%</w:t>
            </w:r>
          </w:p>
        </w:tc>
      </w:tr>
      <w:tr>
        <w:trPr>
          <w:trHeight w:val="33"/>
        </w:trPr>
        <w:tc>
          <w:tcPr>
            <w:tcW w:w="2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4"/>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Yield at Amortzed Cost:</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480" w:space="260"/>
            <w:col w:w="3500"/>
          </w:cols>
          <w:pgMar w:left="320" w:top="104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RESULTS OF OPERATIONS FOR THE THREE MONTHS ENDED JUNE 30, 2023</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Investment Income</w:t>
      </w:r>
    </w:p>
    <w:p>
      <w:pPr>
        <w:spacing w:after="0" w:line="335" w:lineRule="exact"/>
        <w:rPr>
          <w:sz w:val="20"/>
          <w:szCs w:val="20"/>
          <w:color w:val="auto"/>
        </w:rPr>
      </w:pPr>
    </w:p>
    <w:p>
      <w:pPr>
        <w:jc w:val="both"/>
        <w:ind w:left="20"/>
        <w:spacing w:after="0" w:line="284" w:lineRule="auto"/>
        <w:rPr>
          <w:sz w:val="20"/>
          <w:szCs w:val="20"/>
          <w:color w:val="auto"/>
        </w:rPr>
      </w:pPr>
      <w:r>
        <w:rPr>
          <w:rFonts w:ascii="Arial" w:cs="Arial" w:eastAsia="Arial" w:hAnsi="Arial"/>
          <w:sz w:val="17"/>
          <w:szCs w:val="17"/>
          <w:color w:val="auto"/>
        </w:rPr>
        <w:t>For the three months ended June 30, 2023 and 2022, investment income was $107.6 million and $63.9 million, respectvely. The increase in investment income was largely the result of net funding actvity and higher interest from investments driven by increased all-in yields.</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Expenses</w:t>
      </w:r>
    </w:p>
    <w:p>
      <w:pPr>
        <w:spacing w:after="0" w:line="389"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Net expenses totaled $57.9 million and $22.3 million for the three months ended June 30, 2023 and 2022, respectvely. The increase in net expenses was primarily due to the upward movement in reference rates which increased the Company’s weighted average interest rate on average debt outstanding.</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Debt and Capital Resources</w:t>
      </w:r>
    </w:p>
    <w:p>
      <w:pPr>
        <w:spacing w:after="0" w:line="389"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As of June 30, 2023, the Company had $25.9 million in cash and cash equivalents (including $15.1 million of restricted cash), total principal value of debt outstanding of $1,698.3 million, and $659.2 million of undrawn capacity on its revolving credit facility, subject to borrowing base and other limitatons. The Company’s weighted average interest rate on debt outstanding was 7.1% and 6.7% for the three-month periods ended June 30, 2023 and March 31, 2023, respectvely. At June 30, 2023, the Company’s debt to equity rato was 1.16x, compared to 1.20x at March 31, 2023. Average debt to equity was 1.22x for the three-month period ended June 30, 2023, compared to 1.17x for the three-month period ended March 31, 2023.</w:t>
      </w:r>
    </w:p>
    <w:p>
      <w:pPr>
        <w:spacing w:after="0" w:line="200" w:lineRule="exact"/>
        <w:rPr>
          <w:sz w:val="20"/>
          <w:szCs w:val="20"/>
          <w:color w:val="auto"/>
        </w:rPr>
      </w:pPr>
    </w:p>
    <w:p>
      <w:pPr>
        <w:spacing w:after="0" w:line="330" w:lineRule="exact"/>
        <w:rPr>
          <w:sz w:val="20"/>
          <w:szCs w:val="20"/>
          <w:color w:val="auto"/>
        </w:rPr>
      </w:pPr>
    </w:p>
    <w:p>
      <w:pPr>
        <w:jc w:val="both"/>
        <w:ind w:left="260" w:hanging="239"/>
        <w:spacing w:after="0" w:line="277"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236601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66010" cy="308610"/>
                    </a:xfrm>
                    <a:prstGeom prst="rect">
                      <a:avLst/>
                    </a:prstGeom>
                    <a:noFill/>
                  </pic:spPr>
                </pic:pic>
              </a:graphicData>
            </a:graphic>
          </wp:anchor>
        </w:drawing>
      </w:r>
    </w:p>
    <w:p>
      <w:pPr>
        <w:spacing w:after="0" w:line="3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$107.6MM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567690</wp:posOffset>
            </wp:positionV>
            <wp:extent cx="236601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660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FFFFFF"/>
        </w:rPr>
        <w:t>Net Expenses</w:t>
      </w:r>
    </w:p>
    <w:p>
      <w:pPr>
        <w:spacing w:after="0" w:line="200" w:lineRule="exact"/>
        <w:rPr>
          <w:sz w:val="20"/>
          <w:szCs w:val="20"/>
          <w:color w:val="auto"/>
        </w:rPr>
      </w:pPr>
    </w:p>
    <w:p>
      <w:pPr>
        <w:spacing w:after="0" w:line="20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$57.9MM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747395</wp:posOffset>
            </wp:positionV>
            <wp:extent cx="236601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660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FFFFF"/>
        </w:rPr>
        <w:t>Total Principal Debt Outstanding</w:t>
      </w:r>
    </w:p>
    <w:p>
      <w:pPr>
        <w:spacing w:after="0" w:line="37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$1,698.3MM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236601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6010" cy="308610"/>
                    </a:xfrm>
                    <a:prstGeom prst="rect">
                      <a:avLst/>
                    </a:prstGeom>
                    <a:noFill/>
                  </pic:spPr>
                </pic:pic>
              </a:graphicData>
            </a:graphic>
          </wp:anchor>
        </w:drawing>
      </w:r>
    </w:p>
    <w:p>
      <w:pPr>
        <w:spacing w:after="0" w:line="38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Debt-to-Equity Rato</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2023 Quarter End:</w:t>
            </w:r>
          </w:p>
        </w:tc>
        <w:tc>
          <w:tcPr>
            <w:tcW w:w="1460" w:type="dxa"/>
            <w:vAlign w:val="bottom"/>
          </w:tcPr>
          <w:p>
            <w:pPr>
              <w:ind w:left="560"/>
              <w:spacing w:after="0"/>
              <w:rPr>
                <w:sz w:val="20"/>
                <w:szCs w:val="20"/>
                <w:color w:val="auto"/>
              </w:rPr>
            </w:pPr>
            <w:r>
              <w:rPr>
                <w:rFonts w:ascii="Arial" w:cs="Arial" w:eastAsia="Arial" w:hAnsi="Arial"/>
                <w:sz w:val="18"/>
                <w:szCs w:val="18"/>
                <w:b w:val="1"/>
                <w:bCs w:val="1"/>
                <w:color w:val="auto"/>
              </w:rPr>
              <w:t>1.16x</w:t>
            </w:r>
          </w:p>
        </w:tc>
      </w:tr>
      <w:tr>
        <w:trPr>
          <w:trHeight w:val="141"/>
        </w:trPr>
        <w:tc>
          <w:tcPr>
            <w:tcW w:w="3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404"/>
        </w:trPr>
        <w:tc>
          <w:tcPr>
            <w:tcW w:w="300" w:type="dxa"/>
            <w:vAlign w:val="bottom"/>
          </w:tcPr>
          <w:p>
            <w:pPr>
              <w:ind w:left="80"/>
              <w:spacing w:after="0"/>
              <w:rPr>
                <w:sz w:val="20"/>
                <w:szCs w:val="20"/>
                <w:color w:val="auto"/>
              </w:rPr>
            </w:pPr>
            <w:r>
              <w:rPr>
                <w:rFonts w:ascii="Arial" w:cs="Arial" w:eastAsia="Arial" w:hAnsi="Arial"/>
                <w:sz w:val="18"/>
                <w:szCs w:val="18"/>
                <w:b w:val="1"/>
                <w:bCs w:val="1"/>
                <w:color w:val="auto"/>
                <w:w w:val="83"/>
              </w:rPr>
              <w:t>Q2</w:t>
            </w: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2023 Average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1460" w:type="dxa"/>
            <w:vAlign w:val="bottom"/>
          </w:tcPr>
          <w:p>
            <w:pPr>
              <w:ind w:left="560"/>
              <w:spacing w:after="0"/>
              <w:rPr>
                <w:sz w:val="20"/>
                <w:szCs w:val="20"/>
                <w:color w:val="auto"/>
              </w:rPr>
            </w:pPr>
            <w:r>
              <w:rPr>
                <w:rFonts w:ascii="Arial" w:cs="Arial" w:eastAsia="Arial" w:hAnsi="Arial"/>
                <w:sz w:val="18"/>
                <w:szCs w:val="18"/>
                <w:b w:val="1"/>
                <w:bCs w:val="1"/>
                <w:color w:val="auto"/>
              </w:rPr>
              <w:t>1.22x</w:t>
            </w:r>
          </w:p>
        </w:tc>
      </w:tr>
    </w:tbl>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260" w:space="260"/>
            <w:col w:w="3720"/>
          </w:cols>
          <w:pgMar w:left="320" w:top="10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LIQUIDITY AND FUNDING PROFILE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June 30, 2023 and changes to unfunded commitments since March 31, 2023.</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40" w:type="dxa"/>
            <w:vAlign w:val="bottom"/>
            <w:shd w:val="clear" w:color="auto" w:fill="0F2F50"/>
          </w:tcPr>
          <w:p>
            <w:pPr>
              <w:ind w:left="1720"/>
              <w:spacing w:after="0"/>
              <w:rPr>
                <w:sz w:val="20"/>
                <w:szCs w:val="20"/>
                <w:color w:val="auto"/>
              </w:rPr>
            </w:pPr>
            <w:r>
              <w:rPr>
                <w:rFonts w:ascii="Arial" w:cs="Arial" w:eastAsia="Arial" w:hAnsi="Arial"/>
                <w:sz w:val="18"/>
                <w:szCs w:val="18"/>
                <w:b w:val="1"/>
                <w:bCs w:val="1"/>
                <w:color w:val="FFFFFF"/>
              </w:rPr>
              <w:t>Revolving Credit Facility</w:t>
            </w:r>
          </w:p>
        </w:tc>
        <w:tc>
          <w:tcPr>
            <w:tcW w:w="1100" w:type="dxa"/>
            <w:vAlign w:val="bottom"/>
            <w:shd w:val="clear" w:color="auto" w:fill="0F2F50"/>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shd w:val="clear" w:color="auto" w:fill="0F2F50"/>
          </w:tcPr>
          <w:p>
            <w:pPr>
              <w:ind w:left="1400"/>
              <w:spacing w:after="0"/>
              <w:rPr>
                <w:sz w:val="20"/>
                <w:szCs w:val="20"/>
                <w:color w:val="auto"/>
              </w:rPr>
            </w:pPr>
            <w:r>
              <w:rPr>
                <w:rFonts w:ascii="Arial" w:cs="Arial" w:eastAsia="Arial" w:hAnsi="Arial"/>
                <w:sz w:val="18"/>
                <w:szCs w:val="18"/>
                <w:b w:val="1"/>
                <w:bCs w:val="1"/>
                <w:color w:val="FFFFFF"/>
              </w:rPr>
              <w:t>Unfunded Commitment Activity</w:t>
            </w:r>
          </w:p>
        </w:tc>
        <w:tc>
          <w:tcPr>
            <w:tcW w:w="880" w:type="dxa"/>
            <w:vAlign w:val="bottom"/>
            <w:shd w:val="clear" w:color="auto" w:fill="0F2F50"/>
          </w:tcPr>
          <w:p>
            <w:pPr>
              <w:spacing w:after="0"/>
              <w:rPr>
                <w:sz w:val="24"/>
                <w:szCs w:val="24"/>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$1,710</w:t>
            </w:r>
          </w:p>
        </w:tc>
        <w:tc>
          <w:tcPr>
            <w:tcW w:w="2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Unfunded Commitments (See Note 8 in 3/31/23 10-Q)</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$330</w:t>
            </w:r>
          </w:p>
        </w:tc>
      </w:tr>
    </w:tbl>
    <w:p>
      <w:pPr>
        <w:spacing w:after="0" w:line="1" w:lineRule="exact"/>
        <w:rPr>
          <w:sz w:val="20"/>
          <w:szCs w:val="20"/>
          <w:color w:val="auto"/>
        </w:rPr>
      </w:pPr>
    </w:p>
    <w:p>
      <w:pPr>
        <w:sectPr>
          <w:pgSz w:w="11900" w:h="16838" w:orient="portrait"/>
          <w:cols w:equalWidth="0" w:num="1">
            <w:col w:w="11240"/>
          </w:cols>
          <w:pgMar w:left="320" w:top="1026" w:right="339" w:bottom="1440" w:gutter="0" w:footer="0" w:header="0"/>
        </w:sectPr>
      </w:pPr>
    </w:p>
    <w:tbl>
      <w:tblPr>
        <w:tblLayout w:type="fixed"/>
        <w:tblInd w:w="0" w:type="dxa"/>
        <w:tblCellMar>
          <w:top w:w="0" w:type="dxa"/>
          <w:left w:w="0" w:type="dxa"/>
          <w:bottom w:w="0" w:type="dxa"/>
          <w:right w:w="0" w:type="dxa"/>
        </w:tblCellMar>
      </w:tblPr>
      <w:tr>
        <w:trPr>
          <w:trHeight w:val="208"/>
        </w:trPr>
        <w:tc>
          <w:tcPr>
            <w:tcW w:w="43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2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($1,051)</w:t>
            </w:r>
          </w:p>
        </w:tc>
      </w:tr>
      <w:tr>
        <w:trPr>
          <w:trHeight w:val="208"/>
        </w:trPr>
        <w:tc>
          <w:tcPr>
            <w:tcW w:w="43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2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$11</w:t>
            </w:r>
          </w:p>
        </w:tc>
      </w:tr>
      <w:tr>
        <w:trPr>
          <w:trHeight w:val="202"/>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$670</w:t>
            </w:r>
          </w:p>
        </w:tc>
      </w:tr>
      <w:tr>
        <w:trPr>
          <w:trHeight w:val="24"/>
        </w:trPr>
        <w:tc>
          <w:tcPr>
            <w:tcW w:w="4300" w:type="dxa"/>
            <w:vAlign w:val="bottom"/>
            <w:tcBorders>
              <w:bottom w:val="single" w:sz="8" w:color="ECEEF0"/>
            </w:tcBorders>
          </w:tcPr>
          <w:p>
            <w:pPr>
              <w:spacing w:after="0"/>
              <w:rPr>
                <w:sz w:val="2"/>
                <w:szCs w:val="2"/>
                <w:color w:val="auto"/>
              </w:rPr>
            </w:pPr>
          </w:p>
        </w:tc>
        <w:tc>
          <w:tcPr>
            <w:tcW w:w="1240" w:type="dxa"/>
            <w:vAlign w:val="bottom"/>
            <w:tcBorders>
              <w:bottom w:val="single" w:sz="8" w:color="ECEEF0"/>
            </w:tcBorders>
          </w:tcPr>
          <w:p>
            <w:pPr>
              <w:spacing w:after="0"/>
              <w:rPr>
                <w:sz w:val="2"/>
                <w:szCs w:val="2"/>
                <w:color w:val="auto"/>
              </w:rPr>
            </w:pPr>
          </w:p>
        </w:tc>
      </w:tr>
      <w:tr>
        <w:trPr>
          <w:trHeight w:val="223"/>
        </w:trPr>
        <w:tc>
          <w:tcPr>
            <w:tcW w:w="4300" w:type="dxa"/>
            <w:vAlign w:val="bottom"/>
            <w:tcBorders>
              <w:bottom w:val="single" w:sz="8" w:color="ECEEF0"/>
            </w:tcBorders>
          </w:tcPr>
          <w:p>
            <w:pPr>
              <w:ind w:left="20"/>
              <w:spacing w:after="0" w:line="223" w:lineRule="exact"/>
              <w:rPr>
                <w:sz w:val="20"/>
                <w:szCs w:val="20"/>
                <w:color w:val="auto"/>
              </w:rPr>
            </w:pPr>
            <w:r>
              <w:rPr>
                <w:rFonts w:ascii="Arial" w:cs="Arial" w:eastAsia="Arial" w:hAnsi="Arial"/>
                <w:sz w:val="16"/>
                <w:szCs w:val="16"/>
                <w:color w:val="auto"/>
              </w:rPr>
              <w:t>Available Unfunded Commitments</w:t>
            </w:r>
            <w:r>
              <w:rPr>
                <w:rFonts w:ascii="Arial" w:cs="Arial" w:eastAsia="Arial" w:hAnsi="Arial"/>
                <w:sz w:val="21"/>
                <w:szCs w:val="21"/>
                <w:color w:val="auto"/>
                <w:vertAlign w:val="superscript"/>
              </w:rPr>
              <w:t>1</w:t>
            </w:r>
          </w:p>
        </w:tc>
        <w:tc>
          <w:tcPr>
            <w:tcW w:w="12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($190)</w:t>
            </w:r>
          </w:p>
        </w:tc>
      </w:tr>
      <w:tr>
        <w:trPr>
          <w:trHeight w:val="199"/>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$480</w:t>
            </w:r>
          </w:p>
        </w:tc>
      </w:tr>
      <w:tr>
        <w:trPr>
          <w:trHeight w:val="24"/>
        </w:trPr>
        <w:tc>
          <w:tcPr>
            <w:tcW w:w="4300" w:type="dxa"/>
            <w:vAlign w:val="bottom"/>
            <w:tcBorders>
              <w:bottom w:val="single" w:sz="8" w:color="ECEEF0"/>
            </w:tcBorders>
          </w:tcPr>
          <w:p>
            <w:pPr>
              <w:spacing w:after="0"/>
              <w:rPr>
                <w:sz w:val="2"/>
                <w:szCs w:val="2"/>
                <w:color w:val="auto"/>
              </w:rPr>
            </w:pPr>
          </w:p>
        </w:tc>
        <w:tc>
          <w:tcPr>
            <w:tcW w:w="1240" w:type="dxa"/>
            <w:vAlign w:val="bottom"/>
            <w:tcBorders>
              <w:bottom w:val="single" w:sz="8" w:color="ECEEF0"/>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Extinguished Unfunded Commitments</w:t>
            </w:r>
          </w:p>
        </w:tc>
        <w:tc>
          <w:tcPr>
            <w:tcW w:w="14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($22)</w:t>
            </w:r>
          </w:p>
        </w:tc>
      </w:tr>
      <w:tr>
        <w:trPr>
          <w:trHeight w:val="208"/>
        </w:trPr>
        <w:tc>
          <w:tcPr>
            <w:tcW w:w="40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New Unfunded Commitments</w:t>
            </w:r>
          </w:p>
        </w:tc>
        <w:tc>
          <w:tcPr>
            <w:tcW w:w="14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40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Net Drawdown of Unfunded Commitments</w:t>
            </w:r>
          </w:p>
        </w:tc>
        <w:tc>
          <w:tcPr>
            <w:tcW w:w="14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($39)</w:t>
            </w:r>
          </w:p>
        </w:tc>
      </w:tr>
      <w:tr>
        <w:trPr>
          <w:trHeight w:val="205"/>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Total Unfunded Commitments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r>
      <w:tr>
        <w:trPr>
          <w:trHeight w:val="24"/>
        </w:trPr>
        <w:tc>
          <w:tcPr>
            <w:tcW w:w="4020" w:type="dxa"/>
            <w:vAlign w:val="bottom"/>
            <w:tcBorders>
              <w:bottom w:val="single" w:sz="8" w:color="ECEEF0"/>
            </w:tcBorders>
          </w:tcPr>
          <w:p>
            <w:pPr>
              <w:spacing w:after="0"/>
              <w:rPr>
                <w:sz w:val="2"/>
                <w:szCs w:val="2"/>
                <w:color w:val="auto"/>
              </w:rPr>
            </w:pPr>
          </w:p>
        </w:tc>
        <w:tc>
          <w:tcPr>
            <w:tcW w:w="1440" w:type="dxa"/>
            <w:vAlign w:val="bottom"/>
            <w:tcBorders>
              <w:bottom w:val="single" w:sz="8" w:color="ECEEF0"/>
            </w:tcBorders>
          </w:tcPr>
          <w:p>
            <w:pPr>
              <w:spacing w:after="0"/>
              <w:rPr>
                <w:sz w:val="2"/>
                <w:szCs w:val="2"/>
                <w:color w:val="auto"/>
              </w:rPr>
            </w:pPr>
          </w:p>
        </w:tc>
      </w:tr>
      <w:tr>
        <w:trPr>
          <w:trHeight w:val="223"/>
        </w:trPr>
        <w:tc>
          <w:tcPr>
            <w:tcW w:w="4020" w:type="dxa"/>
            <w:vAlign w:val="bottom"/>
            <w:tcBorders>
              <w:bottom w:val="single" w:sz="8" w:color="ECEEF0"/>
            </w:tcBorders>
          </w:tcPr>
          <w:p>
            <w:pPr>
              <w:ind w:left="20"/>
              <w:spacing w:after="0" w:line="223"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1"/>
                <w:szCs w:val="21"/>
                <w:color w:val="auto"/>
                <w:vertAlign w:val="superscript"/>
              </w:rPr>
              <w:t>1</w:t>
            </w:r>
          </w:p>
        </w:tc>
        <w:tc>
          <w:tcPr>
            <w:tcW w:w="14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($109)</w:t>
            </w:r>
          </w:p>
        </w:tc>
      </w:tr>
      <w:tr>
        <w:trPr>
          <w:trHeight w:val="25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Available Unfunded Commitments</w:t>
            </w:r>
            <w:r>
              <w:rPr>
                <w:rFonts w:ascii="Arial" w:cs="Arial" w:eastAsia="Arial" w:hAnsi="Arial"/>
                <w:sz w:val="21"/>
                <w:szCs w:val="21"/>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463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40" w:space="240"/>
            <w:col w:w="5460"/>
          </w:cols>
          <w:pgMar w:left="320" w:top="1026" w:right="339" w:bottom="1440" w:gutter="0" w:footer="0" w:header="0"/>
          <w:type w:val="continuous"/>
        </w:sectPr>
      </w:pPr>
    </w:p>
    <w:p>
      <w:pPr>
        <w:ind w:left="380" w:hanging="372"/>
        <w:spacing w:after="0" w:line="220" w:lineRule="auto"/>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limitatons on borrowings set forth in the agreements between the Company and the applicable portolio company. As a result, portolio companies may not be eligible to borrow the full commitment amount on such date</w:t>
      </w:r>
    </w:p>
    <w:p>
      <w:pPr>
        <w:spacing w:after="0"/>
        <w:rPr>
          <w:sz w:val="20"/>
          <w:szCs w:val="20"/>
          <w:color w:val="auto"/>
        </w:rPr>
      </w:pPr>
      <w:r>
        <w:rPr>
          <w:rFonts w:ascii="Arial" w:cs="Arial" w:eastAsia="Arial" w:hAnsi="Arial"/>
          <w:sz w:val="13"/>
          <w:szCs w:val="13"/>
          <w:color w:val="auto"/>
        </w:rPr>
        <w:t>Note: May not sum due to rounding</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Profle</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2023, the Company’s funding mix was comprised of approximately 38% unsecured and 62% secured debt. As illustrated below, the Company’s nearest debt maturity is in November 2024 at $348 million, and the weighted average remaining life of investments funded with debt was ~2.1 years, compared to a weighted average remaining maturity on debt of ~4.1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429375" cy="3086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2937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$50 million of non-extending commitments with a maturity of February 4, 2026 and a revolving period ending February 4, 2025; and $170 million of non-extending commitments with a maturity of April 23, 2027 and a revolving period ending April 24, 2026</w:t>
      </w:r>
    </w:p>
    <w:p>
      <w:pPr>
        <w:spacing w:after="0" w:line="1" w:lineRule="exact"/>
        <w:rPr>
          <w:sz w:val="20"/>
          <w:szCs w:val="20"/>
          <w:color w:val="auto"/>
        </w:rPr>
      </w:pPr>
    </w:p>
    <w:p>
      <w:pPr>
        <w:ind w:left="380" w:hanging="372"/>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Net of Deferred Financing Costs and Interest Rate Fair Value Hedging. Deferred Financing Costs total $20.5M at 6/30/23. Fair value hedge on interest rate swaps related to the 2024 and 2026 notes total ($52.6M) at 6/30/23</w:t>
      </w:r>
    </w:p>
    <w:p>
      <w:pPr>
        <w:jc w:val="both"/>
        <w:ind w:left="380" w:hanging="372"/>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amortzed cost of debt investments. Investments are fnanced by debt and equity capital. This analysis assumes longer-dated investments are currently funded by equity capital (48% of investments) and the remaining (shorter-dated) investments (52% of investments) are currently funded by debt fnancing. Investments for purposes of this analysis exclude unfunded commitments, and equity capital is defned as 6/30/23 net assets</w:t>
      </w:r>
    </w:p>
    <w:p>
      <w:pPr>
        <w:ind w:left="380" w:hanging="372"/>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4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Informaton:</w:t>
      </w:r>
    </w:p>
    <w:p>
      <w:pPr>
        <w:spacing w:after="0" w:line="3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conference call to discuss the Company’s fnancial results will be held at 8:30 a.m. Eastern Time on August 4, 2023.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analysts who wish to partcipate in the conference call must frst register at htps://register.vevent.com/register/BIc20f3ef3676e4207b99cc5a6648b1c99. Upon registraton, all telephone partcipants will receive a confrmaton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Informaton:</w:t>
      </w:r>
    </w:p>
    <w:p>
      <w:pPr>
        <w:spacing w:after="0" w:line="3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recorded version will be available under the same webcast link (htps://sixthstreetspecialtylending.gcs-web.com/events-and-presentatons) following the conclusion of the conference call.</w:t>
      </w:r>
    </w:p>
    <w:p>
      <w:pPr>
        <w:spacing w:after="0" w:line="12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7"/>
                <w:szCs w:val="17"/>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March 31, 2023</w:t>
            </w:r>
          </w:p>
        </w:tc>
        <w:tc>
          <w:tcPr>
            <w:tcW w:w="200" w:type="dxa"/>
            <w:vAlign w:val="bottom"/>
          </w:tcPr>
          <w:p>
            <w:pPr>
              <w:spacing w:after="0"/>
              <w:rPr>
                <w:sz w:val="17"/>
                <w:szCs w:val="17"/>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June 30, 2022</w:t>
            </w: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at Fair Value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3,089.0</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2,918.6</w:t>
            </w:r>
          </w:p>
        </w:tc>
        <w:tc>
          <w:tcPr>
            <w:tcW w:w="2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3,141.2</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2,972.7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 Value Per Share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Supplemental Dividend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Adjusted Net Asset Value Per Share </w:t>
            </w:r>
            <w:r>
              <w:rPr>
                <w:rFonts w:ascii="Arial" w:cs="Arial" w:eastAsia="Arial" w:hAnsi="Arial"/>
                <w:sz w:val="24"/>
                <w:szCs w:val="24"/>
                <w:color w:val="auto"/>
                <w:vertAlign w:val="superscript"/>
              </w:rPr>
              <w:t>(1)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Arial" w:cs="Arial" w:eastAsia="Arial" w:hAnsi="Arial"/>
                <w:sz w:val="18"/>
                <w:szCs w:val="18"/>
                <w:color w:val="auto"/>
              </w:rPr>
              <w:t>Accrued Capital Gains Incentive Fee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24"/>
                <w:szCs w:val="24"/>
                <w:color w:val="auto"/>
                <w:vertAlign w:val="superscript"/>
              </w:rPr>
              <w:t>(2)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4"/>
                <w:szCs w:val="24"/>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Investment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Arial" w:cs="Arial" w:eastAsia="Arial" w:hAnsi="Arial"/>
                <w:sz w:val="18"/>
                <w:szCs w:val="18"/>
                <w:color w:val="auto"/>
              </w:rPr>
              <w:t>Accrued Capital Gains Incentive Fee Expense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(0.12 )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24"/>
                <w:szCs w:val="24"/>
                <w:color w:val="auto"/>
                <w:vertAlign w:val="superscript"/>
              </w:rPr>
              <w:t>(2)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24"/>
                <w:szCs w:val="24"/>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0.64</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(0.30 )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24"/>
                <w:szCs w:val="24"/>
                <w:color w:val="auto"/>
                <w:vertAlign w:val="superscript"/>
              </w:rPr>
              <w:t>(3)</w:t>
            </w:r>
          </w:p>
        </w:tc>
        <w:tc>
          <w:tcPr>
            <w:tcW w:w="20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14.0 %</w:t>
            </w:r>
          </w:p>
        </w:tc>
        <w:tc>
          <w:tcPr>
            <w:tcW w:w="18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12.8 %</w:t>
            </w:r>
          </w:p>
        </w:tc>
        <w:tc>
          <w:tcPr>
            <w:tcW w:w="2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Annualized Return on Equity (Net Income (Loss)) </w:t>
            </w:r>
            <w:r>
              <w:rPr>
                <w:rFonts w:ascii="Arial" w:cs="Arial" w:eastAsia="Arial" w:hAnsi="Arial"/>
                <w:sz w:val="24"/>
                <w:szCs w:val="24"/>
                <w:color w:val="auto"/>
                <w:vertAlign w:val="superscript"/>
              </w:rPr>
              <w:t>(3)</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15.8 %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24"/>
                <w:szCs w:val="24"/>
                <w:color w:val="auto"/>
                <w:vertAlign w:val="superscript"/>
              </w:rPr>
              <w:t>(2)(3)</w:t>
            </w:r>
          </w:p>
        </w:tc>
        <w:tc>
          <w:tcPr>
            <w:tcW w:w="20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14.2 %</w:t>
            </w:r>
          </w:p>
        </w:tc>
        <w:tc>
          <w:tcPr>
            <w:tcW w:w="18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13.3 %</w:t>
            </w:r>
          </w:p>
        </w:tc>
        <w:tc>
          <w:tcPr>
            <w:tcW w:w="2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Annualized Return on Equity (Adjusted Net Income (Loss)) </w:t>
            </w:r>
            <w:r>
              <w:rPr>
                <w:rFonts w:ascii="Arial" w:cs="Arial" w:eastAsia="Arial" w:hAnsi="Arial"/>
                <w:sz w:val="24"/>
                <w:szCs w:val="24"/>
                <w:color w:val="auto"/>
                <w:vertAlign w:val="superscript"/>
              </w:rPr>
              <w:t>(2)(3)</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16.3 %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14.0 %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0"/>
              <w:spacing w:after="0"/>
              <w:rPr>
                <w:sz w:val="20"/>
                <w:szCs w:val="20"/>
                <w:color w:val="auto"/>
              </w:rPr>
            </w:pPr>
            <w:r>
              <w:rPr>
                <w:rFonts w:ascii="Arial" w:cs="Arial" w:eastAsia="Arial" w:hAnsi="Arial"/>
                <w:sz w:val="18"/>
                <w:szCs w:val="18"/>
                <w:color w:val="auto"/>
                <w:w w:val="98"/>
              </w:rPr>
              <w:t>Weighted Average Yield of Debt and Income Producing Securities at Amortized</w:t>
            </w:r>
          </w:p>
        </w:tc>
        <w:tc>
          <w:tcPr>
            <w:tcW w:w="200" w:type="dxa"/>
            <w:vAlign w:val="bottom"/>
          </w:tcPr>
          <w:p>
            <w:pPr>
              <w:spacing w:after="0"/>
              <w:rPr>
                <w:sz w:val="18"/>
                <w:szCs w:val="18"/>
                <w:color w:val="auto"/>
              </w:rPr>
            </w:pPr>
          </w:p>
        </w:tc>
        <w:tc>
          <w:tcPr>
            <w:tcW w:w="1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14.1 %</w:t>
            </w:r>
          </w:p>
        </w:tc>
        <w:tc>
          <w:tcPr>
            <w:tcW w:w="180" w:type="dxa"/>
            <w:vAlign w:val="bottom"/>
          </w:tcPr>
          <w:p>
            <w:pPr>
              <w:spacing w:after="0"/>
              <w:rPr>
                <w:sz w:val="18"/>
                <w:szCs w:val="18"/>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13.9 %</w:t>
            </w:r>
          </w:p>
        </w:tc>
        <w:tc>
          <w:tcPr>
            <w:tcW w:w="200" w:type="dxa"/>
            <w:vAlign w:val="bottom"/>
          </w:tcPr>
          <w:p>
            <w:pPr>
              <w:spacing w:after="0"/>
              <w:rPr>
                <w:sz w:val="18"/>
                <w:szCs w:val="18"/>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122"/>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624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24"/>
                <w:szCs w:val="24"/>
                <w:color w:val="auto"/>
                <w:vertAlign w:val="superscript"/>
              </w:rPr>
              <w:t>(4)</w:t>
            </w:r>
          </w:p>
        </w:tc>
        <w:tc>
          <w:tcPr>
            <w:tcW w:w="2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99.2 %</w:t>
            </w:r>
          </w:p>
        </w:tc>
        <w:tc>
          <w:tcPr>
            <w:tcW w:w="18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99.2 %</w:t>
            </w:r>
          </w:p>
        </w:tc>
        <w:tc>
          <w:tcPr>
            <w:tcW w:w="2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99.2 %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net asset value per share gives efect to the supplemental dividend declared related to earnings or special dividend in the applicable period.</w:t>
      </w:r>
    </w:p>
    <w:p>
      <w:pPr>
        <w:spacing w:after="0" w:line="20" w:lineRule="exact"/>
        <w:rPr>
          <w:rFonts w:ascii="Arial" w:cs="Arial" w:eastAsia="Arial" w:hAnsi="Arial"/>
          <w:sz w:val="14"/>
          <w:szCs w:val="14"/>
          <w:color w:val="auto"/>
        </w:rPr>
      </w:pPr>
    </w:p>
    <w:p>
      <w:pPr>
        <w:ind w:left="760" w:right="20" w:hanging="378"/>
        <w:spacing w:after="0" w:line="261"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ind w:left="760" w:hanging="378"/>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14" w:lineRule="exact"/>
        <w:rPr>
          <w:rFonts w:ascii="Arial" w:cs="Arial" w:eastAsia="Arial" w:hAnsi="Arial"/>
          <w:sz w:val="14"/>
          <w:szCs w:val="14"/>
          <w:color w:val="auto"/>
        </w:rPr>
      </w:pPr>
    </w:p>
    <w:p>
      <w:pPr>
        <w:ind w:left="760" w:right="20" w:hanging="378"/>
        <w:spacing w:after="0" w:line="265"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fxed rate investments for which the Company entered into an interest rate swap agreement to swap to foatng rate. Calculaton includes income earning debt investments only.</w:t>
      </w:r>
    </w:p>
    <w:p>
      <w:pPr>
        <w:spacing w:after="0" w:line="1"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0" w:name="page11"/>
    <w:bookmarkEnd w:id="10"/>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Non-controlled, non-affiliated investments (amortized cost of $2,993,190 and $2,707,442,</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3,022,333</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2,717,170</w:t>
            </w:r>
          </w:p>
        </w:tc>
        <w:tc>
          <w:tcPr>
            <w:tcW w:w="140" w:type="dxa"/>
            <w:vAlign w:val="bottom"/>
            <w:shd w:val="clear" w:color="auto" w:fill="CFF0FC"/>
          </w:tcPr>
          <w:p>
            <w:pPr>
              <w:spacing w:after="0"/>
              <w:rPr>
                <w:sz w:val="21"/>
                <w:szCs w:val="21"/>
                <w:color w:val="auto"/>
              </w:rPr>
            </w:pPr>
          </w:p>
        </w:tc>
      </w:tr>
      <w:tr>
        <w:trPr>
          <w:trHeight w:val="243"/>
        </w:trPr>
        <w:tc>
          <w:tcPr>
            <w:tcW w:w="7180" w:type="dxa"/>
            <w:vAlign w:val="bottom"/>
          </w:tcPr>
          <w:p>
            <w:pPr>
              <w:ind w:left="200"/>
              <w:spacing w:after="0"/>
              <w:rPr>
                <w:sz w:val="20"/>
                <w:szCs w:val="20"/>
                <w:color w:val="auto"/>
              </w:rPr>
            </w:pPr>
            <w:r>
              <w:rPr>
                <w:rFonts w:ascii="Arial" w:cs="Arial" w:eastAsia="Arial" w:hAnsi="Arial"/>
                <w:sz w:val="18"/>
                <w:szCs w:val="18"/>
                <w:color w:val="auto"/>
              </w:rPr>
              <w:t>Controlled, affiliated investments (amortized cost of $72,169 and $67,284, respectively)</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66,654</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70,755</w:t>
            </w:r>
          </w:p>
        </w:tc>
        <w:tc>
          <w:tcPr>
            <w:tcW w:w="140" w:type="dxa"/>
            <w:vAlign w:val="bottom"/>
          </w:tcPr>
          <w:p>
            <w:pPr>
              <w:spacing w:after="0"/>
              <w:rPr>
                <w:sz w:val="21"/>
                <w:szCs w:val="21"/>
                <w:color w:val="auto"/>
              </w:rPr>
            </w:pPr>
          </w:p>
        </w:tc>
      </w:tr>
      <w:tr>
        <w:trPr>
          <w:trHeight w:val="23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Total investments at fair value (amortized cost of $3,065,359 and $2,774,726, respectively)</w:t>
            </w:r>
          </w:p>
        </w:tc>
        <w:tc>
          <w:tcPr>
            <w:tcW w:w="3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3,088,987</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2,787,925</w:t>
            </w: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 (restricted cash of $15,115 and $15,437, respectively)</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25,855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25,647</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3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23,239</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w:t>
            </w:r>
          </w:p>
        </w:tc>
        <w:tc>
          <w:tcPr>
            <w:tcW w:w="140" w:type="dxa"/>
            <w:vAlign w:val="bottom"/>
            <w:shd w:val="clear" w:color="auto" w:fill="CFF0FC"/>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40" w:type="dxa"/>
            <w:vAlign w:val="bottom"/>
          </w:tcPr>
          <w:p>
            <w:pPr>
              <w:spacing w:after="0"/>
              <w:rPr>
                <w:sz w:val="21"/>
                <w:szCs w:val="21"/>
                <w:color w:val="auto"/>
              </w:rPr>
            </w:pPr>
          </w:p>
        </w:tc>
      </w:tr>
      <w:tr>
        <w:trPr>
          <w:trHeight w:val="277"/>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3,141,169</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2,836,947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(net of deferred financing costs of $20,531 and $17,760, respectively)</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1,623,301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1,441,796</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Management fees payable to affiliate</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10,526</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Incentive fees on net investment income payable to affiliate</w:t>
            </w:r>
          </w:p>
        </w:tc>
        <w:tc>
          <w:tcPr>
            <w:tcW w:w="3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10,507</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10,918</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Incentive fees on net capital gains accrued to affiliate</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8,570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6,064</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payables to affiliate</w:t>
            </w:r>
          </w:p>
        </w:tc>
        <w:tc>
          <w:tcPr>
            <w:tcW w:w="3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40" w:type="dxa"/>
            <w:vAlign w:val="bottom"/>
            <w:shd w:val="clear" w:color="auto" w:fill="CFF0FC"/>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23,606</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w:t>
            </w:r>
          </w:p>
        </w:tc>
        <w:tc>
          <w:tcPr>
            <w:tcW w:w="140" w:type="dxa"/>
            <w:vAlign w:val="bottom"/>
          </w:tcPr>
          <w:p>
            <w:pPr>
              <w:spacing w:after="0"/>
              <w:rPr>
                <w:sz w:val="21"/>
                <w:szCs w:val="21"/>
                <w:color w:val="auto"/>
              </w:rPr>
            </w:pPr>
          </w:p>
        </w:tc>
      </w:tr>
      <w:tr>
        <w:trPr>
          <w:trHeight w:val="237"/>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1,680,640</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1,495,378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180" w:type="dxa"/>
            <w:vAlign w:val="bottom"/>
          </w:tcPr>
          <w:p>
            <w:pPr>
              <w:ind w:left="20"/>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18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380" w:type="dxa"/>
            <w:vAlign w:val="bottom"/>
          </w:tcPr>
          <w:p>
            <w:pPr>
              <w:spacing w:after="0"/>
              <w:rPr>
                <w:sz w:val="20"/>
                <w:szCs w:val="20"/>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$0.01 par value; 400,000,000 shares authorized, 87,905,481</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82,053,537 shares issued, respectively; and 87,241,231 and 81,389,287</w:t>
            </w: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outstanding, respectively</w:t>
            </w:r>
          </w:p>
        </w:tc>
        <w:tc>
          <w:tcPr>
            <w:tcW w:w="3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1,395,409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1,294,751</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Treasury stock at cost; 664,250 and 664,250 shares held, respectively</w:t>
            </w:r>
          </w:p>
        </w:tc>
        <w:tc>
          <w:tcPr>
            <w:tcW w:w="3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(10,459 )</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(10,459 )</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Distributable earnings</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56,456</w:t>
            </w:r>
          </w:p>
        </w:tc>
        <w:tc>
          <w:tcPr>
            <w:tcW w:w="140" w:type="dxa"/>
            <w:vAlign w:val="bottom"/>
          </w:tcPr>
          <w:p>
            <w:pPr>
              <w:spacing w:after="0"/>
              <w:rPr>
                <w:sz w:val="21"/>
                <w:szCs w:val="21"/>
                <w:color w:val="auto"/>
              </w:rPr>
            </w:pPr>
          </w:p>
        </w:tc>
      </w:tr>
      <w:tr>
        <w:trPr>
          <w:trHeight w:val="236"/>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Net Assets</w:t>
            </w:r>
          </w:p>
        </w:tc>
        <w:tc>
          <w:tcPr>
            <w:tcW w:w="3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1,460,529</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1,341,569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3,141,169</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4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413"/>
        </w:trPr>
        <w:tc>
          <w:tcPr>
            <w:tcW w:w="7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-3779520</wp:posOffset>
            </wp:positionV>
            <wp:extent cx="14401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1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-2510790</wp:posOffset>
            </wp:positionV>
            <wp:extent cx="8572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-2510790</wp:posOffset>
            </wp:positionV>
            <wp:extent cx="8572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-848360</wp:posOffset>
            </wp:positionV>
            <wp:extent cx="857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-848360</wp:posOffset>
            </wp:positionV>
            <wp:extent cx="8572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-505460</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-488315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Sixth Street Specialty Lending,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5"/>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84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6"/>
              </w:rPr>
              <w:t>June 30, 2023</w:t>
            </w:r>
          </w:p>
        </w:tc>
        <w:tc>
          <w:tcPr>
            <w:tcW w:w="160" w:type="dxa"/>
            <w:vAlign w:val="bottom"/>
          </w:tcPr>
          <w:p>
            <w:pPr>
              <w:spacing w:after="0"/>
              <w:rPr>
                <w:sz w:val="16"/>
                <w:szCs w:val="16"/>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w w:val="96"/>
              </w:rPr>
              <w:t>June 30, 2022</w:t>
            </w:r>
          </w:p>
        </w:tc>
        <w:tc>
          <w:tcPr>
            <w:tcW w:w="140" w:type="dxa"/>
            <w:vAlign w:val="bottom"/>
          </w:tcPr>
          <w:p>
            <w:pPr>
              <w:spacing w:after="0"/>
              <w:rPr>
                <w:sz w:val="16"/>
                <w:szCs w:val="16"/>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w w:val="96"/>
              </w:rPr>
              <w:t>June 30, 2023</w:t>
            </w:r>
          </w:p>
        </w:tc>
        <w:tc>
          <w:tcPr>
            <w:tcW w:w="160" w:type="dxa"/>
            <w:vAlign w:val="bottom"/>
          </w:tcPr>
          <w:p>
            <w:pPr>
              <w:spacing w:after="0"/>
              <w:rPr>
                <w:sz w:val="16"/>
                <w:szCs w:val="16"/>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6"/>
              </w:rPr>
              <w:t>June 30, 2022</w:t>
            </w:r>
          </w:p>
        </w:tc>
      </w:tr>
      <w:tr>
        <w:trPr>
          <w:trHeight w:val="169"/>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Investment income from non-controlled, non-affiliated investments: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96,221</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56,747</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184,655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117,907</w:t>
            </w:r>
          </w:p>
        </w:tc>
        <w:tc>
          <w:tcPr>
            <w:tcW w:w="140" w:type="dxa"/>
            <w:vAlign w:val="bottom"/>
            <w:shd w:val="clear" w:color="auto" w:fill="CFF0FC"/>
          </w:tcPr>
          <w:p>
            <w:pPr>
              <w:spacing w:after="0"/>
              <w:rPr>
                <w:sz w:val="15"/>
                <w:szCs w:val="15"/>
                <w:color w:val="auto"/>
              </w:rPr>
            </w:pPr>
          </w:p>
        </w:tc>
      </w:tr>
      <w:tr>
        <w:trPr>
          <w:trHeight w:val="176"/>
        </w:trPr>
        <w:tc>
          <w:tcPr>
            <w:tcW w:w="5120" w:type="dxa"/>
            <w:vAlign w:val="bottom"/>
          </w:tcPr>
          <w:p>
            <w:pPr>
              <w:ind w:left="200"/>
              <w:spacing w:after="0"/>
              <w:rPr>
                <w:sz w:val="20"/>
                <w:szCs w:val="20"/>
                <w:color w:val="auto"/>
              </w:rPr>
            </w:pPr>
            <w:r>
              <w:rPr>
                <w:rFonts w:ascii="Arial" w:cs="Arial" w:eastAsia="Arial" w:hAnsi="Arial"/>
                <w:sz w:val="14"/>
                <w:szCs w:val="14"/>
                <w:color w:val="auto"/>
              </w:rPr>
              <w:t>Paid-in-kind interest income</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4,644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7,647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6,371</w:t>
            </w:r>
          </w:p>
        </w:tc>
        <w:tc>
          <w:tcPr>
            <w:tcW w:w="140" w:type="dxa"/>
            <w:vAlign w:val="bottom"/>
          </w:tcPr>
          <w:p>
            <w:pPr>
              <w:spacing w:after="0"/>
              <w:rPr>
                <w:sz w:val="15"/>
                <w:szCs w:val="15"/>
                <w:color w:val="auto"/>
              </w:rPr>
            </w:pPr>
          </w:p>
        </w:tc>
      </w:tr>
      <w:tr>
        <w:trPr>
          <w:trHeight w:val="175"/>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 income</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1,358</w:t>
            </w:r>
          </w:p>
        </w:tc>
        <w:tc>
          <w:tcPr>
            <w:tcW w:w="140" w:type="dxa"/>
            <w:vAlign w:val="bottom"/>
            <w:shd w:val="clear" w:color="auto" w:fill="CFF0FC"/>
          </w:tcPr>
          <w:p>
            <w:pPr>
              <w:spacing w:after="0"/>
              <w:rPr>
                <w:sz w:val="15"/>
                <w:szCs w:val="15"/>
                <w:color w:val="auto"/>
              </w:rPr>
            </w:pPr>
          </w:p>
        </w:tc>
      </w:tr>
      <w:tr>
        <w:trPr>
          <w:trHeight w:val="176"/>
        </w:trPr>
        <w:tc>
          <w:tcPr>
            <w:tcW w:w="512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4,075</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6,832</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w:t>
            </w:r>
          </w:p>
        </w:tc>
        <w:tc>
          <w:tcPr>
            <w:tcW w:w="140" w:type="dxa"/>
            <w:vAlign w:val="bottom"/>
          </w:tcPr>
          <w:p>
            <w:pPr>
              <w:spacing w:after="0"/>
              <w:rPr>
                <w:sz w:val="15"/>
                <w:szCs w:val="15"/>
                <w:color w:val="auto"/>
              </w:rPr>
            </w:pPr>
          </w:p>
        </w:tc>
      </w:tr>
      <w:tr>
        <w:trPr>
          <w:trHeight w:val="169"/>
        </w:trPr>
        <w:tc>
          <w:tcPr>
            <w:tcW w:w="5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investment income from non-controlled, non-affiliated investments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105,737</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62,757</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200,539</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128,986</w:t>
            </w:r>
          </w:p>
        </w:tc>
        <w:tc>
          <w:tcPr>
            <w:tcW w:w="14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Investment income from non-controlled, affiliated investments: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5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5120" w:type="dxa"/>
            <w:vAlign w:val="bottom"/>
          </w:tcPr>
          <w:p>
            <w:pPr>
              <w:ind w:left="380"/>
              <w:spacing w:after="0"/>
              <w:rPr>
                <w:sz w:val="20"/>
                <w:szCs w:val="20"/>
                <w:color w:val="auto"/>
              </w:rPr>
            </w:pPr>
            <w:r>
              <w:rPr>
                <w:rFonts w:ascii="Arial" w:cs="Arial" w:eastAsia="Arial" w:hAnsi="Arial"/>
                <w:sz w:val="14"/>
                <w:szCs w:val="14"/>
                <w:color w:val="auto"/>
              </w:rPr>
              <w:t>Total investment income from non-controlled, affiliated investments</w:t>
            </w:r>
          </w:p>
        </w:tc>
        <w:tc>
          <w:tcPr>
            <w:tcW w:w="160" w:type="dxa"/>
            <w:vAlign w:val="bottom"/>
          </w:tcPr>
          <w:p>
            <w:pPr>
              <w:spacing w:after="0"/>
              <w:rPr>
                <w:sz w:val="14"/>
                <w:szCs w:val="14"/>
                <w:color w:val="auto"/>
              </w:rPr>
            </w:pPr>
          </w:p>
        </w:tc>
        <w:tc>
          <w:tcPr>
            <w:tcW w:w="14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 from controlled, affiliated investments:</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5120" w:type="dxa"/>
            <w:vAlign w:val="bottom"/>
          </w:tcPr>
          <w:p>
            <w:pPr>
              <w:ind w:left="200"/>
              <w:spacing w:after="0"/>
              <w:rPr>
                <w:sz w:val="20"/>
                <w:szCs w:val="20"/>
                <w:color w:val="auto"/>
              </w:rPr>
            </w:pPr>
            <w:r>
              <w:rPr>
                <w:rFonts w:ascii="Arial" w:cs="Arial" w:eastAsia="Arial" w:hAnsi="Arial"/>
                <w:sz w:val="14"/>
                <w:szCs w:val="14"/>
                <w:color w:val="auto"/>
              </w:rPr>
              <w:t>Interest from investments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3,570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2,195</w:t>
            </w:r>
          </w:p>
        </w:tc>
        <w:tc>
          <w:tcPr>
            <w:tcW w:w="140" w:type="dxa"/>
            <w:vAlign w:val="bottom"/>
          </w:tcPr>
          <w:p>
            <w:pPr>
              <w:spacing w:after="0"/>
              <w:rPr>
                <w:sz w:val="15"/>
                <w:szCs w:val="15"/>
                <w:color w:val="auto"/>
              </w:rPr>
            </w:pPr>
          </w:p>
        </w:tc>
      </w:tr>
      <w:tr>
        <w:trPr>
          <w:trHeight w:val="175"/>
        </w:trPr>
        <w:tc>
          <w:tcPr>
            <w:tcW w:w="5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5120" w:type="dxa"/>
            <w:vAlign w:val="bottom"/>
          </w:tcPr>
          <w:p>
            <w:pPr>
              <w:ind w:left="380"/>
              <w:spacing w:after="0"/>
              <w:rPr>
                <w:sz w:val="20"/>
                <w:szCs w:val="20"/>
                <w:color w:val="auto"/>
              </w:rPr>
            </w:pPr>
            <w:r>
              <w:rPr>
                <w:rFonts w:ascii="Arial" w:cs="Arial" w:eastAsia="Arial" w:hAnsi="Arial"/>
                <w:sz w:val="14"/>
                <w:szCs w:val="14"/>
                <w:color w:val="auto"/>
              </w:rPr>
              <w:t>Total investment income from controlled, affiliated investments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w:t>
            </w:r>
          </w:p>
        </w:tc>
        <w:tc>
          <w:tcPr>
            <w:tcW w:w="140" w:type="dxa"/>
            <w:vAlign w:val="bottom"/>
          </w:tcPr>
          <w:p>
            <w:pPr>
              <w:spacing w:after="0"/>
              <w:rPr>
                <w:sz w:val="14"/>
                <w:szCs w:val="14"/>
                <w:color w:val="auto"/>
              </w:rPr>
            </w:pPr>
          </w:p>
        </w:tc>
      </w:tr>
      <w:tr>
        <w:trPr>
          <w:trHeight w:val="169"/>
        </w:trPr>
        <w:tc>
          <w:tcPr>
            <w:tcW w:w="51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107,605</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63,888</w:t>
            </w: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204,111</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131,316</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32,442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11,963</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60,928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21,565</w:t>
            </w:r>
          </w:p>
        </w:tc>
        <w:tc>
          <w:tcPr>
            <w:tcW w:w="140" w:type="dxa"/>
            <w:vAlign w:val="bottom"/>
            <w:shd w:val="clear" w:color="auto" w:fill="CFF0FC"/>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Management fees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11,410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9,488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22,143</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18,818</w:t>
            </w:r>
          </w:p>
        </w:tc>
        <w:tc>
          <w:tcPr>
            <w:tcW w:w="140" w:type="dxa"/>
            <w:vAlign w:val="bottom"/>
          </w:tcPr>
          <w:p>
            <w:pPr>
              <w:spacing w:after="0"/>
              <w:rPr>
                <w:sz w:val="15"/>
                <w:szCs w:val="15"/>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 on net investment income</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6,724</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14,601</w:t>
            </w:r>
          </w:p>
        </w:tc>
        <w:tc>
          <w:tcPr>
            <w:tcW w:w="140" w:type="dxa"/>
            <w:vAlign w:val="bottom"/>
            <w:shd w:val="clear" w:color="auto" w:fill="CFF0FC"/>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Incentive fees on net capital gains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4"/>
                <w:szCs w:val="14"/>
                <w:color w:val="auto"/>
              </w:rPr>
              <w:t>(9,122 )</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8"/>
              <w:spacing w:after="0"/>
              <w:rPr>
                <w:sz w:val="20"/>
                <w:szCs w:val="20"/>
                <w:color w:val="auto"/>
              </w:rPr>
            </w:pPr>
            <w:r>
              <w:rPr>
                <w:rFonts w:ascii="Arial" w:cs="Arial" w:eastAsia="Arial" w:hAnsi="Arial"/>
                <w:sz w:val="14"/>
                <w:szCs w:val="14"/>
                <w:color w:val="auto"/>
              </w:rPr>
              <w:t>(7,699 )</w:t>
            </w:r>
          </w:p>
        </w:tc>
      </w:tr>
      <w:tr>
        <w:trPr>
          <w:trHeight w:val="176"/>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1,815</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3,298</w:t>
            </w:r>
          </w:p>
        </w:tc>
        <w:tc>
          <w:tcPr>
            <w:tcW w:w="140" w:type="dxa"/>
            <w:vAlign w:val="bottom"/>
            <w:shd w:val="clear" w:color="auto" w:fill="CFF0FC"/>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Directors’ fees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Pr>
          <w:p>
            <w:pPr>
              <w:spacing w:after="0"/>
              <w:rPr>
                <w:sz w:val="15"/>
                <w:szCs w:val="15"/>
                <w:color w:val="auto"/>
              </w:rPr>
            </w:pPr>
          </w:p>
        </w:tc>
      </w:tr>
      <w:tr>
        <w:trPr>
          <w:trHeight w:val="17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general and administrative</w:t>
            </w: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1,188</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1,286</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2,203</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2,745</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5120" w:type="dxa"/>
            <w:vAlign w:val="bottom"/>
          </w:tcPr>
          <w:p>
            <w:pPr>
              <w:ind w:left="380"/>
              <w:spacing w:after="0"/>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58,219</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22,328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111,630</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53,694</w:t>
            </w:r>
          </w:p>
        </w:tc>
        <w:tc>
          <w:tcPr>
            <w:tcW w:w="140" w:type="dxa"/>
            <w:vAlign w:val="bottom"/>
          </w:tcPr>
          <w:p>
            <w:pPr>
              <w:spacing w:after="0"/>
              <w:rPr>
                <w:sz w:val="14"/>
                <w:szCs w:val="14"/>
                <w:color w:val="auto"/>
              </w:rPr>
            </w:pPr>
          </w:p>
        </w:tc>
      </w:tr>
      <w:tr>
        <w:trPr>
          <w:trHeight w:val="169"/>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Management fees waived (Note 3)</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(556</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r>
        <w:trPr>
          <w:trHeight w:val="169"/>
        </w:trPr>
        <w:tc>
          <w:tcPr>
            <w:tcW w:w="5120" w:type="dxa"/>
            <w:vAlign w:val="bottom"/>
          </w:tcPr>
          <w:p>
            <w:pPr>
              <w:ind w:left="560"/>
              <w:spacing w:after="0"/>
              <w:rPr>
                <w:sz w:val="20"/>
                <w:szCs w:val="20"/>
                <w:color w:val="auto"/>
              </w:rPr>
            </w:pPr>
            <w:r>
              <w:rPr>
                <w:rFonts w:ascii="Arial" w:cs="Arial" w:eastAsia="Arial" w:hAnsi="Arial"/>
                <w:sz w:val="14"/>
                <w:szCs w:val="14"/>
                <w:b w:val="1"/>
                <w:bCs w:val="1"/>
                <w:color w:val="auto"/>
              </w:rPr>
              <w:t>Net Expenses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57,919</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22,316</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111,074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53,682</w:t>
            </w:r>
          </w:p>
        </w:tc>
        <w:tc>
          <w:tcPr>
            <w:tcW w:w="140" w:type="dxa"/>
            <w:vAlign w:val="bottom"/>
          </w:tcPr>
          <w:p>
            <w:pPr>
              <w:spacing w:after="0"/>
              <w:rPr>
                <w:sz w:val="14"/>
                <w:szCs w:val="14"/>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Investment Income Before Income Taxes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49,686</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41,572</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93,037</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77,634</w:t>
            </w:r>
          </w:p>
        </w:tc>
        <w:tc>
          <w:tcPr>
            <w:tcW w:w="14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Income taxes, including excise taxes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140" w:type="dxa"/>
            <w:vAlign w:val="bottom"/>
          </w:tcPr>
          <w:p>
            <w:pPr>
              <w:spacing w:after="0"/>
              <w:rPr>
                <w:sz w:val="15"/>
                <w:szCs w:val="15"/>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48,784</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40,822</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91,721</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76,534</w:t>
            </w:r>
          </w:p>
        </w:tc>
        <w:tc>
          <w:tcPr>
            <w:tcW w:w="140" w:type="dxa"/>
            <w:vAlign w:val="bottom"/>
            <w:shd w:val="clear" w:color="auto" w:fill="CFF0FC"/>
          </w:tcPr>
          <w:p>
            <w:pPr>
              <w:spacing w:after="0"/>
              <w:rPr>
                <w:sz w:val="14"/>
                <w:szCs w:val="14"/>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Unrealized and Realized Gains (Losses)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unrealized gains (losses):</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512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7,662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4"/>
                <w:szCs w:val="14"/>
                <w:color w:val="auto"/>
              </w:rPr>
              <w:t>(56,727 )</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19,416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8"/>
              <w:spacing w:after="0"/>
              <w:rPr>
                <w:sz w:val="20"/>
                <w:szCs w:val="20"/>
                <w:color w:val="auto"/>
              </w:rPr>
            </w:pPr>
            <w:r>
              <w:rPr>
                <w:rFonts w:ascii="Arial" w:cs="Arial" w:eastAsia="Arial" w:hAnsi="Arial"/>
                <w:sz w:val="14"/>
                <w:szCs w:val="14"/>
                <w:color w:val="auto"/>
              </w:rPr>
              <w:t>(62,348 )</w:t>
            </w:r>
          </w:p>
        </w:tc>
      </w:tr>
      <w:tr>
        <w:trPr>
          <w:trHeight w:val="176"/>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affiliated investments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(14,350 )</w:t>
            </w:r>
          </w:p>
        </w:tc>
      </w:tr>
      <w:tr>
        <w:trPr>
          <w:trHeight w:val="175"/>
        </w:trPr>
        <w:tc>
          <w:tcPr>
            <w:tcW w:w="5120" w:type="dxa"/>
            <w:vAlign w:val="bottom"/>
          </w:tcPr>
          <w:p>
            <w:pPr>
              <w:ind w:left="200"/>
              <w:spacing w:after="0"/>
              <w:rPr>
                <w:sz w:val="20"/>
                <w:szCs w:val="20"/>
                <w:color w:val="auto"/>
              </w:rPr>
            </w:pPr>
            <w:r>
              <w:rPr>
                <w:rFonts w:ascii="Arial" w:cs="Arial" w:eastAsia="Arial" w:hAnsi="Arial"/>
                <w:sz w:val="14"/>
                <w:szCs w:val="14"/>
                <w:color w:val="auto"/>
              </w:rPr>
              <w:t>Controlled, affiliated investments</w:t>
            </w:r>
          </w:p>
        </w:tc>
        <w:tc>
          <w:tcPr>
            <w:tcW w:w="16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(2,783 )</w:t>
            </w:r>
          </w:p>
        </w:tc>
        <w:tc>
          <w:tcPr>
            <w:tcW w:w="160" w:type="dxa"/>
            <w:vAlign w:val="bottom"/>
          </w:tcPr>
          <w:p>
            <w:pPr>
              <w:spacing w:after="0"/>
              <w:rPr>
                <w:sz w:val="15"/>
                <w:szCs w:val="15"/>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4"/>
                <w:szCs w:val="14"/>
                <w:color w:val="auto"/>
              </w:rPr>
              <w:t>(4,045 )</w:t>
            </w:r>
          </w:p>
        </w:tc>
        <w:tc>
          <w:tcPr>
            <w:tcW w:w="140" w:type="dxa"/>
            <w:vAlign w:val="bottom"/>
          </w:tcPr>
          <w:p>
            <w:pPr>
              <w:spacing w:after="0"/>
              <w:rPr>
                <w:sz w:val="15"/>
                <w:szCs w:val="15"/>
                <w:color w:val="auto"/>
              </w:rPr>
            </w:pPr>
          </w:p>
        </w:tc>
        <w:tc>
          <w:tcPr>
            <w:tcW w:w="1420" w:type="dxa"/>
            <w:vAlign w:val="bottom"/>
            <w:gridSpan w:val="2"/>
          </w:tcPr>
          <w:p>
            <w:pPr>
              <w:jc w:val="right"/>
              <w:ind w:right="148"/>
              <w:spacing w:after="0"/>
              <w:rPr>
                <w:sz w:val="20"/>
                <w:szCs w:val="20"/>
                <w:color w:val="auto"/>
              </w:rPr>
            </w:pPr>
            <w:r>
              <w:rPr>
                <w:rFonts w:ascii="Arial" w:cs="Arial" w:eastAsia="Arial" w:hAnsi="Arial"/>
                <w:sz w:val="14"/>
                <w:szCs w:val="14"/>
                <w:color w:val="auto"/>
              </w:rPr>
              <w:t>(8,987 )</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12,174</w:t>
            </w:r>
          </w:p>
        </w:tc>
        <w:tc>
          <w:tcPr>
            <w:tcW w:w="140" w:type="dxa"/>
            <w:vAlign w:val="bottom"/>
          </w:tcPr>
          <w:p>
            <w:pPr>
              <w:spacing w:after="0"/>
              <w:rPr>
                <w:sz w:val="15"/>
                <w:szCs w:val="15"/>
                <w:color w:val="auto"/>
              </w:rPr>
            </w:pPr>
          </w:p>
        </w:tc>
      </w:tr>
      <w:tr>
        <w:trPr>
          <w:trHeight w:val="175"/>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(2,000 )</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7,671</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(3,004 )</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5,872</w:t>
            </w:r>
          </w:p>
        </w:tc>
        <w:tc>
          <w:tcPr>
            <w:tcW w:w="140" w:type="dxa"/>
            <w:vAlign w:val="bottom"/>
            <w:shd w:val="clear" w:color="auto" w:fill="CFF0FC"/>
          </w:tcPr>
          <w:p>
            <w:pPr>
              <w:spacing w:after="0"/>
              <w:rPr>
                <w:sz w:val="15"/>
                <w:szCs w:val="15"/>
                <w:color w:val="auto"/>
              </w:rPr>
            </w:pPr>
          </w:p>
        </w:tc>
      </w:tr>
      <w:tr>
        <w:trPr>
          <w:trHeight w:val="175"/>
        </w:trPr>
        <w:tc>
          <w:tcPr>
            <w:tcW w:w="512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(57 )</w:t>
            </w:r>
          </w:p>
        </w:tc>
        <w:tc>
          <w:tcPr>
            <w:tcW w:w="160" w:type="dxa"/>
            <w:vAlign w:val="bottom"/>
          </w:tcPr>
          <w:p>
            <w:pPr>
              <w:spacing w:after="0"/>
              <w:rPr>
                <w:sz w:val="15"/>
                <w:szCs w:val="15"/>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4"/>
                <w:szCs w:val="14"/>
                <w:color w:val="auto"/>
              </w:rPr>
              <w:t>(1,650 )</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8"/>
              <w:spacing w:after="0"/>
              <w:rPr>
                <w:sz w:val="20"/>
                <w:szCs w:val="20"/>
                <w:color w:val="auto"/>
              </w:rPr>
            </w:pPr>
            <w:r>
              <w:rPr>
                <w:rFonts w:ascii="Arial" w:cs="Arial" w:eastAsia="Arial" w:hAnsi="Arial"/>
                <w:sz w:val="14"/>
                <w:szCs w:val="14"/>
                <w:color w:val="auto"/>
              </w:rPr>
              <w:t>(4,594 )</w:t>
            </w:r>
          </w:p>
        </w:tc>
      </w:tr>
      <w:tr>
        <w:trPr>
          <w:trHeight w:val="169"/>
        </w:trPr>
        <w:tc>
          <w:tcPr>
            <w:tcW w:w="51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net change in unrealized gains (losses)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2,822</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(54,751</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7,599</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(63,246</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color w:val="auto"/>
              </w:rPr>
              <w:t>Realized gains (losses):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140" w:type="dxa"/>
            <w:vAlign w:val="bottom"/>
            <w:shd w:val="clear" w:color="auto" w:fill="CFF0FC"/>
          </w:tcPr>
          <w:p>
            <w:pPr>
              <w:spacing w:after="0"/>
              <w:rPr>
                <w:sz w:val="15"/>
                <w:szCs w:val="15"/>
                <w:color w:val="auto"/>
              </w:rPr>
            </w:pPr>
          </w:p>
        </w:tc>
      </w:tr>
      <w:tr>
        <w:trPr>
          <w:trHeight w:val="175"/>
        </w:trPr>
        <w:tc>
          <w:tcPr>
            <w:tcW w:w="5120" w:type="dxa"/>
            <w:vAlign w:val="bottom"/>
          </w:tcPr>
          <w:p>
            <w:pPr>
              <w:ind w:left="200"/>
              <w:spacing w:after="0"/>
              <w:rPr>
                <w:sz w:val="20"/>
                <w:szCs w:val="20"/>
                <w:color w:val="auto"/>
              </w:rPr>
            </w:pPr>
            <w:r>
              <w:rPr>
                <w:rFonts w:ascii="Arial" w:cs="Arial" w:eastAsia="Arial" w:hAnsi="Arial"/>
                <w:sz w:val="14"/>
                <w:szCs w:val="14"/>
                <w:color w:val="auto"/>
              </w:rPr>
              <w:t>Non-controlled, affiliated investments</w:t>
            </w:r>
          </w:p>
        </w:tc>
        <w:tc>
          <w:tcPr>
            <w:tcW w:w="160" w:type="dxa"/>
            <w:vAlign w:val="bottom"/>
          </w:tcPr>
          <w:p>
            <w:pPr>
              <w:spacing w:after="0"/>
              <w:rPr>
                <w:sz w:val="15"/>
                <w:szCs w:val="15"/>
                <w:color w:val="auto"/>
              </w:rPr>
            </w:pPr>
          </w:p>
        </w:tc>
        <w:tc>
          <w:tcPr>
            <w:tcW w:w="14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13,673</w:t>
            </w:r>
          </w:p>
        </w:tc>
        <w:tc>
          <w:tcPr>
            <w:tcW w:w="140" w:type="dxa"/>
            <w:vAlign w:val="bottom"/>
          </w:tcPr>
          <w:p>
            <w:pPr>
              <w:spacing w:after="0"/>
              <w:rPr>
                <w:sz w:val="15"/>
                <w:szCs w:val="15"/>
                <w:color w:val="auto"/>
              </w:rPr>
            </w:pPr>
          </w:p>
        </w:tc>
      </w:tr>
      <w:tr>
        <w:trPr>
          <w:trHeight w:val="175"/>
        </w:trPr>
        <w:tc>
          <w:tcPr>
            <w:tcW w:w="5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transactions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(139 )</w:t>
            </w: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(19 )</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(32 )</w:t>
            </w:r>
          </w:p>
        </w:tc>
      </w:tr>
      <w:tr>
        <w:trPr>
          <w:trHeight w:val="169"/>
        </w:trPr>
        <w:tc>
          <w:tcPr>
            <w:tcW w:w="5120" w:type="dxa"/>
            <w:vAlign w:val="bottom"/>
            <w:tcBorders>
              <w:top w:val="single" w:sz="8" w:color="CFF0FC"/>
            </w:tcBorders>
          </w:tcPr>
          <w:p>
            <w:pPr>
              <w:ind w:left="560"/>
              <w:spacing w:after="0"/>
              <w:rPr>
                <w:sz w:val="20"/>
                <w:szCs w:val="20"/>
                <w:color w:val="auto"/>
              </w:rPr>
            </w:pPr>
            <w:r>
              <w:rPr>
                <w:rFonts w:ascii="Arial" w:cs="Arial" w:eastAsia="Arial" w:hAnsi="Arial"/>
                <w:sz w:val="14"/>
                <w:szCs w:val="14"/>
                <w:color w:val="auto"/>
              </w:rPr>
              <w:t>Total net realized gains (losses)</w:t>
            </w: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30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6,722</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14,072</w:t>
            </w:r>
          </w:p>
        </w:tc>
        <w:tc>
          <w:tcPr>
            <w:tcW w:w="140" w:type="dxa"/>
            <w:vAlign w:val="bottom"/>
            <w:tcBorders>
              <w:top w:val="single" w:sz="8" w:color="CFF0FC"/>
            </w:tcBorders>
          </w:tcPr>
          <w:p>
            <w:pPr>
              <w:spacing w:after="0"/>
              <w:rPr>
                <w:sz w:val="14"/>
                <w:szCs w:val="14"/>
                <w:color w:val="auto"/>
              </w:rPr>
            </w:pPr>
          </w:p>
        </w:tc>
      </w:tr>
      <w:tr>
        <w:trPr>
          <w:trHeight w:val="169"/>
        </w:trPr>
        <w:tc>
          <w:tcPr>
            <w:tcW w:w="51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Total Net Unrealized and Realized Gains (Losses)</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4,306</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(54,347</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14,321</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(49,174</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r>
        <w:trPr>
          <w:trHeight w:val="169"/>
        </w:trPr>
        <w:tc>
          <w:tcPr>
            <w:tcW w:w="5120" w:type="dxa"/>
            <w:vAlign w:val="bottom"/>
          </w:tcPr>
          <w:p>
            <w:pPr>
              <w:ind w:left="740"/>
              <w:spacing w:after="0"/>
              <w:rPr>
                <w:sz w:val="20"/>
                <w:szCs w:val="20"/>
                <w:color w:val="auto"/>
              </w:rPr>
            </w:pPr>
            <w:r>
              <w:rPr>
                <w:rFonts w:ascii="Arial" w:cs="Arial" w:eastAsia="Arial" w:hAnsi="Arial"/>
                <w:sz w:val="14"/>
                <w:szCs w:val="14"/>
                <w:b w:val="1"/>
                <w:bCs w:val="1"/>
                <w:color w:val="auto"/>
              </w:rPr>
              <w:t>Increase (Decrease) in Net Assets Resulting from Operations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53,090</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68"/>
              <w:spacing w:after="0"/>
              <w:rPr>
                <w:sz w:val="20"/>
                <w:szCs w:val="20"/>
                <w:color w:val="auto"/>
              </w:rPr>
            </w:pPr>
            <w:r>
              <w:rPr>
                <w:rFonts w:ascii="Arial" w:cs="Arial" w:eastAsia="Arial" w:hAnsi="Arial"/>
                <w:sz w:val="14"/>
                <w:szCs w:val="14"/>
                <w:color w:val="auto"/>
              </w:rPr>
              <w:t>(13,525 )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106,042</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27,360</w:t>
            </w:r>
          </w:p>
        </w:tc>
        <w:tc>
          <w:tcPr>
            <w:tcW w:w="140" w:type="dxa"/>
            <w:vAlign w:val="bottom"/>
          </w:tcPr>
          <w:p>
            <w:pPr>
              <w:spacing w:after="0"/>
              <w:rPr>
                <w:sz w:val="14"/>
                <w:szCs w:val="14"/>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51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Earnings (Loss) per common share—basic</w:t>
            </w: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0.63</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(0.18</w:t>
            </w:r>
          </w:p>
        </w:tc>
        <w:tc>
          <w:tcPr>
            <w:tcW w:w="300" w:type="dxa"/>
            <w:vAlign w:val="bottom"/>
            <w:tcBorders>
              <w:bottom w:val="single" w:sz="8" w:color="CFF0FC"/>
            </w:tcBorders>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1.28</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0.36</w:t>
            </w:r>
          </w:p>
        </w:tc>
        <w:tc>
          <w:tcPr>
            <w:tcW w:w="140" w:type="dxa"/>
            <w:vAlign w:val="bottom"/>
            <w:tcBorders>
              <w:bottom w:val="single" w:sz="8" w:color="CFF0FC"/>
            </w:tcBorders>
            <w:shd w:val="clear" w:color="auto" w:fill="CFF0FC"/>
          </w:tcPr>
          <w:p>
            <w:pPr>
              <w:spacing w:after="0"/>
              <w:rPr>
                <w:sz w:val="13"/>
                <w:szCs w:val="13"/>
                <w:color w:val="auto"/>
              </w:rPr>
            </w:pP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color w:val="auto"/>
              </w:rPr>
              <w:t>Weighted average shares of common stock outstanding—basic</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84,223,032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76,265,661</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82,819,734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76,119,681</w:t>
            </w:r>
          </w:p>
        </w:tc>
        <w:tc>
          <w:tcPr>
            <w:tcW w:w="140" w:type="dxa"/>
            <w:vAlign w:val="bottom"/>
          </w:tcPr>
          <w:p>
            <w:pPr>
              <w:spacing w:after="0"/>
              <w:rPr>
                <w:sz w:val="14"/>
                <w:szCs w:val="14"/>
                <w:color w:val="auto"/>
              </w:rPr>
            </w:pPr>
          </w:p>
        </w:tc>
      </w:tr>
      <w:tr>
        <w:trPr>
          <w:trHeight w:val="169"/>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Earnings per common share—diluted</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0.63</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0.36</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color w:val="auto"/>
              </w:rPr>
              <w:t>Weighted average shares of common stock outstanding—diluted</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84,223,032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81,846,634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82,819,734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81,700,654</w:t>
            </w:r>
          </w:p>
        </w:tc>
        <w:tc>
          <w:tcPr>
            <w:tcW w:w="140" w:type="dxa"/>
            <w:vAlign w:val="bottom"/>
          </w:tcPr>
          <w:p>
            <w:pPr>
              <w:spacing w:after="0"/>
              <w:rPr>
                <w:sz w:val="14"/>
                <w:szCs w:val="14"/>
                <w:color w:val="auto"/>
              </w:rPr>
            </w:pPr>
          </w:p>
        </w:tc>
      </w:tr>
      <w:tr>
        <w:trPr>
          <w:trHeight w:val="425"/>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5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-5005705</wp:posOffset>
            </wp:positionV>
            <wp:extent cx="8572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-5005705</wp:posOffset>
            </wp:positionV>
            <wp:extent cx="8572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-5005705</wp:posOffset>
            </wp:positionV>
            <wp:extent cx="8572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-5005705</wp:posOffset>
            </wp:positionV>
            <wp:extent cx="8572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-4551045</wp:posOffset>
            </wp:positionV>
            <wp:extent cx="8572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-4551045</wp:posOffset>
            </wp:positionV>
            <wp:extent cx="8572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-4551045</wp:posOffset>
            </wp:positionV>
            <wp:extent cx="8572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-4551045</wp:posOffset>
            </wp:positionV>
            <wp:extent cx="8572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-4311015</wp:posOffset>
            </wp:positionV>
            <wp:extent cx="8572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-4311015</wp:posOffset>
            </wp:positionV>
            <wp:extent cx="8572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-4311015</wp:posOffset>
            </wp:positionV>
            <wp:extent cx="8572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-4311015</wp:posOffset>
            </wp:positionV>
            <wp:extent cx="8572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-3411220</wp:posOffset>
            </wp:positionV>
            <wp:extent cx="8572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-3411220</wp:posOffset>
            </wp:positionV>
            <wp:extent cx="8572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-3411220</wp:posOffset>
            </wp:positionV>
            <wp:extent cx="8572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-3411220</wp:posOffset>
            </wp:positionV>
            <wp:extent cx="8572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-3171190</wp:posOffset>
            </wp:positionV>
            <wp:extent cx="8572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-3171190</wp:posOffset>
            </wp:positionV>
            <wp:extent cx="8572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-3171190</wp:posOffset>
            </wp:positionV>
            <wp:extent cx="8572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-3171190</wp:posOffset>
            </wp:positionV>
            <wp:extent cx="8572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-1799590</wp:posOffset>
            </wp:positionV>
            <wp:extent cx="85725"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-1799590</wp:posOffset>
            </wp:positionV>
            <wp:extent cx="8572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-1799590</wp:posOffset>
            </wp:positionV>
            <wp:extent cx="85725"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-1799590</wp:posOffset>
            </wp:positionV>
            <wp:extent cx="8572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-1344930</wp:posOffset>
            </wp:positionV>
            <wp:extent cx="8572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-1344930</wp:posOffset>
            </wp:positionV>
            <wp:extent cx="8572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-1344930</wp:posOffset>
            </wp:positionV>
            <wp:extent cx="8572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-1344930</wp:posOffset>
            </wp:positionV>
            <wp:extent cx="8572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-1104900</wp:posOffset>
            </wp:positionV>
            <wp:extent cx="8572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-1104900</wp:posOffset>
            </wp:positionV>
            <wp:extent cx="8572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-1104900</wp:posOffset>
            </wp:positionV>
            <wp:extent cx="8572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-1104900</wp:posOffset>
            </wp:positionV>
            <wp:extent cx="8572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-847725</wp:posOffset>
            </wp:positionV>
            <wp:extent cx="8572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-847725</wp:posOffset>
            </wp:positionV>
            <wp:extent cx="8572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-847725</wp:posOffset>
            </wp:positionV>
            <wp:extent cx="8572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-847725</wp:posOffset>
            </wp:positionV>
            <wp:extent cx="8572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-608330</wp:posOffset>
            </wp:positionV>
            <wp:extent cx="8572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-608330</wp:posOffset>
            </wp:positionV>
            <wp:extent cx="8572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-608330</wp:posOffset>
            </wp:positionV>
            <wp:extent cx="8572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-608330</wp:posOffset>
            </wp:positionV>
            <wp:extent cx="8572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2" w:name="page13"/>
    <w:bookmarkEnd w:id="12"/>
    <w:p>
      <w:pPr>
        <w:ind w:right="20"/>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The Company’s investment actvity for quarter ended June 30, 2023 and 2022 is presented below (informaton presented herein is at par value unless otherwise indicated).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New investment commitments:</w:t>
            </w:r>
          </w:p>
        </w:tc>
        <w:tc>
          <w:tcPr>
            <w:tcW w:w="2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64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Gross originations </w:t>
            </w:r>
            <w:r>
              <w:rPr>
                <w:rFonts w:ascii="Arial" w:cs="Arial" w:eastAsia="Arial" w:hAnsi="Arial"/>
                <w:sz w:val="24"/>
                <w:szCs w:val="24"/>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1,522.9</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1,569.3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640" w:type="dxa"/>
            <w:vAlign w:val="bottom"/>
            <w:tcBorders>
              <w:bottom w:val="single" w:sz="8" w:color="CFF0FC"/>
            </w:tcBorders>
            <w:shd w:val="clear" w:color="auto" w:fill="CFF0FC"/>
          </w:tcPr>
          <w:p>
            <w:pPr>
              <w:ind w:left="200"/>
              <w:spacing w:after="0" w:line="243" w:lineRule="exact"/>
              <w:rPr>
                <w:sz w:val="20"/>
                <w:szCs w:val="20"/>
                <w:color w:val="auto"/>
              </w:rPr>
            </w:pPr>
            <w:r>
              <w:rPr>
                <w:rFonts w:ascii="Arial" w:cs="Arial" w:eastAsia="Arial" w:hAnsi="Arial"/>
                <w:sz w:val="18"/>
                <w:szCs w:val="18"/>
                <w:color w:val="auto"/>
              </w:rPr>
              <w:t xml:space="preserve">Less: Syndications/sell downs </w:t>
            </w:r>
            <w:r>
              <w:rPr>
                <w:rFonts w:ascii="Arial" w:cs="Arial" w:eastAsia="Arial" w:hAnsi="Arial"/>
                <w:sz w:val="24"/>
                <w:szCs w:val="24"/>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Total new investment commitments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260.4</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Principal amount of investments funded:</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640" w:type="dxa"/>
            <w:vAlign w:val="bottom"/>
          </w:tcPr>
          <w:p>
            <w:pPr>
              <w:ind w:left="200"/>
              <w:spacing w:after="0"/>
              <w:rPr>
                <w:sz w:val="20"/>
                <w:szCs w:val="20"/>
                <w:color w:val="auto"/>
              </w:rPr>
            </w:pPr>
            <w:r>
              <w:rPr>
                <w:rFonts w:ascii="Arial" w:cs="Arial" w:eastAsia="Arial" w:hAnsi="Arial"/>
                <w:sz w:val="18"/>
                <w:szCs w:val="18"/>
                <w:color w:val="auto"/>
              </w:rPr>
              <w:t>First-lien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209.3</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Second-lien</w:t>
            </w: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Mezzanine</w:t>
            </w:r>
          </w:p>
        </w:tc>
        <w:tc>
          <w:tcPr>
            <w:tcW w:w="22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and other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Structured Credit</w:t>
            </w:r>
          </w:p>
        </w:tc>
        <w:tc>
          <w:tcPr>
            <w:tcW w:w="22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3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First-lien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640" w:type="dxa"/>
            <w:vAlign w:val="bottom"/>
          </w:tcPr>
          <w:p>
            <w:pPr>
              <w:ind w:left="200"/>
              <w:spacing w:after="0"/>
              <w:rPr>
                <w:sz w:val="20"/>
                <w:szCs w:val="20"/>
                <w:color w:val="auto"/>
              </w:rPr>
            </w:pPr>
            <w:r>
              <w:rPr>
                <w:rFonts w:ascii="Arial" w:cs="Arial" w:eastAsia="Arial" w:hAnsi="Arial"/>
                <w:sz w:val="18"/>
                <w:szCs w:val="18"/>
                <w:color w:val="auto"/>
              </w:rPr>
              <w:t>Second-lien</w:t>
            </w:r>
          </w:p>
        </w:tc>
        <w:tc>
          <w:tcPr>
            <w:tcW w:w="22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Mezzanine</w:t>
            </w:r>
          </w:p>
        </w:tc>
        <w:tc>
          <w:tcPr>
            <w:tcW w:w="22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0"/>
        </w:trPr>
        <w:tc>
          <w:tcPr>
            <w:tcW w:w="7640" w:type="dxa"/>
            <w:vAlign w:val="bottom"/>
          </w:tcPr>
          <w:p>
            <w:pPr>
              <w:ind w:left="200"/>
              <w:spacing w:after="0"/>
              <w:rPr>
                <w:sz w:val="20"/>
                <w:szCs w:val="20"/>
                <w:color w:val="auto"/>
              </w:rPr>
            </w:pPr>
            <w:r>
              <w:rPr>
                <w:rFonts w:ascii="Arial" w:cs="Arial" w:eastAsia="Arial" w:hAnsi="Arial"/>
                <w:sz w:val="18"/>
                <w:szCs w:val="18"/>
                <w:color w:val="auto"/>
              </w:rPr>
              <w:t>Equity and other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Structured Credit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6"/>
        </w:trPr>
        <w:tc>
          <w:tcPr>
            <w:tcW w:w="76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Number of new investment commitments in</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new portfolio companies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11"/>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Average new investment commitment amount in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7640" w:type="dxa"/>
            <w:vAlign w:val="bottom"/>
          </w:tcPr>
          <w:p>
            <w:pPr>
              <w:ind w:left="160"/>
              <w:spacing w:after="0"/>
              <w:rPr>
                <w:sz w:val="20"/>
                <w:szCs w:val="20"/>
                <w:color w:val="auto"/>
              </w:rPr>
            </w:pPr>
            <w:r>
              <w:rPr>
                <w:rFonts w:ascii="Arial" w:cs="Arial" w:eastAsia="Arial" w:hAnsi="Arial"/>
                <w:sz w:val="18"/>
                <w:szCs w:val="18"/>
                <w:b w:val="1"/>
                <w:bCs w:val="1"/>
                <w:color w:val="auto"/>
              </w:rPr>
              <w:t>new portfolio companies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term for new investment</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commitments in new portfolio companies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(in years)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11"/>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7640" w:type="dxa"/>
            <w:vAlign w:val="bottom"/>
          </w:tcPr>
          <w:p>
            <w:pPr>
              <w:ind w:left="160"/>
              <w:spacing w:after="0"/>
              <w:rPr>
                <w:sz w:val="20"/>
                <w:szCs w:val="20"/>
                <w:color w:val="auto"/>
              </w:rPr>
            </w:pPr>
            <w:r>
              <w:rPr>
                <w:rFonts w:ascii="Arial" w:cs="Arial" w:eastAsia="Arial" w:hAnsi="Arial"/>
                <w:sz w:val="18"/>
                <w:szCs w:val="18"/>
                <w:b w:val="1"/>
                <w:bCs w:val="1"/>
                <w:color w:val="auto"/>
              </w:rPr>
              <w:t>at floating rates</w:t>
            </w:r>
          </w:p>
        </w:tc>
        <w:tc>
          <w:tcPr>
            <w:tcW w:w="2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100.0 %</w:t>
            </w: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18"/>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interest rate of new</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investment commitments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12.6 %</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20" w:type="dxa"/>
            <w:vAlign w:val="bottom"/>
          </w:tcPr>
          <w:p>
            <w:pPr>
              <w:spacing w:after="0"/>
              <w:rPr>
                <w:sz w:val="21"/>
                <w:szCs w:val="21"/>
                <w:color w:val="auto"/>
              </w:rPr>
            </w:pPr>
          </w:p>
        </w:tc>
      </w:tr>
      <w:tr>
        <w:trPr>
          <w:trHeight w:val="211"/>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Weighted average spread over reference rate of new</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7640" w:type="dxa"/>
            <w:vAlign w:val="bottom"/>
          </w:tcPr>
          <w:p>
            <w:pPr>
              <w:ind w:left="160"/>
              <w:spacing w:after="0"/>
              <w:rPr>
                <w:sz w:val="20"/>
                <w:szCs w:val="20"/>
                <w:color w:val="auto"/>
              </w:rPr>
            </w:pPr>
            <w:r>
              <w:rPr>
                <w:rFonts w:ascii="Arial" w:cs="Arial" w:eastAsia="Arial" w:hAnsi="Arial"/>
                <w:sz w:val="18"/>
                <w:szCs w:val="18"/>
                <w:b w:val="1"/>
                <w:bCs w:val="1"/>
                <w:color w:val="auto"/>
              </w:rPr>
              <w:t>floating rate investment commitments</w:t>
            </w:r>
          </w:p>
        </w:tc>
        <w:tc>
          <w:tcPr>
            <w:tcW w:w="2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7.3 %</w:t>
            </w: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7.3 %</w:t>
            </w:r>
          </w:p>
        </w:tc>
      </w:tr>
      <w:tr>
        <w:trPr>
          <w:trHeight w:val="218"/>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interest rate on investments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fully sold or paid down</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15.6 %</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-4525645</wp:posOffset>
            </wp:positionV>
            <wp:extent cx="8572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-4525645</wp:posOffset>
            </wp:positionV>
            <wp:extent cx="8572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-2348230</wp:posOffset>
            </wp:positionV>
            <wp:extent cx="8572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91"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afliates of Sixth Street.</w:t>
      </w:r>
    </w:p>
    <w:p>
      <w:pPr>
        <w:spacing w:after="0" w:line="242"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5"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About Sixth Street Specialty Lending</w:t>
      </w:r>
    </w:p>
    <w:p>
      <w:pPr>
        <w:spacing w:after="0" w:line="2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$65 billion in assets under management and commited capital. For more informaton, visit the Company’s website at htps://sixthstreetspecialtylending.com.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Sixth Street is a global investment frm with $65 billion in assets under management and commited capital. The frm uses its long-term fexible capital, data-enabled capabilites, and One Team culture to develop themes and ofer solutons to companies across all stages of growth. Founded in 2009, Sixth Street has more than 500 team members including over 200 investment professionals around the world. For more informaton, visit htps://sixthstreet.com or follow Sixth Street on LinkedIn.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Statements included herein may consttute “forward-looking statements,” which relate to future events or the Company’s future performance or fnancial conditon.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Securites and Exchange Commission. The Company assumes no obligaton to update any such forward-looking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Patrick Cliford,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PCliford@sixthstreet.com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2023-08-03T15:37:45Z</dcterms:created>
  <dcterms:modified xsi:type="dcterms:W3CDTF">2023-08-03T15:37:45Z</dcterms:modified>
</cp:coreProperties>
</file>