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May 6,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4160" w:type="dxa"/>
            <w:vAlign w:val="bottom"/>
          </w:tcPr>
          <w:p>
            <w:pPr>
              <w:jc w:val="center"/>
              <w:ind w:right="2399"/>
              <w:spacing w:after="0"/>
              <w:rPr>
                <w:sz w:val="20"/>
                <w:szCs w:val="20"/>
                <w:color w:val="auto"/>
              </w:rPr>
            </w:pPr>
            <w:r>
              <w:rPr>
                <w:rFonts w:ascii="Arial" w:cs="Arial" w:eastAsia="Arial" w:hAnsi="Arial"/>
                <w:sz w:val="18"/>
                <w:szCs w:val="18"/>
                <w:b w:val="1"/>
                <w:bCs w:val="1"/>
                <w:color w:val="auto"/>
                <w:w w:val="91"/>
              </w:rPr>
              <w:t>Delaware</w:t>
            </w:r>
          </w:p>
        </w:tc>
        <w:tc>
          <w:tcPr>
            <w:tcW w:w="2380" w:type="dxa"/>
            <w:vAlign w:val="bottom"/>
          </w:tcPr>
          <w:p>
            <w:pPr>
              <w:ind w:left="200"/>
              <w:spacing w:after="0"/>
              <w:rPr>
                <w:sz w:val="20"/>
                <w:szCs w:val="20"/>
                <w:color w:val="auto"/>
              </w:rPr>
            </w:pPr>
            <w:r>
              <w:rPr>
                <w:rFonts w:ascii="Arial" w:cs="Arial" w:eastAsia="Arial" w:hAnsi="Arial"/>
                <w:sz w:val="18"/>
                <w:szCs w:val="18"/>
                <w:b w:val="1"/>
                <w:bCs w:val="1"/>
                <w:color w:val="auto"/>
              </w:rPr>
              <w:t>001-36364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4160" w:type="dxa"/>
            <w:vAlign w:val="bottom"/>
          </w:tcPr>
          <w:p>
            <w:pPr>
              <w:jc w:val="center"/>
              <w:ind w:right="23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8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60" w:type="dxa"/>
            <w:vAlign w:val="bottom"/>
          </w:tcPr>
          <w:p>
            <w:pPr>
              <w:jc w:val="center"/>
              <w:ind w:right="2379"/>
              <w:spacing w:after="0"/>
              <w:rPr>
                <w:sz w:val="20"/>
                <w:szCs w:val="20"/>
                <w:color w:val="auto"/>
              </w:rPr>
            </w:pPr>
            <w:r>
              <w:rPr>
                <w:rFonts w:ascii="Arial" w:cs="Arial" w:eastAsia="Arial" w:hAnsi="Arial"/>
                <w:sz w:val="14"/>
                <w:szCs w:val="14"/>
                <w:b w:val="1"/>
                <w:bCs w:val="1"/>
                <w:color w:val="auto"/>
                <w:w w:val="94"/>
              </w:rPr>
              <w:t>of Incorporation)</w:t>
            </w:r>
          </w:p>
        </w:tc>
        <w:tc>
          <w:tcPr>
            <w:tcW w:w="2380" w:type="dxa"/>
            <w:vAlign w:val="bottom"/>
          </w:tcPr>
          <w:p>
            <w:pPr>
              <w:ind w:left="16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160" w:type="dxa"/>
            <w:vAlign w:val="bottom"/>
          </w:tcPr>
          <w:p>
            <w:pPr>
              <w:jc w:val="center"/>
              <w:ind w:left="1219"/>
              <w:spacing w:after="0"/>
              <w:rPr>
                <w:sz w:val="20"/>
                <w:szCs w:val="20"/>
                <w:color w:val="auto"/>
              </w:rPr>
            </w:pPr>
            <w:r>
              <w:rPr>
                <w:rFonts w:ascii="Arial" w:cs="Arial" w:eastAsia="Arial" w:hAnsi="Arial"/>
                <w:sz w:val="18"/>
                <w:szCs w:val="18"/>
                <w:b w:val="1"/>
                <w:bCs w:val="1"/>
                <w:color w:val="auto"/>
                <w:w w:val="89"/>
              </w:rPr>
              <w:t>301 Commerce Street, Suite 3300</w:t>
            </w:r>
          </w:p>
        </w:tc>
        <w:tc>
          <w:tcPr>
            <w:tcW w:w="238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5"/>
        </w:trPr>
        <w:tc>
          <w:tcPr>
            <w:tcW w:w="4160" w:type="dxa"/>
            <w:vAlign w:val="bottom"/>
          </w:tcPr>
          <w:p>
            <w:pPr>
              <w:jc w:val="center"/>
              <w:ind w:left="1219"/>
              <w:spacing w:after="0"/>
              <w:rPr>
                <w:sz w:val="20"/>
                <w:szCs w:val="20"/>
                <w:color w:val="auto"/>
              </w:rPr>
            </w:pPr>
            <w:r>
              <w:rPr>
                <w:rFonts w:ascii="Arial" w:cs="Arial" w:eastAsia="Arial" w:hAnsi="Arial"/>
                <w:sz w:val="18"/>
                <w:szCs w:val="18"/>
                <w:b w:val="1"/>
                <w:bCs w:val="1"/>
                <w:color w:val="auto"/>
                <w:w w:val="97"/>
              </w:rPr>
              <w:t>Fort Worth, TX</w:t>
            </w:r>
          </w:p>
        </w:tc>
        <w:tc>
          <w:tcPr>
            <w:tcW w:w="2380" w:type="dxa"/>
            <w:vAlign w:val="bottom"/>
          </w:tcPr>
          <w:p>
            <w:pPr>
              <w:spacing w:after="0"/>
              <w:rPr>
                <w:sz w:val="19"/>
                <w:szCs w:val="19"/>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76102</w:t>
            </w:r>
          </w:p>
        </w:tc>
      </w:tr>
      <w:tr>
        <w:trPr>
          <w:trHeight w:val="186"/>
        </w:trPr>
        <w:tc>
          <w:tcPr>
            <w:tcW w:w="4160" w:type="dxa"/>
            <w:vAlign w:val="bottom"/>
          </w:tcPr>
          <w:p>
            <w:pPr>
              <w:jc w:val="center"/>
              <w:ind w:left="121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8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On May 8, 2014, the registrant issued a press release announcing its financial results for the quarter ended March 31, 2014. The text of the press release is included as Exhibit 99.1 to this Form 8-K.</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information disclosed under this Item 2.02,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5.02 – Appointment of Certain Officers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May 6, 2014, the registrant’s Board of Directors elected Robert Ollwerther to the position of Chief Operating Officer.</w:t>
      </w:r>
    </w:p>
    <w:p>
      <w:pPr>
        <w:spacing w:after="0" w:line="225"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Mr. Ollwerther, 57, has served as a Managing Director for TPG Special Situations Partners (“TSSP”) since 2014. From 2013 to 2014, he was a senior advisor to TSSP. From 2008 to 2012, he was Chief Operating Officer of Avenue Capital Group, a global firm with over $13 billion in assets under management. Prior to that, Mr. Ollwerther spent over 25 years at Merrill Lynch in various senior leadership roles, most recently as Managing Director and Chief Operating Officer of the Hedge Fund Management &amp; Development Group. He is a Certified Public Accountant with a B.S. from Fairfield University and an M.B.A. from New York University’s Stern School of Business.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On May 8, 2014, the registrant issued a press release, included herewith as Exhibit 99.1, announcing the declaration of a second fiscal quarter of 2014 dividend of $0.38 per share, payable on or about July 31, 2014 to stockholders of record as of June 30, 2014.</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3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Exhibit</w:t>
      </w:r>
    </w:p>
    <w:p>
      <w:pPr>
        <w:spacing w:after="0"/>
        <w:tabs>
          <w:tab w:leader="none" w:pos="1020" w:val="left"/>
        </w:tabs>
        <w:rPr>
          <w:sz w:val="20"/>
          <w:szCs w:val="20"/>
          <w:color w:val="auto"/>
        </w:rPr>
      </w:pPr>
      <w:r>
        <w:rPr>
          <w:rFonts w:ascii="Arial" w:cs="Arial" w:eastAsia="Arial" w:hAnsi="Arial"/>
          <w:sz w:val="14"/>
          <w:szCs w:val="14"/>
          <w:u w:val="single" w:color="auto"/>
          <w:color w:val="auto"/>
        </w:rPr>
        <w:t>Number</w:t>
      </w:r>
      <w:r>
        <w:rPr>
          <w:sz w:val="20"/>
          <w:szCs w:val="20"/>
          <w:color w:val="auto"/>
        </w:rPr>
        <w:tab/>
      </w:r>
      <w:r>
        <w:rPr>
          <w:rFonts w:ascii="Arial" w:cs="Arial" w:eastAsia="Arial" w:hAnsi="Arial"/>
          <w:sz w:val="14"/>
          <w:szCs w:val="14"/>
          <w:u w:val="single" w:color="auto"/>
          <w:color w:val="auto"/>
        </w:rPr>
        <w:t>Description</w:t>
      </w:r>
    </w:p>
    <w:p>
      <w:pPr>
        <w:spacing w:after="0" w:line="1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May 8, 2014</w:t>
      </w:r>
    </w:p>
    <w:p>
      <w:pPr>
        <w:sectPr>
          <w:pgSz w:w="11900" w:h="16838" w:orient="portrait"/>
          <w:cols w:equalWidth="0" w:num="1">
            <w:col w:w="11400"/>
          </w:cols>
          <w:pgMar w:left="240" w:top="270" w:right="25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jc w:val="center"/>
        <w:ind w:left="3040"/>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jc w:val="center"/>
        <w:ind w:left="306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May 8, 2014</w:t>
      </w:r>
      <w:r>
        <w:rPr>
          <w:sz w:val="20"/>
          <w:szCs w:val="20"/>
          <w:color w:val="auto"/>
        </w:rPr>
        <w:tab/>
      </w:r>
      <w:r>
        <w:rPr>
          <w:rFonts w:ascii="Arial" w:cs="Arial" w:eastAsia="Arial" w:hAnsi="Arial"/>
          <w:sz w:val="17"/>
          <w:szCs w:val="17"/>
          <w:color w:val="auto"/>
        </w:rPr>
        <w:t>By: /s/ Alan Kirshenbaum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Alan Kirshenbaum</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80"/>
          </w:cols>
          <w:pgMar w:left="240" w:top="274" w:right="379" w:bottom="1440" w:gutter="0" w:footer="0" w:header="0"/>
        </w:sectPr>
      </w:pPr>
    </w:p>
    <w:bookmarkStart w:id="3" w:name="page4"/>
    <w:bookmarkEnd w:id="3"/>
    <w:p>
      <w:pPr>
        <w:ind w:left="1048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TPG Specialty Lending, Inc. Announces Quarter Ended March 31, 2014 Financial Results; Declares Quarterly Dividend of $0.38 per share for the Second Fiscal Quarter of 2014</w:t>
      </w:r>
    </w:p>
    <w:p>
      <w:pPr>
        <w:spacing w:after="0" w:line="16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NEW YORK—(BUSINESS WIRE)—May 8, 2014—TPG Specialty Lending, Inc. (NYSE: TSLX) today reported net income of $25.3 million, or $0.61 per share, for the quarter ended March 31, 2014. Net investment income was $21.2 million, or $0.51 per share, for the first quarter. Net asset value (NAV) per share was $15.51 at March 31, 2014, up $0.10 per share as compared to the as adjusted pro forma NAV per share of $15.41 as detailed in the Prospectus from our initial public offering dated March 20, 2014, as a result of over-earning our dividend on a net investment income basis and net realized and unrealized gains during the quarter. The Company’s Board of Directors declared a first quarter dividend of $0.38 per share payable to stockholders of record as of March 31, 2014 that was paid on April 30, 2014.</w:t>
      </w:r>
    </w:p>
    <w:p>
      <w:pPr>
        <w:spacing w:after="0" w:line="19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also announced that its Board of Directors has declared a quarterly dividend of $0.38 per share for its second fiscal quarter of 2014, which will be payable on or about July 31, 2014 to stockholders of record as of June 30,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48" w:lineRule="exact"/>
        <w:rPr>
          <w:sz w:val="20"/>
          <w:szCs w:val="20"/>
          <w:color w:val="auto"/>
        </w:rPr>
      </w:pPr>
    </w:p>
    <w:p>
      <w:pPr>
        <w:jc w:val="center"/>
        <w:ind w:left="4220"/>
        <w:spacing w:after="0"/>
        <w:rPr>
          <w:sz w:val="20"/>
          <w:szCs w:val="20"/>
          <w:color w:val="auto"/>
        </w:rPr>
      </w:pPr>
      <w:r>
        <w:rPr>
          <w:rFonts w:ascii="Arial" w:cs="Arial" w:eastAsia="Arial" w:hAnsi="Arial"/>
          <w:sz w:val="14"/>
          <w:szCs w:val="14"/>
          <w:b w:val="1"/>
          <w:bCs w:val="1"/>
          <w:color w:val="auto"/>
        </w:rPr>
        <w:t>(Amounts in thousands, except per share amounts)</w:t>
      </w:r>
    </w:p>
    <w:p>
      <w:pPr>
        <w:spacing w:after="0" w:line="4" w:lineRule="exact"/>
        <w:rPr>
          <w:sz w:val="20"/>
          <w:szCs w:val="20"/>
          <w:color w:val="auto"/>
        </w:rPr>
      </w:pPr>
    </w:p>
    <w:p>
      <w:pPr>
        <w:jc w:val="center"/>
        <w:ind w:left="4240"/>
        <w:spacing w:after="0"/>
        <w:rPr>
          <w:sz w:val="20"/>
          <w:szCs w:val="20"/>
          <w:color w:val="auto"/>
        </w:rPr>
      </w:pPr>
      <w:r>
        <w:rPr>
          <w:rFonts w:ascii="Arial" w:cs="Arial" w:eastAsia="Arial" w:hAnsi="Arial"/>
          <w:sz w:val="14"/>
          <w:szCs w:val="14"/>
          <w:b w:val="1"/>
          <w:bCs w:val="1"/>
          <w:color w:val="auto"/>
        </w:rPr>
        <w:t>(Unaudited)</w:t>
      </w:r>
    </w:p>
    <w:tbl>
      <w:tblPr>
        <w:tblLayout w:type="fixed"/>
        <w:tblInd w:w="920" w:type="dxa"/>
        <w:tblCellMar>
          <w:top w:w="0" w:type="dxa"/>
          <w:left w:w="0" w:type="dxa"/>
          <w:bottom w:w="0" w:type="dxa"/>
          <w:right w:w="0" w:type="dxa"/>
        </w:tblCellMar>
      </w:tblPr>
      <w:tr>
        <w:trPr>
          <w:trHeight w:val="156"/>
        </w:trPr>
        <w:tc>
          <w:tcPr>
            <w:tcW w:w="4100" w:type="dxa"/>
            <w:vAlign w:val="bottom"/>
          </w:tcPr>
          <w:p>
            <w:pPr>
              <w:spacing w:after="0"/>
              <w:rPr>
                <w:sz w:val="13"/>
                <w:szCs w:val="13"/>
                <w:color w:val="auto"/>
              </w:rPr>
            </w:pPr>
          </w:p>
        </w:tc>
        <w:tc>
          <w:tcPr>
            <w:tcW w:w="216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March 31, 2014</w:t>
            </w:r>
          </w:p>
        </w:tc>
        <w:tc>
          <w:tcPr>
            <w:tcW w:w="178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Three Months Ended</w:t>
            </w:r>
          </w:p>
        </w:tc>
        <w:tc>
          <w:tcPr>
            <w:tcW w:w="15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March 31, 2013</w:t>
            </w: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2160" w:type="dxa"/>
            <w:vAlign w:val="bottom"/>
            <w:gridSpan w:val="2"/>
            <w:vMerge w:val="continue"/>
          </w:tcPr>
          <w:p>
            <w:pPr>
              <w:spacing w:after="0"/>
              <w:rPr>
                <w:sz w:val="12"/>
                <w:szCs w:val="12"/>
                <w:color w:val="auto"/>
              </w:rPr>
            </w:pPr>
          </w:p>
        </w:tc>
        <w:tc>
          <w:tcPr>
            <w:tcW w:w="130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w w:val="95"/>
              </w:rPr>
              <w:t>December 31, 2013</w:t>
            </w:r>
          </w:p>
        </w:tc>
        <w:tc>
          <w:tcPr>
            <w:tcW w:w="4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4"/>
              </w:rPr>
              <w:t>1,195,539</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1,016,451</w:t>
            </w:r>
          </w:p>
        </w:tc>
        <w:tc>
          <w:tcPr>
            <w:tcW w:w="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626,293</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Total Assets</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730"/>
              <w:spacing w:after="0"/>
              <w:rPr>
                <w:sz w:val="20"/>
                <w:szCs w:val="20"/>
                <w:color w:val="auto"/>
              </w:rPr>
            </w:pPr>
            <w:r>
              <w:rPr>
                <w:rFonts w:ascii="Arial" w:cs="Arial" w:eastAsia="Arial" w:hAnsi="Arial"/>
                <w:sz w:val="18"/>
                <w:szCs w:val="18"/>
                <w:color w:val="auto"/>
                <w:w w:val="94"/>
              </w:rPr>
              <w:t>1,251,464</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1,039,150</w:t>
            </w:r>
          </w:p>
        </w:tc>
        <w:tc>
          <w:tcPr>
            <w:tcW w:w="580" w:type="dxa"/>
            <w:vAlign w:val="bottom"/>
          </w:tcPr>
          <w:p>
            <w:pPr>
              <w:ind w:left="3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805,151</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Share</w:t>
            </w:r>
          </w:p>
        </w:tc>
        <w:tc>
          <w:tcPr>
            <w:tcW w:w="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15.51</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15.52</w:t>
            </w:r>
          </w:p>
        </w:tc>
        <w:tc>
          <w:tcPr>
            <w:tcW w:w="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Investment Income</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730"/>
              <w:spacing w:after="0"/>
              <w:rPr>
                <w:sz w:val="20"/>
                <w:szCs w:val="20"/>
                <w:color w:val="auto"/>
              </w:rPr>
            </w:pPr>
            <w:r>
              <w:rPr>
                <w:rFonts w:ascii="Arial" w:cs="Arial" w:eastAsia="Arial" w:hAnsi="Arial"/>
                <w:sz w:val="18"/>
                <w:szCs w:val="18"/>
                <w:color w:val="auto"/>
              </w:rPr>
              <w:t>33,481</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27,569</w:t>
            </w:r>
          </w:p>
        </w:tc>
        <w:tc>
          <w:tcPr>
            <w:tcW w:w="580" w:type="dxa"/>
            <w:vAlign w:val="bottom"/>
          </w:tcPr>
          <w:p>
            <w:pPr>
              <w:ind w:left="3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20,802</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21,242</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16,993</w:t>
            </w:r>
          </w:p>
        </w:tc>
        <w:tc>
          <w:tcPr>
            <w:tcW w:w="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13,106</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Net Realized and Unrealized Gains</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730"/>
              <w:spacing w:after="0"/>
              <w:rPr>
                <w:sz w:val="20"/>
                <w:szCs w:val="20"/>
                <w:color w:val="auto"/>
              </w:rPr>
            </w:pPr>
            <w:r>
              <w:rPr>
                <w:rFonts w:ascii="Arial" w:cs="Arial" w:eastAsia="Arial" w:hAnsi="Arial"/>
                <w:sz w:val="18"/>
                <w:szCs w:val="18"/>
                <w:color w:val="auto"/>
              </w:rPr>
              <w:t>4,106</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4,063</w:t>
            </w:r>
          </w:p>
        </w:tc>
        <w:tc>
          <w:tcPr>
            <w:tcW w:w="580" w:type="dxa"/>
            <w:vAlign w:val="bottom"/>
          </w:tcPr>
          <w:p>
            <w:pPr>
              <w:ind w:left="3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2,355</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25,348</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21,056</w:t>
            </w:r>
          </w:p>
        </w:tc>
        <w:tc>
          <w:tcPr>
            <w:tcW w:w="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15,461</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Net Investment Income Per Share</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730"/>
              <w:spacing w:after="0"/>
              <w:rPr>
                <w:sz w:val="20"/>
                <w:szCs w:val="20"/>
                <w:color w:val="auto"/>
              </w:rPr>
            </w:pPr>
            <w:r>
              <w:rPr>
                <w:rFonts w:ascii="Arial" w:cs="Arial" w:eastAsia="Arial" w:hAnsi="Arial"/>
                <w:sz w:val="18"/>
                <w:szCs w:val="18"/>
                <w:color w:val="auto"/>
              </w:rPr>
              <w:t>0.51</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0.46</w:t>
            </w:r>
          </w:p>
        </w:tc>
        <w:tc>
          <w:tcPr>
            <w:tcW w:w="580" w:type="dxa"/>
            <w:vAlign w:val="bottom"/>
          </w:tcPr>
          <w:p>
            <w:pPr>
              <w:ind w:left="3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Gains Per Share</w:t>
            </w:r>
          </w:p>
        </w:tc>
        <w:tc>
          <w:tcPr>
            <w:tcW w:w="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0.10</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0.11</w:t>
            </w:r>
          </w:p>
        </w:tc>
        <w:tc>
          <w:tcPr>
            <w:tcW w:w="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Net Income Per Share</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730"/>
              <w:spacing w:after="0"/>
              <w:rPr>
                <w:sz w:val="20"/>
                <w:szCs w:val="20"/>
                <w:color w:val="auto"/>
              </w:rPr>
            </w:pPr>
            <w:r>
              <w:rPr>
                <w:rFonts w:ascii="Arial" w:cs="Arial" w:eastAsia="Arial" w:hAnsi="Arial"/>
                <w:sz w:val="18"/>
                <w:szCs w:val="18"/>
                <w:color w:val="auto"/>
              </w:rPr>
              <w:t>0.61</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0.57</w:t>
            </w:r>
          </w:p>
        </w:tc>
        <w:tc>
          <w:tcPr>
            <w:tcW w:w="580" w:type="dxa"/>
            <w:vAlign w:val="bottom"/>
          </w:tcPr>
          <w:p>
            <w:pPr>
              <w:ind w:left="3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2"/>
        </w:trPr>
        <w:tc>
          <w:tcPr>
            <w:tcW w:w="4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Yield of Debt and Other Income</w:t>
            </w:r>
          </w:p>
        </w:tc>
        <w:tc>
          <w:tcPr>
            <w:tcW w:w="5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Producing Securities at Fair Value</w:t>
            </w:r>
          </w:p>
        </w:tc>
        <w:tc>
          <w:tcPr>
            <w:tcW w:w="56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10.2%</w:t>
            </w:r>
          </w:p>
        </w:tc>
        <w:tc>
          <w:tcPr>
            <w:tcW w:w="3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10.4%</w:t>
            </w:r>
          </w:p>
        </w:tc>
        <w:tc>
          <w:tcPr>
            <w:tcW w:w="5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2"/>
        </w:trPr>
        <w:tc>
          <w:tcPr>
            <w:tcW w:w="4100" w:type="dxa"/>
            <w:vAlign w:val="bottom"/>
          </w:tcPr>
          <w:p>
            <w:pPr>
              <w:spacing w:after="0" w:line="201" w:lineRule="exact"/>
              <w:rPr>
                <w:sz w:val="20"/>
                <w:szCs w:val="20"/>
                <w:color w:val="auto"/>
              </w:rPr>
            </w:pPr>
            <w:r>
              <w:rPr>
                <w:rFonts w:ascii="Arial" w:cs="Arial" w:eastAsia="Arial" w:hAnsi="Arial"/>
                <w:sz w:val="18"/>
                <w:szCs w:val="18"/>
                <w:color w:val="auto"/>
              </w:rPr>
              <w:t>Weighted Average Yield of Debt and Other Income</w:t>
            </w:r>
          </w:p>
        </w:tc>
        <w:tc>
          <w:tcPr>
            <w:tcW w:w="5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180"/>
              <w:spacing w:after="0"/>
              <w:rPr>
                <w:sz w:val="20"/>
                <w:szCs w:val="20"/>
                <w:color w:val="auto"/>
              </w:rPr>
            </w:pPr>
            <w:r>
              <w:rPr>
                <w:rFonts w:ascii="Arial" w:cs="Arial" w:eastAsia="Arial" w:hAnsi="Arial"/>
                <w:sz w:val="18"/>
                <w:szCs w:val="18"/>
                <w:color w:val="auto"/>
              </w:rPr>
              <w:t>Producing Securities at Amortized Cost</w:t>
            </w:r>
          </w:p>
        </w:tc>
        <w:tc>
          <w:tcPr>
            <w:tcW w:w="560" w:type="dxa"/>
            <w:vAlign w:val="bottom"/>
          </w:tcPr>
          <w:p>
            <w:pPr>
              <w:spacing w:after="0"/>
              <w:rPr>
                <w:sz w:val="20"/>
                <w:szCs w:val="20"/>
                <w:color w:val="auto"/>
              </w:rPr>
            </w:pPr>
          </w:p>
        </w:tc>
        <w:tc>
          <w:tcPr>
            <w:tcW w:w="1600" w:type="dxa"/>
            <w:vAlign w:val="bottom"/>
          </w:tcPr>
          <w:p>
            <w:pPr>
              <w:jc w:val="right"/>
              <w:ind w:right="570"/>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20"/>
                <w:szCs w:val="20"/>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10.6%</w:t>
            </w:r>
          </w:p>
        </w:tc>
        <w:tc>
          <w:tcPr>
            <w:tcW w:w="5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2"/>
        </w:trPr>
        <w:tc>
          <w:tcPr>
            <w:tcW w:w="4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Percentage of Debt Investment Commitments at</w:t>
            </w:r>
          </w:p>
        </w:tc>
        <w:tc>
          <w:tcPr>
            <w:tcW w:w="5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Floating Rates</w:t>
            </w:r>
          </w:p>
        </w:tc>
        <w:tc>
          <w:tcPr>
            <w:tcW w:w="56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99%</w:t>
            </w:r>
          </w:p>
        </w:tc>
        <w:tc>
          <w:tcPr>
            <w:tcW w:w="3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w:t>
            </w:r>
          </w:p>
        </w:tc>
        <w:tc>
          <w:tcPr>
            <w:tcW w:w="5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Conference Call Information:</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The conference call will be broadcast live on the Investor Resources section of our website at </w:t>
      </w:r>
      <w:r>
        <w:rPr>
          <w:rFonts w:ascii="Arial" w:cs="Arial" w:eastAsia="Arial" w:hAnsi="Arial"/>
          <w:sz w:val="18"/>
          <w:szCs w:val="18"/>
          <w:u w:val="single" w:color="auto"/>
          <w:color w:val="auto"/>
        </w:rPr>
        <w:t>http://www.tpgspecialtylending.com</w:t>
      </w:r>
      <w:r>
        <w:rPr>
          <w:rFonts w:ascii="Arial" w:cs="Arial" w:eastAsia="Arial" w:hAnsi="Arial"/>
          <w:sz w:val="18"/>
          <w:szCs w:val="18"/>
          <w:color w:val="auto"/>
        </w:rPr>
        <w:t>. Please visit the website to test your connection before the webcast.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Participants are also invited to access the conference call by dialing one of the following numbers: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Domestic: (877) 359-9508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(224) 357-2393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24693037</w:t>
      </w:r>
    </w:p>
    <w:p>
      <w:pPr>
        <w:sectPr>
          <w:pgSz w:w="11900" w:h="16838" w:orient="portrait"/>
          <w:cols w:equalWidth="0" w:num="1">
            <w:col w:w="11420"/>
          </w:cols>
          <w:pgMar w:left="240" w:top="121" w:right="239" w:bottom="1440" w:gutter="0" w:footer="0" w:header="0"/>
        </w:sectPr>
      </w:pPr>
    </w:p>
    <w:bookmarkStart w:id="4" w:name="page5"/>
    <w:bookmarkEnd w:id="4"/>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callers will need to enter the Conference ID followed by the # sign and reference “TPG Specialty Lending” once connected with the operator. All callers are asked to dial in 10-15 minutes prior to the call so that name and company information can be collected.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Replay Information:</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An archived replay will be available from approximately 12:00 p.m. on May 9 through May 23 through a webcast link located on the Investor Resources section of our website, and via the dial-in numbers listed below:</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Domestic: (855) 859-2056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(404) 537-3406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24693037</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the three months ended March 31, 2014, originations totaled $369.6 million, our third largest quarter since inception. This compares to $261.5 million for the three months ended December 31, 2013 and $92.5 million for the three months ended March 31, 2013.</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March 31, 2014, we made new investment commitments of $314.6 million, $303.8 million in six new portfolio companies and</w:t>
      </w:r>
    </w:p>
    <w:p>
      <w:pPr>
        <w:spacing w:after="0" w:line="4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$10.8 million in two existing portfolio companies. For this period, we had $101.2 million aggregate principal amount in exits and repayments, resulting in net portfolio growth of $187.0 million aggregate principal amount.</w:t>
      </w:r>
    </w:p>
    <w:p>
      <w:pPr>
        <w:spacing w:after="0" w:line="18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For the three months ended March 31, 2013, we made new investment commitments of $58.5 million, $58.0 million in two new portfolio companies and $0.5 million in one existing portfolio company. For this period, we had $84.5 million aggregate principal amount in exits and repayments, resulting in a net portfolio decrease of $26.0 million aggregate principal amount.</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March 31, 2014 and December 31, 2013, we had investments in 30 and 27 portfolio companies, respectively, with an aggregate fair value of $1,195.5 million and $1,016.5 million, respectively.</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March 31, 2014, our portfolio at fair value consisted of 82.4% first-lien debt investments, 17.0% second-lien debt investments, 0.4% mezzanine debt investments, and 0.2% equity investments. As of December 31, 2013, our portfolio at fair value consisted of 86.3% first-lien debt investments, 13.5% second-lien debt investments, and 0.2% equity investments.</w:t>
      </w:r>
    </w:p>
    <w:p>
      <w:pPr>
        <w:spacing w:after="0" w:line="18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of March 31, 2014, 98.6% of our debt investments bore interest at floating rates, subject to interest rate floors. Our credit facilities also bear interest at floating rates.</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As of March 31, 2014 and December 31, 2013, our weighted average total yield of debt and income producing securities at fair value (which includes interest income and amortization of fees and discounts) was 10.2% and 10.4%, respectively, and our weighted average total yield of debt and income producing securities at amortized cost (which includes interest income and amortization of fees and discounts) was 10.4% and 10.6%, respectively.</w:t>
      </w:r>
    </w:p>
    <w:p>
      <w:pPr>
        <w:spacing w:after="0" w:line="16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March 31, 2014, 97% of our debt investments by fair value were meeting all covenant and payment requirements, and we had no investments on non-accrual status.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March 31, 2014 compared to the Three Months Ended March 31, 2013</w:t>
      </w:r>
    </w:p>
    <w:p>
      <w:pPr>
        <w:sectPr>
          <w:pgSz w:w="11900" w:h="16838" w:orient="portrait"/>
          <w:cols w:equalWidth="0" w:num="1">
            <w:col w:w="11400"/>
          </w:cols>
          <w:pgMar w:left="240" w:top="274"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Investment Income</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For the three months ended March 31, 2014 and 2013, investment income totaled $33.5 million and $20.8 million, respectively. The increase in investment income for the quarter was primarily driven by strong asset growth as well as higher syndication, amendment, and agency fees earned during the first quarter of 2014.</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Net expenses totaled $12.2 million and $7.7 million, respectively, for the three months ended March 31, 2014 and 2013. The increase in net expenses was primarily due to higher average borrowings, higher incentive fees due to higher net investment income, and higher professional fees and other general and administrative expenses associated with servicing a growing investment portfolio.</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 Liquidity and Capital Resources</w:t>
      </w:r>
    </w:p>
    <w:p>
      <w:pPr>
        <w:spacing w:after="0" w:line="117"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On March 21, 2014, the Company completed its initial public offering, issuing 7,000,000 shares at $16.00 per share, and its concurrent private placement, issuing 3,124,984 shares at $16.00 per share. Net of underwriting fees and offering costs, the Company received total cash proceeds of $151.6 million.</w:t>
      </w:r>
    </w:p>
    <w:p>
      <w:pPr>
        <w:spacing w:after="0" w:line="12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April 2014, an additional 1,050,000 shares of stock were issued pursuant to the exercise of the underwriters’ over-allotment option. Net of underwriting fees and offering costs, we received additional total cash proceeds of approximately $15.4 million.</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of March 31, 2014, we had $28.8 million in cash and cash equivalents, an increase of $25.3 million from December 31, 2013. The increase was primarily attributable to drawing cash for two existing investment upsizes, which funded immediately after the period ended, as well as cash received on March 31, 2014 from amortization and interest payments and a partial sell-down of one investment.</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March 31, 2014, we had total debt outstanding of $402 million and an additional $336 million available to draw, subject to borrowing base limitations or other requirements. Our average stated interest rate on debt outstanding was 2.5% for the three months ended March 31, 2014, as compared to 2.8% for the three months ended March 31, 2013.</w:t>
      </w:r>
    </w:p>
    <w:p>
      <w:pPr>
        <w:sectPr>
          <w:pgSz w:w="11900" w:h="16838" w:orient="portrait"/>
          <w:cols w:equalWidth="0" w:num="1">
            <w:col w:w="11380"/>
          </w:cols>
          <w:pgMar w:left="240" w:top="274"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Statements and Tables</w:t>
      </w:r>
    </w:p>
    <w:p>
      <w:pPr>
        <w:spacing w:after="0" w:line="185"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4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3"/>
          </w:tcPr>
          <w:p>
            <w:pPr>
              <w:jc w:val="right"/>
              <w:ind w:right="1100"/>
              <w:spacing w:after="0"/>
              <w:rPr>
                <w:sz w:val="20"/>
                <w:szCs w:val="20"/>
                <w:color w:val="auto"/>
              </w:rPr>
            </w:pPr>
            <w:r>
              <w:rPr>
                <w:rFonts w:ascii="Arial" w:cs="Arial" w:eastAsia="Arial" w:hAnsi="Arial"/>
                <w:sz w:val="14"/>
                <w:szCs w:val="14"/>
                <w:b w:val="1"/>
                <w:bCs w:val="1"/>
                <w:color w:val="auto"/>
                <w:w w:val="98"/>
              </w:rPr>
              <w:t>March 31, 2014</w:t>
            </w:r>
          </w:p>
        </w:tc>
        <w:tc>
          <w:tcPr>
            <w:tcW w:w="140" w:type="dxa"/>
            <w:vAlign w:val="bottom"/>
          </w:tcPr>
          <w:p>
            <w:pPr>
              <w:spacing w:after="0"/>
              <w:rPr>
                <w:sz w:val="14"/>
                <w:szCs w:val="1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March 31, 2013</w:t>
            </w:r>
          </w:p>
        </w:tc>
      </w:tr>
      <w:tr>
        <w:trPr>
          <w:trHeight w:val="196"/>
        </w:trPr>
        <w:tc>
          <w:tcPr>
            <w:tcW w:w="20" w:type="dxa"/>
            <w:vAlign w:val="bottom"/>
          </w:tcPr>
          <w:p>
            <w:pPr>
              <w:spacing w:after="0"/>
              <w:rPr>
                <w:sz w:val="17"/>
                <w:szCs w:val="17"/>
                <w:color w:val="auto"/>
              </w:rPr>
            </w:pPr>
          </w:p>
        </w:tc>
        <w:tc>
          <w:tcPr>
            <w:tcW w:w="6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w:t>
            </w:r>
          </w:p>
        </w:tc>
        <w:tc>
          <w:tcPr>
            <w:tcW w:w="10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Investment income:</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from investments</w:t>
            </w:r>
          </w:p>
        </w:tc>
        <w:tc>
          <w:tcPr>
            <w:tcW w:w="12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31,118</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20,624</w:t>
            </w: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2,363</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from cash and cash equivalents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0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30"/>
        </w:trPr>
        <w:tc>
          <w:tcPr>
            <w:tcW w:w="20" w:type="dxa"/>
            <w:vAlign w:val="bottom"/>
          </w:tcPr>
          <w:p>
            <w:pPr>
              <w:spacing w:after="0"/>
              <w:rPr>
                <w:sz w:val="20"/>
                <w:szCs w:val="20"/>
                <w:color w:val="auto"/>
              </w:rPr>
            </w:pPr>
          </w:p>
        </w:tc>
        <w:tc>
          <w:tcPr>
            <w:tcW w:w="6660" w:type="dxa"/>
            <w:vAlign w:val="bottom"/>
          </w:tcPr>
          <w:p>
            <w:pPr>
              <w:ind w:left="1060"/>
              <w:spacing w:after="0"/>
              <w:rPr>
                <w:sz w:val="20"/>
                <w:szCs w:val="20"/>
                <w:color w:val="auto"/>
              </w:rPr>
            </w:pPr>
            <w:r>
              <w:rPr>
                <w:rFonts w:ascii="Arial" w:cs="Arial" w:eastAsia="Arial" w:hAnsi="Arial"/>
                <w:sz w:val="18"/>
                <w:szCs w:val="18"/>
                <w:b w:val="1"/>
                <w:bCs w:val="1"/>
                <w:color w:val="auto"/>
              </w:rPr>
              <w:t>Total Investment Income</w:t>
            </w:r>
          </w:p>
        </w:tc>
        <w:tc>
          <w:tcPr>
            <w:tcW w:w="10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33,481</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20,802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Interest</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3,824</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2,250</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4,237</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3,016</w:t>
            </w: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Incentive fees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4,473</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2,729</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1,172</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w:t>
            </w: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Directors’ fees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Other general and administrative</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916</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w:t>
            </w:r>
          </w:p>
        </w:tc>
      </w:tr>
      <w:tr>
        <w:trPr>
          <w:trHeight w:val="230"/>
        </w:trPr>
        <w:tc>
          <w:tcPr>
            <w:tcW w:w="20" w:type="dxa"/>
            <w:vAlign w:val="bottom"/>
          </w:tcPr>
          <w:p>
            <w:pPr>
              <w:spacing w:after="0"/>
              <w:rPr>
                <w:sz w:val="20"/>
                <w:szCs w:val="20"/>
                <w:color w:val="auto"/>
              </w:rPr>
            </w:pPr>
          </w:p>
        </w:tc>
        <w:tc>
          <w:tcPr>
            <w:tcW w:w="6660" w:type="dxa"/>
            <w:vAlign w:val="bottom"/>
          </w:tcPr>
          <w:p>
            <w:pPr>
              <w:ind w:left="700"/>
              <w:spacing w:after="0"/>
              <w:rPr>
                <w:sz w:val="20"/>
                <w:szCs w:val="20"/>
                <w:color w:val="auto"/>
              </w:rPr>
            </w:pPr>
            <w:r>
              <w:rPr>
                <w:rFonts w:ascii="Arial" w:cs="Arial" w:eastAsia="Arial" w:hAnsi="Arial"/>
                <w:sz w:val="18"/>
                <w:szCs w:val="18"/>
                <w:color w:val="auto"/>
              </w:rPr>
              <w:t>Total expenses</w:t>
            </w:r>
          </w:p>
        </w:tc>
        <w:tc>
          <w:tcPr>
            <w:tcW w:w="10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14,694</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waived</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(2,464)</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(1,484)</w:t>
            </w:r>
          </w:p>
        </w:tc>
      </w:tr>
      <w:tr>
        <w:trPr>
          <w:trHeight w:val="230"/>
        </w:trPr>
        <w:tc>
          <w:tcPr>
            <w:tcW w:w="20" w:type="dxa"/>
            <w:vAlign w:val="bottom"/>
          </w:tcPr>
          <w:p>
            <w:pPr>
              <w:spacing w:after="0"/>
              <w:rPr>
                <w:sz w:val="20"/>
                <w:szCs w:val="20"/>
                <w:color w:val="auto"/>
              </w:rPr>
            </w:pPr>
          </w:p>
        </w:tc>
        <w:tc>
          <w:tcPr>
            <w:tcW w:w="6660" w:type="dxa"/>
            <w:vAlign w:val="bottom"/>
          </w:tcPr>
          <w:p>
            <w:pPr>
              <w:ind w:left="1060"/>
              <w:spacing w:after="0"/>
              <w:rPr>
                <w:sz w:val="20"/>
                <w:szCs w:val="20"/>
                <w:color w:val="auto"/>
              </w:rPr>
            </w:pPr>
            <w:r>
              <w:rPr>
                <w:rFonts w:ascii="Arial" w:cs="Arial" w:eastAsia="Arial" w:hAnsi="Arial"/>
                <w:sz w:val="18"/>
                <w:szCs w:val="18"/>
                <w:b w:val="1"/>
                <w:bCs w:val="1"/>
                <w:color w:val="auto"/>
              </w:rPr>
              <w:t>Net Expenses</w:t>
            </w:r>
          </w:p>
        </w:tc>
        <w:tc>
          <w:tcPr>
            <w:tcW w:w="10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12,230</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Investment Income Before Income Taxes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21,251</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13,110</w:t>
            </w:r>
          </w:p>
        </w:tc>
      </w:tr>
      <w:tr>
        <w:trPr>
          <w:trHeight w:val="223"/>
        </w:trPr>
        <w:tc>
          <w:tcPr>
            <w:tcW w:w="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Income taxes, including excise taxes</w:t>
            </w:r>
          </w:p>
        </w:tc>
        <w:tc>
          <w:tcPr>
            <w:tcW w:w="10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Investment Income</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21,242</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13,106</w:t>
            </w: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b w:val="1"/>
                <w:bCs w:val="1"/>
                <w:color w:val="auto"/>
              </w:rPr>
              <w:t>Unrealized and Realized Gains (Losses)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Investments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3,944</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1,948</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Translation of assets and liabilities in foreign currencies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1,771</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6660" w:type="dxa"/>
            <w:vAlign w:val="bottom"/>
          </w:tcPr>
          <w:p>
            <w:pPr>
              <w:ind w:left="1060"/>
              <w:spacing w:after="0"/>
              <w:rPr>
                <w:sz w:val="20"/>
                <w:szCs w:val="20"/>
                <w:color w:val="auto"/>
              </w:rPr>
            </w:pPr>
            <w:r>
              <w:rPr>
                <w:rFonts w:ascii="Arial" w:cs="Arial" w:eastAsia="Arial" w:hAnsi="Arial"/>
                <w:sz w:val="18"/>
                <w:szCs w:val="18"/>
                <w:color w:val="auto"/>
              </w:rPr>
              <w:t>Total net change in unrealized gains</w:t>
            </w:r>
          </w:p>
        </w:tc>
        <w:tc>
          <w:tcPr>
            <w:tcW w:w="10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5,715</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Realized gains (losses):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Investments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3"/>
          </w:tcPr>
          <w:p>
            <w:pPr>
              <w:jc w:val="right"/>
              <w:ind w:right="10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407</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forward contracts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(1,609)</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6660" w:type="dxa"/>
            <w:vAlign w:val="bottom"/>
          </w:tcPr>
          <w:p>
            <w:pPr>
              <w:ind w:left="1060"/>
              <w:spacing w:after="0"/>
              <w:rPr>
                <w:sz w:val="20"/>
                <w:szCs w:val="20"/>
                <w:color w:val="auto"/>
              </w:rPr>
            </w:pPr>
            <w:r>
              <w:rPr>
                <w:rFonts w:ascii="Arial" w:cs="Arial" w:eastAsia="Arial" w:hAnsi="Arial"/>
                <w:sz w:val="18"/>
                <w:szCs w:val="18"/>
                <w:color w:val="auto"/>
              </w:rPr>
              <w:t>Total realized gains (losses)</w:t>
            </w:r>
          </w:p>
        </w:tc>
        <w:tc>
          <w:tcPr>
            <w:tcW w:w="10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(1,609)</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060"/>
              <w:spacing w:after="0"/>
              <w:rPr>
                <w:sz w:val="20"/>
                <w:szCs w:val="20"/>
                <w:color w:val="auto"/>
              </w:rPr>
            </w:pPr>
            <w:r>
              <w:rPr>
                <w:rFonts w:ascii="Arial" w:cs="Arial" w:eastAsia="Arial" w:hAnsi="Arial"/>
                <w:sz w:val="18"/>
                <w:szCs w:val="18"/>
                <w:b w:val="1"/>
                <w:bCs w:val="1"/>
                <w:color w:val="auto"/>
              </w:rPr>
              <w:t>Total Unrealized and Realized Gains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4,106</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2,355</w:t>
            </w:r>
          </w:p>
        </w:tc>
      </w:tr>
      <w:tr>
        <w:trPr>
          <w:trHeight w:val="223"/>
        </w:trPr>
        <w:tc>
          <w:tcPr>
            <w:tcW w:w="20" w:type="dxa"/>
            <w:vAlign w:val="bottom"/>
          </w:tcPr>
          <w:p>
            <w:pPr>
              <w:spacing w:after="0"/>
              <w:rPr>
                <w:sz w:val="19"/>
                <w:szCs w:val="19"/>
                <w:color w:val="auto"/>
              </w:rPr>
            </w:pPr>
          </w:p>
        </w:tc>
        <w:tc>
          <w:tcPr>
            <w:tcW w:w="6660" w:type="dxa"/>
            <w:vAlign w:val="bottom"/>
          </w:tcPr>
          <w:p>
            <w:pPr>
              <w:ind w:left="106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10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25,348</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15,461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Earnings per common share—basic and diluted </w:t>
            </w:r>
            <w:r>
              <w:rPr>
                <w:rFonts w:ascii="Arial" w:cs="Arial" w:eastAsia="Arial" w:hAnsi="Arial"/>
                <w:sz w:val="15"/>
                <w:szCs w:val="15"/>
                <w:color w:val="auto"/>
              </w:rPr>
              <w:t>(1)</w:t>
            </w:r>
          </w:p>
        </w:tc>
        <w:tc>
          <w:tcPr>
            <w:tcW w:w="12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0.61</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0.47</w:t>
            </w:r>
          </w:p>
        </w:tc>
      </w:tr>
      <w:tr>
        <w:trPr>
          <w:trHeight w:val="223"/>
        </w:trPr>
        <w:tc>
          <w:tcPr>
            <w:tcW w:w="6680" w:type="dxa"/>
            <w:vAlign w:val="bottom"/>
            <w:gridSpan w:val="2"/>
          </w:tcPr>
          <w:p>
            <w:pPr>
              <w:spacing w:after="0"/>
              <w:rPr>
                <w:sz w:val="20"/>
                <w:szCs w:val="20"/>
                <w:color w:val="auto"/>
              </w:rPr>
            </w:pPr>
            <w:r>
              <w:rPr>
                <w:rFonts w:ascii="Arial" w:cs="Arial" w:eastAsia="Arial" w:hAnsi="Arial"/>
                <w:sz w:val="18"/>
                <w:szCs w:val="18"/>
                <w:color w:val="auto"/>
              </w:rPr>
              <w:t xml:space="preserve">Weighted average shares of common stock outstanding—basic and diluted </w:t>
            </w:r>
            <w:r>
              <w:rPr>
                <w:rFonts w:ascii="Arial" w:cs="Arial" w:eastAsia="Arial" w:hAnsi="Arial"/>
                <w:sz w:val="15"/>
                <w:szCs w:val="15"/>
                <w:color w:val="auto"/>
              </w:rPr>
              <w:t>(1)</w:t>
            </w:r>
          </w:p>
        </w:tc>
        <w:tc>
          <w:tcPr>
            <w:tcW w:w="10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41,539,083</w:t>
            </w:r>
          </w:p>
        </w:tc>
        <w:tc>
          <w:tcPr>
            <w:tcW w:w="20" w:type="dxa"/>
            <w:vAlign w:val="bottom"/>
            <w:tcBorders>
              <w:bottom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32,560,424</w:t>
            </w:r>
          </w:p>
        </w:tc>
        <w:tc>
          <w:tcPr>
            <w:tcW w:w="100" w:type="dxa"/>
            <w:vAlign w:val="bottom"/>
          </w:tcPr>
          <w:p>
            <w:pPr>
              <w:spacing w:after="0"/>
              <w:rPr>
                <w:sz w:val="19"/>
                <w:szCs w:val="19"/>
                <w:color w:val="auto"/>
              </w:rPr>
            </w:pPr>
          </w:p>
        </w:tc>
      </w:tr>
    </w:tbl>
    <w:p>
      <w:pPr>
        <w:spacing w:after="0" w:line="242" w:lineRule="exact"/>
        <w:rPr>
          <w:sz w:val="20"/>
          <w:szCs w:val="20"/>
          <w:color w:val="auto"/>
        </w:rPr>
      </w:pPr>
    </w:p>
    <w:p>
      <w:pPr>
        <w:ind w:left="460" w:right="2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indicated amounts for the three months ended March 31, 2013 have been retroactively adjusted for the stock split which was effected in the form of a stock dividend.</w:t>
      </w:r>
    </w:p>
    <w:p>
      <w:pPr>
        <w:sectPr>
          <w:pgSz w:w="11900" w:h="16838" w:orient="portrait"/>
          <w:cols w:equalWidth="0" w:num="1">
            <w:col w:w="11420"/>
          </w:cols>
          <w:pgMar w:left="240" w:top="270" w:right="239" w:bottom="1440" w:gutter="0" w:footer="0" w:header="0"/>
        </w:sectPr>
      </w:pPr>
    </w:p>
    <w:bookmarkStart w:id="7" w:name="page8"/>
    <w:bookmarkEnd w:id="7"/>
    <w:p>
      <w:pPr>
        <w:ind w:left="4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TPG Specialty Lending, Inc.</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5"/>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1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Non-controlled, non-affiliated investments (amortized cost of $1,172,442 and $997,298, respectively)</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1,195,539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1,016,451</w:t>
            </w: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28,804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3,471</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8,936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4,933</w:t>
            </w:r>
          </w:p>
        </w:tc>
        <w:tc>
          <w:tcPr>
            <w:tcW w:w="0" w:type="dxa"/>
            <w:vAlign w:val="bottom"/>
          </w:tcPr>
          <w:p>
            <w:pPr>
              <w:spacing w:after="0"/>
              <w:rPr>
                <w:sz w:val="1"/>
                <w:szCs w:val="1"/>
                <w:color w:val="auto"/>
              </w:rPr>
            </w:pPr>
          </w:p>
        </w:tc>
      </w:tr>
      <w:tr>
        <w:trPr>
          <w:trHeight w:val="223"/>
        </w:trPr>
        <w:tc>
          <w:tcPr>
            <w:tcW w:w="914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18,185</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1,251,464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1,039,150</w:t>
            </w:r>
          </w:p>
        </w:tc>
        <w:tc>
          <w:tcPr>
            <w:tcW w:w="0" w:type="dxa"/>
            <w:vAlign w:val="bottom"/>
          </w:tcPr>
          <w:p>
            <w:pPr>
              <w:spacing w:after="0"/>
              <w:rPr>
                <w:sz w:val="1"/>
                <w:szCs w:val="1"/>
                <w:color w:val="auto"/>
              </w:rPr>
            </w:pPr>
          </w:p>
        </w:tc>
      </w:tr>
      <w:tr>
        <w:trPr>
          <w:trHeight w:val="20"/>
        </w:trPr>
        <w:tc>
          <w:tcPr>
            <w:tcW w:w="914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402,077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432,267</w:t>
            </w: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Management fees payable to affiliate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1,772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Incentive fees payable to affiliate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7,526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6,136</w:t>
            </w: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Dividends payable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19,717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14,810</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4,864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1,974</w:t>
            </w: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Payable on foreign currency forward contracts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Payables to affiliate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2,051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2,668</w:t>
            </w:r>
          </w:p>
        </w:tc>
        <w:tc>
          <w:tcPr>
            <w:tcW w:w="0" w:type="dxa"/>
            <w:vAlign w:val="bottom"/>
          </w:tcPr>
          <w:p>
            <w:pPr>
              <w:spacing w:after="0"/>
              <w:rPr>
                <w:sz w:val="1"/>
                <w:szCs w:val="1"/>
                <w:color w:val="auto"/>
              </w:rPr>
            </w:pPr>
          </w:p>
        </w:tc>
      </w:tr>
      <w:tr>
        <w:trPr>
          <w:trHeight w:val="223"/>
        </w:trPr>
        <w:tc>
          <w:tcPr>
            <w:tcW w:w="9140" w:type="dxa"/>
            <w:vAlign w:val="bottom"/>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8,702</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446,709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464,454</w:t>
            </w:r>
          </w:p>
        </w:tc>
        <w:tc>
          <w:tcPr>
            <w:tcW w:w="0" w:type="dxa"/>
            <w:vAlign w:val="bottom"/>
          </w:tcPr>
          <w:p>
            <w:pPr>
              <w:spacing w:after="0"/>
              <w:rPr>
                <w:sz w:val="1"/>
                <w:szCs w:val="1"/>
                <w:color w:val="auto"/>
              </w:rPr>
            </w:pPr>
          </w:p>
        </w:tc>
      </w:tr>
      <w:tr>
        <w:trPr>
          <w:trHeight w:val="223"/>
        </w:trPr>
        <w:tc>
          <w:tcPr>
            <w:tcW w:w="91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Preferred stock, $0.01 par value; 100,000,000 shares authorized; no shares issued and outstanding</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9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Common stock, $0.01 par value; 400,000,000 shares authorized, 51,888,707 and 37,027,022 shares issued, respectively; and</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51,887,708 and 37,026,023 shares outstanding, respectively</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776,706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552,436</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999 shares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2,620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3,981</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gains on investments and foreign currency translation</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23,624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17,910</w:t>
            </w:r>
          </w:p>
        </w:tc>
        <w:tc>
          <w:tcPr>
            <w:tcW w:w="0" w:type="dxa"/>
            <w:vAlign w:val="bottom"/>
          </w:tcPr>
          <w:p>
            <w:pPr>
              <w:spacing w:after="0"/>
              <w:rPr>
                <w:sz w:val="1"/>
                <w:szCs w:val="1"/>
                <w:color w:val="auto"/>
              </w:rPr>
            </w:pPr>
          </w:p>
        </w:tc>
      </w:tr>
      <w:tr>
        <w:trPr>
          <w:trHeight w:val="223"/>
        </w:trPr>
        <w:tc>
          <w:tcPr>
            <w:tcW w:w="9140" w:type="dxa"/>
            <w:vAlign w:val="bottom"/>
          </w:tcPr>
          <w:p>
            <w:pPr>
              <w:spacing w:after="0"/>
              <w:rPr>
                <w:sz w:val="20"/>
                <w:szCs w:val="20"/>
                <w:color w:val="auto"/>
              </w:rPr>
            </w:pPr>
            <w:r>
              <w:rPr>
                <w:rFonts w:ascii="Arial" w:cs="Arial" w:eastAsia="Arial" w:hAnsi="Arial"/>
                <w:sz w:val="18"/>
                <w:szCs w:val="18"/>
                <w:color w:val="auto"/>
              </w:rPr>
              <w:t>Undistributed net realized gains on investments, including foreign currency forward contracts</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Net Assets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804,755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574,696</w:t>
            </w:r>
          </w:p>
        </w:tc>
        <w:tc>
          <w:tcPr>
            <w:tcW w:w="0" w:type="dxa"/>
            <w:vAlign w:val="bottom"/>
          </w:tcPr>
          <w:p>
            <w:pPr>
              <w:spacing w:after="0"/>
              <w:rPr>
                <w:sz w:val="1"/>
                <w:szCs w:val="1"/>
                <w:color w:val="auto"/>
              </w:rPr>
            </w:pPr>
          </w:p>
        </w:tc>
      </w:tr>
      <w:tr>
        <w:trPr>
          <w:trHeight w:val="223"/>
        </w:trPr>
        <w:tc>
          <w:tcPr>
            <w:tcW w:w="9140" w:type="dxa"/>
            <w:vAlign w:val="bottom"/>
          </w:tcPr>
          <w:p>
            <w:pPr>
              <w:ind w:left="720"/>
              <w:spacing w:after="0"/>
              <w:rPr>
                <w:sz w:val="20"/>
                <w:szCs w:val="20"/>
                <w:color w:val="auto"/>
              </w:rPr>
            </w:pPr>
            <w:r>
              <w:rPr>
                <w:rFonts w:ascii="Arial" w:cs="Arial" w:eastAsia="Arial" w:hAnsi="Arial"/>
                <w:sz w:val="18"/>
                <w:szCs w:val="18"/>
                <w:b w:val="1"/>
                <w:bCs w:val="1"/>
                <w:color w:val="auto"/>
              </w:rPr>
              <w:t>Total Liabilities and Net Assets</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1,251,464</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1,039,150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4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Net Asset Value Per Share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15.51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0"/>
        </w:trPr>
        <w:tc>
          <w:tcPr>
            <w:tcW w:w="9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8" w:name="page9"/>
    <w:bookmarkEnd w:id="8"/>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investment activity for the three months ended March 31, 2014 and 2013 is presented below (information presented herein is at par value unless otherwise indicated).</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gridSpan w:val="11"/>
          </w:tcPr>
          <w:p>
            <w:pPr>
              <w:ind w:left="180"/>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2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Borders>
              <w:top w:val="single" w:sz="8" w:color="auto"/>
            </w:tcBorders>
            <w:gridSpan w:val="4"/>
          </w:tcPr>
          <w:p>
            <w:pPr>
              <w:jc w:val="right"/>
              <w:ind w:right="380"/>
              <w:spacing w:after="0" w:line="119" w:lineRule="exact"/>
              <w:rPr>
                <w:sz w:val="20"/>
                <w:szCs w:val="20"/>
                <w:color w:val="auto"/>
              </w:rPr>
            </w:pPr>
            <w:r>
              <w:rPr>
                <w:rFonts w:ascii="Arial" w:cs="Arial" w:eastAsia="Arial" w:hAnsi="Arial"/>
                <w:sz w:val="13"/>
                <w:szCs w:val="13"/>
                <w:b w:val="1"/>
                <w:bCs w:val="1"/>
                <w:color w:val="auto"/>
              </w:rPr>
              <w:t>March 31,</w:t>
            </w:r>
          </w:p>
        </w:tc>
        <w:tc>
          <w:tcPr>
            <w:tcW w:w="1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3"/>
          </w:tcPr>
          <w:p>
            <w:pPr>
              <w:jc w:val="right"/>
              <w:spacing w:after="0" w:line="119" w:lineRule="exact"/>
              <w:rPr>
                <w:sz w:val="20"/>
                <w:szCs w:val="20"/>
                <w:color w:val="auto"/>
              </w:rPr>
            </w:pPr>
            <w:r>
              <w:rPr>
                <w:rFonts w:ascii="Arial" w:cs="Arial" w:eastAsia="Arial" w:hAnsi="Arial"/>
                <w:sz w:val="13"/>
                <w:szCs w:val="13"/>
                <w:b w:val="1"/>
                <w:bCs w:val="1"/>
                <w:color w:val="auto"/>
              </w:rPr>
              <w:t>March 31,</w:t>
            </w:r>
          </w:p>
        </w:tc>
        <w:tc>
          <w:tcPr>
            <w:tcW w:w="40" w:type="dxa"/>
            <w:vAlign w:val="bottom"/>
          </w:tcPr>
          <w:p>
            <w:pPr>
              <w:spacing w:after="0"/>
              <w:rPr>
                <w:sz w:val="10"/>
                <w:szCs w:val="10"/>
                <w:color w:val="auto"/>
              </w:rPr>
            </w:pPr>
          </w:p>
        </w:tc>
        <w:tc>
          <w:tcPr>
            <w:tcW w:w="520" w:type="dxa"/>
            <w:vAlign w:val="bottom"/>
            <w:gridSpan w:val="2"/>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540" w:type="dxa"/>
            <w:vAlign w:val="bottom"/>
            <w:gridSpan w:val="2"/>
          </w:tcPr>
          <w:p>
            <w:pPr>
              <w:ind w:left="920"/>
              <w:spacing w:after="0"/>
              <w:rPr>
                <w:sz w:val="20"/>
                <w:szCs w:val="20"/>
                <w:color w:val="auto"/>
              </w:rPr>
            </w:pPr>
            <w:r>
              <w:rPr>
                <w:rFonts w:ascii="Arial" w:cs="Arial" w:eastAsia="Arial" w:hAnsi="Arial"/>
                <w:sz w:val="14"/>
                <w:szCs w:val="14"/>
                <w:color w:val="auto"/>
              </w:rPr>
              <w:t>($ in millions)</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91"/>
              <w:spacing w:after="0"/>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5"/>
          </w:tcPr>
          <w:p>
            <w:pPr>
              <w:jc w:val="right"/>
              <w:ind w:right="150"/>
              <w:spacing w:after="0"/>
              <w:rPr>
                <w:sz w:val="20"/>
                <w:szCs w:val="20"/>
                <w:color w:val="auto"/>
              </w:rPr>
            </w:pPr>
            <w:r>
              <w:rPr>
                <w:rFonts w:ascii="Arial" w:cs="Arial" w:eastAsia="Arial" w:hAnsi="Arial"/>
                <w:sz w:val="14"/>
                <w:szCs w:val="14"/>
                <w:b w:val="1"/>
                <w:bCs w:val="1"/>
                <w:color w:val="auto"/>
              </w:rPr>
              <w:t>2013</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New investment commitments:</w:t>
            </w: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20" w:type="dxa"/>
            <w:vAlign w:val="bottom"/>
          </w:tcPr>
          <w:p>
            <w:pPr>
              <w:ind w:left="360"/>
              <w:spacing w:after="0"/>
              <w:rPr>
                <w:sz w:val="20"/>
                <w:szCs w:val="20"/>
                <w:color w:val="auto"/>
              </w:rPr>
            </w:pPr>
            <w:r>
              <w:rPr>
                <w:rFonts w:ascii="Arial" w:cs="Arial" w:eastAsia="Arial" w:hAnsi="Arial"/>
                <w:sz w:val="18"/>
                <w:szCs w:val="18"/>
                <w:color w:val="auto"/>
              </w:rPr>
              <w:t>Gross originations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369.6</w:t>
            </w:r>
          </w:p>
        </w:tc>
        <w:tc>
          <w:tcPr>
            <w:tcW w:w="320" w:type="dxa"/>
            <w:vAlign w:val="bottom"/>
          </w:tcPr>
          <w:p>
            <w:pPr>
              <w:spacing w:after="0"/>
              <w:rPr>
                <w:sz w:val="18"/>
                <w:szCs w:val="18"/>
                <w:color w:val="auto"/>
              </w:rPr>
            </w:pPr>
          </w:p>
        </w:tc>
        <w:tc>
          <w:tcPr>
            <w:tcW w:w="840" w:type="dxa"/>
            <w:vAlign w:val="bottom"/>
            <w:gridSpan w:val="3"/>
          </w:tcPr>
          <w:p>
            <w:pPr>
              <w:jc w:val="right"/>
              <w:ind w:right="107"/>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92.5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syndications/sell downs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620" w:type="dxa"/>
            <w:vAlign w:val="bottom"/>
          </w:tcPr>
          <w:p>
            <w:pPr>
              <w:ind w:left="720"/>
              <w:spacing w:after="0"/>
              <w:rPr>
                <w:sz w:val="20"/>
                <w:szCs w:val="20"/>
                <w:color w:val="auto"/>
              </w:rPr>
            </w:pPr>
            <w:r>
              <w:rPr>
                <w:rFonts w:ascii="Arial" w:cs="Arial" w:eastAsia="Arial" w:hAnsi="Arial"/>
                <w:sz w:val="18"/>
                <w:szCs w:val="18"/>
                <w:color w:val="auto"/>
              </w:rPr>
              <w:t>Total new investment commitments</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314.6</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58.5</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20" w:type="dxa"/>
            <w:vAlign w:val="bottom"/>
          </w:tcPr>
          <w:p>
            <w:pPr>
              <w:ind w:left="360"/>
              <w:spacing w:after="0"/>
              <w:rPr>
                <w:sz w:val="20"/>
                <w:szCs w:val="20"/>
                <w:color w:val="auto"/>
              </w:rPr>
            </w:pPr>
            <w:r>
              <w:rPr>
                <w:rFonts w:ascii="Arial" w:cs="Arial" w:eastAsia="Arial" w:hAnsi="Arial"/>
                <w:sz w:val="18"/>
                <w:szCs w:val="18"/>
                <w:color w:val="auto"/>
              </w:rPr>
              <w:t>First-lien</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218.0</w:t>
            </w:r>
          </w:p>
        </w:tc>
        <w:tc>
          <w:tcPr>
            <w:tcW w:w="320" w:type="dxa"/>
            <w:vAlign w:val="bottom"/>
          </w:tcPr>
          <w:p>
            <w:pPr>
              <w:spacing w:after="0"/>
              <w:rPr>
                <w:sz w:val="18"/>
                <w:szCs w:val="18"/>
                <w:color w:val="auto"/>
              </w:rPr>
            </w:pPr>
          </w:p>
        </w:tc>
        <w:tc>
          <w:tcPr>
            <w:tcW w:w="840" w:type="dxa"/>
            <w:vAlign w:val="bottom"/>
            <w:gridSpan w:val="3"/>
          </w:tcPr>
          <w:p>
            <w:pPr>
              <w:jc w:val="right"/>
              <w:ind w:right="107"/>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Second-lien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20" w:type="dxa"/>
            <w:vAlign w:val="bottom"/>
          </w:tcPr>
          <w:p>
            <w:pPr>
              <w:ind w:left="360"/>
              <w:spacing w:after="0"/>
              <w:rPr>
                <w:sz w:val="20"/>
                <w:szCs w:val="20"/>
                <w:color w:val="auto"/>
              </w:rPr>
            </w:pPr>
            <w:r>
              <w:rPr>
                <w:rFonts w:ascii="Arial" w:cs="Arial" w:eastAsia="Arial" w:hAnsi="Arial"/>
                <w:sz w:val="18"/>
                <w:szCs w:val="18"/>
                <w:color w:val="auto"/>
              </w:rPr>
              <w:t>Mezzanine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620" w:type="dxa"/>
            <w:vAlign w:val="bottom"/>
          </w:tcPr>
          <w:p>
            <w:pPr>
              <w:ind w:left="72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288.2</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20" w:type="dxa"/>
            <w:vAlign w:val="bottom"/>
          </w:tcPr>
          <w:p>
            <w:pPr>
              <w:ind w:left="360"/>
              <w:spacing w:after="0"/>
              <w:rPr>
                <w:sz w:val="20"/>
                <w:szCs w:val="20"/>
                <w:color w:val="auto"/>
              </w:rPr>
            </w:pPr>
            <w:r>
              <w:rPr>
                <w:rFonts w:ascii="Arial" w:cs="Arial" w:eastAsia="Arial" w:hAnsi="Arial"/>
                <w:sz w:val="18"/>
                <w:szCs w:val="18"/>
                <w:color w:val="auto"/>
              </w:rPr>
              <w:t>First-lien</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101.2</w:t>
            </w:r>
          </w:p>
        </w:tc>
        <w:tc>
          <w:tcPr>
            <w:tcW w:w="320" w:type="dxa"/>
            <w:vAlign w:val="bottom"/>
          </w:tcPr>
          <w:p>
            <w:pPr>
              <w:spacing w:after="0"/>
              <w:rPr>
                <w:sz w:val="18"/>
                <w:szCs w:val="18"/>
                <w:color w:val="auto"/>
              </w:rPr>
            </w:pPr>
          </w:p>
        </w:tc>
        <w:tc>
          <w:tcPr>
            <w:tcW w:w="840" w:type="dxa"/>
            <w:vAlign w:val="bottom"/>
            <w:gridSpan w:val="3"/>
          </w:tcPr>
          <w:p>
            <w:pPr>
              <w:jc w:val="right"/>
              <w:ind w:right="107"/>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81.5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Second-lien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20" w:type="dxa"/>
            <w:vAlign w:val="bottom"/>
          </w:tcPr>
          <w:p>
            <w:pPr>
              <w:ind w:left="360"/>
              <w:spacing w:after="0"/>
              <w:rPr>
                <w:sz w:val="20"/>
                <w:szCs w:val="20"/>
                <w:color w:val="auto"/>
              </w:rPr>
            </w:pPr>
            <w:r>
              <w:rPr>
                <w:rFonts w:ascii="Arial" w:cs="Arial" w:eastAsia="Arial" w:hAnsi="Arial"/>
                <w:sz w:val="18"/>
                <w:szCs w:val="18"/>
                <w:color w:val="auto"/>
              </w:rPr>
              <w:t>Mezzanine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4620" w:type="dxa"/>
            <w:vAlign w:val="bottom"/>
          </w:tcPr>
          <w:p>
            <w:pPr>
              <w:ind w:left="72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101.2</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7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w w:val="96"/>
              </w:rPr>
              <w:t>Number of new investment commitments in new portfolio companies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20" w:type="dxa"/>
            <w:vAlign w:val="bottom"/>
          </w:tcPr>
          <w:p>
            <w:pPr>
              <w:spacing w:after="0"/>
              <w:rPr>
                <w:sz w:val="17"/>
                <w:szCs w:val="17"/>
                <w:color w:val="auto"/>
              </w:rPr>
            </w:pPr>
          </w:p>
        </w:tc>
        <w:tc>
          <w:tcPr>
            <w:tcW w:w="5720" w:type="dxa"/>
            <w:vAlign w:val="bottom"/>
            <w:gridSpan w:val="4"/>
          </w:tcPr>
          <w:p>
            <w:pPr>
              <w:spacing w:after="0" w:line="198" w:lineRule="exact"/>
              <w:rPr>
                <w:sz w:val="20"/>
                <w:szCs w:val="20"/>
                <w:color w:val="auto"/>
              </w:rPr>
            </w:pPr>
            <w:r>
              <w:rPr>
                <w:rFonts w:ascii="Arial" w:cs="Arial" w:eastAsia="Arial" w:hAnsi="Arial"/>
                <w:sz w:val="18"/>
                <w:szCs w:val="18"/>
                <w:b w:val="1"/>
                <w:bCs w:val="1"/>
                <w:color w:val="auto"/>
              </w:rPr>
              <w:t>Average new investment commitment amount in new portfolio</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4620" w:type="dxa"/>
            <w:vAlign w:val="bottom"/>
          </w:tcPr>
          <w:p>
            <w:pPr>
              <w:ind w:left="180"/>
              <w:spacing w:after="0"/>
              <w:rPr>
                <w:sz w:val="20"/>
                <w:szCs w:val="20"/>
                <w:color w:val="auto"/>
              </w:rPr>
            </w:pPr>
            <w:r>
              <w:rPr>
                <w:rFonts w:ascii="Arial" w:cs="Arial" w:eastAsia="Arial" w:hAnsi="Arial"/>
                <w:sz w:val="18"/>
                <w:szCs w:val="18"/>
                <w:b w:val="1"/>
                <w:bCs w:val="1"/>
                <w:color w:val="auto"/>
              </w:rPr>
              <w:t>companies</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50.6</w:t>
            </w:r>
          </w:p>
        </w:tc>
        <w:tc>
          <w:tcPr>
            <w:tcW w:w="320" w:type="dxa"/>
            <w:vAlign w:val="bottom"/>
          </w:tcPr>
          <w:p>
            <w:pPr>
              <w:spacing w:after="0"/>
              <w:rPr>
                <w:sz w:val="20"/>
                <w:szCs w:val="20"/>
                <w:color w:val="auto"/>
              </w:rPr>
            </w:pPr>
          </w:p>
        </w:tc>
        <w:tc>
          <w:tcPr>
            <w:tcW w:w="840" w:type="dxa"/>
            <w:vAlign w:val="bottom"/>
            <w:gridSpan w:val="3"/>
          </w:tcPr>
          <w:p>
            <w:pPr>
              <w:jc w:val="right"/>
              <w:ind w:right="107"/>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29.0</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920" w:type="dxa"/>
            <w:vAlign w:val="bottom"/>
          </w:tcPr>
          <w:p>
            <w:pPr>
              <w:spacing w:after="0"/>
              <w:rPr>
                <w:sz w:val="17"/>
                <w:szCs w:val="17"/>
                <w:color w:val="auto"/>
              </w:rPr>
            </w:pPr>
          </w:p>
        </w:tc>
        <w:tc>
          <w:tcPr>
            <w:tcW w:w="5720" w:type="dxa"/>
            <w:vAlign w:val="bottom"/>
            <w:gridSpan w:val="4"/>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Weighted average term for new investment commitments in new</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46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portfolio companies (in years)</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720" w:type="dxa"/>
            <w:vAlign w:val="bottom"/>
            <w:gridSpan w:val="4"/>
          </w:tcPr>
          <w:p>
            <w:pPr>
              <w:spacing w:after="0"/>
              <w:rPr>
                <w:sz w:val="20"/>
                <w:szCs w:val="20"/>
                <w:color w:val="auto"/>
              </w:rPr>
            </w:pPr>
            <w:r>
              <w:rPr>
                <w:rFonts w:ascii="Arial" w:cs="Arial" w:eastAsia="Arial" w:hAnsi="Arial"/>
                <w:sz w:val="18"/>
                <w:szCs w:val="18"/>
                <w:b w:val="1"/>
                <w:bCs w:val="1"/>
                <w:color w:val="auto"/>
              </w:rPr>
              <w:t>Percentage of new debt investment commitments at floating rates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98.5%</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4"/>
              </w:rPr>
              <w:t>100.0%</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7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Percentage of new debt investment commitments at fixed rates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 %</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720" w:type="dxa"/>
            <w:vAlign w:val="bottom"/>
            <w:gridSpan w:val="4"/>
          </w:tcPr>
          <w:p>
            <w:pPr>
              <w:spacing w:after="0"/>
              <w:rPr>
                <w:sz w:val="20"/>
                <w:szCs w:val="20"/>
                <w:color w:val="auto"/>
              </w:rPr>
            </w:pPr>
            <w:r>
              <w:rPr>
                <w:rFonts w:ascii="Arial" w:cs="Arial" w:eastAsia="Arial" w:hAnsi="Arial"/>
                <w:sz w:val="18"/>
                <w:szCs w:val="18"/>
                <w:b w:val="1"/>
                <w:bCs w:val="1"/>
                <w:color w:val="auto"/>
              </w:rPr>
              <w:t>Weighted average interest rate of new investment commitments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8.6%</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20" w:type="dxa"/>
            <w:vAlign w:val="bottom"/>
          </w:tcPr>
          <w:p>
            <w:pPr>
              <w:spacing w:after="0"/>
              <w:rPr>
                <w:sz w:val="17"/>
                <w:szCs w:val="17"/>
                <w:color w:val="auto"/>
              </w:rPr>
            </w:pPr>
          </w:p>
        </w:tc>
        <w:tc>
          <w:tcPr>
            <w:tcW w:w="5720" w:type="dxa"/>
            <w:vAlign w:val="bottom"/>
            <w:gridSpan w:val="4"/>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6"/>
              </w:rPr>
              <w:t>Weighted average spread over LIBOR of new floating rate investment</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46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commitments</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7.8%</w:t>
            </w:r>
          </w:p>
        </w:tc>
        <w:tc>
          <w:tcPr>
            <w:tcW w:w="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5720" w:type="dxa"/>
            <w:vAlign w:val="bottom"/>
            <w:gridSpan w:val="4"/>
          </w:tcPr>
          <w:p>
            <w:pPr>
              <w:spacing w:after="0"/>
              <w:rPr>
                <w:sz w:val="20"/>
                <w:szCs w:val="20"/>
                <w:color w:val="auto"/>
              </w:rPr>
            </w:pPr>
            <w:r>
              <w:rPr>
                <w:rFonts w:ascii="Arial" w:cs="Arial" w:eastAsia="Arial" w:hAnsi="Arial"/>
                <w:sz w:val="18"/>
                <w:szCs w:val="18"/>
                <w:b w:val="1"/>
                <w:bCs w:val="1"/>
                <w:color w:val="auto"/>
              </w:rPr>
              <w:t>Weighted average interest rate on investments sold or paid down</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10.6%</w:t>
            </w: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640" w:type="dxa"/>
            <w:vAlign w:val="bottom"/>
            <w:gridSpan w:val="5"/>
          </w:tcPr>
          <w:p>
            <w:pPr>
              <w:spacing w:after="0"/>
              <w:rPr>
                <w:sz w:val="20"/>
                <w:szCs w:val="20"/>
                <w:color w:val="auto"/>
              </w:rPr>
            </w:pPr>
            <w:r>
              <w:rPr>
                <w:rFonts w:ascii="Arial" w:cs="Arial" w:eastAsia="Arial" w:hAnsi="Arial"/>
                <w:sz w:val="18"/>
                <w:szCs w:val="18"/>
                <w:color w:val="auto"/>
                <w:w w:val="92"/>
              </w:rPr>
              <w:t>As of March 31, 2014 and December 31, 2013, our investments consisted of the following:</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540" w:type="dxa"/>
            <w:vAlign w:val="bottom"/>
            <w:gridSpan w:val="2"/>
            <w:vMerge w:val="restart"/>
          </w:tcPr>
          <w:p>
            <w:pPr>
              <w:spacing w:after="0"/>
              <w:rPr>
                <w:sz w:val="20"/>
                <w:szCs w:val="20"/>
                <w:color w:val="auto"/>
              </w:rPr>
            </w:pPr>
            <w:r>
              <w:rPr>
                <w:rFonts w:ascii="Arial" w:cs="Arial" w:eastAsia="Arial" w:hAnsi="Arial"/>
                <w:sz w:val="14"/>
                <w:szCs w:val="14"/>
                <w:color w:val="auto"/>
              </w:rPr>
              <w:t>($ in millions)</w:t>
            </w: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March 31, 2014</w:t>
            </w:r>
          </w:p>
        </w:tc>
        <w:tc>
          <w:tcPr>
            <w:tcW w:w="5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w w:val="95"/>
              </w:rPr>
              <w:t>December 31, 2013</w:t>
            </w: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540" w:type="dxa"/>
            <w:vAlign w:val="bottom"/>
            <w:gridSpan w:val="2"/>
            <w:vMerge w:val="continue"/>
          </w:tcPr>
          <w:p>
            <w:pPr>
              <w:spacing w:after="0"/>
              <w:rPr>
                <w:sz w:val="12"/>
                <w:szCs w:val="12"/>
                <w:color w:val="auto"/>
              </w:rPr>
            </w:pPr>
          </w:p>
        </w:tc>
        <w:tc>
          <w:tcPr>
            <w:tcW w:w="11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9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0"/>
              </w:rPr>
              <w:t>Amortized Cost</w:t>
            </w:r>
          </w:p>
        </w:tc>
        <w:tc>
          <w:tcPr>
            <w:tcW w:w="36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Fair Value</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0"/>
              </w:rPr>
              <w:t>Amortized Cost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984.7</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970.4</w:t>
            </w: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  877.2</w:t>
            </w:r>
          </w:p>
        </w:tc>
        <w:tc>
          <w:tcPr>
            <w:tcW w:w="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863.4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Second-lien debt investments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203.8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194.1</w:t>
            </w:r>
          </w:p>
        </w:tc>
        <w:tc>
          <w:tcPr>
            <w:tcW w:w="320" w:type="dxa"/>
            <w:vAlign w:val="bottom"/>
          </w:tcPr>
          <w:p>
            <w:pPr>
              <w:spacing w:after="0"/>
              <w:rPr>
                <w:sz w:val="18"/>
                <w:szCs w:val="18"/>
                <w:color w:val="auto"/>
              </w:rPr>
            </w:pPr>
          </w:p>
        </w:tc>
        <w:tc>
          <w:tcPr>
            <w:tcW w:w="880" w:type="dxa"/>
            <w:vAlign w:val="bottom"/>
            <w:gridSpan w:val="4"/>
          </w:tcPr>
          <w:p>
            <w:pPr>
              <w:jc w:val="right"/>
              <w:ind w:right="40"/>
              <w:spacing w:after="0"/>
              <w:rPr>
                <w:sz w:val="20"/>
                <w:szCs w:val="20"/>
                <w:color w:val="auto"/>
              </w:rPr>
            </w:pPr>
            <w:r>
              <w:rPr>
                <w:rFonts w:ascii="Arial" w:cs="Arial" w:eastAsia="Arial" w:hAnsi="Arial"/>
                <w:sz w:val="18"/>
                <w:szCs w:val="18"/>
                <w:color w:val="auto"/>
              </w:rPr>
              <w:t>137.5</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131.1</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18"/>
                <w:szCs w:val="18"/>
                <w:color w:val="auto"/>
              </w:rPr>
            </w:pPr>
          </w:p>
        </w:tc>
        <w:tc>
          <w:tcPr>
            <w:tcW w:w="880" w:type="dxa"/>
            <w:vAlign w:val="bottom"/>
            <w:gridSpan w:val="4"/>
          </w:tcPr>
          <w:p>
            <w:pPr>
              <w:jc w:val="right"/>
              <w:ind w:right="40"/>
              <w:spacing w:after="0"/>
              <w:rPr>
                <w:sz w:val="20"/>
                <w:szCs w:val="20"/>
                <w:color w:val="auto"/>
              </w:rPr>
            </w:pPr>
            <w:r>
              <w:rPr>
                <w:rFonts w:ascii="Arial" w:cs="Arial" w:eastAsia="Arial" w:hAnsi="Arial"/>
                <w:sz w:val="18"/>
                <w:szCs w:val="18"/>
                <w:color w:val="auto"/>
              </w:rPr>
              <w:t>1.8</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1,195.5</w:t>
            </w:r>
          </w:p>
        </w:tc>
        <w:tc>
          <w:tcPr>
            <w:tcW w:w="4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1,172.4</w:t>
            </w:r>
          </w:p>
        </w:tc>
        <w:tc>
          <w:tcPr>
            <w:tcW w:w="3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1,016.5</w:t>
            </w: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997.3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60"/>
          </w:cols>
          <w:pgMar w:left="240" w:top="274" w:right="4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TPG Specialty Lending, Inc.</w:t>
      </w:r>
    </w:p>
    <w:p>
      <w:pPr>
        <w:spacing w:after="0" w:line="121"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TPG Specialty Lending, Inc. (“the Company”)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a BDC, under the Investment Company Act of 1940 and the rules and regulations promulgated thereunder. TSL is externally managed by TSL Advisers, LLC (the “Adviser”), an SEC-registered investment adviser with offices throughout the United States. The Adviser sources and manages TSL’s portfolio through a dedicated team of investment professionals with significant expertise in middle market lending. TSL leverages the deep investment, sector, and operating resources of TPG Special Situations Partners (“TSSP”), the dedicated special situations and credit platform of TPG, with over $9.1 billion of assets under management as of March 31, 2014, and the broader TPG platform, a leading global private investment firm with over $59 billion of assets under management as of December 31, 2013, as adjusted for commitments accepted on January 2, 2014. For more information, visit www.tpgspecialtylending.com.</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Statements included herein may constitute “forward-looking statements,” which relate to future events or our future performance or financial condition.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our filings with the Securities and Exchange Commission. We assume no obligation to update any such forward-looking statements. TPG Specialty Lending, Inc. undertakes no duty to update any forward-looking statements made herein.</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2019-12-07T23:49:05Z</dcterms:created>
  <dcterms:modified xsi:type="dcterms:W3CDTF">2019-12-07T23:49:05Z</dcterms:modified>
</cp:coreProperties>
</file>