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Waxman Alan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06/17/2011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52"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76102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18"/>
                <w:szCs w:val="18"/>
                <w:color w:val="auto"/>
              </w:rPr>
            </w:pPr>
          </w:p>
        </w:tc>
        <w:tc>
          <w:tcPr>
            <w:tcW w:w="16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color w:val="0000FF"/>
              </w:rPr>
              <w:t>06/17/2011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4"/>
                <w:szCs w:val="14"/>
                <w:color w:val="0000FF"/>
              </w:rPr>
              <w:t>P</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2,868</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16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1,000</w:t>
            </w:r>
          </w:p>
        </w:tc>
        <w:tc>
          <w:tcPr>
            <w:tcW w:w="13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0000FF"/>
              </w:rPr>
              <w:t>2,868</w:t>
            </w: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8"/>
                <w:szCs w:val="18"/>
                <w:color w:val="0000FF"/>
              </w:rPr>
              <w:t>Response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8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TSL Advisers, LLC ("TSL Advisers") directly holds 2,868 shares of Common Stock of the Issuer (the "TSL Shares"), including 157.7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2"/>
              </w:rPr>
              <w:t>06/21/2011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Alan Waxman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2019-12-17T05:05:49Z</dcterms:created>
  <dcterms:modified xsi:type="dcterms:W3CDTF">2019-12-17T05:05:49Z</dcterms:modified>
</cp:coreProperties>
</file>