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TICC CAPITAL CORP.</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TPG Specialty Lending, Inc.</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-3980815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-2951480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-584835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517" w:right="479" w:bottom="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740410</wp:posOffset>
            </wp:positionH>
            <wp:positionV relativeFrom="page">
              <wp:posOffset>226060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321310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501015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544195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382"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October 28, 2015, TPG Specialty Lending, Inc. issued the following press release: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TPG Specialty Lending, Inc. Addresses TICC’s Desperate Attempts to Protect a Misplaced Payment to a Failed Manager</w:t>
      </w:r>
    </w:p>
    <w:p>
      <w:pPr>
        <w:spacing w:after="0" w:line="33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TSLX Reminds TICC Stockholders that Their Votes Still Count and Calls on Them to Vote Today - Voting GOLD Will Allow Stockholders to Potentially Realize the Value of the TSLX Offer</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NEW YORK—(BUSINESS WIRE)—TPG Specialty Lending, Inc. (“TSLX”; NYSE:TSLX), a specialty finance company focused on lending to middle-market companies, today sent a letter to stockholders of TICC Capital Corp. (“TICC”; Nasdaq:TICC) commenting on TICC’s recent statements regarding the Benefit Street Partners transaction and agreement with Raging Capital Management, LLC.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letter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TICC Stockholders: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We’re writing to ensure that you have access to simple facts regarding the future of your investment in TICC Capital Corp. (“TICC”) and the sale of TICC’s adviser (the “BSP Transaction”) to Benefit Street Partners, L.L.C., an affiliate of Providence Equity Partners L.L.C. (“BSP”).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simple review of the record shows that TICC has not been forthcoming with its stockholders.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FEDERAL JUDGE HAS DECLARED THAT TICC LIKELY VIOLATED THE LAW AND MISLED STOCKHOLDERS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market has noticed TICC’s detrimental actions and expressed its concern time and again. All three proxy advisors that independently advise stockholders on how to vote, five of the six leading independent analysts that cover TICC, and notable TICC stockholders have clearly expressed significant concerns related to the BSP Transaction.</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 xml:space="preserve">TICC’s desperate actions to strike an agreement with a single stockholder and to adjust BSP’s fees once again do not change the basic facts. The BSP Transaction is still inferior. </w:t>
      </w:r>
      <w:r>
        <w:rPr>
          <w:rFonts w:ascii="Arial" w:cs="Arial" w:eastAsia="Arial" w:hAnsi="Arial"/>
          <w:sz w:val="18"/>
          <w:szCs w:val="18"/>
          <w:u w:val="single" w:color="auto"/>
          <w:color w:val="auto"/>
        </w:rPr>
        <w:t>TICC’s adviser still does not deserve to be paid MILLIONS for a failed performance.</w:t>
      </w:r>
    </w:p>
    <w:p>
      <w:pPr>
        <w:spacing w:after="0" w:line="275"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b w:val="1"/>
          <w:bCs w:val="1"/>
          <w:color w:val="auto"/>
        </w:rPr>
        <w:t>TICC HAS REPEATEDLY MADE DESPERATE EFFORTS TO PROTECT THE MILLIONS SELF-INTERESTED DIRECTORS WILL BE PAID</w:t>
      </w:r>
    </w:p>
    <w:p>
      <w:pPr>
        <w:spacing w:after="0" w:line="5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TPG Specialty Lending, Inc. (“TSLX”) has presented an offer that delivers a substantial and upfront premium to stockholders and opportunity to participate in the value creation of an industry leading platform. In contrast, TICC has:</w:t>
      </w:r>
    </w:p>
    <w:p>
      <w:pPr>
        <w:spacing w:after="0" w:line="76" w:lineRule="exact"/>
        <w:rPr>
          <w:sz w:val="20"/>
          <w:szCs w:val="20"/>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Refused to engage in any substantial conversations regarding our offer.</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Been found to have likely misled stockholders and violated the law regarding how it disclosed details of the BSP Transaction.</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twice altered its deal with BSP under pressure from others.</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Struck a side deal with one stockholder demonstrating its continued lack of alignment in protecting the interests of ALL stockholders.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Adding insult to injury, TICC has taken these self-serving actions after 12 years of absolutely abysmal total returns for stockholders. Once again, we present TICC’s total return figures for stockholders to consider against key benchmarks and TSLX’s performance.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9"/>
              </w:rPr>
              <w:t>TICC Relative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One</w:t>
            </w:r>
          </w:p>
        </w:tc>
        <w:tc>
          <w:tcPr>
            <w:tcW w:w="8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9"/>
              </w:rPr>
              <w:t>Three</w:t>
            </w:r>
          </w:p>
        </w:tc>
        <w:tc>
          <w:tcPr>
            <w:tcW w:w="8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6"/>
              </w:rPr>
              <w:t>Since</w:t>
            </w:r>
          </w:p>
        </w:tc>
        <w:tc>
          <w:tcPr>
            <w:tcW w:w="4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4"/>
              </w:rPr>
              <w:t>Underperformance</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00" w:type="dxa"/>
            <w:vAlign w:val="bottom"/>
            <w:vMerge w:val="restart"/>
          </w:tcPr>
          <w:p>
            <w:pPr>
              <w:spacing w:after="0"/>
              <w:rPr>
                <w:sz w:val="20"/>
                <w:szCs w:val="20"/>
                <w:color w:val="auto"/>
              </w:rPr>
            </w:pPr>
            <w:r>
              <w:rPr>
                <w:rFonts w:ascii="Arial" w:cs="Arial" w:eastAsia="Arial" w:hAnsi="Arial"/>
                <w:sz w:val="14"/>
                <w:szCs w:val="14"/>
                <w:b w:val="1"/>
                <w:bCs w:val="1"/>
                <w:color w:val="auto"/>
                <w:w w:val="99"/>
              </w:rPr>
              <w:t>Total Return %</w:t>
            </w:r>
          </w:p>
        </w:tc>
        <w:tc>
          <w:tcPr>
            <w:tcW w:w="5340" w:type="dxa"/>
            <w:vAlign w:val="bottom"/>
            <w:vMerge w:val="restart"/>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6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One</w:t>
            </w:r>
          </w:p>
        </w:tc>
        <w:tc>
          <w:tcPr>
            <w:tcW w:w="220" w:type="dxa"/>
            <w:vAlign w:val="bottom"/>
          </w:tcPr>
          <w:p>
            <w:pPr>
              <w:spacing w:after="0"/>
              <w:rPr>
                <w:sz w:val="10"/>
                <w:szCs w:val="10"/>
                <w:color w:val="auto"/>
              </w:rPr>
            </w:pPr>
          </w:p>
        </w:tc>
        <w:tc>
          <w:tcPr>
            <w:tcW w:w="86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Three</w:t>
            </w:r>
          </w:p>
        </w:tc>
        <w:tc>
          <w:tcPr>
            <w:tcW w:w="520" w:type="dxa"/>
            <w:vAlign w:val="bottom"/>
          </w:tcPr>
          <w:p>
            <w:pPr>
              <w:jc w:val="right"/>
              <w:ind w:right="15"/>
              <w:spacing w:after="0" w:line="119" w:lineRule="exact"/>
              <w:rPr>
                <w:sz w:val="20"/>
                <w:szCs w:val="20"/>
                <w:color w:val="auto"/>
              </w:rPr>
            </w:pPr>
            <w:r>
              <w:rPr>
                <w:rFonts w:ascii="Arial" w:cs="Arial" w:eastAsia="Arial" w:hAnsi="Arial"/>
                <w:sz w:val="13"/>
                <w:szCs w:val="13"/>
                <w:b w:val="1"/>
                <w:bCs w:val="1"/>
                <w:color w:val="auto"/>
              </w:rPr>
              <w:t>Since</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00" w:type="dxa"/>
            <w:vAlign w:val="bottom"/>
            <w:tcBorders>
              <w:bottom w:val="single" w:sz="8" w:color="auto"/>
            </w:tcBorders>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8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rPr>
              <w:t>Year</w:t>
            </w:r>
          </w:p>
        </w:tc>
        <w:tc>
          <w:tcPr>
            <w:tcW w:w="82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IPO</w:t>
            </w:r>
            <w:r>
              <w:rPr>
                <w:rFonts w:ascii="Arial" w:cs="Arial" w:eastAsia="Arial" w:hAnsi="Arial"/>
                <w:sz w:val="12"/>
                <w:szCs w:val="12"/>
                <w:b w:val="1"/>
                <w:bCs w:val="1"/>
                <w:color w:val="auto"/>
              </w:rPr>
              <w:t>1</w:t>
            </w:r>
          </w:p>
        </w:tc>
        <w:tc>
          <w:tcPr>
            <w:tcW w:w="66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3"/>
                <w:szCs w:val="13"/>
                <w:color w:val="auto"/>
              </w:rPr>
            </w:pPr>
          </w:p>
        </w:tc>
        <w:tc>
          <w:tcPr>
            <w:tcW w:w="8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IPO</w:t>
            </w:r>
          </w:p>
        </w:tc>
        <w:tc>
          <w:tcPr>
            <w:tcW w:w="0" w:type="dxa"/>
            <w:vAlign w:val="bottom"/>
          </w:tcPr>
          <w:p>
            <w:pPr>
              <w:spacing w:after="0"/>
              <w:rPr>
                <w:sz w:val="1"/>
                <w:szCs w:val="1"/>
                <w:color w:val="auto"/>
              </w:rPr>
            </w:pPr>
          </w:p>
        </w:tc>
      </w:tr>
      <w:tr>
        <w:trPr>
          <w:trHeight w:val="20"/>
        </w:trPr>
        <w:tc>
          <w:tcPr>
            <w:tcW w:w="6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TICC</w:t>
            </w: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40" w:type="dxa"/>
            <w:vAlign w:val="bottom"/>
            <w:gridSpan w:val="2"/>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w w:val="98"/>
              </w:rPr>
              <w:t>(21.8)%</w:t>
            </w:r>
          </w:p>
        </w:tc>
        <w:tc>
          <w:tcPr>
            <w:tcW w:w="88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w w:val="98"/>
              </w:rPr>
              <w:t>(13.9)%</w:t>
            </w:r>
          </w:p>
        </w:tc>
        <w:tc>
          <w:tcPr>
            <w:tcW w:w="82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51.6%</w:t>
            </w:r>
          </w:p>
        </w:tc>
        <w:tc>
          <w:tcPr>
            <w:tcW w:w="4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2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center"/>
              <w:ind w:left="4"/>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BDC Composite</w:t>
            </w:r>
            <w:r>
              <w:rPr>
                <w:rFonts w:ascii="Arial" w:cs="Arial" w:eastAsia="Arial" w:hAnsi="Arial"/>
                <w:sz w:val="15"/>
                <w:szCs w:val="15"/>
                <w:b w:val="1"/>
                <w:bCs w:val="1"/>
                <w:color w:val="auto"/>
              </w:rPr>
              <w:t>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(9.8)</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7.4</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206.0</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w w:val="91"/>
              </w:rPr>
              <w:t>(12.0)%</w:t>
            </w: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rPr>
              <w:t>(21.3)%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(154.4)%</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43.8</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143.7</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(23.6)</w:t>
            </w:r>
          </w:p>
        </w:tc>
        <w:tc>
          <w:tcPr>
            <w:tcW w:w="1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(57.7)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US Treasuries</w:t>
            </w: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3.2</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3.9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60.4</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(25.0)</w:t>
            </w: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rPr>
              <w:t>(17.9)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 Grade Corporate Debt</w:t>
            </w: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(22.8)</w:t>
            </w:r>
          </w:p>
        </w:tc>
        <w:tc>
          <w:tcPr>
            <w:tcW w:w="1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(21.2)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High Yield Corporate Debt</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10.7</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105.7</w:t>
            </w: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(20.3)</w:t>
            </w:r>
          </w:p>
        </w:tc>
        <w:tc>
          <w:tcPr>
            <w:tcW w:w="1080" w:type="dxa"/>
            <w:vAlign w:val="bottom"/>
            <w:gridSpan w:val="3"/>
          </w:tcPr>
          <w:p>
            <w:pPr>
              <w:ind w:left="260"/>
              <w:spacing w:after="0"/>
              <w:rPr>
                <w:sz w:val="20"/>
                <w:szCs w:val="20"/>
                <w:color w:val="auto"/>
              </w:rPr>
            </w:pPr>
            <w:r>
              <w:rPr>
                <w:rFonts w:ascii="Arial" w:cs="Arial" w:eastAsia="Arial" w:hAnsi="Arial"/>
                <w:sz w:val="18"/>
                <w:szCs w:val="18"/>
                <w:color w:val="auto"/>
              </w:rPr>
              <w:t>(24.6)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TSLX</w:t>
            </w:r>
            <w:r>
              <w:rPr>
                <w:rFonts w:ascii="Arial" w:cs="Arial" w:eastAsia="Arial" w:hAnsi="Arial"/>
                <w:sz w:val="15"/>
                <w:szCs w:val="15"/>
                <w:b w:val="1"/>
                <w:bCs w:val="1"/>
                <w:color w:val="auto"/>
              </w:rPr>
              <w:t>3</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51.6%</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N/A</w:t>
            </w: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(33.8)%</w:t>
            </w:r>
          </w:p>
        </w:tc>
        <w:tc>
          <w:tcPr>
            <w:tcW w:w="10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(65.5)%</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Market data as of 15-Sep-2015; Source: Bloomberg, fixed income benchmark data from Markit iBoxx</w:t>
      </w:r>
    </w:p>
    <w:p>
      <w:pPr>
        <w:sectPr>
          <w:pgSz w:w="11900" w:h="16838" w:orient="portrait"/>
          <w:cols w:equalWidth="0" w:num="1">
            <w:col w:w="11420"/>
          </w:cols>
          <w:pgMar w:left="240" w:top="274" w:right="239" w:bottom="1440" w:gutter="0" w:footer="0" w:header="0"/>
        </w:sectPr>
      </w:pPr>
    </w:p>
    <w:bookmarkStart w:id="3" w:name="page4"/>
    <w:bookmarkEnd w:id="3"/>
    <w:p>
      <w:pPr>
        <w:jc w:val="both"/>
        <w:ind w:right="2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Stockholders must ask why TICC’s manager should be PAID millions to be replaced when </w:t>
      </w:r>
      <w:r>
        <w:rPr>
          <w:rFonts w:ascii="Arial" w:cs="Arial" w:eastAsia="Arial" w:hAnsi="Arial"/>
          <w:sz w:val="17"/>
          <w:szCs w:val="17"/>
          <w:b w:val="1"/>
          <w:bCs w:val="1"/>
          <w:color w:val="auto"/>
        </w:rPr>
        <w:t>it can be replaced at NO COST? Stockholders have already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paid this manager more than $127 million for a completely failed performance. </w:t>
      </w:r>
      <w:r>
        <w:rPr>
          <w:rFonts w:ascii="Arial" w:cs="Arial" w:eastAsia="Arial" w:hAnsi="Arial"/>
          <w:sz w:val="17"/>
          <w:szCs w:val="17"/>
          <w:color w:val="auto"/>
        </w:rPr>
        <w:t>This performance has destroyed the value of stockholders’ 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left its future in question, with five of the six analysts covering TICC expecting it will have to cut its dividend.</w:t>
      </w:r>
    </w:p>
    <w:p>
      <w:pPr>
        <w:spacing w:after="0" w:line="162"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Raging Capital Management, LLC (“Raging”) previously called upon TICC to postpone the special meeting of TICC stockholders originally scheduled for October 27, 2015 and to “run a full, fair and complete strategic review process to maximize value for all TICC stockholders.” To our great disappointment, Raging Capital announced its support for the BSP Transaction with no review, no process, and certainly no maximizing of value. The only thing that has happened is a self-serving deal to BUY this stockholder’s support in a bald attempt to push through an inferior transaction.</w:t>
      </w:r>
    </w:p>
    <w:p>
      <w:pPr>
        <w:spacing w:after="0" w:line="171"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 xml:space="preserve">TICC and its Special Committee continue to blatantly withhold key facts from you, as they have been doing for weeks. A federal judge had to intervene and issue a stinging critique of TICC AND ITS SPECIAL COMMITTEE’s behavior and a direct order that TICC correct serious and blatant attempts to mislead stockholders on critical facts. </w:t>
      </w:r>
      <w:r>
        <w:rPr>
          <w:rFonts w:ascii="Arial" w:cs="Arial" w:eastAsia="Arial" w:hAnsi="Arial"/>
          <w:sz w:val="16"/>
          <w:szCs w:val="16"/>
          <w:u w:val="single" w:color="auto"/>
          <w:color w:val="auto"/>
        </w:rPr>
        <w:t>You deserve better! How can anything TICC tells stockholders about the BSP Transaction now be trusted?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ONE FACT HASN’T CHANGED – ONLY TSLX IS OFFERING STOCKHOLDERS AN IMMEDIATE, UPFRONT PREMIUM</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Under TSLX’s proposal, TICC stockholders would receive an upfront premium and the opportunity to participate in the value creation of a market-leading platform. Our proposal constitutes a 20% premium to the closing price of TICC shares the day before we announced it publicly.</w:t>
      </w:r>
      <w:r>
        <w:rPr>
          <w:rFonts w:ascii="Arial" w:cs="Arial" w:eastAsia="Arial" w:hAnsi="Arial"/>
          <w:sz w:val="15"/>
          <w:szCs w:val="15"/>
          <w:color w:val="auto"/>
        </w:rPr>
        <w:t>4</w:t>
      </w:r>
      <w:r>
        <w:rPr>
          <w:rFonts w:ascii="Arial" w:cs="Arial" w:eastAsia="Arial" w:hAnsi="Arial"/>
          <w:sz w:val="18"/>
          <w:szCs w:val="18"/>
          <w:color w:val="auto"/>
        </w:rPr>
        <w:t xml:space="preserve"> We stand by our offer and are ready to deliver value to TICC stockholders.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THE GOLD PROXY CARD </w:t>
      </w:r>
      <w:r>
        <w:rPr>
          <w:rFonts w:ascii="Arial" w:cs="Arial" w:eastAsia="Arial" w:hAnsi="Arial"/>
          <w:sz w:val="18"/>
          <w:szCs w:val="18"/>
          <w:b w:val="1"/>
          <w:bCs w:val="1"/>
          <w:u w:val="single" w:color="auto"/>
          <w:color w:val="auto"/>
        </w:rPr>
        <w:t>AGAINST</w:t>
      </w:r>
      <w:r>
        <w:rPr>
          <w:rFonts w:ascii="Arial" w:cs="Arial" w:eastAsia="Arial" w:hAnsi="Arial"/>
          <w:sz w:val="18"/>
          <w:szCs w:val="18"/>
          <w:b w:val="1"/>
          <w:bCs w:val="1"/>
          <w:color w:val="auto"/>
        </w:rPr>
        <w:t xml:space="preserve"> MANAGEMENT’S PROPOSALS TODAY!</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 xml:space="preserve">Do not let TICC continue to mislead you. Tell TICC that you are fed up with their mismanagement. Vote the GOLD card NOW to send a clear message to TICC to engage with TSLX. Visit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 xml:space="preserve"> for more information about TSLX’s compelling offer.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Michael Fishman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Co-Chief Executive Officer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If you have any questions concerning this letter or TSLX’s proposal,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call MacKenzie Partners at one of the phone numbers listed below.</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MacKenzie Partners, Inc.</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 Madison Avenue</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New York, NY 10016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TPG@mackenziepartners.com</w:t>
      </w:r>
    </w:p>
    <w:p>
      <w:pPr>
        <w:spacing w:after="0" w:line="211" w:lineRule="exact"/>
        <w:rPr>
          <w:sz w:val="20"/>
          <w:szCs w:val="20"/>
          <w:color w:val="auto"/>
        </w:rPr>
      </w:pPr>
    </w:p>
    <w:p>
      <w:pPr>
        <w:ind w:left="5640" w:right="4640" w:hanging="963"/>
        <w:spacing w:after="0" w:line="258" w:lineRule="auto"/>
        <w:tabs>
          <w:tab w:leader="none" w:pos="5113" w:val="left"/>
        </w:tabs>
        <w:numPr>
          <w:ilvl w:val="0"/>
          <w:numId w:val="8"/>
        </w:numPr>
        <w:rPr>
          <w:rFonts w:ascii="Arial" w:cs="Arial" w:eastAsia="Arial" w:hAnsi="Arial"/>
          <w:sz w:val="18"/>
          <w:szCs w:val="18"/>
          <w:color w:val="auto"/>
        </w:rPr>
      </w:pPr>
      <w:r>
        <w:rPr>
          <w:rFonts w:ascii="Arial" w:cs="Arial" w:eastAsia="Arial" w:hAnsi="Arial"/>
          <w:sz w:val="18"/>
          <w:szCs w:val="18"/>
          <w:color w:val="auto"/>
        </w:rPr>
        <w:t>929-5500 (call collect) or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TOLL-FREE (800) 322-2885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$12 billion of assets under management, and the broader TPG platform, a global private investment firm with over $74 billion of assets under management. For more information, visit the Company’s website at </w:t>
      </w:r>
      <w:r>
        <w:rPr>
          <w:rFonts w:ascii="Arial" w:cs="Arial" w:eastAsia="Arial" w:hAnsi="Arial"/>
          <w:sz w:val="17"/>
          <w:szCs w:val="17"/>
          <w:u w:val="single" w:color="auto"/>
          <w:color w:val="auto"/>
        </w:rPr>
        <w:t>www.tpgspecialtylending.com</w:t>
      </w:r>
      <w:r>
        <w:rPr>
          <w:rFonts w:ascii="Arial" w:cs="Arial" w:eastAsia="Arial" w:hAnsi="Arial"/>
          <w:sz w:val="17"/>
          <w:szCs w:val="17"/>
          <w:color w:val="auto"/>
        </w:rPr>
        <w:t>.</w:t>
      </w:r>
    </w:p>
    <w:p>
      <w:pPr>
        <w:sectPr>
          <w:pgSz w:w="11900" w:h="16838" w:orient="portrait"/>
          <w:cols w:equalWidth="0" w:num="1">
            <w:col w:w="11400"/>
          </w:cols>
          <w:pgMar w:left="240" w:top="27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Information set forth herein includes forward-looking statements. These forward-looking statements include, but are not limited to, statements regarding TSLX proposed business combination transaction with TICC Capital Corp. (“TICC”) (including any financing required in connection with the proposed transaction and the benefits, results, effects and timing of a transaction), all statements regarding TPG Specialty Lending, Inc.’s (“TSLX”, or the “Company”) (and TSLX and TICC’s combined) expected future financial position, results of operations, cash flows, dividends, financing plans, business strategy, budgets, capital expenditures, competitive positions, growth opportunities, plans and objectives of management, and statements containing the words such as “anticipate,” “approximate,” “believe,” “plan,” “estimate,” “expect,” “project,” “could,” “would,” “should,” “will,” “intend,” “may,” “potential,” “upside,” and other similar expressions. Statements set forth herein concerning the business outlook or future economic performance, anticipated profitability, revenues, expenses, dividends or other financial items, and product or services line growth of TSLX (and the combined businesses of TSLX and TICC), together with other statements that are not historical facts, are forward-looking statements that are estimates reflecting the best judgment of TSLX based upon currently available information. 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management’s current expectations and include known and unknown risks, uncertainties and other factors, many of which TSLX is unable to predict or control, that may cause TSLX’s plans with respect to TICC, actual results or performance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 Risks and uncertainties related to the proposed transaction include, among others, uncertainty as to whether TSLX will further pursue, enter into or consummate the transaction on the terms set forth in the proposal or on other terms, potential adverse reactions or changes to business relationships resulting from the announcement or completion of the transaction, uncertainties as to the timing of the transaction, adverse effects on TSLX’s stock price resulting from the announcement or consummation of the transaction or any failure to complete the transaction, competitive responses to the announcement or consummation of the transaction, the risk that regulatory or other approvals and any financing required in connection with the consummation of the transaction are not obtained or are obtained subject to terms and conditions that are not anticipated, costs and difficulties related to the integration of TICC’s businesses and operations with TSLX’s businesses and operations, the inability to obtain, or delays in obtaining, cost savings and synergies from the transaction, unexpected costs, liabilities, charges or expenses resulting from the transaction, litigation relating to the transaction, the inability to retain key personnel, and any changes in general economic and/or industry specific conditions. In addition to these factors, other factors that may affect TSLX’s plans, results or stock price are set forth in TSLX’s Annual Report on Form 10-K and in its reports on Forms 10-Q and 8-K. 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information set forth herein is provided for informational purposes only and does not constitute an offer to purchase or the solicitation of an offer to sell any securities. TSLX has filed with the SEC and mailed to TICC stockholders a definitive proxy statement and accompanying GOLD proxy card to be used to solicit votes at a special meeting of stockholders of TICC scheduled to be held on October 27, 2015 against (a) approval of the new advisory agreement between TICC and TICC Management, LLC (the “Adviser”), to take effect upon a change of control of the Adviser in connection with the entrance of the Adviser into a purchase agreement with an affiliate of Benefit Street Partners L.L.C. (“BSP”), pursuant to which BSP will acquire control of the Adviser,</w:t>
      </w:r>
    </w:p>
    <w:p>
      <w:pPr>
        <w:spacing w:after="0" w:line="2" w:lineRule="exact"/>
        <w:rPr>
          <w:sz w:val="20"/>
          <w:szCs w:val="20"/>
          <w:color w:val="auto"/>
        </w:rPr>
      </w:pPr>
    </w:p>
    <w:p>
      <w:pPr>
        <w:ind w:right="440" w:firstLine="8"/>
        <w:spacing w:after="0" w:line="261"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election of six directors nominated by TICC’s board of directors, and (c) the proposal to adjourn the meeting if necessary or appropriate to solicit additional votes.</w:t>
      </w:r>
    </w:p>
    <w:p>
      <w:pPr>
        <w:sectPr>
          <w:pgSz w:w="11900" w:h="16838" w:orient="portrait"/>
          <w:cols w:equalWidth="0" w:num="1">
            <w:col w:w="11420"/>
          </w:cols>
          <w:pgMar w:left="240" w:top="270" w:right="239" w:bottom="1440" w:gutter="0" w:footer="0" w:header="0"/>
        </w:sectPr>
      </w:pPr>
    </w:p>
    <w:bookmarkStart w:id="5" w:name="page6"/>
    <w:bookmarkEnd w:id="5"/>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TSLX STRONGLY ADVISES ALL STOCKHOLDERS OF TICC TO READ THE TSLX PROXY STATEMENT AND ITS OTHER PROXY MATERIALS AS THEY BECOME AVAILABLE BECAUSE THEY CONTAIN IMPORTANT INFORMATION. SUCH TSLX PROXY MATERIALS ARE AND WILL BECOME AVAILABLE AT NO CHARGE ON THE SEC’S WEB 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AND AT TSLX’S WEBSITE</w:t>
      </w:r>
    </w:p>
    <w:p>
      <w:pPr>
        <w:ind w:right="400"/>
        <w:spacing w:after="0" w:line="255"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HTTP://WWW.TPGSPECIALTYLENDING.COM</w:t>
      </w:r>
      <w:r>
        <w:rPr>
          <w:rFonts w:ascii="Arial" w:cs="Arial" w:eastAsia="Arial" w:hAnsi="Arial"/>
          <w:sz w:val="18"/>
          <w:szCs w:val="18"/>
          <w:color w:val="auto"/>
        </w:rPr>
        <w:t xml:space="preserve">. IN ADDITION, TSLX WILL PROVIDE COPIES OF THE PROXY STATEMENT WITHOUT CHARGE UPON REQUEST. REQUESTS FOR COPIES SHOULD BE DIRECTED TO TSLX’S PROXY SOLICITOR AT </w:t>
      </w:r>
      <w:r>
        <w:rPr>
          <w:rFonts w:ascii="Arial" w:cs="Arial" w:eastAsia="Arial" w:hAnsi="Arial"/>
          <w:sz w:val="18"/>
          <w:szCs w:val="18"/>
          <w:u w:val="single" w:color="auto"/>
          <w:color w:val="auto"/>
        </w:rPr>
        <w:t>TPG@MACKENZIEPARTNERS.COM</w:t>
      </w:r>
      <w:r>
        <w:rPr>
          <w:rFonts w:ascii="Arial" w:cs="Arial" w:eastAsia="Arial" w:hAnsi="Arial"/>
          <w:sz w:val="18"/>
          <w:szCs w:val="18"/>
          <w:color w:val="auto"/>
        </w:rPr>
        <w:t>.</w:t>
      </w:r>
    </w:p>
    <w:p>
      <w:pPr>
        <w:spacing w:after="0" w:line="1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participant in the solicitation is TSLX and certain of its directors and executive officers may also be deemed to be participants in the solicitation. As of the date hereof, TSLX directly beneficially owned 1,633,660 shares of common stock of TICC.</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2014, which was filed with the SEC on February 24, 2015, its proxy statement for the 2015 Annual Meeting, which was filed with the SEC on April 10, 2015,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will also be included in any proxy statement and other relevant materials to be filed with the SEC when they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TICC and benchmark returns to 21-Nov-2003</w:t>
      </w:r>
    </w:p>
    <w:p>
      <w:pPr>
        <w:spacing w:after="0" w:line="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4"/>
          <w:szCs w:val="14"/>
          <w:color w:val="auto"/>
        </w:rPr>
      </w:pPr>
      <w:r>
        <w:rPr>
          <w:rFonts w:ascii="Arial" w:cs="Arial" w:eastAsia="Arial" w:hAnsi="Arial"/>
          <w:sz w:val="17"/>
          <w:szCs w:val="17"/>
          <w:color w:val="auto"/>
        </w:rPr>
        <w:t>BDC Composite comprised of ACAS, AINV, ARCC, FSC, GBDC, HTGC, MAIN, MCC, NMFC, PNNT, PSEC, SLRC, TCAP, TCRD and BKCC</w:t>
      </w:r>
    </w:p>
    <w:p>
      <w:pPr>
        <w:spacing w:after="0" w:line="21" w:lineRule="exact"/>
        <w:rPr>
          <w:sz w:val="20"/>
          <w:szCs w:val="20"/>
          <w:color w:val="auto"/>
        </w:rPr>
      </w:pPr>
    </w:p>
    <w:p>
      <w:pPr>
        <w:ind w:left="460" w:right="380" w:hanging="452"/>
        <w:spacing w:after="0" w:line="250"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8"/>
          <w:szCs w:val="18"/>
          <w:color w:val="auto"/>
        </w:rPr>
        <w:t>TSLX 3-year total return based off of 30-Jun-2012 NAV per share, 15-Sep-2015 closing stock price, and cumulative dividends declared during the period</w:t>
      </w:r>
    </w:p>
    <w:p>
      <w:pPr>
        <w:spacing w:after="0" w:line="1" w:lineRule="exact"/>
        <w:rPr>
          <w:sz w:val="20"/>
          <w:szCs w:val="20"/>
          <w:color w:val="auto"/>
        </w:rPr>
      </w:pPr>
    </w:p>
    <w:p>
      <w:pPr>
        <w:ind w:left="460" w:right="340" w:hanging="452"/>
        <w:spacing w:after="0" w:line="262" w:lineRule="auto"/>
        <w:tabs>
          <w:tab w:leader="none" w:pos="460" w:val="left"/>
        </w:tabs>
        <w:numPr>
          <w:ilvl w:val="0"/>
          <w:numId w:val="13"/>
        </w:numPr>
        <w:rPr>
          <w:rFonts w:ascii="Arial" w:cs="Arial" w:eastAsia="Arial" w:hAnsi="Arial"/>
          <w:sz w:val="15"/>
          <w:szCs w:val="15"/>
          <w:color w:val="auto"/>
        </w:rPr>
      </w:pPr>
      <w:r>
        <w:rPr>
          <w:rFonts w:ascii="Arial" w:cs="Arial" w:eastAsia="Arial" w:hAnsi="Arial"/>
          <w:sz w:val="18"/>
          <w:szCs w:val="18"/>
          <w:color w:val="auto"/>
        </w:rPr>
        <w:t>For reference, the TSLX Proposal represents a 12.8% discount to TICC’s NAV as of June 30, 2015, a narrower discount than the price at which the shares have traded since June 30th.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Robert Ollwerther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212-430-4119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bollwerther@tpg.com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212-929-5708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ckoons@mackenziepartners.com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or Pat Tucker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tbj@abmac.com</w:t>
      </w:r>
      <w:r>
        <w:rPr>
          <w:rFonts w:ascii="Arial" w:cs="Arial" w:eastAsia="Arial" w:hAnsi="Arial"/>
          <w:sz w:val="18"/>
          <w:szCs w:val="18"/>
          <w:color w:val="auto"/>
        </w:rPr>
        <w:t xml:space="preserve"> / </w:t>
      </w:r>
      <w:r>
        <w:rPr>
          <w:rFonts w:ascii="Arial" w:cs="Arial" w:eastAsia="Arial" w:hAnsi="Arial"/>
          <w:sz w:val="18"/>
          <w:szCs w:val="18"/>
          <w:u w:val="single" w:color="auto"/>
          <w:color w:val="auto"/>
        </w:rPr>
        <w:t>pct@abmac.com</w:t>
      </w:r>
    </w:p>
    <w:sectPr>
      <w:pgSz w:w="11900" w:h="16838" w:orient="portrait"/>
      <w:cols w:equalWidth="0" w:num="1">
        <w:col w:w="11380"/>
      </w:cols>
      <w:pgMar w:left="240" w:top="27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lvl w:ilvl="1">
      <w:lvlJc w:val="left"/>
      <w:lvlText w:val="(%2)"/>
      <w:numFmt w:val="decimal"/>
      <w:start w:val="1"/>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212"/>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bullet"/>
      <w:start w:val="1"/>
    </w:lvl>
  </w:abstractNum>
  <w:abstractNum w:abstractNumId="10">
    <w:nsid w:val="66EF438D"/>
    <w:multiLevelType w:val="hybridMultilevel"/>
    <w:lvl w:ilvl="0">
      <w:lvlJc w:val="left"/>
      <w:lvlText w:val="2"/>
      <w:numFmt w:val="bullet"/>
      <w:start w:val="1"/>
    </w:lvl>
  </w:abstractNum>
  <w:abstractNum w:abstractNumId="11">
    <w:nsid w:val="140E0F76"/>
    <w:multiLevelType w:val="hybridMultilevel"/>
    <w:lvl w:ilvl="0">
      <w:lvlJc w:val="left"/>
      <w:lvlText w:val="3"/>
      <w:numFmt w:val="bullet"/>
      <w:start w:val="1"/>
    </w:lvl>
  </w:abstractNum>
  <w:abstractNum w:abstractNumId="12">
    <w:nsid w:val="3352255A"/>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2019-12-20T23:19:57Z</dcterms:created>
  <dcterms:modified xsi:type="dcterms:W3CDTF">2019-12-20T23:19:57Z</dcterms:modified>
</cp:coreProperties>
</file>