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October 2, 2015, TPG Specialty Lending, Inc. (the “Company”) entered into a fourth amendment to the Company’s second amended and restated senior secured revolving credit facility, dated February 27, 2014 (as amended, the “Revolving Credit Facility”), (a) 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 (b) increasing the aggregate commitments under the Revolving Credit Facility from $781.3 million to $821.3 million, (c) extending the stated maturity date from October 17, 2019 to October 2, 2020, (d) extending the commitment termination date from October 17, 2018 to October 2, 2019 and (e) increasing the accordion feature, which allows the Company, under certain circumstances, to increase the size of the Revolving Credit Facility, from a maximum of $956.3 million to a maximum of $1.25 billion.</w:t>
      </w:r>
    </w:p>
    <w:p>
      <w:pPr>
        <w:spacing w:after="0" w:line="17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foregoing description is only a summary of certain of the provisions of the Revolving Credit Facility and is qualified in its entirety by the underlying agreement, which will be filed as an exhibit to the Company’s next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660" w:type="dxa"/>
            <w:vAlign w:val="bottom"/>
            <w:gridSpan w:val="2"/>
          </w:tcPr>
          <w:p>
            <w:pPr>
              <w:ind w:left="2140"/>
              <w:spacing w:after="0"/>
              <w:rPr>
                <w:sz w:val="20"/>
                <w:szCs w:val="20"/>
                <w:color w:val="auto"/>
              </w:rPr>
            </w:pPr>
            <w:r>
              <w:rPr>
                <w:rFonts w:ascii="Arial" w:cs="Arial" w:eastAsia="Arial" w:hAnsi="Arial"/>
                <w:sz w:val="18"/>
                <w:szCs w:val="18"/>
                <w:color w:val="auto"/>
              </w:rPr>
              <w:t>TPG SPECIALTY LENDING, INC.</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(Registrant)</w:t>
            </w:r>
          </w:p>
        </w:tc>
      </w:tr>
      <w:tr>
        <w:trPr>
          <w:trHeight w:val="446"/>
        </w:trPr>
        <w:tc>
          <w:tcPr>
            <w:tcW w:w="3760" w:type="dxa"/>
            <w:vAlign w:val="bottom"/>
          </w:tcPr>
          <w:p>
            <w:pPr>
              <w:spacing w:after="0"/>
              <w:rPr>
                <w:sz w:val="20"/>
                <w:szCs w:val="20"/>
                <w:color w:val="auto"/>
              </w:rPr>
            </w:pPr>
            <w:r>
              <w:rPr>
                <w:rFonts w:ascii="Arial" w:cs="Arial" w:eastAsia="Arial" w:hAnsi="Arial"/>
                <w:sz w:val="18"/>
                <w:szCs w:val="18"/>
                <w:color w:val="auto"/>
              </w:rPr>
              <w:t>Date: October 7, 2015</w:t>
            </w:r>
          </w:p>
        </w:tc>
        <w:tc>
          <w:tcPr>
            <w:tcW w:w="7660" w:type="dxa"/>
            <w:vAlign w:val="bottom"/>
            <w:gridSpan w:val="2"/>
          </w:tcPr>
          <w:p>
            <w:pPr>
              <w:ind w:left="2140"/>
              <w:spacing w:after="0"/>
              <w:rPr>
                <w:sz w:val="20"/>
                <w:szCs w:val="20"/>
                <w:color w:val="auto"/>
              </w:rPr>
            </w:pPr>
            <w:r>
              <w:rPr>
                <w:rFonts w:ascii="Arial" w:cs="Arial" w:eastAsia="Arial" w:hAnsi="Arial"/>
                <w:sz w:val="18"/>
                <w:szCs w:val="18"/>
                <w:color w:val="auto"/>
              </w:rPr>
              <w:t>By:  /s/ Robert Ollwerther</w:t>
            </w: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Robert Ollwerther</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2019-12-08T23:02:03Z</dcterms:created>
  <dcterms:modified xsi:type="dcterms:W3CDTF">2019-12-08T23:02:03Z</dcterms:modified>
</cp:coreProperties>
</file>