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6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454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3080" w:type="dxa"/>
            <w:vAlign w:val="bottom"/>
          </w:tcPr>
          <w:p>
            <w:pPr>
              <w:jc w:val="right"/>
              <w:ind w:right="4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4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80" w:type="dxa"/>
            <w:vAlign w:val="bottom"/>
          </w:tcPr>
          <w:p>
            <w:pPr>
              <w:jc w:val="center"/>
              <w:ind w:left="1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40" w:type="dxa"/>
            <w:vAlign w:val="bottom"/>
          </w:tcPr>
          <w:p>
            <w:pPr>
              <w:jc w:val="center"/>
              <w:ind w:right="1922"/>
              <w:spacing w:after="0"/>
              <w:rPr>
                <w:sz w:val="20"/>
                <w:szCs w:val="20"/>
                <w:color w:val="auto"/>
              </w:rPr>
            </w:pPr>
            <w:r>
              <w:rPr>
                <w:rFonts w:ascii="Arial" w:cs="Arial" w:eastAsia="Arial" w:hAnsi="Arial"/>
                <w:sz w:val="14"/>
                <w:szCs w:val="14"/>
                <w:b w:val="1"/>
                <w:bCs w:val="1"/>
                <w:color w:val="auto"/>
                <w:w w:val="89"/>
              </w:rPr>
              <w:t>Incorporation or Organization)</w:t>
            </w:r>
          </w:p>
        </w:tc>
        <w:tc>
          <w:tcPr>
            <w:tcW w:w="3080" w:type="dxa"/>
            <w:vAlign w:val="bottom"/>
          </w:tcPr>
          <w:p>
            <w:pPr>
              <w:jc w:val="center"/>
              <w:ind w:left="1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40" w:type="dxa"/>
            <w:vAlign w:val="bottom"/>
          </w:tcPr>
          <w:p>
            <w:pPr>
              <w:jc w:val="center"/>
              <w:ind w:right="1942"/>
              <w:spacing w:after="0"/>
              <w:rPr>
                <w:sz w:val="20"/>
                <w:szCs w:val="20"/>
                <w:color w:val="auto"/>
              </w:rPr>
            </w:pPr>
            <w:r>
              <w:rPr>
                <w:rFonts w:ascii="Arial" w:cs="Arial" w:eastAsia="Arial" w:hAnsi="Arial"/>
                <w:sz w:val="18"/>
                <w:szCs w:val="18"/>
                <w:b w:val="1"/>
                <w:bCs w:val="1"/>
                <w:color w:val="auto"/>
                <w:w w:val="87"/>
              </w:rPr>
              <w:t>301 Commerce Street, Suite 3300,</w:t>
            </w:r>
          </w:p>
        </w:tc>
        <w:tc>
          <w:tcPr>
            <w:tcW w:w="3080" w:type="dxa"/>
            <w:vAlign w:val="bottom"/>
          </w:tcPr>
          <w:p>
            <w:pPr>
              <w:spacing w:after="0"/>
              <w:rPr>
                <w:sz w:val="24"/>
                <w:szCs w:val="24"/>
                <w:color w:val="auto"/>
              </w:rPr>
            </w:pPr>
          </w:p>
        </w:tc>
      </w:tr>
      <w:tr>
        <w:trPr>
          <w:trHeight w:val="231"/>
        </w:trPr>
        <w:tc>
          <w:tcPr>
            <w:tcW w:w="4540" w:type="dxa"/>
            <w:vAlign w:val="bottom"/>
          </w:tcPr>
          <w:p>
            <w:pPr>
              <w:jc w:val="center"/>
              <w:ind w:right="1942"/>
              <w:spacing w:after="0"/>
              <w:rPr>
                <w:sz w:val="20"/>
                <w:szCs w:val="20"/>
                <w:color w:val="auto"/>
              </w:rPr>
            </w:pPr>
            <w:r>
              <w:rPr>
                <w:rFonts w:ascii="Arial" w:cs="Arial" w:eastAsia="Arial" w:hAnsi="Arial"/>
                <w:sz w:val="18"/>
                <w:szCs w:val="18"/>
                <w:b w:val="1"/>
                <w:bCs w:val="1"/>
                <w:color w:val="auto"/>
                <w:w w:val="95"/>
              </w:rPr>
              <w:t>Fort Worth, TX</w:t>
            </w:r>
          </w:p>
        </w:tc>
        <w:tc>
          <w:tcPr>
            <w:tcW w:w="3080" w:type="dxa"/>
            <w:vAlign w:val="bottom"/>
          </w:tcPr>
          <w:p>
            <w:pPr>
              <w:jc w:val="right"/>
              <w:ind w:right="244"/>
              <w:spacing w:after="0"/>
              <w:rPr>
                <w:sz w:val="20"/>
                <w:szCs w:val="20"/>
                <w:color w:val="auto"/>
              </w:rPr>
            </w:pPr>
            <w:r>
              <w:rPr>
                <w:rFonts w:ascii="Arial" w:cs="Arial" w:eastAsia="Arial" w:hAnsi="Arial"/>
                <w:sz w:val="18"/>
                <w:szCs w:val="18"/>
                <w:b w:val="1"/>
                <w:bCs w:val="1"/>
                <w:color w:val="auto"/>
              </w:rPr>
              <w:t>76102</w:t>
            </w:r>
          </w:p>
        </w:tc>
      </w:tr>
      <w:tr>
        <w:trPr>
          <w:trHeight w:val="174"/>
        </w:trPr>
        <w:tc>
          <w:tcPr>
            <w:tcW w:w="4540" w:type="dxa"/>
            <w:vAlign w:val="bottom"/>
          </w:tcPr>
          <w:p>
            <w:pPr>
              <w:jc w:val="center"/>
              <w:ind w:right="19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80" w:type="dxa"/>
            <w:vAlign w:val="bottom"/>
          </w:tcPr>
          <w:p>
            <w:pPr>
              <w:jc w:val="center"/>
              <w:ind w:left="19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40" w:space="380"/>
            <w:col w:w="160" w:space="100"/>
            <w:col w:w="5960" w:space="720"/>
            <w:col w:w="1920" w:space="480"/>
            <w:col w:w="160"/>
          </w:cols>
          <w:pgMar w:left="240" w:top="230" w:right="239" w:bottom="1440" w:gutter="0" w:footer="0" w:header="0"/>
          <w:type w:val="continuous"/>
        </w:sectPr>
      </w:pPr>
    </w:p>
    <w:p>
      <w:pPr>
        <w:spacing w:after="0" w:line="184" w:lineRule="exact"/>
        <w:tabs>
          <w:tab w:leader="none" w:pos="9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40" w:space="180"/>
            <w:col w:w="1200"/>
          </w:cols>
          <w:pgMar w:left="240" w:top="230"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May 11, 2012 was 296,545.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MARCH 31, 2012</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INDEX</w:t>
            </w:r>
          </w:p>
        </w:tc>
        <w:tc>
          <w:tcPr>
            <w:tcW w:w="20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580" w:type="dxa"/>
            <w:vAlign w:val="bottom"/>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300" w:type="dxa"/>
            <w:vAlign w:val="bottom"/>
            <w:gridSpan w:val="2"/>
          </w:tcPr>
          <w:p>
            <w:pPr>
              <w:spacing w:after="0"/>
              <w:rPr>
                <w:sz w:val="22"/>
                <w:szCs w:val="22"/>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300" w:type="dxa"/>
            <w:vAlign w:val="bottom"/>
            <w:gridSpan w:val="2"/>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Balance Sheets as of March 31, 2012 and December 31, 2011 (Unaudited)</w:t>
              </w:r>
            </w:hyperlink>
          </w:p>
        </w:tc>
        <w:tc>
          <w:tcPr>
            <w:tcW w:w="386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for the three months ended March 31, 2012 and 2011 (Unaudited)</w:t>
              </w:r>
            </w:hyperlink>
          </w:p>
        </w:tc>
        <w:tc>
          <w:tcPr>
            <w:tcW w:w="26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Schedules of Investments as of March 31, 2012 and December 31, 2011 (Unaudited)</w:t>
              </w:r>
            </w:hyperlink>
          </w:p>
        </w:tc>
        <w:tc>
          <w:tcPr>
            <w:tcW w:w="31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Consolidated Statements of Changes in Net Assets (Liabilities) for the three months ended March 31, 2012 and 2011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00" w:type="dxa"/>
            <w:vAlign w:val="bottom"/>
            <w:tcBorders>
              <w:top w:val="single" w:sz="8" w:color="0000EE"/>
            </w:tcBorders>
            <w:gridSpan w:val="1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Consolidated Statements of Cash Flows for the three months ended March 31, 2012 and 2011 (Unaudited)</w:t>
              </w:r>
            </w:hyperlink>
          </w:p>
        </w:tc>
        <w:tc>
          <w:tcPr>
            <w:tcW w:w="96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Notes to Consolidated Financial Statements (Unaudited)</w:t>
              </w:r>
            </w:hyperlink>
          </w:p>
        </w:tc>
        <w:tc>
          <w:tcPr>
            <w:tcW w:w="3480" w:type="dxa"/>
            <w:vAlign w:val="bottom"/>
            <w:tcBorders>
              <w:top w:val="single" w:sz="8" w:color="0000EE"/>
            </w:tcBorders>
            <w:gridSpan w:val="6"/>
          </w:tcPr>
          <w:p>
            <w:pPr>
              <w:spacing w:after="0"/>
              <w:rPr>
                <w:sz w:val="24"/>
                <w:szCs w:val="24"/>
                <w:color w:val="auto"/>
              </w:rPr>
            </w:pPr>
          </w:p>
        </w:tc>
        <w:tc>
          <w:tcPr>
            <w:tcW w:w="260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100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60" w:type="dxa"/>
            <w:vAlign w:val="bottom"/>
            <w:tcBorders>
              <w:left w:val="single" w:sz="8" w:color="0000EE"/>
            </w:tcBorders>
            <w:gridSpan w:val="2"/>
            <w:shd w:val="clear" w:color="auto" w:fill="0000EE"/>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tcBorders>
              <w:left w:val="single" w:sz="8" w:color="0000EE"/>
            </w:tcBorders>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PART II.</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1A.</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100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1006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6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83"/>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gridSpan w:val="2"/>
          </w:tcPr>
          <w:p>
            <w:pPr>
              <w:spacing w:after="0"/>
              <w:rPr>
                <w:sz w:val="24"/>
                <w:szCs w:val="24"/>
                <w:color w:val="auto"/>
              </w:rPr>
            </w:pPr>
          </w:p>
        </w:tc>
        <w:tc>
          <w:tcPr>
            <w:tcW w:w="6000" w:type="dxa"/>
            <w:vAlign w:val="bottom"/>
            <w:gridSpan w:val="11"/>
          </w:tcPr>
          <w:p>
            <w:pPr>
              <w:jc w:val="right"/>
              <w:ind w:right="12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or a continuation or worsening of the current global recession,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ability to raise capital and our investment activities; and,</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sections entitled “Risk Factors” in this report and in our Annual Report on Form 10-K for the year ended December 31, 2011, filed with the SEC on March 22, 2012, as amended, and elsewhere in our filings with the SEC.</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1934 Act, which preclude civil liability for certain forward-looking statements, do not apply to the forward-looking statements in this report because we are an investment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“TSL”, “Company”, “we”, “us” and “our” refer to TPG Specialty Lending, Inc. unless the context states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March 31, 2012</w:t>
            </w: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$280,322 and $140,255, respectively)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284,683</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Non-controlled, affiliated investments (amortized cost of $41,387 and $41,781, respectively)</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investments at fair value (amortized cost of $321,709 and $182,036, respectively)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326,749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196,506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528,977</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227,000</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Dividend payable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236,328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2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$0.01 par value; 100,000,000 shares authorized; 296,058 and 177,532 shares issued,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and 295,059 and 176,533 shares outstanding, respectively</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289,743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at cost; 999 shares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Accumulated net investment loss</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(2,136)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292,649</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528,977</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991.83</w:t>
            </w:r>
          </w:p>
        </w:tc>
        <w:tc>
          <w:tcPr>
            <w:tcW w:w="40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Three Months</w:t>
            </w:r>
          </w:p>
        </w:tc>
        <w:tc>
          <w:tcPr>
            <w:tcW w:w="38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March 31, 2012</w:t>
            </w:r>
          </w:p>
        </w:tc>
        <w:tc>
          <w:tcPr>
            <w:tcW w:w="3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6"/>
              </w:rPr>
              <w:t>March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6,013</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86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6,069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901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860"/>
              <w:spacing w:after="0"/>
              <w:rPr>
                <w:sz w:val="20"/>
                <w:szCs w:val="20"/>
                <w:color w:val="auto"/>
              </w:rPr>
            </w:pPr>
            <w:r>
              <w:rPr>
                <w:rFonts w:ascii="Arial" w:cs="Arial" w:eastAsia="Arial" w:hAnsi="Arial"/>
                <w:sz w:val="18"/>
                <w:szCs w:val="18"/>
                <w:color w:val="auto"/>
              </w:rPr>
              <w:t>Total investment income from non-controlled, affiliated investments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905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6,974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Initial organization</w:t>
            </w: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Incentive fees</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1,021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Directors’ fees</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860"/>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4,678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Net Expenses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4,357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2,617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322"/>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Net Gains on Investments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2,931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Realized gains: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Total Net Gains on Investments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3,169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Increase (Decrease) in Net Assets Resulting from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5,786</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Schedule of Investments as of March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2580" w:type="dxa"/>
            <w:vAlign w:val="bottom"/>
            <w:vMerge w:val="restart"/>
          </w:tcPr>
          <w:p>
            <w:pPr>
              <w:spacing w:after="0"/>
              <w:rPr>
                <w:sz w:val="14"/>
                <w:szCs w:val="14"/>
                <w:color w:val="auto"/>
              </w:rPr>
            </w:pPr>
          </w:p>
        </w:tc>
        <w:tc>
          <w:tcPr>
            <w:tcW w:w="14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5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4"/>
              </w:rPr>
              <w:t>Acquisition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78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6"/>
              </w:rPr>
              <w:t>Interest</w:t>
            </w:r>
          </w:p>
        </w:tc>
        <w:tc>
          <w:tcPr>
            <w:tcW w:w="1600" w:type="dxa"/>
            <w:vAlign w:val="bottom"/>
            <w:gridSpan w:val="2"/>
          </w:tcPr>
          <w:p>
            <w:pPr>
              <w:jc w:val="right"/>
              <w:ind w:right="1040"/>
              <w:spacing w:after="0" w:line="148" w:lineRule="exact"/>
              <w:rPr>
                <w:sz w:val="20"/>
                <w:szCs w:val="20"/>
                <w:color w:val="auto"/>
              </w:rPr>
            </w:pPr>
            <w:r>
              <w:rPr>
                <w:rFonts w:ascii="Arial" w:cs="Arial" w:eastAsia="Arial" w:hAnsi="Arial"/>
                <w:sz w:val="14"/>
                <w:szCs w:val="14"/>
                <w:b w:val="1"/>
                <w:bCs w:val="1"/>
                <w:color w:val="auto"/>
              </w:rPr>
              <w:t>Date</w:t>
            </w:r>
          </w:p>
        </w:tc>
        <w:tc>
          <w:tcPr>
            <w:tcW w:w="68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rPr>
              <w:t>Cost (2)</w:t>
            </w:r>
          </w:p>
        </w:tc>
        <w:tc>
          <w:tcPr>
            <w:tcW w:w="200" w:type="dxa"/>
            <w:vAlign w:val="bottom"/>
          </w:tcPr>
          <w:p>
            <w:pPr>
              <w:spacing w:after="0"/>
              <w:rPr>
                <w:sz w:val="14"/>
                <w:szCs w:val="14"/>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4"/>
                <w:szCs w:val="14"/>
                <w:color w:val="auto"/>
              </w:rPr>
            </w:pP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Secured Loans</w:t>
            </w:r>
          </w:p>
        </w:tc>
        <w:tc>
          <w:tcPr>
            <w:tcW w:w="1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80" w:type="dxa"/>
            <w:vAlign w:val="bottom"/>
            <w:gridSpan w:val="2"/>
          </w:tcPr>
          <w:p>
            <w:pPr>
              <w:spacing w:after="0"/>
              <w:rPr>
                <w:sz w:val="20"/>
                <w:szCs w:val="20"/>
                <w:color w:val="auto"/>
              </w:rPr>
            </w:pPr>
            <w:r>
              <w:rPr>
                <w:rFonts w:ascii="Arial" w:cs="Arial" w:eastAsia="Arial" w:hAnsi="Arial"/>
                <w:sz w:val="18"/>
                <w:szCs w:val="18"/>
                <w:color w:val="auto"/>
              </w:rPr>
              <w:t>Solarsoft, LP (f/k/a CMS-XKO Holding</w:t>
            </w:r>
          </w:p>
        </w:tc>
        <w:tc>
          <w:tcPr>
            <w:tcW w:w="1420" w:type="dxa"/>
            <w:vAlign w:val="bottom"/>
            <w:gridSpan w:val="2"/>
          </w:tcPr>
          <w:p>
            <w:pPr>
              <w:spacing w:after="0"/>
              <w:rPr>
                <w:sz w:val="20"/>
                <w:szCs w:val="20"/>
                <w:color w:val="auto"/>
              </w:rPr>
            </w:pPr>
            <w:r>
              <w:rPr>
                <w:rFonts w:ascii="Arial" w:cs="Arial" w:eastAsia="Arial" w:hAnsi="Arial"/>
                <w:sz w:val="18"/>
                <w:szCs w:val="18"/>
                <w:color w:val="auto"/>
                <w:w w:val="99"/>
              </w:rPr>
              <w:t>Software provider</w:t>
            </w:r>
          </w:p>
        </w:tc>
        <w:tc>
          <w:tcPr>
            <w:tcW w:w="1500" w:type="dxa"/>
            <w:vAlign w:val="bottom"/>
            <w:gridSpan w:val="2"/>
          </w:tcPr>
          <w:p>
            <w:pPr>
              <w:spacing w:after="0"/>
              <w:rPr>
                <w:sz w:val="20"/>
                <w:szCs w:val="20"/>
                <w:color w:val="auto"/>
              </w:rPr>
            </w:pPr>
            <w:r>
              <w:rPr>
                <w:rFonts w:ascii="Arial" w:cs="Arial" w:eastAsia="Arial" w:hAnsi="Arial"/>
                <w:sz w:val="18"/>
                <w:szCs w:val="18"/>
                <w:color w:val="auto"/>
                <w:w w:val="92"/>
              </w:rPr>
              <w:t>Senior secured loan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ind w:left="220"/>
              <w:spacing w:after="0"/>
              <w:rPr>
                <w:sz w:val="20"/>
                <w:szCs w:val="20"/>
                <w:color w:val="auto"/>
              </w:rPr>
            </w:pPr>
            <w:r>
              <w:rPr>
                <w:rFonts w:ascii="Arial" w:cs="Arial" w:eastAsia="Arial" w:hAnsi="Arial"/>
                <w:sz w:val="18"/>
                <w:szCs w:val="18"/>
                <w:color w:val="auto"/>
              </w:rPr>
              <w:t>Company, LP) (3)(4)</w:t>
            </w:r>
          </w:p>
        </w:tc>
        <w:tc>
          <w:tcPr>
            <w:tcW w:w="1420" w:type="dxa"/>
            <w:vAlign w:val="bottom"/>
            <w:gridSpan w:val="2"/>
          </w:tcPr>
          <w:p>
            <w:pPr>
              <w:spacing w:after="0"/>
              <w:rPr>
                <w:sz w:val="20"/>
                <w:szCs w:val="20"/>
                <w:color w:val="auto"/>
              </w:rPr>
            </w:pPr>
            <w:r>
              <w:rPr>
                <w:rFonts w:ascii="Arial" w:cs="Arial" w:eastAsia="Arial" w:hAnsi="Arial"/>
                <w:sz w:val="18"/>
                <w:szCs w:val="18"/>
                <w:color w:val="auto"/>
              </w:rPr>
              <w:t>for electrical</w:t>
            </w:r>
          </w:p>
        </w:tc>
        <w:tc>
          <w:tcPr>
            <w:tcW w:w="1500" w:type="dxa"/>
            <w:vAlign w:val="bottom"/>
            <w:gridSpan w:val="2"/>
          </w:tcPr>
          <w:p>
            <w:pPr>
              <w:spacing w:after="0"/>
              <w:rPr>
                <w:sz w:val="20"/>
                <w:szCs w:val="20"/>
                <w:color w:val="auto"/>
              </w:rPr>
            </w:pPr>
            <w:r>
              <w:rPr>
                <w:rFonts w:ascii="Arial" w:cs="Arial" w:eastAsia="Arial" w:hAnsi="Arial"/>
                <w:sz w:val="18"/>
                <w:szCs w:val="18"/>
                <w:color w:val="auto"/>
              </w:rPr>
              <w:t>($29,250 par, due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400" w:type="dxa"/>
            <w:vAlign w:val="bottom"/>
          </w:tcPr>
          <w:p>
            <w:pPr>
              <w:spacing w:after="0"/>
              <w:rPr>
                <w:sz w:val="20"/>
                <w:szCs w:val="20"/>
                <w:color w:val="auto"/>
              </w:rPr>
            </w:pPr>
            <w:r>
              <w:rPr>
                <w:rFonts w:ascii="Arial" w:cs="Arial" w:eastAsia="Arial" w:hAnsi="Arial"/>
                <w:sz w:val="18"/>
                <w:szCs w:val="18"/>
                <w:color w:val="auto"/>
              </w:rPr>
              <w:t>7/2016)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8.50%</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7/8/2011</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$ 28,703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$ 29,104</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 Cut Hospitality, Inc. (3)</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Full service chain</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Senior secured loan</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restaurants</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($24,375 par, due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8/2016)</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8/15/2011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24,253</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8"/>
        </w:trPr>
        <w:tc>
          <w:tcPr>
            <w:tcW w:w="3380" w:type="dxa"/>
            <w:vAlign w:val="bottom"/>
            <w:gridSpan w:val="2"/>
          </w:tcPr>
          <w:p>
            <w:pPr>
              <w:spacing w:after="0"/>
              <w:rPr>
                <w:sz w:val="20"/>
                <w:szCs w:val="20"/>
                <w:color w:val="auto"/>
              </w:rPr>
            </w:pPr>
            <w:r>
              <w:rPr>
                <w:rFonts w:ascii="Arial" w:cs="Arial" w:eastAsia="Arial" w:hAnsi="Arial"/>
                <w:sz w:val="18"/>
                <w:szCs w:val="18"/>
                <w:color w:val="auto"/>
              </w:rPr>
              <w:t>AFS Technologies, Inc. (3)(5)</w:t>
            </w:r>
          </w:p>
        </w:tc>
        <w:tc>
          <w:tcPr>
            <w:tcW w:w="1420" w:type="dxa"/>
            <w:vAlign w:val="bottom"/>
            <w:gridSpan w:val="2"/>
          </w:tcPr>
          <w:p>
            <w:pPr>
              <w:spacing w:after="0"/>
              <w:rPr>
                <w:sz w:val="20"/>
                <w:szCs w:val="20"/>
                <w:color w:val="auto"/>
              </w:rPr>
            </w:pPr>
            <w:r>
              <w:rPr>
                <w:rFonts w:ascii="Arial" w:cs="Arial" w:eastAsia="Arial" w:hAnsi="Arial"/>
                <w:sz w:val="18"/>
                <w:szCs w:val="18"/>
                <w:color w:val="auto"/>
                <w:w w:val="99"/>
              </w:rPr>
              <w:t>Software provider</w:t>
            </w:r>
          </w:p>
        </w:tc>
        <w:tc>
          <w:tcPr>
            <w:tcW w:w="1500" w:type="dxa"/>
            <w:vAlign w:val="bottom"/>
            <w:gridSpan w:val="2"/>
          </w:tcPr>
          <w:p>
            <w:pPr>
              <w:spacing w:after="0"/>
              <w:rPr>
                <w:sz w:val="20"/>
                <w:szCs w:val="20"/>
                <w:color w:val="auto"/>
              </w:rPr>
            </w:pPr>
            <w:r>
              <w:rPr>
                <w:rFonts w:ascii="Arial" w:cs="Arial" w:eastAsia="Arial" w:hAnsi="Arial"/>
                <w:sz w:val="18"/>
                <w:szCs w:val="18"/>
                <w:color w:val="auto"/>
                <w:w w:val="92"/>
              </w:rPr>
              <w:t>Senior secured loan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for food and</w:t>
            </w:r>
          </w:p>
        </w:tc>
        <w:tc>
          <w:tcPr>
            <w:tcW w:w="1500" w:type="dxa"/>
            <w:vAlign w:val="bottom"/>
            <w:gridSpan w:val="2"/>
          </w:tcPr>
          <w:p>
            <w:pPr>
              <w:spacing w:after="0"/>
              <w:rPr>
                <w:sz w:val="20"/>
                <w:szCs w:val="20"/>
                <w:color w:val="auto"/>
              </w:rPr>
            </w:pPr>
            <w:r>
              <w:rPr>
                <w:rFonts w:ascii="Arial" w:cs="Arial" w:eastAsia="Arial" w:hAnsi="Arial"/>
                <w:sz w:val="18"/>
                <w:szCs w:val="18"/>
                <w:color w:val="auto"/>
              </w:rPr>
              <w:t>($32,244 par, due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beverage</w:t>
            </w:r>
          </w:p>
        </w:tc>
        <w:tc>
          <w:tcPr>
            <w:tcW w:w="1400" w:type="dxa"/>
            <w:vAlign w:val="bottom"/>
          </w:tcPr>
          <w:p>
            <w:pPr>
              <w:spacing w:after="0"/>
              <w:rPr>
                <w:sz w:val="20"/>
                <w:szCs w:val="20"/>
                <w:color w:val="auto"/>
              </w:rPr>
            </w:pPr>
            <w:r>
              <w:rPr>
                <w:rFonts w:ascii="Arial" w:cs="Arial" w:eastAsia="Arial" w:hAnsi="Arial"/>
                <w:sz w:val="18"/>
                <w:szCs w:val="18"/>
                <w:color w:val="auto"/>
              </w:rPr>
              <w:t>9/2015)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companies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8/31/2011</w:t>
            </w:r>
          </w:p>
        </w:tc>
        <w:tc>
          <w:tcPr>
            <w:tcW w:w="680" w:type="dxa"/>
            <w:vAlign w:val="bottom"/>
          </w:tcPr>
          <w:p>
            <w:pPr>
              <w:jc w:val="right"/>
              <w:spacing w:after="0"/>
              <w:rPr>
                <w:sz w:val="20"/>
                <w:szCs w:val="20"/>
                <w:color w:val="auto"/>
              </w:rPr>
            </w:pPr>
            <w:r>
              <w:rPr>
                <w:rFonts w:ascii="Arial" w:cs="Arial" w:eastAsia="Arial" w:hAnsi="Arial"/>
                <w:sz w:val="18"/>
                <w:szCs w:val="18"/>
                <w:color w:val="auto"/>
              </w:rPr>
              <w:t>31,486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32,566</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Ecommerce Industries, Inc. (3)</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ERP and</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Senior secured loan</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eCommerce</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($22,425 par, due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software</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10/2016)</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0"/>
              </w:rPr>
              <w:t>10/17/2011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22,537</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8"/>
        </w:trPr>
        <w:tc>
          <w:tcPr>
            <w:tcW w:w="3380" w:type="dxa"/>
            <w:vAlign w:val="bottom"/>
            <w:gridSpan w:val="2"/>
          </w:tcPr>
          <w:p>
            <w:pPr>
              <w:spacing w:after="0"/>
              <w:rPr>
                <w:sz w:val="20"/>
                <w:szCs w:val="20"/>
                <w:color w:val="auto"/>
              </w:rPr>
            </w:pPr>
            <w:r>
              <w:rPr>
                <w:rFonts w:ascii="Arial" w:cs="Arial" w:eastAsia="Arial" w:hAnsi="Arial"/>
                <w:sz w:val="18"/>
                <w:szCs w:val="18"/>
                <w:color w:val="auto"/>
              </w:rPr>
              <w:t>Rogue Wave Holdings, Inc. (3)</w:t>
            </w:r>
          </w:p>
        </w:tc>
        <w:tc>
          <w:tcPr>
            <w:tcW w:w="1420" w:type="dxa"/>
            <w:vAlign w:val="bottom"/>
            <w:gridSpan w:val="2"/>
          </w:tcPr>
          <w:p>
            <w:pPr>
              <w:spacing w:after="0"/>
              <w:rPr>
                <w:sz w:val="20"/>
                <w:szCs w:val="20"/>
                <w:color w:val="auto"/>
              </w:rPr>
            </w:pPr>
            <w:r>
              <w:rPr>
                <w:rFonts w:ascii="Arial" w:cs="Arial" w:eastAsia="Arial" w:hAnsi="Arial"/>
                <w:sz w:val="18"/>
                <w:szCs w:val="18"/>
                <w:color w:val="auto"/>
              </w:rPr>
              <w:t>Cross-platform</w:t>
            </w:r>
          </w:p>
        </w:tc>
        <w:tc>
          <w:tcPr>
            <w:tcW w:w="1500" w:type="dxa"/>
            <w:vAlign w:val="bottom"/>
            <w:gridSpan w:val="2"/>
          </w:tcPr>
          <w:p>
            <w:pPr>
              <w:spacing w:after="0"/>
              <w:rPr>
                <w:sz w:val="20"/>
                <w:szCs w:val="20"/>
                <w:color w:val="auto"/>
              </w:rPr>
            </w:pPr>
            <w:r>
              <w:rPr>
                <w:rFonts w:ascii="Arial" w:cs="Arial" w:eastAsia="Arial" w:hAnsi="Arial"/>
                <w:sz w:val="18"/>
                <w:szCs w:val="18"/>
                <w:color w:val="auto"/>
                <w:w w:val="92"/>
              </w:rPr>
              <w:t>Senior secured loan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500" w:type="dxa"/>
            <w:vAlign w:val="bottom"/>
            <w:gridSpan w:val="2"/>
          </w:tcPr>
          <w:p>
            <w:pPr>
              <w:spacing w:after="0"/>
              <w:rPr>
                <w:sz w:val="20"/>
                <w:szCs w:val="20"/>
                <w:color w:val="auto"/>
              </w:rPr>
            </w:pPr>
            <w:r>
              <w:rPr>
                <w:rFonts w:ascii="Arial" w:cs="Arial" w:eastAsia="Arial" w:hAnsi="Arial"/>
                <w:sz w:val="18"/>
                <w:szCs w:val="18"/>
                <w:color w:val="auto"/>
              </w:rPr>
              <w:t>($14,344 par, due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1400" w:type="dxa"/>
            <w:vAlign w:val="bottom"/>
          </w:tcPr>
          <w:p>
            <w:pPr>
              <w:spacing w:after="0"/>
              <w:rPr>
                <w:sz w:val="20"/>
                <w:szCs w:val="20"/>
                <w:color w:val="auto"/>
              </w:rPr>
            </w:pPr>
            <w:r>
              <w:rPr>
                <w:rFonts w:ascii="Arial" w:cs="Arial" w:eastAsia="Arial" w:hAnsi="Arial"/>
                <w:sz w:val="18"/>
                <w:szCs w:val="18"/>
                <w:color w:val="auto"/>
              </w:rPr>
              <w:t>8/2016)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tools</w:t>
            </w: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auto"/>
                <w:w w:val="92"/>
              </w:rPr>
              <w:t>Senior secured loan</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11.75%</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w w:val="90"/>
              </w:rPr>
              <w:t>10/31/2011</w:t>
            </w:r>
          </w:p>
        </w:tc>
        <w:tc>
          <w:tcPr>
            <w:tcW w:w="680" w:type="dxa"/>
            <w:vAlign w:val="bottom"/>
          </w:tcPr>
          <w:p>
            <w:pPr>
              <w:jc w:val="right"/>
              <w:spacing w:after="0"/>
              <w:rPr>
                <w:sz w:val="20"/>
                <w:szCs w:val="20"/>
                <w:color w:val="auto"/>
              </w:rPr>
            </w:pPr>
            <w:r>
              <w:rPr>
                <w:rFonts w:ascii="Arial" w:cs="Arial" w:eastAsia="Arial" w:hAnsi="Arial"/>
                <w:sz w:val="18"/>
                <w:szCs w:val="18"/>
                <w:color w:val="auto"/>
              </w:rPr>
              <w:t>14,226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14,210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($18,409 par, due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8/2016)</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11.75%</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3/1/2012</w:t>
            </w:r>
          </w:p>
        </w:tc>
        <w:tc>
          <w:tcPr>
            <w:tcW w:w="680" w:type="dxa"/>
            <w:vAlign w:val="bottom"/>
          </w:tcPr>
          <w:p>
            <w:pPr>
              <w:jc w:val="right"/>
              <w:spacing w:after="0"/>
              <w:rPr>
                <w:sz w:val="20"/>
                <w:szCs w:val="20"/>
                <w:color w:val="auto"/>
              </w:rPr>
            </w:pPr>
            <w:r>
              <w:rPr>
                <w:rFonts w:ascii="Arial" w:cs="Arial" w:eastAsia="Arial" w:hAnsi="Arial"/>
                <w:sz w:val="18"/>
                <w:szCs w:val="18"/>
                <w:color w:val="auto"/>
              </w:rPr>
              <w:t>18,253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18,216</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Multidiscipline</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Senior secured loan</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simulation</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($34,563 par due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12/2016)</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0"/>
              </w:rPr>
              <w:t>12/23/2011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34,908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8"/>
        </w:trPr>
        <w:tc>
          <w:tcPr>
            <w:tcW w:w="3380" w:type="dxa"/>
            <w:vAlign w:val="bottom"/>
            <w:gridSpan w:val="2"/>
          </w:tcPr>
          <w:p>
            <w:pPr>
              <w:spacing w:after="0"/>
              <w:rPr>
                <w:sz w:val="20"/>
                <w:szCs w:val="20"/>
                <w:color w:val="auto"/>
              </w:rPr>
            </w:pPr>
            <w:r>
              <w:rPr>
                <w:rFonts w:ascii="Arial" w:cs="Arial" w:eastAsia="Arial" w:hAnsi="Arial"/>
                <w:sz w:val="18"/>
                <w:szCs w:val="18"/>
                <w:color w:val="auto"/>
              </w:rPr>
              <w:t>Federal Signal Corporation (3)</w:t>
            </w:r>
          </w:p>
        </w:tc>
        <w:tc>
          <w:tcPr>
            <w:tcW w:w="1420" w:type="dxa"/>
            <w:vAlign w:val="bottom"/>
            <w:gridSpan w:val="2"/>
          </w:tcPr>
          <w:p>
            <w:pPr>
              <w:spacing w:after="0"/>
              <w:rPr>
                <w:sz w:val="20"/>
                <w:szCs w:val="20"/>
                <w:color w:val="auto"/>
              </w:rPr>
            </w:pPr>
            <w:r>
              <w:rPr>
                <w:rFonts w:ascii="Arial" w:cs="Arial" w:eastAsia="Arial" w:hAnsi="Arial"/>
                <w:sz w:val="18"/>
                <w:szCs w:val="18"/>
                <w:color w:val="auto"/>
              </w:rPr>
              <w:t>Manufacturer of</w:t>
            </w:r>
          </w:p>
        </w:tc>
        <w:tc>
          <w:tcPr>
            <w:tcW w:w="1500" w:type="dxa"/>
            <w:vAlign w:val="bottom"/>
            <w:gridSpan w:val="2"/>
          </w:tcPr>
          <w:p>
            <w:pPr>
              <w:spacing w:after="0"/>
              <w:rPr>
                <w:sz w:val="20"/>
                <w:szCs w:val="20"/>
                <w:color w:val="auto"/>
              </w:rPr>
            </w:pPr>
            <w:r>
              <w:rPr>
                <w:rFonts w:ascii="Arial" w:cs="Arial" w:eastAsia="Arial" w:hAnsi="Arial"/>
                <w:sz w:val="18"/>
                <w:szCs w:val="18"/>
                <w:color w:val="auto"/>
                <w:w w:val="92"/>
              </w:rPr>
              <w:t>Senior secured loan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5"/>
              </w:rPr>
              <w:t>safety, emergency</w:t>
            </w:r>
          </w:p>
        </w:tc>
        <w:tc>
          <w:tcPr>
            <w:tcW w:w="1500" w:type="dxa"/>
            <w:vAlign w:val="bottom"/>
            <w:gridSpan w:val="2"/>
          </w:tcPr>
          <w:p>
            <w:pPr>
              <w:spacing w:after="0"/>
              <w:rPr>
                <w:sz w:val="20"/>
                <w:szCs w:val="20"/>
                <w:color w:val="auto"/>
              </w:rPr>
            </w:pPr>
            <w:r>
              <w:rPr>
                <w:rFonts w:ascii="Arial" w:cs="Arial" w:eastAsia="Arial" w:hAnsi="Arial"/>
                <w:sz w:val="18"/>
                <w:szCs w:val="18"/>
                <w:color w:val="auto"/>
              </w:rPr>
              <w:t>($60,000 par due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and heavy duty</w:t>
            </w:r>
          </w:p>
        </w:tc>
        <w:tc>
          <w:tcPr>
            <w:tcW w:w="1400" w:type="dxa"/>
            <w:vAlign w:val="bottom"/>
          </w:tcPr>
          <w:p>
            <w:pPr>
              <w:spacing w:after="0"/>
              <w:rPr>
                <w:sz w:val="20"/>
                <w:szCs w:val="20"/>
                <w:color w:val="auto"/>
              </w:rPr>
            </w:pPr>
            <w:r>
              <w:rPr>
                <w:rFonts w:ascii="Arial" w:cs="Arial" w:eastAsia="Arial" w:hAnsi="Arial"/>
                <w:sz w:val="18"/>
                <w:szCs w:val="18"/>
                <w:color w:val="auto"/>
              </w:rPr>
              <w:t>2/2015)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cleaning</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12.00%</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2/22/2012</w:t>
            </w:r>
          </w:p>
        </w:tc>
        <w:tc>
          <w:tcPr>
            <w:tcW w:w="680" w:type="dxa"/>
            <w:vAlign w:val="bottom"/>
          </w:tcPr>
          <w:p>
            <w:pPr>
              <w:jc w:val="right"/>
              <w:spacing w:after="0"/>
              <w:rPr>
                <w:sz w:val="20"/>
                <w:szCs w:val="20"/>
                <w:color w:val="auto"/>
              </w:rPr>
            </w:pPr>
            <w:r>
              <w:rPr>
                <w:rFonts w:ascii="Arial" w:cs="Arial" w:eastAsia="Arial" w:hAnsi="Arial"/>
                <w:sz w:val="18"/>
                <w:szCs w:val="18"/>
                <w:color w:val="auto"/>
              </w:rPr>
              <w:t>58,837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58,800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Vivint, Inc. (3)</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alarm</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Senior secured loan</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dealer and full</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($20,000 par due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alarm</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4/2013)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monitoring</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15.00%</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8"/>
        </w:trPr>
        <w:tc>
          <w:tcPr>
            <w:tcW w:w="3380" w:type="dxa"/>
            <w:vAlign w:val="bottom"/>
            <w:gridSpan w:val="2"/>
          </w:tcPr>
          <w:p>
            <w:pPr>
              <w:spacing w:after="0"/>
              <w:rPr>
                <w:sz w:val="20"/>
                <w:szCs w:val="20"/>
                <w:color w:val="auto"/>
              </w:rPr>
            </w:pPr>
            <w:r>
              <w:rPr>
                <w:rFonts w:ascii="Arial" w:cs="Arial" w:eastAsia="Arial" w:hAnsi="Arial"/>
                <w:sz w:val="18"/>
                <w:szCs w:val="18"/>
                <w:color w:val="auto"/>
              </w:rPr>
              <w:t>Mannington Mills, Inc. (3)</w:t>
            </w:r>
          </w:p>
        </w:tc>
        <w:tc>
          <w:tcPr>
            <w:tcW w:w="1420" w:type="dxa"/>
            <w:vAlign w:val="bottom"/>
            <w:gridSpan w:val="2"/>
          </w:tcPr>
          <w:p>
            <w:pPr>
              <w:spacing w:after="0"/>
              <w:rPr>
                <w:sz w:val="20"/>
                <w:szCs w:val="20"/>
                <w:color w:val="auto"/>
              </w:rPr>
            </w:pPr>
            <w:r>
              <w:rPr>
                <w:rFonts w:ascii="Arial" w:cs="Arial" w:eastAsia="Arial" w:hAnsi="Arial"/>
                <w:sz w:val="18"/>
                <w:szCs w:val="18"/>
                <w:color w:val="auto"/>
              </w:rPr>
              <w:t>Commercial and</w:t>
            </w:r>
          </w:p>
        </w:tc>
        <w:tc>
          <w:tcPr>
            <w:tcW w:w="1500" w:type="dxa"/>
            <w:vAlign w:val="bottom"/>
            <w:gridSpan w:val="2"/>
          </w:tcPr>
          <w:p>
            <w:pPr>
              <w:spacing w:after="0"/>
              <w:rPr>
                <w:sz w:val="20"/>
                <w:szCs w:val="20"/>
                <w:color w:val="auto"/>
              </w:rPr>
            </w:pPr>
            <w:r>
              <w:rPr>
                <w:rFonts w:ascii="Arial" w:cs="Arial" w:eastAsia="Arial" w:hAnsi="Arial"/>
                <w:sz w:val="18"/>
                <w:szCs w:val="18"/>
                <w:color w:val="auto"/>
                <w:w w:val="92"/>
              </w:rPr>
              <w:t>Senior secured loan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500" w:type="dxa"/>
            <w:vAlign w:val="bottom"/>
            <w:gridSpan w:val="2"/>
          </w:tcPr>
          <w:p>
            <w:pPr>
              <w:spacing w:after="0"/>
              <w:rPr>
                <w:sz w:val="20"/>
                <w:szCs w:val="20"/>
                <w:color w:val="auto"/>
              </w:rPr>
            </w:pPr>
            <w:r>
              <w:rPr>
                <w:rFonts w:ascii="Arial" w:cs="Arial" w:eastAsia="Arial" w:hAnsi="Arial"/>
                <w:sz w:val="18"/>
                <w:szCs w:val="18"/>
                <w:color w:val="auto"/>
              </w:rPr>
              <w:t>($47,339 par due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flooring</w:t>
            </w:r>
          </w:p>
        </w:tc>
        <w:tc>
          <w:tcPr>
            <w:tcW w:w="1400" w:type="dxa"/>
            <w:vAlign w:val="bottom"/>
          </w:tcPr>
          <w:p>
            <w:pPr>
              <w:spacing w:after="0"/>
              <w:rPr>
                <w:sz w:val="20"/>
                <w:szCs w:val="20"/>
                <w:color w:val="auto"/>
              </w:rPr>
            </w:pPr>
            <w:r>
              <w:rPr>
                <w:rFonts w:ascii="Arial" w:cs="Arial" w:eastAsia="Arial" w:hAnsi="Arial"/>
                <w:sz w:val="18"/>
                <w:szCs w:val="18"/>
                <w:color w:val="auto"/>
              </w:rPr>
              <w:t>3/2017)</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14.00%</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3/5/2012</w:t>
            </w:r>
          </w:p>
        </w:tc>
        <w:tc>
          <w:tcPr>
            <w:tcW w:w="680" w:type="dxa"/>
            <w:vAlign w:val="bottom"/>
          </w:tcPr>
          <w:p>
            <w:pPr>
              <w:jc w:val="right"/>
              <w:spacing w:after="0"/>
              <w:rPr>
                <w:sz w:val="20"/>
                <w:szCs w:val="20"/>
                <w:color w:val="auto"/>
              </w:rPr>
            </w:pPr>
            <w:r>
              <w:rPr>
                <w:rFonts w:ascii="Arial" w:cs="Arial" w:eastAsia="Arial" w:hAnsi="Arial"/>
                <w:sz w:val="18"/>
                <w:szCs w:val="18"/>
                <w:color w:val="auto"/>
              </w:rPr>
              <w:t>46,055</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46,510</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Senior Secured Loans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297,245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300,954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Bonds</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Full service chain</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restaurants</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bond</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($16,462 par, due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5/2014)</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11/7/2011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secured bond</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($1,250 par, due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5/2014)</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9.25%</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11/9/2011</w:t>
            </w:r>
          </w:p>
        </w:tc>
        <w:tc>
          <w:tcPr>
            <w:tcW w:w="680" w:type="dxa"/>
            <w:vAlign w:val="bottom"/>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Bonds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70"/>
        </w:trPr>
        <w:tc>
          <w:tcPr>
            <w:tcW w:w="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ind w:left="8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3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w:t>
            </w:r>
          </w:p>
        </w:tc>
        <w:tc>
          <w:tcPr>
            <w:tcW w:w="3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Amortized</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3200" w:type="dxa"/>
            <w:vAlign w:val="bottom"/>
            <w:gridSpan w:val="3"/>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2"/>
                <w:szCs w:val="12"/>
                <w:color w:val="auto"/>
              </w:rPr>
            </w:pPr>
          </w:p>
        </w:tc>
        <w:tc>
          <w:tcPr>
            <w:tcW w:w="90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Cost (2)</w:t>
            </w: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240" w:type="dxa"/>
            <w:vAlign w:val="bottom"/>
          </w:tcPr>
          <w:p>
            <w:pPr>
              <w:spacing w:after="0"/>
              <w:rPr>
                <w:sz w:val="12"/>
                <w:szCs w:val="12"/>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Preferred Equity</w:t>
            </w: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AFS Technologies, Inc. (5)(6)</w:t>
            </w:r>
          </w:p>
        </w:tc>
        <w:tc>
          <w:tcPr>
            <w:tcW w:w="1300" w:type="dxa"/>
            <w:vAlign w:val="bottom"/>
          </w:tcPr>
          <w:p>
            <w:pPr>
              <w:spacing w:after="0"/>
              <w:rPr>
                <w:sz w:val="20"/>
                <w:szCs w:val="20"/>
                <w:color w:val="auto"/>
              </w:rPr>
            </w:pPr>
            <w:r>
              <w:rPr>
                <w:rFonts w:ascii="Arial" w:cs="Arial" w:eastAsia="Arial" w:hAnsi="Arial"/>
                <w:sz w:val="18"/>
                <w:szCs w:val="18"/>
                <w:color w:val="auto"/>
                <w:w w:val="90"/>
              </w:rPr>
              <w:t>Software provider</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Series B-1 Preferred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for food and</w:t>
            </w: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Stock (311,760 shares)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beverage</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companies</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8/31/2011</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1,297</w:t>
            </w:r>
          </w:p>
        </w:tc>
        <w:tc>
          <w:tcPr>
            <w:tcW w:w="680" w:type="dxa"/>
            <w:vAlign w:val="bottom"/>
          </w:tcPr>
          <w:p>
            <w:pPr>
              <w:jc w:val="right"/>
              <w:spacing w:after="0"/>
              <w:rPr>
                <w:sz w:val="20"/>
                <w:szCs w:val="20"/>
                <w:color w:val="auto"/>
              </w:rPr>
            </w:pPr>
            <w:r>
              <w:rPr>
                <w:rFonts w:ascii="Arial" w:cs="Arial" w:eastAsia="Arial" w:hAnsi="Arial"/>
                <w:sz w:val="18"/>
                <w:szCs w:val="18"/>
                <w:color w:val="auto"/>
              </w:rPr>
              <w:t>1,244</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 Inc. (5)(6)</w:t>
            </w: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0"/>
              </w:rPr>
              <w:t>Software provider</w:t>
            </w:r>
          </w:p>
        </w:tc>
        <w:tc>
          <w:tcPr>
            <w:tcW w:w="2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Series B-2 Preferred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for food and</w:t>
            </w:r>
          </w:p>
        </w:tc>
        <w:tc>
          <w:tcPr>
            <w:tcW w:w="2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Stock (2,069,193 shares)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beverage</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companies</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8/31/2011</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Preferred Equity</w:t>
            </w: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9,901</w:t>
            </w:r>
          </w:p>
        </w:tc>
        <w:tc>
          <w:tcPr>
            <w:tcW w:w="680" w:type="dxa"/>
            <w:vAlign w:val="bottom"/>
          </w:tcPr>
          <w:p>
            <w:pPr>
              <w:jc w:val="right"/>
              <w:spacing w:after="0"/>
              <w:rPr>
                <w:sz w:val="20"/>
                <w:szCs w:val="20"/>
                <w:color w:val="auto"/>
              </w:rPr>
            </w:pPr>
            <w:r>
              <w:rPr>
                <w:rFonts w:ascii="Arial" w:cs="Arial" w:eastAsia="Arial" w:hAnsi="Arial"/>
                <w:sz w:val="18"/>
                <w:szCs w:val="18"/>
                <w:color w:val="auto"/>
              </w:rPr>
              <w:t>9,500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321,709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326,749</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0" w:hanging="452"/>
        <w:spacing w:after="0" w:line="28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March 31, 2012, the Company does not “control” any of the portfolio companies. Certain portfolio company investments are subject to contractual restrictions on sales.</w:t>
      </w:r>
    </w:p>
    <w:p>
      <w:pPr>
        <w:spacing w:after="0" w:line="2" w:lineRule="exact"/>
        <w:rPr>
          <w:rFonts w:ascii="Arial" w:cs="Arial" w:eastAsia="Arial" w:hAnsi="Arial"/>
          <w:sz w:val="16"/>
          <w:szCs w:val="16"/>
          <w:color w:val="auto"/>
        </w:rPr>
      </w:pPr>
    </w:p>
    <w:p>
      <w:pPr>
        <w:ind w:left="460" w:right="5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an arrangement between the Company and other lenders in any syndication.</w:t>
      </w:r>
    </w:p>
    <w:p>
      <w:pPr>
        <w:spacing w:after="0" w:line="2" w:lineRule="exact"/>
        <w:rPr>
          <w:rFonts w:ascii="Arial" w:cs="Arial" w:eastAsia="Arial" w:hAnsi="Arial"/>
          <w:sz w:val="16"/>
          <w:szCs w:val="16"/>
          <w:color w:val="auto"/>
        </w:rPr>
      </w:pPr>
    </w:p>
    <w:p>
      <w:pPr>
        <w:jc w:val="both"/>
        <w:ind w:left="460" w:right="40" w:hanging="452"/>
        <w:spacing w:after="0" w:line="300"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preferred equity investment has an optional redemption feature which, if exercised, entitles the Company to a 1.5 times liquidation preference.</w:t>
      </w:r>
    </w:p>
    <w:p>
      <w:pPr>
        <w:spacing w:after="0" w:line="18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Transactions during the three months March 31, 2012, in which the issuer was an affiliated company (but not a portfolio company that we “control”)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As of and for the Three Months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Ended March 31, 2012</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342"/>
              <w:spacing w:after="0" w:line="129" w:lineRule="exact"/>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760" w:type="dxa"/>
            <w:vAlign w:val="bottom"/>
            <w:gridSpan w:val="2"/>
          </w:tcPr>
          <w:p>
            <w:pPr>
              <w:jc w:val="right"/>
              <w:ind w:right="318"/>
              <w:spacing w:after="0" w:line="12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478"/>
              <w:spacing w:after="0" w:line="129"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1"/>
                <w:szCs w:val="11"/>
                <w:color w:val="auto"/>
              </w:rPr>
            </w:pPr>
          </w:p>
        </w:tc>
        <w:tc>
          <w:tcPr>
            <w:tcW w:w="9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3"/>
              </w:rPr>
              <w:t>Fair</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34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22"/>
              <w:spacing w:after="0" w:line="149" w:lineRule="exact"/>
              <w:rPr>
                <w:sz w:val="20"/>
                <w:szCs w:val="20"/>
                <w:color w:val="auto"/>
              </w:rPr>
            </w:pPr>
            <w:r>
              <w:rPr>
                <w:rFonts w:ascii="Arial" w:cs="Arial" w:eastAsia="Arial" w:hAnsi="Arial"/>
                <w:sz w:val="14"/>
                <w:szCs w:val="14"/>
                <w:b w:val="1"/>
                <w:bCs w:val="1"/>
                <w:color w:val="auto"/>
              </w:rPr>
              <w:t>Value at</w:t>
            </w:r>
          </w:p>
        </w:tc>
        <w:tc>
          <w:tcPr>
            <w:tcW w:w="4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Additions</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180" w:type="dxa"/>
            <w:vAlign w:val="bottom"/>
          </w:tcPr>
          <w:p>
            <w:pPr>
              <w:spacing w:after="0"/>
              <w:rPr>
                <w:sz w:val="12"/>
                <w:szCs w:val="12"/>
                <w:color w:val="auto"/>
              </w:rPr>
            </w:pPr>
          </w:p>
        </w:tc>
        <w:tc>
          <w:tcPr>
            <w:tcW w:w="1060" w:type="dxa"/>
            <w:vAlign w:val="bottom"/>
            <w:gridSpan w:val="3"/>
          </w:tcPr>
          <w:p>
            <w:pPr>
              <w:jc w:val="center"/>
              <w:ind w:right="358"/>
              <w:spacing w:after="0" w:line="149" w:lineRule="exact"/>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Value at</w:t>
            </w:r>
          </w:p>
        </w:tc>
        <w:tc>
          <w:tcPr>
            <w:tcW w:w="2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10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December 31, 2011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1"/>
              </w:rPr>
              <w:t>(a)</w:t>
            </w:r>
          </w:p>
        </w:tc>
        <w:tc>
          <w:tcPr>
            <w:tcW w:w="120" w:type="dxa"/>
            <w:vAlign w:val="bottom"/>
          </w:tcPr>
          <w:p>
            <w:pPr>
              <w:spacing w:after="0"/>
              <w:rPr>
                <w:sz w:val="14"/>
                <w:szCs w:val="14"/>
                <w:color w:val="auto"/>
              </w:rPr>
            </w:pPr>
          </w:p>
        </w:tc>
        <w:tc>
          <w:tcPr>
            <w:tcW w:w="760" w:type="dxa"/>
            <w:vAlign w:val="bottom"/>
            <w:gridSpan w:val="2"/>
          </w:tcPr>
          <w:p>
            <w:pPr>
              <w:jc w:val="right"/>
              <w:ind w:right="398"/>
              <w:spacing w:after="0" w:line="148" w:lineRule="exact"/>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498"/>
              <w:spacing w:after="0" w:line="148" w:lineRule="exact"/>
              <w:rPr>
                <w:sz w:val="20"/>
                <w:szCs w:val="20"/>
                <w:color w:val="auto"/>
              </w:rPr>
            </w:pPr>
            <w:r>
              <w:rPr>
                <w:rFonts w:ascii="Arial" w:cs="Arial" w:eastAsia="Arial" w:hAnsi="Arial"/>
                <w:sz w:val="14"/>
                <w:szCs w:val="14"/>
                <w:b w:val="1"/>
                <w:bCs w:val="1"/>
                <w:color w:val="auto"/>
                <w:w w:val="79"/>
              </w:rPr>
              <w:t>Loss</w:t>
            </w:r>
          </w:p>
        </w:tc>
        <w:tc>
          <w:tcPr>
            <w:tcW w:w="11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March 31, 2012</w:t>
            </w:r>
          </w:p>
        </w:tc>
        <w:tc>
          <w:tcPr>
            <w:tcW w:w="220" w:type="dxa"/>
            <w:vAlign w:val="bottom"/>
          </w:tcPr>
          <w:p>
            <w:pPr>
              <w:spacing w:after="0"/>
              <w:rPr>
                <w:sz w:val="14"/>
                <w:szCs w:val="14"/>
                <w:color w:val="auto"/>
              </w:rPr>
            </w:pPr>
          </w:p>
        </w:tc>
        <w:tc>
          <w:tcPr>
            <w:tcW w:w="6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5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42,663</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(419</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(203</w:t>
            </w:r>
          </w:p>
        </w:tc>
        <w:tc>
          <w:tcPr>
            <w:tcW w:w="420" w:type="dxa"/>
            <w:vAlign w:val="bottom"/>
            <w:tcBorders>
              <w:top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42,066</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901</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42,663</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98"/>
              <w:spacing w:after="0"/>
              <w:rPr>
                <w:sz w:val="20"/>
                <w:szCs w:val="20"/>
                <w:color w:val="auto"/>
              </w:rPr>
            </w:pPr>
            <w:r>
              <w:rPr>
                <w:rFonts w:ascii="Arial" w:cs="Arial" w:eastAsia="Arial" w:hAnsi="Arial"/>
                <w:sz w:val="18"/>
                <w:szCs w:val="18"/>
                <w:color w:val="auto"/>
              </w:rPr>
              <w:t>(419)</w:t>
            </w:r>
          </w:p>
        </w:tc>
        <w:tc>
          <w:tcPr>
            <w:tcW w:w="32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78"/>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42,066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901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Schedule of Investments as of December 31,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4"/>
              </w:rPr>
              <w:t>Acquisition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460" w:type="dxa"/>
            <w:vAlign w:val="bottom"/>
            <w:gridSpan w:val="3"/>
            <w:vMerge w:val="continue"/>
          </w:tcPr>
          <w:p>
            <w:pPr>
              <w:spacing w:after="0"/>
              <w:rPr>
                <w:sz w:val="12"/>
                <w:szCs w:val="12"/>
                <w:color w:val="auto"/>
              </w:rPr>
            </w:pPr>
          </w:p>
        </w:tc>
        <w:tc>
          <w:tcPr>
            <w:tcW w:w="1080" w:type="dxa"/>
            <w:vAlign w:val="bottom"/>
          </w:tcPr>
          <w:p>
            <w:pPr>
              <w:ind w:left="300"/>
              <w:spacing w:after="0" w:line="148" w:lineRule="exact"/>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Investment</w:t>
            </w:r>
          </w:p>
        </w:tc>
        <w:tc>
          <w:tcPr>
            <w:tcW w:w="8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6"/>
              </w:rPr>
              <w:t>Interest</w:t>
            </w:r>
          </w:p>
        </w:tc>
        <w:tc>
          <w:tcPr>
            <w:tcW w:w="1700" w:type="dxa"/>
            <w:vAlign w:val="bottom"/>
            <w:gridSpan w:val="2"/>
          </w:tcPr>
          <w:p>
            <w:pPr>
              <w:jc w:val="right"/>
              <w:ind w:right="1140"/>
              <w:spacing w:after="0" w:line="148" w:lineRule="exact"/>
              <w:rPr>
                <w:sz w:val="20"/>
                <w:szCs w:val="20"/>
                <w:color w:val="auto"/>
              </w:rPr>
            </w:pPr>
            <w:r>
              <w:rPr>
                <w:rFonts w:ascii="Arial" w:cs="Arial" w:eastAsia="Arial" w:hAnsi="Arial"/>
                <w:sz w:val="14"/>
                <w:szCs w:val="14"/>
                <w:b w:val="1"/>
                <w:bCs w:val="1"/>
                <w:color w:val="auto"/>
              </w:rPr>
              <w:t>Date</w:t>
            </w:r>
          </w:p>
        </w:tc>
        <w:tc>
          <w:tcPr>
            <w:tcW w:w="8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Cost (2)</w:t>
            </w:r>
          </w:p>
        </w:tc>
        <w:tc>
          <w:tcPr>
            <w:tcW w:w="1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2"/>
                <w:szCs w:val="12"/>
                <w:color w:val="auto"/>
              </w:rPr>
            </w:pP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Secured Loans</w:t>
            </w: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Solarsoft, LP (f/k/a CMS-XKO</w:t>
            </w: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Holding Company, LP) (3)(4)</w:t>
            </w:r>
          </w:p>
        </w:tc>
        <w:tc>
          <w:tcPr>
            <w:tcW w:w="1080" w:type="dxa"/>
            <w:vAlign w:val="bottom"/>
          </w:tcPr>
          <w:p>
            <w:pPr>
              <w:spacing w:after="0"/>
              <w:rPr>
                <w:sz w:val="20"/>
                <w:szCs w:val="20"/>
                <w:color w:val="auto"/>
              </w:rPr>
            </w:pPr>
            <w:r>
              <w:rPr>
                <w:rFonts w:ascii="Arial" w:cs="Arial" w:eastAsia="Arial" w:hAnsi="Arial"/>
                <w:sz w:val="18"/>
                <w:szCs w:val="18"/>
                <w:color w:val="auto"/>
              </w:rPr>
              <w:t>provider for</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electrical</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($29,625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equipment</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2"/>
              </w:rPr>
              <w:t>manufacturing</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7/2016)</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7/8/2011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$ 29,052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$ 29,181</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 Cut Hospitality, Inc.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Full service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chain of</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($26,250 par,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8/2016)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8/15/2011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25,987</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AFS Technologies, Inc. (3)(5)</w:t>
            </w: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provider for</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food and</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($32,662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beverage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companies</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9/2015)</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8/31/2011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31,876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32,663</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Ecommerce Industries, Inc.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ERP and</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($22,713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10/2016)</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0"/>
              </w:rPr>
              <w:t>10/17/2011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Rogue Wave Holdings, Inc. (3)</w:t>
            </w:r>
          </w:p>
        </w:tc>
        <w:tc>
          <w:tcPr>
            <w:tcW w:w="1080" w:type="dxa"/>
            <w:vAlign w:val="bottom"/>
          </w:tcPr>
          <w:p>
            <w:pPr>
              <w:spacing w:after="0"/>
              <w:rPr>
                <w:sz w:val="20"/>
                <w:szCs w:val="20"/>
                <w:color w:val="auto"/>
              </w:rPr>
            </w:pPr>
            <w:r>
              <w:rPr>
                <w:rFonts w:ascii="Arial" w:cs="Arial" w:eastAsia="Arial" w:hAnsi="Arial"/>
                <w:sz w:val="18"/>
                <w:szCs w:val="18"/>
                <w:color w:val="auto"/>
                <w:w w:val="89"/>
              </w:rPr>
              <w:t>Cross-platform</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development</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($14,672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tools</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8/2016)</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11.75%</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w w:val="90"/>
              </w:rPr>
              <w:t>10/31/2011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14,550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14,635</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4"/>
              </w:rPr>
              <w:t>Multidiscipline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simulation</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12/2016)</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0"/>
              </w:rPr>
              <w:t>12/23/2011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Senior Secured Loans</w:t>
            </w: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157,870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160,178</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Bonds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Rare Restaurant Group, LLC</w:t>
            </w:r>
          </w:p>
        </w:tc>
        <w:tc>
          <w:tcPr>
            <w:tcW w:w="1080" w:type="dxa"/>
            <w:vAlign w:val="bottom"/>
          </w:tcPr>
          <w:p>
            <w:pPr>
              <w:spacing w:after="0"/>
              <w:rPr>
                <w:sz w:val="20"/>
                <w:szCs w:val="20"/>
                <w:color w:val="auto"/>
              </w:rPr>
            </w:pPr>
            <w:r>
              <w:rPr>
                <w:rFonts w:ascii="Arial" w:cs="Arial" w:eastAsia="Arial" w:hAnsi="Arial"/>
                <w:sz w:val="18"/>
                <w:szCs w:val="18"/>
                <w:color w:val="auto"/>
              </w:rPr>
              <w:t>Full service</w:t>
            </w:r>
          </w:p>
        </w:tc>
        <w:tc>
          <w:tcPr>
            <w:tcW w:w="1160" w:type="dxa"/>
            <w:vAlign w:val="bottom"/>
            <w:gridSpan w:val="2"/>
          </w:tcPr>
          <w:p>
            <w:pPr>
              <w:ind w:left="220"/>
              <w:spacing w:after="0" w:line="208"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chain of</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restaurants</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bond</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($16,462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5/2014)</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9.25%</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11/7/2011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13,255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13,170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line="209"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bond</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($1,250 par,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5/2014)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11/9/2011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Bonds</w:t>
            </w: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44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14,261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14,170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w:t>
            </w:r>
          </w:p>
        </w:tc>
        <w:tc>
          <w:tcPr>
            <w:tcW w:w="4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332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Industry</w:t>
            </w:r>
          </w:p>
        </w:tc>
        <w:tc>
          <w:tcPr>
            <w:tcW w:w="1580" w:type="dxa"/>
            <w:vAlign w:val="bottom"/>
            <w:gridSpan w:val="4"/>
          </w:tcPr>
          <w:p>
            <w:pPr>
              <w:ind w:left="60"/>
              <w:spacing w:after="0" w:line="148" w:lineRule="exact"/>
              <w:rPr>
                <w:sz w:val="20"/>
                <w:szCs w:val="20"/>
                <w:color w:val="auto"/>
              </w:rPr>
            </w:pPr>
            <w:r>
              <w:rPr>
                <w:rFonts w:ascii="Arial" w:cs="Arial" w:eastAsia="Arial" w:hAnsi="Arial"/>
                <w:sz w:val="14"/>
                <w:szCs w:val="14"/>
                <w:b w:val="1"/>
                <w:bCs w:val="1"/>
                <w:color w:val="auto"/>
              </w:rPr>
              <w:t>Investment    Interest</w:t>
            </w:r>
          </w:p>
        </w:tc>
        <w:tc>
          <w:tcPr>
            <w:tcW w:w="118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Date</w:t>
            </w:r>
          </w:p>
        </w:tc>
        <w:tc>
          <w:tcPr>
            <w:tcW w:w="400" w:type="dxa"/>
            <w:vAlign w:val="bottom"/>
          </w:tcPr>
          <w:p>
            <w:pPr>
              <w:spacing w:after="0"/>
              <w:rPr>
                <w:sz w:val="12"/>
                <w:szCs w:val="12"/>
                <w:color w:val="auto"/>
              </w:rPr>
            </w:pPr>
          </w:p>
        </w:tc>
        <w:tc>
          <w:tcPr>
            <w:tcW w:w="8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4"/>
              </w:rPr>
              <w:t>Cost (2)</w:t>
            </w:r>
          </w:p>
        </w:tc>
        <w:tc>
          <w:tcPr>
            <w:tcW w:w="1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2"/>
                <w:szCs w:val="12"/>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Preferred Equity</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AFS Technologies, Inc. (5)(6)</w:t>
            </w: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Software</w:t>
            </w:r>
          </w:p>
        </w:tc>
        <w:tc>
          <w:tcPr>
            <w:tcW w:w="1580" w:type="dxa"/>
            <w:vAlign w:val="bottom"/>
            <w:gridSpan w:val="4"/>
          </w:tcPr>
          <w:p>
            <w:pPr>
              <w:spacing w:after="0"/>
              <w:rPr>
                <w:sz w:val="20"/>
                <w:szCs w:val="20"/>
                <w:color w:val="auto"/>
              </w:rPr>
            </w:pPr>
            <w:r>
              <w:rPr>
                <w:rFonts w:ascii="Arial" w:cs="Arial" w:eastAsia="Arial" w:hAnsi="Arial"/>
                <w:sz w:val="18"/>
                <w:szCs w:val="18"/>
                <w:color w:val="auto"/>
              </w:rPr>
              <w:t>Series B-1</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provider</w:t>
            </w:r>
          </w:p>
        </w:tc>
        <w:tc>
          <w:tcPr>
            <w:tcW w:w="1580" w:type="dxa"/>
            <w:vAlign w:val="bottom"/>
            <w:gridSpan w:val="4"/>
          </w:tcPr>
          <w:p>
            <w:pPr>
              <w:spacing w:after="0"/>
              <w:rPr>
                <w:sz w:val="20"/>
                <w:szCs w:val="20"/>
                <w:color w:val="auto"/>
              </w:rPr>
            </w:pPr>
            <w:r>
              <w:rPr>
                <w:rFonts w:ascii="Arial" w:cs="Arial" w:eastAsia="Arial" w:hAnsi="Arial"/>
                <w:sz w:val="18"/>
                <w:szCs w:val="18"/>
                <w:color w:val="auto"/>
              </w:rPr>
              <w:t>Preferred</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for food</w:t>
            </w:r>
          </w:p>
        </w:tc>
        <w:tc>
          <w:tcPr>
            <w:tcW w:w="1580" w:type="dxa"/>
            <w:vAlign w:val="bottom"/>
            <w:gridSpan w:val="4"/>
          </w:tcPr>
          <w:p>
            <w:pPr>
              <w:spacing w:after="0"/>
              <w:rPr>
                <w:sz w:val="20"/>
                <w:szCs w:val="20"/>
                <w:color w:val="auto"/>
              </w:rPr>
            </w:pPr>
            <w:r>
              <w:rPr>
                <w:rFonts w:ascii="Arial" w:cs="Arial" w:eastAsia="Arial" w:hAnsi="Arial"/>
                <w:sz w:val="18"/>
                <w:szCs w:val="18"/>
                <w:color w:val="auto"/>
              </w:rPr>
              <w:t>Stock</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and</w:t>
            </w:r>
          </w:p>
        </w:tc>
        <w:tc>
          <w:tcPr>
            <w:tcW w:w="760" w:type="dxa"/>
            <w:vAlign w:val="bottom"/>
          </w:tcPr>
          <w:p>
            <w:pPr>
              <w:spacing w:after="0"/>
              <w:rPr>
                <w:sz w:val="20"/>
                <w:szCs w:val="20"/>
                <w:color w:val="auto"/>
              </w:rPr>
            </w:pPr>
            <w:r>
              <w:rPr>
                <w:rFonts w:ascii="Arial" w:cs="Arial" w:eastAsia="Arial" w:hAnsi="Arial"/>
                <w:sz w:val="18"/>
                <w:szCs w:val="18"/>
                <w:color w:val="auto"/>
              </w:rPr>
              <w:t>(311,760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beverage</w:t>
            </w:r>
          </w:p>
        </w:tc>
        <w:tc>
          <w:tcPr>
            <w:tcW w:w="1580" w:type="dxa"/>
            <w:vAlign w:val="bottom"/>
            <w:gridSpan w:val="4"/>
          </w:tcPr>
          <w:p>
            <w:pPr>
              <w:spacing w:after="0"/>
              <w:rPr>
                <w:sz w:val="20"/>
                <w:szCs w:val="20"/>
                <w:color w:val="auto"/>
              </w:rPr>
            </w:pPr>
            <w:r>
              <w:rPr>
                <w:rFonts w:ascii="Arial" w:cs="Arial" w:eastAsia="Arial" w:hAnsi="Arial"/>
                <w:sz w:val="18"/>
                <w:szCs w:val="18"/>
                <w:color w:val="auto"/>
              </w:rPr>
              <w:t>shares)</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companies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8/31/2011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1,297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1,309</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 Inc. (5)(6)</w:t>
            </w: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Software</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Series B-2</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provider</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Preferred</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for food</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and</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85"/>
              </w:rPr>
              <w:t>(2,069,193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beverage</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companies</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8/31/2011</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Preferred Equity</w:t>
            </w: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182,036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184,348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0" w:hanging="452"/>
        <w:spacing w:after="0" w:line="283"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2011, the Company does not “control” any of the portfolio companies. Certain portfolio company investments are subject to contractual restrictions on sales.</w:t>
      </w:r>
    </w:p>
    <w:p>
      <w:pPr>
        <w:spacing w:after="0" w:line="2" w:lineRule="exact"/>
        <w:rPr>
          <w:rFonts w:ascii="Arial" w:cs="Arial" w:eastAsia="Arial" w:hAnsi="Arial"/>
          <w:sz w:val="16"/>
          <w:szCs w:val="16"/>
          <w:color w:val="auto"/>
        </w:rPr>
      </w:pPr>
    </w:p>
    <w:p>
      <w:pPr>
        <w:ind w:left="460" w:right="5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an arrangement between the Company and other lenders in any syndication.</w:t>
      </w:r>
    </w:p>
    <w:p>
      <w:pPr>
        <w:spacing w:after="0" w:line="2" w:lineRule="exact"/>
        <w:rPr>
          <w:rFonts w:ascii="Arial" w:cs="Arial" w:eastAsia="Arial" w:hAnsi="Arial"/>
          <w:sz w:val="16"/>
          <w:szCs w:val="16"/>
          <w:color w:val="auto"/>
        </w:rPr>
      </w:pPr>
    </w:p>
    <w:p>
      <w:pPr>
        <w:jc w:val="both"/>
        <w:ind w:left="460" w:right="40" w:hanging="452"/>
        <w:spacing w:after="0" w:line="30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8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preferred equity investment has an optional redemption feature which, if exercised, entitles the Company to a 1.5 times liquidation preference.</w:t>
      </w:r>
    </w:p>
    <w:p>
      <w:pPr>
        <w:spacing w:after="0" w:line="18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Transactions during the year ended December 31, 2011, in which the issuer was an affiliated company (but not a portfolio company that we “control”)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jc w:val="center"/>
              <w:ind w:left="206"/>
              <w:spacing w:after="0"/>
              <w:rPr>
                <w:sz w:val="20"/>
                <w:szCs w:val="20"/>
                <w:color w:val="auto"/>
              </w:rPr>
            </w:pPr>
            <w:r>
              <w:rPr>
                <w:rFonts w:ascii="Arial" w:cs="Arial" w:eastAsia="Arial" w:hAnsi="Arial"/>
                <w:sz w:val="14"/>
                <w:szCs w:val="14"/>
                <w:b w:val="1"/>
                <w:bCs w:val="1"/>
                <w:color w:val="auto"/>
                <w:w w:val="87"/>
              </w:rPr>
              <w:t>As of and for the Year</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226"/>
              <w:spacing w:after="0"/>
              <w:rPr>
                <w:sz w:val="20"/>
                <w:szCs w:val="20"/>
                <w:color w:val="auto"/>
              </w:rPr>
            </w:pPr>
            <w:r>
              <w:rPr>
                <w:rFonts w:ascii="Arial" w:cs="Arial" w:eastAsia="Arial" w:hAnsi="Arial"/>
                <w:sz w:val="14"/>
                <w:szCs w:val="14"/>
                <w:b w:val="1"/>
                <w:bCs w:val="1"/>
                <w:color w:val="auto"/>
                <w:w w:val="86"/>
              </w:rPr>
              <w:t>Ended December 31, 2011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22"/>
              <w:spacing w:after="0" w:line="129" w:lineRule="exact"/>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98"/>
              <w:spacing w:after="0" w:line="12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86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5"/>
              </w:rPr>
              <w:t>Value at</w:t>
            </w: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4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Reductions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Value at</w:t>
            </w:r>
          </w:p>
        </w:tc>
        <w:tc>
          <w:tcPr>
            <w:tcW w:w="2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Interest</w:t>
            </w:r>
          </w:p>
        </w:tc>
        <w:tc>
          <w:tcPr>
            <w:tcW w:w="22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3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4"/>
              </w:rPr>
              <w:t>December 31, 2010</w:t>
            </w: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578"/>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Gains</w:t>
            </w:r>
          </w:p>
        </w:tc>
        <w:tc>
          <w:tcPr>
            <w:tcW w:w="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2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AFS Technologies, Inc.</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42,618</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20" w:type="dxa"/>
            <w:vAlign w:val="bottom"/>
            <w:tcBorders>
              <w:top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42,663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42,618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78"/>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882</w:t>
            </w:r>
          </w:p>
        </w:tc>
        <w:tc>
          <w:tcPr>
            <w:tcW w:w="340" w:type="dxa"/>
            <w:vAlign w:val="bottom"/>
          </w:tcPr>
          <w:p>
            <w:pPr>
              <w:spacing w:after="0"/>
              <w:rPr>
                <w:sz w:val="19"/>
                <w:szCs w:val="19"/>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42,663</w:t>
            </w:r>
          </w:p>
        </w:tc>
        <w:tc>
          <w:tcPr>
            <w:tcW w:w="90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1"/>
              </w:rPr>
              <w:t>Three Months</w:t>
            </w:r>
          </w:p>
        </w:tc>
        <w:tc>
          <w:tcPr>
            <w:tcW w:w="4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5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5440" w:type="dxa"/>
            <w:vAlign w:val="bottom"/>
          </w:tcPr>
          <w:p>
            <w:pPr>
              <w:spacing w:after="0"/>
              <w:rPr>
                <w:sz w:val="14"/>
                <w:szCs w:val="14"/>
                <w:color w:val="auto"/>
              </w:rPr>
            </w:pPr>
          </w:p>
        </w:tc>
        <w:tc>
          <w:tcPr>
            <w:tcW w:w="1840" w:type="dxa"/>
            <w:vAlign w:val="bottom"/>
            <w:gridSpan w:val="4"/>
          </w:tcPr>
          <w:p>
            <w:pPr>
              <w:ind w:left="480"/>
              <w:spacing w:after="0"/>
              <w:rPr>
                <w:sz w:val="20"/>
                <w:szCs w:val="20"/>
                <w:color w:val="auto"/>
              </w:rPr>
            </w:pPr>
            <w:r>
              <w:rPr>
                <w:rFonts w:ascii="Arial" w:cs="Arial" w:eastAsia="Arial" w:hAnsi="Arial"/>
                <w:sz w:val="14"/>
                <w:szCs w:val="14"/>
                <w:b w:val="1"/>
                <w:bCs w:val="1"/>
                <w:color w:val="auto"/>
              </w:rPr>
              <w:t>March 31, 2012</w:t>
            </w:r>
          </w:p>
        </w:tc>
        <w:tc>
          <w:tcPr>
            <w:tcW w:w="1400" w:type="dxa"/>
            <w:vAlign w:val="bottom"/>
            <w:gridSpan w:val="4"/>
          </w:tcPr>
          <w:p>
            <w:pPr>
              <w:ind w:left="400"/>
              <w:spacing w:after="0"/>
              <w:rPr>
                <w:sz w:val="20"/>
                <w:szCs w:val="20"/>
                <w:color w:val="auto"/>
              </w:rPr>
            </w:pPr>
            <w:r>
              <w:rPr>
                <w:rFonts w:ascii="Arial" w:cs="Arial" w:eastAsia="Arial" w:hAnsi="Arial"/>
                <w:sz w:val="14"/>
                <w:szCs w:val="14"/>
                <w:b w:val="1"/>
                <w:bCs w:val="1"/>
                <w:color w:val="auto"/>
                <w:w w:val="98"/>
              </w:rPr>
              <w:t>March 31, 2011</w:t>
            </w: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(Decrease) in Net Assets Resulting from Operations</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2,617</w:t>
            </w:r>
          </w:p>
        </w:tc>
        <w:tc>
          <w:tcPr>
            <w:tcW w:w="46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(1,554)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Realized gains on investments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544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b w:val="1"/>
                <w:bCs w:val="1"/>
                <w:color w:val="auto"/>
                <w:w w:val="95"/>
              </w:rPr>
              <w:t>Increase (Decrease) in Net Assets (Liabilities) Resulting from</w:t>
            </w:r>
          </w:p>
        </w:tc>
        <w:tc>
          <w:tcPr>
            <w:tcW w:w="4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4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Operations</w:t>
            </w: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(1,554)</w:t>
            </w:r>
          </w:p>
        </w:tc>
      </w:tr>
      <w:tr>
        <w:trPr>
          <w:trHeight w:val="209"/>
        </w:trPr>
        <w:tc>
          <w:tcPr>
            <w:tcW w:w="5440" w:type="dxa"/>
            <w:vAlign w:val="bottom"/>
          </w:tcPr>
          <w:p>
            <w:pPr>
              <w:spacing w:after="0"/>
              <w:rPr>
                <w:sz w:val="20"/>
                <w:szCs w:val="20"/>
                <w:color w:val="auto"/>
              </w:rPr>
            </w:pPr>
            <w:r>
              <w:rPr>
                <w:rFonts w:ascii="Arial" w:cs="Arial" w:eastAsia="Arial" w:hAnsi="Arial"/>
                <w:sz w:val="18"/>
                <w:szCs w:val="18"/>
                <w:b w:val="1"/>
                <w:bCs w:val="1"/>
                <w:color w:val="auto"/>
                <w:w w:val="99"/>
              </w:rPr>
              <w:t>Increase in Net Assets (Liabilities) Resulting from Capital Share</w:t>
            </w:r>
          </w:p>
        </w:tc>
        <w:tc>
          <w:tcPr>
            <w:tcW w:w="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5440" w:type="dxa"/>
            <w:vAlign w:val="bottom"/>
          </w:tcPr>
          <w:p>
            <w:pPr>
              <w:ind w:left="220"/>
              <w:spacing w:after="0"/>
              <w:rPr>
                <w:sz w:val="20"/>
                <w:szCs w:val="20"/>
                <w:color w:val="auto"/>
              </w:rPr>
            </w:pPr>
            <w:r>
              <w:rPr>
                <w:rFonts w:ascii="Arial" w:cs="Arial" w:eastAsia="Arial" w:hAnsi="Arial"/>
                <w:sz w:val="18"/>
                <w:szCs w:val="18"/>
                <w:b w:val="1"/>
                <w:bCs w:val="1"/>
                <w:color w:val="auto"/>
              </w:rPr>
              <w:t>Transactions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9"/>
        </w:trPr>
        <w:tc>
          <w:tcPr>
            <w:tcW w:w="544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(Liabilities) Resulting from Capital</w:t>
            </w:r>
          </w:p>
        </w:tc>
        <w:tc>
          <w:tcPr>
            <w:tcW w:w="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5440" w:type="dxa"/>
            <w:vAlign w:val="bottom"/>
          </w:tcPr>
          <w:p>
            <w:pPr>
              <w:ind w:left="640"/>
              <w:spacing w:after="0"/>
              <w:rPr>
                <w:sz w:val="20"/>
                <w:szCs w:val="20"/>
                <w:color w:val="auto"/>
              </w:rPr>
            </w:pPr>
            <w:r>
              <w:rPr>
                <w:rFonts w:ascii="Arial" w:cs="Arial" w:eastAsia="Arial" w:hAnsi="Arial"/>
                <w:sz w:val="18"/>
                <w:szCs w:val="18"/>
                <w:b w:val="1"/>
                <w:bCs w:val="1"/>
                <w:color w:val="auto"/>
              </w:rPr>
              <w:t>Share Transactions</w:t>
            </w: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113,771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(Decrease) in Net Assets (Liabilities)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(1,554)</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assets (liabilities), beginning of period</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(Liabilities), End of Period</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292,649</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(1,553)</w:t>
            </w:r>
          </w:p>
        </w:tc>
      </w:tr>
      <w:tr>
        <w:trPr>
          <w:trHeight w:val="20"/>
        </w:trPr>
        <w:tc>
          <w:tcPr>
            <w:tcW w:w="5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1"/>
              </w:rPr>
              <w:t>Three Months</w:t>
            </w:r>
          </w:p>
        </w:tc>
        <w:tc>
          <w:tcPr>
            <w:tcW w:w="34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March 31, 2012</w:t>
            </w:r>
          </w:p>
        </w:tc>
        <w:tc>
          <w:tcPr>
            <w:tcW w:w="3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6"/>
              </w:rPr>
              <w:t>March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Increase (Decrease) in net assets (liabilities) resulting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5,786</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increase (decrease) in net assets (liabilities) resulting from operations to net cash used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Realized gains on investments</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(441)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gains on investments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(2,728)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Net amortization of discount on securities</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(542)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Purchases of investments, net</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(188,649)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investments, net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45,906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Repayments on investments</w:t>
            </w: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4,142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Paid-in-kind interest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Initial organization expense payable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(1,878)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Management fees payable</w:t>
            </w: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Incentive fees payable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Payable to affiliate</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(712)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(135,428)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Borrowings on revolving credit facility</w:t>
            </w: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440,000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Payments on revolving credit facility</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(368,000)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Proceeds from issuance of common shares</w:t>
            </w: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116,535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188,242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Increase in Cash and Cash Equivalents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52,814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143,692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196,506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Dividends declared during the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3,100</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 during the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159" w:lineRule="exact"/>
        <w:rPr>
          <w:sz w:val="20"/>
          <w:szCs w:val="20"/>
          <w:color w:val="auto"/>
        </w:rPr>
      </w:pPr>
    </w:p>
    <w:p>
      <w:pPr>
        <w:ind w:right="824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intends to elect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During the three months ended March 31, 2011, the Company was a development stage company as defined in ASC 915-10-05, </w:t>
      </w:r>
      <w:r>
        <w:rPr>
          <w:rFonts w:ascii="Arial" w:cs="Arial" w:eastAsia="Arial" w:hAnsi="Arial"/>
          <w:sz w:val="15"/>
          <w:szCs w:val="15"/>
          <w:i w:val="1"/>
          <w:iCs w:val="1"/>
          <w:color w:val="auto"/>
        </w:rPr>
        <w:t>Development Stage Entity</w:t>
      </w:r>
      <w:r>
        <w:rPr>
          <w:rFonts w:ascii="Arial" w:cs="Arial" w:eastAsia="Arial" w:hAnsi="Arial"/>
          <w:sz w:val="15"/>
          <w:szCs w:val="15"/>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three months ended March 31,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consolidated financial statements for interim periods, have been included. The results of operations for interim periods are not indicative of results to be expected for the full year. All significant intercompany balances and transactions have been eliminated.</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2011, which was filed with the Securities and Exchange Commission (“SEC”) on March 22,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 while its tax year ends on March 31.</w:t>
      </w:r>
    </w:p>
    <w:p>
      <w:pPr>
        <w:spacing w:after="0" w:line="246" w:lineRule="exact"/>
        <w:rPr>
          <w:sz w:val="20"/>
          <w:szCs w:val="20"/>
          <w:color w:val="auto"/>
        </w:rPr>
      </w:pPr>
    </w:p>
    <w:p>
      <w:pPr>
        <w:ind w:right="8860" w:firstLine="8"/>
        <w:spacing w:after="0" w:line="347" w:lineRule="auto"/>
        <w:tabs>
          <w:tab w:leader="none" w:pos="1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an independent third-party valuation firm engaged at the direction of the Board.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Company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connection with debt and equity securities that were valued at fair value in good faith by the Board, the Board has engaged an independent third-party valuation firm to perform certain limited procedures that the Board identified and requested it to perform. As of March 31, 2012, the independent third-party valuation firm performed its procedures on the majority of investments which have been outstanding for greater than 90 days. Upon completion of such limited procedures, the third-party valuation firm determined that the fair value, as determined by the Board, of those investments subjected to their limited procedures was reasonable.</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3 investment. Some of the factors considered include the number of prices obtained as well as an assessment as to their quality.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intends to elect to be treated as a RIC under the Code for the taxable year ended March 31, 2012. So long as the Company elects and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300" w:firstLine="456"/>
        <w:spacing w:after="0" w:line="283"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 </w:t>
      </w:r>
      <w:r>
        <w:rPr>
          <w:rFonts w:ascii="Arial" w:cs="Arial" w:eastAsia="Arial" w:hAnsi="Arial"/>
          <w:sz w:val="16"/>
          <w:szCs w:val="16"/>
          <w:color w:val="auto"/>
        </w:rPr>
        <w:t>(“ASU 2011-04”) which largely aligns fair value measurement and disclosure requirements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Financial Reporting Standards and U.S. GAAP. ASU 2011-04 mainly represents clarifications to ASC 820 as well as some instances where a particular principle or requirement for measuring fair value or disclosing information about fair value measurements has changed. ASU 2011-04 clarifies that</w:t>
      </w:r>
    </w:p>
    <w:p>
      <w:pPr>
        <w:spacing w:after="0" w:line="3" w:lineRule="exact"/>
        <w:rPr>
          <w:sz w:val="20"/>
          <w:szCs w:val="20"/>
          <w:color w:val="auto"/>
        </w:rPr>
      </w:pPr>
    </w:p>
    <w:p>
      <w:pPr>
        <w:ind w:right="60" w:firstLine="8"/>
        <w:spacing w:after="0" w:line="287"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highest and best use concept only applies to nonfinancial assets; (ii) an instrument classified in shareholders’ equity should be measured from the perspective of a market participant holding that instrument as an asset; and, (iii) quantitative disclosure is required for unobservable inputs used in Level III measurements. ASU 2011-04 amends ASC 820 so that (i) the fair value of a group of financial assets and financial liabilities with similar risk exposures may be measured on the basis of the entity’s net risk exposure; (ii) premiums or discounts may be applied in a fair value measurement under certain circumstances but blockage factor discounts are not permitted; and, (iii) additional Level III disclosures are required, including a narrative description of the sensitivity of the fair value measurement to changes in unobservable inputs. ASU 2011-04 is effective for interim and annual periods beginning after December 15, 2011. The Company has adopted ASU 2011-04 as of January 1, 2012. The adoption of ASU 2011-04 did not have a material impact on the Company’s financial position or results of operations.</w:t>
      </w:r>
    </w:p>
    <w:p>
      <w:pPr>
        <w:spacing w:after="0" w:line="199" w:lineRule="exact"/>
        <w:rPr>
          <w:sz w:val="20"/>
          <w:szCs w:val="20"/>
          <w:color w:val="auto"/>
        </w:rPr>
      </w:pPr>
    </w:p>
    <w:p>
      <w:pPr>
        <w:ind w:right="7860" w:firstLine="8"/>
        <w:spacing w:after="0" w:line="347" w:lineRule="auto"/>
        <w:tabs>
          <w:tab w:leader="none" w:pos="17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Administration Agreement also provides for reimbursement of certain initial organization costs incurred prior to the commencement of the Company’s operations (up to an aggregate of $1.5 million). During the three months ended March 31, 2011, initial organization costs exceeded $1.5 million and accordingly, a corresponding amount was recorded in the consolidated financial statements and subsequently paid to the Adviser.</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months ended March 31, 2012, the Company incurred expenses of $248 for administrative services payable to the Adviser under the terms of the Administration Agreement. Excluding initial organization costs, for the three months ended March 31, 2011, the Company did not incur any expenses for administrative services payable to the Adviser under the terms of the Administration Agreement.</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Unless earlier terminated as described below, the Administration Agreement will remain in effect until March 15, 2013, and may be extended subject to required approvals. The Administration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The Advisory Agreement was subsequently amended on December 12, 2011.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18" w:lineRule="auto"/>
        <w:rPr>
          <w:sz w:val="20"/>
          <w:szCs w:val="20"/>
          <w:color w:val="auto"/>
        </w:rPr>
      </w:pPr>
      <w:r>
        <w:rPr>
          <w:rFonts w:ascii="Arial" w:cs="Arial" w:eastAsia="Arial" w:hAnsi="Arial"/>
          <w:sz w:val="15"/>
          <w:szCs w:val="15"/>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the Company has an initial public offering of its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2012, Management Fees were $1.5 million.</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Until such time that the Company has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2012, Management Fees of $321 were waived.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80" w:hanging="446"/>
        <w:spacing w:after="0" w:line="290"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Company accrues Incentive Fees taking into account unrealized gains and losses; however, Section 205(b)(3) of the Investment Advisers Act of 1940, as amended, prohibits the Adviser from receiving the payment of fees until such gains are realized. For the three months ended March 31, 2012, Incentive Fees were $1.0 million of which $546 were realized and payable to the Adviser. There can be no assurance that such unrealized gains will be realized in the future.</w:t>
      </w:r>
    </w:p>
    <w:p>
      <w:pPr>
        <w:spacing w:after="0" w:line="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December 12, 2013, and may be extended subject to required approvals.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months ended March 31, 2012, and March 31, 2011, were $1.0 million and $54,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as of March 31, 2012, and December 31,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March 31, 2012</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1"/>
                <w:szCs w:val="11"/>
                <w:color w:val="auto"/>
              </w:rPr>
            </w:pPr>
          </w:p>
        </w:tc>
      </w:tr>
      <w:tr>
        <w:trPr>
          <w:trHeight w:val="161"/>
        </w:trPr>
        <w:tc>
          <w:tcPr>
            <w:tcW w:w="54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6"/>
              </w:rPr>
              <w:t>Amortized Cost (1)</w:t>
            </w:r>
          </w:p>
        </w:tc>
        <w:tc>
          <w:tcPr>
            <w:tcW w:w="72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Gains (Losses)</w:t>
            </w: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311,808</w:t>
            </w: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$317,249</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9,901</w:t>
            </w:r>
          </w:p>
        </w:tc>
        <w:tc>
          <w:tcPr>
            <w:tcW w:w="7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9,500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r>
      <w:tr>
        <w:trPr>
          <w:trHeight w:val="27"/>
        </w:trPr>
        <w:tc>
          <w:tcPr>
            <w:tcW w:w="5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321,709</w:t>
            </w: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326,749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w:t>
            </w:r>
          </w:p>
        </w:tc>
      </w:tr>
      <w:tr>
        <w:trPr>
          <w:trHeight w:val="20"/>
        </w:trPr>
        <w:tc>
          <w:tcPr>
            <w:tcW w:w="5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December 31, 2011</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1"/>
                <w:szCs w:val="11"/>
                <w:color w:val="auto"/>
              </w:rPr>
            </w:pPr>
          </w:p>
        </w:tc>
      </w:tr>
      <w:tr>
        <w:trPr>
          <w:trHeight w:val="161"/>
        </w:trPr>
        <w:tc>
          <w:tcPr>
            <w:tcW w:w="54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6"/>
              </w:rPr>
              <w:t>Amortized Cost (1)</w:t>
            </w:r>
          </w:p>
        </w:tc>
        <w:tc>
          <w:tcPr>
            <w:tcW w:w="72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Gains</w:t>
            </w: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172,131</w:t>
            </w: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$174,348</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9,905</w:t>
            </w:r>
          </w:p>
        </w:tc>
        <w:tc>
          <w:tcPr>
            <w:tcW w:w="7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7"/>
        </w:trPr>
        <w:tc>
          <w:tcPr>
            <w:tcW w:w="5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182,036</w:t>
            </w: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r>
      <w:tr>
        <w:trPr>
          <w:trHeight w:val="20"/>
        </w:trPr>
        <w:tc>
          <w:tcPr>
            <w:tcW w:w="5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as of March 31, 2012, and December 31, 2011,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March 31, 2012</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Software provider for electrical equipment manufacturing</w:t>
            </w:r>
          </w:p>
        </w:tc>
        <w:tc>
          <w:tcPr>
            <w:tcW w:w="6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w:t>
            </w:r>
          </w:p>
        </w:tc>
        <w:tc>
          <w:tcPr>
            <w:tcW w:w="4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Full service chain of restaurants</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12.4%</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Software provider for food and beverage companies</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12.9%</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ERP and eCommerce systems software</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6.9%</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Cross-platform software development tools</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Multidiscipline simulation software</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10.7%</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Safety equipment manufacturer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18.0%</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Alarm dealer and service provider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residential flooring</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14.2%</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as of March 31, 2012, and December 31, 2011,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42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March 31, 2012</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96"/>
        </w:trPr>
        <w:tc>
          <w:tcPr>
            <w:tcW w:w="2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6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440"/>
              <w:spacing w:after="0"/>
              <w:rPr>
                <w:sz w:val="20"/>
                <w:szCs w:val="20"/>
                <w:color w:val="auto"/>
              </w:rPr>
            </w:pPr>
            <w:r>
              <w:rPr>
                <w:rFonts w:ascii="Arial" w:cs="Arial" w:eastAsia="Arial" w:hAnsi="Arial"/>
                <w:sz w:val="18"/>
                <w:szCs w:val="18"/>
                <w:color w:val="auto"/>
              </w:rPr>
              <w:t>Northeast</w:t>
            </w:r>
          </w:p>
        </w:tc>
        <w:tc>
          <w:tcPr>
            <w:tcW w:w="4200" w:type="dxa"/>
            <w:vAlign w:val="bottom"/>
            <w:gridSpan w:val="3"/>
          </w:tcPr>
          <w:p>
            <w:pPr>
              <w:jc w:val="right"/>
              <w:ind w:right="480"/>
              <w:spacing w:after="0"/>
              <w:rPr>
                <w:sz w:val="20"/>
                <w:szCs w:val="20"/>
                <w:color w:val="auto"/>
              </w:rPr>
            </w:pPr>
            <w:r>
              <w:rPr>
                <w:rFonts w:ascii="Arial" w:cs="Arial" w:eastAsia="Arial" w:hAnsi="Arial"/>
                <w:sz w:val="18"/>
                <w:szCs w:val="18"/>
                <w:color w:val="auto"/>
              </w:rPr>
              <w:t>14.2%</w:t>
            </w:r>
          </w:p>
        </w:tc>
        <w:tc>
          <w:tcPr>
            <w:tcW w:w="4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w:t>
            </w:r>
          </w:p>
        </w:tc>
        <w:tc>
          <w:tcPr>
            <w:tcW w:w="4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14.3%</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700" w:type="dxa"/>
            <w:vAlign w:val="bottom"/>
          </w:tcPr>
          <w:p>
            <w:pPr>
              <w:ind w:left="440"/>
              <w:spacing w:after="0"/>
              <w:rPr>
                <w:sz w:val="20"/>
                <w:szCs w:val="20"/>
                <w:color w:val="auto"/>
              </w:rPr>
            </w:pPr>
            <w:r>
              <w:rPr>
                <w:rFonts w:ascii="Arial" w:cs="Arial" w:eastAsia="Arial" w:hAnsi="Arial"/>
                <w:sz w:val="18"/>
                <w:szCs w:val="18"/>
                <w:color w:val="auto"/>
              </w:rPr>
              <w:t>Southwest</w:t>
            </w:r>
          </w:p>
        </w:tc>
        <w:tc>
          <w:tcPr>
            <w:tcW w:w="4200" w:type="dxa"/>
            <w:vAlign w:val="bottom"/>
            <w:gridSpan w:val="3"/>
          </w:tcPr>
          <w:p>
            <w:pPr>
              <w:jc w:val="right"/>
              <w:ind w:right="480"/>
              <w:spacing w:after="0"/>
              <w:rPr>
                <w:sz w:val="20"/>
                <w:szCs w:val="20"/>
                <w:color w:val="auto"/>
              </w:rPr>
            </w:pPr>
            <w:r>
              <w:rPr>
                <w:rFonts w:ascii="Arial" w:cs="Arial" w:eastAsia="Arial" w:hAnsi="Arial"/>
                <w:sz w:val="18"/>
                <w:szCs w:val="18"/>
                <w:color w:val="auto"/>
              </w:rPr>
              <w:t>12.9%</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Midwest</w:t>
            </w:r>
          </w:p>
        </w:tc>
        <w:tc>
          <w:tcPr>
            <w:tcW w:w="4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18.0%</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tcPr>
          <w:p>
            <w:pPr>
              <w:ind w:left="440"/>
              <w:spacing w:after="0"/>
              <w:rPr>
                <w:sz w:val="20"/>
                <w:szCs w:val="20"/>
                <w:color w:val="auto"/>
              </w:rPr>
            </w:pPr>
            <w:r>
              <w:rPr>
                <w:rFonts w:ascii="Arial" w:cs="Arial" w:eastAsia="Arial" w:hAnsi="Arial"/>
                <w:sz w:val="18"/>
                <w:szCs w:val="18"/>
                <w:color w:val="auto"/>
              </w:rPr>
              <w:t>West</w:t>
            </w:r>
          </w:p>
        </w:tc>
        <w:tc>
          <w:tcPr>
            <w:tcW w:w="4200" w:type="dxa"/>
            <w:vAlign w:val="bottom"/>
            <w:gridSpan w:val="3"/>
          </w:tcPr>
          <w:p>
            <w:pPr>
              <w:jc w:val="right"/>
              <w:ind w:right="480"/>
              <w:spacing w:after="0"/>
              <w:rPr>
                <w:sz w:val="20"/>
                <w:szCs w:val="20"/>
                <w:color w:val="auto"/>
              </w:rPr>
            </w:pPr>
            <w:r>
              <w:rPr>
                <w:rFonts w:ascii="Arial" w:cs="Arial" w:eastAsia="Arial" w:hAnsi="Arial"/>
                <w:sz w:val="18"/>
                <w:szCs w:val="18"/>
                <w:color w:val="auto"/>
              </w:rPr>
              <w:t>31.7%</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6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2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700" w:type="dxa"/>
            <w:vAlign w:val="bottom"/>
            <w:vMerge w:val="continue"/>
          </w:tcPr>
          <w:p>
            <w:pPr>
              <w:spacing w:after="0"/>
              <w:rPr>
                <w:sz w:val="19"/>
                <w:szCs w:val="19"/>
                <w:color w:val="auto"/>
              </w:rPr>
            </w:pPr>
          </w:p>
        </w:tc>
        <w:tc>
          <w:tcPr>
            <w:tcW w:w="268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80" w:type="dxa"/>
            <w:vAlign w:val="bottom"/>
            <w:vMerge w:val="restart"/>
          </w:tcPr>
          <w:p>
            <w:pPr>
              <w:jc w:val="right"/>
              <w:ind w:right="875"/>
              <w:spacing w:after="0"/>
              <w:rPr>
                <w:sz w:val="20"/>
                <w:szCs w:val="20"/>
                <w:color w:val="auto"/>
              </w:rPr>
            </w:pPr>
            <w:r>
              <w:rPr>
                <w:rFonts w:ascii="Arial" w:cs="Arial" w:eastAsia="Arial" w:hAnsi="Arial"/>
                <w:sz w:val="18"/>
                <w:szCs w:val="18"/>
                <w:color w:val="auto"/>
              </w:rPr>
              <w:t>17</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80" w:firstLine="8"/>
        <w:spacing w:after="0" w:line="347" w:lineRule="auto"/>
        <w:tabs>
          <w:tab w:leader="none" w:pos="17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fair value measurements for Investments at fair value as of March 31, 2012, and December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center"/>
              <w:ind w:left="182"/>
              <w:spacing w:after="0"/>
              <w:rPr>
                <w:sz w:val="20"/>
                <w:szCs w:val="20"/>
                <w:color w:val="auto"/>
              </w:rPr>
            </w:pPr>
            <w:r>
              <w:rPr>
                <w:rFonts w:ascii="Arial" w:cs="Arial" w:eastAsia="Arial" w:hAnsi="Arial"/>
                <w:sz w:val="14"/>
                <w:szCs w:val="14"/>
                <w:b w:val="1"/>
                <w:bCs w:val="1"/>
                <w:color w:val="auto"/>
                <w:w w:val="90"/>
              </w:rPr>
              <w:t>Fair Value Hierarchy at March 31, 2012</w:t>
            </w:r>
          </w:p>
        </w:tc>
        <w:tc>
          <w:tcPr>
            <w:tcW w:w="6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60" w:type="dxa"/>
            <w:vAlign w:val="bottom"/>
          </w:tcPr>
          <w:p>
            <w:pPr>
              <w:spacing w:after="0"/>
              <w:rPr>
                <w:sz w:val="12"/>
                <w:szCs w:val="12"/>
                <w:color w:val="auto"/>
              </w:rPr>
            </w:pPr>
          </w:p>
        </w:tc>
        <w:tc>
          <w:tcPr>
            <w:tcW w:w="82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11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68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r>
      <w:tr>
        <w:trPr>
          <w:trHeight w:val="210"/>
        </w:trPr>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7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0"/>
              </w:rPr>
              <w:t>$ —</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6"/>
              </w:rPr>
              <w:t>$16,295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$300,954</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$317,249</w:t>
            </w:r>
          </w:p>
        </w:tc>
        <w:tc>
          <w:tcPr>
            <w:tcW w:w="380" w:type="dxa"/>
            <w:vAlign w:val="bottom"/>
            <w:tcBorders>
              <w:top w:val="single" w:sz="8" w:color="CCEEFF"/>
            </w:tcBorders>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760" w:type="dxa"/>
            <w:vAlign w:val="bottom"/>
          </w:tcPr>
          <w:p>
            <w:pPr>
              <w:spacing w:after="0"/>
              <w:rPr>
                <w:sz w:val="19"/>
                <w:szCs w:val="19"/>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380" w:type="dxa"/>
            <w:vAlign w:val="bottom"/>
          </w:tcPr>
          <w:p>
            <w:pPr>
              <w:spacing w:after="0"/>
              <w:rPr>
                <w:sz w:val="19"/>
                <w:szCs w:val="19"/>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1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1280" w:type="dxa"/>
            <w:vAlign w:val="bottom"/>
            <w:gridSpan w:val="4"/>
            <w:shd w:val="clear" w:color="auto" w:fill="CCEEFF"/>
          </w:tcPr>
          <w:p>
            <w:pPr>
              <w:ind w:lef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16,295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310,454</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326,749</w:t>
            </w:r>
          </w:p>
        </w:tc>
        <w:tc>
          <w:tcPr>
            <w:tcW w:w="38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gridSpan w:val="9"/>
          </w:tcPr>
          <w:p>
            <w:pPr>
              <w:jc w:val="center"/>
              <w:ind w:right="800"/>
              <w:spacing w:after="0"/>
              <w:rPr>
                <w:sz w:val="20"/>
                <w:szCs w:val="20"/>
                <w:color w:val="auto"/>
              </w:rPr>
            </w:pPr>
            <w:r>
              <w:rPr>
                <w:rFonts w:ascii="Arial" w:cs="Arial" w:eastAsia="Arial" w:hAnsi="Arial"/>
                <w:sz w:val="14"/>
                <w:szCs w:val="14"/>
                <w:b w:val="1"/>
                <w:bCs w:val="1"/>
                <w:color w:val="auto"/>
                <w:w w:val="88"/>
              </w:rPr>
              <w:t>Fair Value Hierarchy at December 31, 2011</w:t>
            </w:r>
          </w:p>
        </w:tc>
      </w:tr>
      <w:tr>
        <w:trPr>
          <w:trHeight w:val="142"/>
        </w:trPr>
        <w:tc>
          <w:tcPr>
            <w:tcW w:w="4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6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r>
      <w:tr>
        <w:trPr>
          <w:trHeight w:val="210"/>
        </w:trPr>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7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0"/>
              </w:rPr>
              <w:t>$ —</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$174,348</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$174,348</w:t>
            </w:r>
          </w:p>
        </w:tc>
        <w:tc>
          <w:tcPr>
            <w:tcW w:w="380" w:type="dxa"/>
            <w:vAlign w:val="bottom"/>
            <w:tcBorders>
              <w:top w:val="single" w:sz="8" w:color="CCEEFF"/>
            </w:tcBorders>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760" w:type="dxa"/>
            <w:vAlign w:val="bottom"/>
          </w:tcPr>
          <w:p>
            <w:pPr>
              <w:spacing w:after="0"/>
              <w:rPr>
                <w:sz w:val="19"/>
                <w:szCs w:val="19"/>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9"/>
                <w:szCs w:val="19"/>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1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184,348</w:t>
            </w:r>
          </w:p>
        </w:tc>
        <w:tc>
          <w:tcPr>
            <w:tcW w:w="38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changes in Investments at fair value that use Level 3 inputs as of and for the three months ended March 31, 2012:</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As of and for the Three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9"/>
              </w:rPr>
              <w:t>Months Ended March 31, 2012</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9"/>
              </w:rPr>
              <w:t>Preferred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480" w:type="dxa"/>
            <w:vAlign w:val="bottom"/>
          </w:tcPr>
          <w:p>
            <w:pPr>
              <w:spacing w:after="0"/>
              <w:rPr>
                <w:sz w:val="12"/>
                <w:szCs w:val="12"/>
                <w:color w:val="auto"/>
              </w:rPr>
            </w:pPr>
          </w:p>
        </w:tc>
        <w:tc>
          <w:tcPr>
            <w:tcW w:w="15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Equity/Mezzanine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0"/>
              </w:rPr>
              <w:t>Investments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Investments</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$ 174,348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Purchases, net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188,653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188,649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 net</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(45,906)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(45,906)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Repayments</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(4,142)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1,401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(496)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(14,170)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$ 300,954</w:t>
            </w: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9,500</w:t>
            </w:r>
          </w:p>
        </w:tc>
        <w:tc>
          <w:tcPr>
            <w:tcW w:w="5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310,454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three months ended March 31, 2012, as a result of changes in the observability of inputs into its valuation.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at fair value for which Level 3 inputs were used in determining fair value that are still held by the Company as of March 31, 2012:</w:t>
      </w:r>
    </w:p>
    <w:p>
      <w:pPr>
        <w:spacing w:after="0" w:line="168"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Net Change in Unrealized</w:t>
      </w:r>
    </w:p>
    <w:p>
      <w:pPr>
        <w:jc w:val="center"/>
        <w:ind w:left="5840"/>
        <w:spacing w:after="0" w:line="223" w:lineRule="auto"/>
        <w:rPr>
          <w:sz w:val="20"/>
          <w:szCs w:val="20"/>
          <w:color w:val="auto"/>
        </w:rPr>
      </w:pPr>
      <w:r>
        <w:rPr>
          <w:rFonts w:ascii="Arial" w:cs="Arial" w:eastAsia="Arial" w:hAnsi="Arial"/>
          <w:sz w:val="14"/>
          <w:szCs w:val="14"/>
          <w:b w:val="1"/>
          <w:bCs w:val="1"/>
          <w:color w:val="auto"/>
        </w:rPr>
        <w:t>Appreciation or Depreciation</w:t>
      </w:r>
    </w:p>
    <w:p>
      <w:pPr>
        <w:jc w:val="center"/>
        <w:ind w:left="5840"/>
        <w:spacing w:after="0" w:line="222" w:lineRule="auto"/>
        <w:rPr>
          <w:sz w:val="20"/>
          <w:szCs w:val="20"/>
          <w:color w:val="auto"/>
        </w:rPr>
      </w:pPr>
      <w:r>
        <w:rPr>
          <w:rFonts w:ascii="Arial" w:cs="Arial" w:eastAsia="Arial" w:hAnsi="Arial"/>
          <w:sz w:val="14"/>
          <w:szCs w:val="14"/>
          <w:b w:val="1"/>
          <w:bCs w:val="1"/>
          <w:color w:val="auto"/>
        </w:rPr>
        <w:t>for the Three Months Ended</w:t>
      </w:r>
    </w:p>
    <w:p>
      <w:pPr>
        <w:jc w:val="center"/>
        <w:ind w:left="5840"/>
        <w:spacing w:after="0" w:line="221" w:lineRule="auto"/>
        <w:rPr>
          <w:sz w:val="20"/>
          <w:szCs w:val="20"/>
          <w:color w:val="auto"/>
        </w:rPr>
      </w:pPr>
      <w:r>
        <w:rPr>
          <w:rFonts w:ascii="Arial" w:cs="Arial" w:eastAsia="Arial" w:hAnsi="Arial"/>
          <w:sz w:val="14"/>
          <w:szCs w:val="14"/>
          <w:b w:val="1"/>
          <w:bCs w:val="1"/>
          <w:color w:val="auto"/>
        </w:rPr>
        <w:t>March 31, 2012 on</w:t>
      </w:r>
    </w:p>
    <w:p>
      <w:pPr>
        <w:jc w:val="center"/>
        <w:ind w:left="5840"/>
        <w:spacing w:after="0" w:line="222" w:lineRule="auto"/>
        <w:rPr>
          <w:sz w:val="20"/>
          <w:szCs w:val="20"/>
          <w:color w:val="auto"/>
        </w:rPr>
      </w:pPr>
      <w:r>
        <w:rPr>
          <w:rFonts w:ascii="Arial" w:cs="Arial" w:eastAsia="Arial" w:hAnsi="Arial"/>
          <w:sz w:val="14"/>
          <w:szCs w:val="14"/>
          <w:b w:val="1"/>
          <w:bCs w:val="1"/>
          <w:color w:val="auto"/>
        </w:rPr>
        <w:t>Investments Held at</w:t>
      </w:r>
    </w:p>
    <w:p>
      <w:pPr>
        <w:jc w:val="center"/>
        <w:ind w:left="5840"/>
        <w:spacing w:after="0" w:line="216" w:lineRule="auto"/>
        <w:rPr>
          <w:sz w:val="20"/>
          <w:szCs w:val="20"/>
          <w:color w:val="auto"/>
        </w:rPr>
      </w:pPr>
      <w:r>
        <w:rPr>
          <w:rFonts w:ascii="Arial" w:cs="Arial" w:eastAsia="Arial" w:hAnsi="Arial"/>
          <w:sz w:val="14"/>
          <w:szCs w:val="14"/>
          <w:b w:val="1"/>
          <w:bCs w:val="1"/>
          <w:color w:val="auto"/>
        </w:rPr>
        <w:t>March 31, 2012</w:t>
      </w:r>
    </w:p>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212"/>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334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60" w:type="dxa"/>
            <w:vAlign w:val="bottom"/>
            <w:vMerge w:val="restart"/>
          </w:tcPr>
          <w:p>
            <w:pPr>
              <w:jc w:val="right"/>
              <w:ind w:right="1912"/>
              <w:spacing w:after="0"/>
              <w:rPr>
                <w:sz w:val="20"/>
                <w:szCs w:val="20"/>
                <w:color w:val="auto"/>
              </w:rPr>
            </w:pPr>
            <w:r>
              <w:rPr>
                <w:rFonts w:ascii="Arial" w:cs="Arial" w:eastAsia="Arial" w:hAnsi="Arial"/>
                <w:sz w:val="18"/>
                <w:szCs w:val="18"/>
                <w:color w:val="auto"/>
              </w:rPr>
              <w:t>18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March 31, 2012</w:t>
            </w:r>
          </w:p>
        </w:tc>
        <w:tc>
          <w:tcPr>
            <w:tcW w:w="2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Fair Value</w:t>
            </w:r>
          </w:p>
        </w:tc>
        <w:tc>
          <w:tcPr>
            <w:tcW w:w="252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Valuation Technique</w:t>
            </w:r>
          </w:p>
        </w:tc>
        <w:tc>
          <w:tcPr>
            <w:tcW w:w="2540" w:type="dxa"/>
            <w:vAlign w:val="bottom"/>
            <w:gridSpan w:val="2"/>
          </w:tcPr>
          <w:p>
            <w:pPr>
              <w:ind w:left="580"/>
              <w:spacing w:after="0" w:line="155" w:lineRule="exact"/>
              <w:rPr>
                <w:sz w:val="20"/>
                <w:szCs w:val="20"/>
                <w:color w:val="auto"/>
              </w:rPr>
            </w:pPr>
            <w:r>
              <w:rPr>
                <w:rFonts w:ascii="Arial" w:cs="Arial" w:eastAsia="Arial" w:hAnsi="Arial"/>
                <w:sz w:val="14"/>
                <w:szCs w:val="14"/>
                <w:b w:val="1"/>
                <w:bCs w:val="1"/>
                <w:color w:val="auto"/>
              </w:rPr>
              <w:t>Unobservable Input</w:t>
            </w:r>
          </w:p>
        </w:tc>
        <w:tc>
          <w:tcPr>
            <w:tcW w:w="2360" w:type="dxa"/>
            <w:vAlign w:val="bottom"/>
          </w:tcPr>
          <w:p>
            <w:pPr>
              <w:jc w:val="right"/>
              <w:ind w:right="337"/>
              <w:spacing w:after="0" w:line="155" w:lineRule="exact"/>
              <w:rPr>
                <w:sz w:val="20"/>
                <w:szCs w:val="20"/>
                <w:color w:val="auto"/>
              </w:rPr>
            </w:pPr>
            <w:r>
              <w:rPr>
                <w:rFonts w:ascii="Arial" w:cs="Arial" w:eastAsia="Arial" w:hAnsi="Arial"/>
                <w:sz w:val="14"/>
                <w:szCs w:val="14"/>
                <w:b w:val="1"/>
                <w:bCs w:val="1"/>
                <w:color w:val="auto"/>
              </w:rPr>
              <w:t>Range (Weighted Average)</w:t>
            </w:r>
          </w:p>
        </w:tc>
        <w:tc>
          <w:tcPr>
            <w:tcW w:w="20" w:type="dxa"/>
            <w:vAlign w:val="bottom"/>
          </w:tcPr>
          <w:p>
            <w:pPr>
              <w:spacing w:after="0"/>
              <w:rPr>
                <w:sz w:val="13"/>
                <w:szCs w:val="13"/>
                <w:color w:val="auto"/>
              </w:rPr>
            </w:pPr>
          </w:p>
        </w:tc>
      </w:tr>
      <w:tr>
        <w:trPr>
          <w:trHeight w:val="216"/>
        </w:trPr>
        <w:tc>
          <w:tcPr>
            <w:tcW w:w="2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300,954</w:t>
            </w:r>
          </w:p>
        </w:tc>
        <w:tc>
          <w:tcPr>
            <w:tcW w:w="3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2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 — 16.03% (11.81%)</w:t>
            </w:r>
          </w:p>
        </w:tc>
        <w:tc>
          <w:tcPr>
            <w:tcW w:w="20" w:type="dxa"/>
            <w:vAlign w:val="bottom"/>
          </w:tcPr>
          <w:p>
            <w:pPr>
              <w:spacing w:after="0"/>
              <w:rPr>
                <w:sz w:val="18"/>
                <w:szCs w:val="18"/>
                <w:color w:val="auto"/>
              </w:rPr>
            </w:pPr>
          </w:p>
        </w:tc>
      </w:tr>
      <w:tr>
        <w:trPr>
          <w:trHeight w:val="426"/>
        </w:trPr>
        <w:tc>
          <w:tcPr>
            <w:tcW w:w="2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Quality Adjustment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w w:val="90"/>
              </w:rPr>
              <w:t>Preferred equity/mezzanine investments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9,500</w:t>
            </w:r>
          </w:p>
        </w:tc>
        <w:tc>
          <w:tcPr>
            <w:tcW w:w="30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Market Approach</w:t>
            </w:r>
          </w:p>
        </w:tc>
        <w:tc>
          <w:tcPr>
            <w:tcW w:w="254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2360" w:type="dxa"/>
            <w:vAlign w:val="bottom"/>
          </w:tcPr>
          <w:p>
            <w:pPr>
              <w:jc w:val="right"/>
              <w:spacing w:after="0"/>
              <w:rPr>
                <w:sz w:val="20"/>
                <w:szCs w:val="20"/>
                <w:color w:val="auto"/>
              </w:rPr>
            </w:pPr>
            <w:r>
              <w:rPr>
                <w:rFonts w:ascii="Arial" w:cs="Arial" w:eastAsia="Arial" w:hAnsi="Arial"/>
                <w:sz w:val="18"/>
                <w:szCs w:val="18"/>
                <w:color w:val="auto"/>
              </w:rPr>
              <w:t>8x</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Significant increases or decreases in any of the above inputs in isolation would result in a significantly lower or higher fair value measurement.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Borrowings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the Company’s borrowings, which are categorized as Level 3 within the fair value hierarchy, as of March 31, 2012, and December 31, 2011, approximate their carrying value as the outstanding balance is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March 31, 2012 and December 31, 2011, our asset coverage was 228.9% and 211.7%,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consisted of the following as of March 31, 2012, and December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88"/>
              </w:rPr>
              <w:t>March 31, 2012</w:t>
            </w: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0"/>
              </w:rPr>
              <w:t>Amount</w:t>
            </w: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Weighted Average</w:t>
            </w:r>
          </w:p>
        </w:tc>
        <w:tc>
          <w:tcPr>
            <w:tcW w:w="200" w:type="dxa"/>
            <w:vAlign w:val="bottom"/>
          </w:tcPr>
          <w:p>
            <w:pPr>
              <w:spacing w:after="0"/>
              <w:rPr>
                <w:sz w:val="11"/>
                <w:szCs w:val="11"/>
                <w:color w:val="auto"/>
              </w:rPr>
            </w:pPr>
          </w:p>
        </w:tc>
      </w:tr>
      <w:tr>
        <w:trPr>
          <w:trHeight w:val="161"/>
        </w:trPr>
        <w:tc>
          <w:tcPr>
            <w:tcW w:w="5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Total Facility</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Available</w:t>
            </w:r>
          </w:p>
        </w:tc>
        <w:tc>
          <w:tcPr>
            <w:tcW w:w="6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Interest Rate</w:t>
            </w:r>
          </w:p>
        </w:tc>
        <w:tc>
          <w:tcPr>
            <w:tcW w:w="200" w:type="dxa"/>
            <w:vAlign w:val="bottom"/>
            <w:tcBorders>
              <w:bottom w:val="single" w:sz="8" w:color="CCEEFF"/>
            </w:tcBorders>
          </w:tcPr>
          <w:p>
            <w:pPr>
              <w:spacing w:after="0"/>
              <w:rPr>
                <w:sz w:val="14"/>
                <w:szCs w:val="14"/>
                <w:color w:val="auto"/>
              </w:rPr>
            </w:pPr>
          </w:p>
        </w:tc>
      </w:tr>
      <w:tr>
        <w:trPr>
          <w:trHeight w:val="210"/>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$ 250,000</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$ 227,000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$23,000</w:t>
            </w: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351"/>
        </w:trPr>
        <w:tc>
          <w:tcPr>
            <w:tcW w:w="51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85"/>
              </w:rPr>
              <w:t>December 31, 2011</w:t>
            </w:r>
          </w:p>
        </w:tc>
        <w:tc>
          <w:tcPr>
            <w:tcW w:w="10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29"/>
        </w:trPr>
        <w:tc>
          <w:tcPr>
            <w:tcW w:w="5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0"/>
              </w:rPr>
              <w:t>Amount</w:t>
            </w: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Weighted Average</w:t>
            </w:r>
          </w:p>
        </w:tc>
        <w:tc>
          <w:tcPr>
            <w:tcW w:w="200" w:type="dxa"/>
            <w:vAlign w:val="bottom"/>
          </w:tcPr>
          <w:p>
            <w:pPr>
              <w:spacing w:after="0"/>
              <w:rPr>
                <w:sz w:val="11"/>
                <w:szCs w:val="11"/>
                <w:color w:val="auto"/>
              </w:rPr>
            </w:pPr>
          </w:p>
        </w:tc>
      </w:tr>
      <w:tr>
        <w:trPr>
          <w:trHeight w:val="161"/>
        </w:trPr>
        <w:tc>
          <w:tcPr>
            <w:tcW w:w="5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Total Facility</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Available</w:t>
            </w:r>
          </w:p>
        </w:tc>
        <w:tc>
          <w:tcPr>
            <w:tcW w:w="6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Interest Rate</w:t>
            </w:r>
          </w:p>
        </w:tc>
        <w:tc>
          <w:tcPr>
            <w:tcW w:w="200" w:type="dxa"/>
            <w:vAlign w:val="bottom"/>
            <w:tcBorders>
              <w:bottom w:val="single" w:sz="8" w:color="CCEEFF"/>
            </w:tcBorders>
          </w:tcPr>
          <w:p>
            <w:pPr>
              <w:spacing w:after="0"/>
              <w:rPr>
                <w:sz w:val="14"/>
                <w:szCs w:val="14"/>
                <w:color w:val="auto"/>
              </w:rPr>
            </w:pPr>
          </w:p>
        </w:tc>
      </w:tr>
      <w:tr>
        <w:trPr>
          <w:trHeight w:val="210"/>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$ 250,000</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$ 155,000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$95,000</w:t>
            </w: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Average debt outstanding during the three months ended March 31, 2012, and the year ended December 31, 2011, was $67.9 million and $11.4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2012, the components of interest expense were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Commitment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2012, and December 31, 2011, the Company was in compliance with the terms of the Revolving Credit Facility.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Subsequent to March 31, 2012, the Company repaid a portion of the Revolving Credit Facility and borrowed additional amounts to fund investments. As of May 11, 2012, there was $24.8 million outstanding.</w:t>
      </w:r>
    </w:p>
    <w:p>
      <w:pPr>
        <w:spacing w:after="0" w:line="207" w:lineRule="exact"/>
        <w:rPr>
          <w:sz w:val="20"/>
          <w:szCs w:val="20"/>
          <w:color w:val="auto"/>
        </w:rPr>
      </w:pPr>
    </w:p>
    <w:p>
      <w:pPr>
        <w:ind w:right="8700" w:firstLine="8"/>
        <w:spacing w:after="0" w:line="417" w:lineRule="auto"/>
        <w:tabs>
          <w:tab w:leader="none" w:pos="176"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March 31, 2012, and December 31, 2011, the Company had the following commitments to fund investments: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2012</w:t>
            </w:r>
          </w:p>
        </w:tc>
        <w:tc>
          <w:tcPr>
            <w:tcW w:w="20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8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commitments</w:t>
            </w:r>
          </w:p>
        </w:tc>
        <w:tc>
          <w:tcPr>
            <w:tcW w:w="1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26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March 31, 2012, and December 31, 2011, the Company had $1.3 billion and $1.2 billion, respectively, in total capital commitments from investors ($1.0 billion and $1.0 billion unfunded, respectively), of which $96.2 million and $70.4 million, respectively, is from the Adviser and its affiliates ($74.0 million and $60.3 million unfunded, respectively).</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2012,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w:t>
      </w:r>
    </w:p>
    <w:p>
      <w:pPr>
        <w:spacing w:after="0" w:line="1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following table summarizes the total shares issued and proceeds received related to capital drawdowns delivered pursuant to the Subscription Agreements during the three months ended March 31,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4"/>
                <w:szCs w:val="14"/>
                <w:b w:val="1"/>
                <w:bCs w:val="1"/>
                <w:color w:val="auto"/>
                <w:w w:val="94"/>
              </w:rPr>
              <w:t>March 31, 2012</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Shares Issued</w:t>
            </w:r>
          </w:p>
        </w:tc>
        <w:tc>
          <w:tcPr>
            <w:tcW w:w="1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1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February 22, 2012</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35,521</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18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76,137</w:t>
            </w:r>
          </w:p>
        </w:tc>
        <w:tc>
          <w:tcPr>
            <w:tcW w:w="7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22"/>
        </w:trPr>
        <w:tc>
          <w:tcPr>
            <w:tcW w:w="412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118,183</w:t>
            </w:r>
          </w:p>
        </w:tc>
        <w:tc>
          <w:tcPr>
            <w:tcW w:w="120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116,429</w:t>
            </w:r>
          </w:p>
        </w:tc>
        <w:tc>
          <w:tcPr>
            <w:tcW w:w="10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addition to the drawdowns noted above, on March 20, 2012, the Company issued 343 shares of its Common Stock to investors (including 29 shares to the Adviser) who have not opted out of the Company’s dividend reinvestment plan. The number of shares issued through the dividend reinvestment plan was determined by dividing the total dollar amount of the dividend payable to such investor by the net asset value per share of the Common Stock at December 31, 2011 (the declaration date of the dividend). The Common Stock issued through the dividend reinvestment plan was rounded down to the nearest whole share to avoid the issuance of fractional shares, and fractional shares were paid in cash.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dividend declared during the three months ended March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4160" w:type="dxa"/>
            <w:vAlign w:val="bottom"/>
          </w:tcPr>
          <w:p>
            <w:pPr>
              <w:spacing w:after="0"/>
              <w:rPr>
                <w:sz w:val="15"/>
                <w:szCs w:val="15"/>
                <w:color w:val="auto"/>
              </w:rPr>
            </w:pPr>
          </w:p>
        </w:tc>
        <w:tc>
          <w:tcPr>
            <w:tcW w:w="17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Record Date</w:t>
            </w: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Payment Date</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4"/>
              </w:rPr>
              <w:t>Dividend per Share</w:t>
            </w:r>
          </w:p>
        </w:tc>
      </w:tr>
      <w:tr>
        <w:trPr>
          <w:trHeight w:val="203"/>
        </w:trPr>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31, 2012</w:t>
            </w:r>
          </w:p>
        </w:tc>
        <w:tc>
          <w:tcPr>
            <w:tcW w:w="11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March 31, 2012</w:t>
            </w:r>
          </w:p>
        </w:tc>
        <w:tc>
          <w:tcPr>
            <w:tcW w:w="6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May 7, 2012</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10.51</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50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Declared for 2012</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dividend declared during the three months ended March 31, 2012, was derived from net investment income, determined on a tax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reconciles Increase in net assets resulting from operations for the three months ended March 31, 2012, to undistributed taxable income as of March 31, 2012:</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As of and for the Three</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Months Ended March 31,</w:t>
            </w: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2012 (Estimated) (1)</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on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 income for tax purposes, not book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organization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 expenses not currently deductible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Dividends declared and/or paid </w:t>
            </w:r>
            <w:r>
              <w:rPr>
                <w:rFonts w:ascii="Arial" w:cs="Arial" w:eastAsia="Arial" w:hAnsi="Arial"/>
                <w:sz w:val="18"/>
                <w:szCs w:val="18"/>
                <w:b w:val="1"/>
                <w:bCs w:val="1"/>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vMerge w:val="continue"/>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2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Taxable income is an estimate and will not be fully determined until the Company’s March 31, 2012 tax return is filed (expected to occur on or before December 17, 2012).</w:t>
      </w:r>
    </w:p>
    <w:p>
      <w:pPr>
        <w:ind w:left="460" w:right="4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taxable year ended March 31, 2012, 63.3% of the dividends paid from net investment income, determined on a tax basis, constitutes interest-related dividends for U.S. federal nonresident withholding tax purposes and $441 constitutes short-term capital gain dividends for U.S. federal nonresident withholding tax purposes.</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losses, among other items. To the extent these differences are permanent, they are charged or credited to additional paid-in capital or accumulated net investment income (loss), as appropriate, in the period that the differences arise. These adjustments have no effect on the Company’s net assets or results of operations. During the fiscal quarter and taxable year ended March 31, 2012, permanent differences were attributable to the distribution of $441 of ordinary dividends derived from the Company’s taxable year ended March 31, 2012, net short-term capital gains, as well as $54 of nondeductible net operating losses incurred by the Company in respect of the Company’s taxable year ended March 31, 2011, which were recorded as adjustments to the Company’s additional paid-in capital, accumulated net investment income (loss), and net realized gain (loss) at March 31, 2012.</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We neither have any uncertain tax positions that met the recognition or measurement criteria of ASC 740-10-25, </w:t>
      </w:r>
      <w:r>
        <w:rPr>
          <w:rFonts w:ascii="Arial" w:cs="Arial" w:eastAsia="Arial" w:hAnsi="Arial"/>
          <w:sz w:val="16"/>
          <w:szCs w:val="16"/>
          <w:i w:val="1"/>
          <w:iCs w:val="1"/>
          <w:color w:val="auto"/>
        </w:rPr>
        <w:t>Income Taxes</w:t>
      </w:r>
      <w:r>
        <w:rPr>
          <w:rFonts w:ascii="Arial" w:cs="Arial" w:eastAsia="Arial" w:hAnsi="Arial"/>
          <w:sz w:val="16"/>
          <w:szCs w:val="16"/>
          <w:color w:val="auto"/>
        </w:rPr>
        <w:t>, nor did we have any unrecognized tax benefits as of the periods presented herein. Although we file federal and state tax returns, our major tax jurisdiction is federal. Our March 31, 2012, and March 31, 2011, federal tax years remain subject to examination by the Internal Revenue Service.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at fair value as of March 31, 2012, approximates their amortized cost.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following per share data and ratios have been derived from information provided in the consolidated financial statements. The following are the financial highlights for a share of Common Stock outstanding during the three month periods ended March 31, 2012, and March 31, 2011.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w w:val="92"/>
              </w:rPr>
              <w:t>March 31, 2012</w:t>
            </w:r>
          </w:p>
        </w:tc>
        <w:tc>
          <w:tcPr>
            <w:tcW w:w="12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March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980.51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realized and unrealized gains</w:t>
            </w:r>
          </w:p>
        </w:tc>
        <w:tc>
          <w:tcPr>
            <w:tcW w:w="120" w:type="dxa"/>
            <w:vAlign w:val="bottom"/>
          </w:tcPr>
          <w:p>
            <w:pPr>
              <w:spacing w:after="0"/>
              <w:rPr>
                <w:sz w:val="18"/>
                <w:szCs w:val="18"/>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from investment operations</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21.83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(1,554.31)</w:t>
            </w:r>
          </w:p>
        </w:tc>
        <w:tc>
          <w:tcPr>
            <w:tcW w:w="0" w:type="dxa"/>
            <w:vAlign w:val="bottom"/>
          </w:tcPr>
          <w:p>
            <w:pPr>
              <w:spacing w:after="0"/>
              <w:rPr>
                <w:sz w:val="1"/>
                <w:szCs w:val="1"/>
                <w:color w:val="auto"/>
              </w:rPr>
            </w:pPr>
          </w:p>
        </w:tc>
      </w:tr>
      <w:tr>
        <w:trPr>
          <w:trHeight w:val="323"/>
        </w:trPr>
        <w:tc>
          <w:tcPr>
            <w:tcW w:w="760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120" w:type="dxa"/>
            <w:vAlign w:val="bottom"/>
          </w:tcPr>
          <w:p>
            <w:pPr>
              <w:spacing w:after="0"/>
              <w:rPr>
                <w:sz w:val="24"/>
                <w:szCs w:val="24"/>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4"/>
                <w:szCs w:val="2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increase (decrease) in net assets</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991.83</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(1,553.31)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Outstanding, End of Period</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295,059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22"/>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8"/>
                <w:szCs w:val="18"/>
                <w:color w:val="auto"/>
              </w:rPr>
              <w:t>(1) (3)</w:t>
            </w:r>
          </w:p>
        </w:tc>
        <w:tc>
          <w:tcPr>
            <w:tcW w:w="120" w:type="dxa"/>
            <w:vAlign w:val="bottom"/>
          </w:tcPr>
          <w:p>
            <w:pPr>
              <w:spacing w:after="0"/>
              <w:rPr>
                <w:sz w:val="24"/>
                <w:szCs w:val="24"/>
                <w:color w:val="auto"/>
              </w:rPr>
            </w:pPr>
          </w:p>
        </w:tc>
        <w:tc>
          <w:tcPr>
            <w:tcW w:w="2220" w:type="dxa"/>
            <w:vAlign w:val="bottom"/>
            <w:gridSpan w:val="2"/>
          </w:tcPr>
          <w:p>
            <w:pPr>
              <w:jc w:val="right"/>
              <w:ind w:right="9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Ratio of net expenses to average net assets (3)</w:t>
            </w:r>
          </w:p>
        </w:tc>
        <w:tc>
          <w:tcPr>
            <w:tcW w:w="120" w:type="dxa"/>
            <w:vAlign w:val="bottom"/>
          </w:tcPr>
          <w:p>
            <w:pPr>
              <w:spacing w:after="0"/>
              <w:rPr>
                <w:sz w:val="18"/>
                <w:szCs w:val="18"/>
                <w:color w:val="auto"/>
              </w:rPr>
            </w:pPr>
          </w:p>
        </w:tc>
        <w:tc>
          <w:tcPr>
            <w:tcW w:w="2220" w:type="dxa"/>
            <w:vAlign w:val="bottom"/>
            <w:gridSpan w:val="2"/>
          </w:tcPr>
          <w:p>
            <w:pPr>
              <w:jc w:val="right"/>
              <w:ind w:right="96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(loss) to average net assets (3)</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292,649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197,610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 committed capital, end of period (2)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1,256,251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23.04%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Year of formation</w:t>
            </w:r>
          </w:p>
        </w:tc>
        <w:tc>
          <w:tcPr>
            <w:tcW w:w="120" w:type="dxa"/>
            <w:vAlign w:val="bottom"/>
          </w:tcPr>
          <w:p>
            <w:pPr>
              <w:spacing w:after="0"/>
              <w:rPr>
                <w:sz w:val="19"/>
                <w:szCs w:val="19"/>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n.m.  Information is not meaningful.</w:t>
      </w:r>
    </w:p>
    <w:p>
      <w:pPr>
        <w:spacing w:after="0" w:line="15" w:lineRule="exact"/>
        <w:rPr>
          <w:sz w:val="20"/>
          <w:szCs w:val="20"/>
          <w:color w:val="auto"/>
        </w:rPr>
      </w:pPr>
    </w:p>
    <w:p>
      <w:pPr>
        <w:ind w:left="460" w:right="18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 includes $96.2 million and $1,000 of commitments from the Adviser and its affiliates as of March 31, 2012, and March 31, 2011, respectively.</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On April 30, 2012, the Company entered into $58.4 million of subscription agreements with several investors providing for the private placement of the Company’s Common Stock which, when combined with increased commitments from existing investors, increased the total committed capital to $1.3 billion ($1.0 billion unfunded), of which $98.4 million ($76.2 million unfunded) is from the Adviser and its affiliates.</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May 8, 2012 (the “Closing Date”), TPG SL SPV, LLC (the “Subsidiary”) entered into a Revolving Credit and Security Agreement (the “Facility”). Parties to the agreement include TPG SL SPV, LLC, as Borrower, the lenders from time to time parties hereto (each a “Lender” and collectively the “Lenders”), Natixis, New York Branch, as Facility Agent and The Bank of New York Mellon Trust Company, N.A., as Collateral Agent. The maximum principal amount of the Facility is $100 million, subject to availability under the borrowing base. The Facility provides for a contribution and reinvestment period for up to 18 months after the Closing Date. The Facility will mature on May 8, 2020, and is secured by a perfected first priority security interest in the assets of the Subsidiary and on any payments received by the Subsidiary in respect of such assets. Amounts drawn under the Facility will bear interest at LIBOR plus a margin. The Subsidiary drew $34.4 million on the Closing Date.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were incorporated under the laws of the State of Delaware on July 21, 2010. We elected to be treated as a business development company under the 1940 Act, and intend to elect to be treated as a regulated investment company for federal income tax purposes. As such, we are required to comply with various statutory and regulatory requirements, such as the requirement to invest at least 70% of our assets in “qualifying assets,” source of income limitations, asset diversification requirements, and the requirement to distribute annually at least 90% of our taxable income and tax-exempt interest.</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three months ended March 31, 2011, we were a development stage company and had not commenced commercial operations. The only activity during the three months ended March 31, 2011, was the accrual of certain initial organization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INVESTMENT ACTIVITY</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Company’s investment activity for the three months ended March 31, 2012, is presented below (information presented herein is at amortized cost unless otherwise indicated):</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6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 (1):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Senior term debt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investment commitments (2):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New portfolio companies</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Total Investment in New Portfolio Companies (3):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8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of investments originally funded includes amounts originally funded on term loans, but not amounts subsequently repaid by borrowers in the period.</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investment commitments include new agreements to fund revolving credit facilities and term loans not funded at closing.</w:t>
      </w:r>
    </w:p>
    <w:p>
      <w:pPr>
        <w:spacing w:after="0" w:line="9"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Total Investment in New Portfolio Companies” is computed as the average of all investments made during the period, including investment commitments not yet funded.</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weighted average yields at fair value and amortized cost of the following portions of our portfolio as of March 31, 2012, were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w w:val="92"/>
              </w:rPr>
              <w:t>March 31,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term debt</w:t>
            </w:r>
          </w:p>
        </w:tc>
        <w:tc>
          <w:tcPr>
            <w:tcW w:w="16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86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Corporate bonds</w:t>
            </w:r>
          </w:p>
        </w:tc>
        <w:tc>
          <w:tcPr>
            <w:tcW w:w="2420" w:type="dxa"/>
            <w:vAlign w:val="bottom"/>
            <w:gridSpan w:val="3"/>
          </w:tcPr>
          <w:p>
            <w:pPr>
              <w:jc w:val="right"/>
              <w:ind w:right="40"/>
              <w:spacing w:after="0"/>
              <w:rPr>
                <w:sz w:val="20"/>
                <w:szCs w:val="20"/>
                <w:color w:val="auto"/>
              </w:rPr>
            </w:pPr>
            <w:r>
              <w:rPr>
                <w:rFonts w:ascii="Arial" w:cs="Arial" w:eastAsia="Arial" w:hAnsi="Arial"/>
                <w:sz w:val="18"/>
                <w:szCs w:val="18"/>
                <w:color w:val="auto"/>
              </w:rPr>
              <w:t>18.0%</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Debt and income producing securities</w:t>
            </w:r>
          </w:p>
        </w:tc>
        <w:tc>
          <w:tcPr>
            <w:tcW w:w="2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generate revenues in the form of interest income from the debt securities we hold and dividends on either direct equity investments or equity interests obtained in connection with originating loans, such as options, warrants or conversion rights. In addition, we generate revenue in the form of commitment, loan origination, structuring or diligence fees, and fees for providing managerial assistance to our portfolio companies. Certain of these fees are capitalized and amortized as additional interest income over the life of the related investment.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Investment income for the three months ended March 31, 2012, was $7.0 million, which consisted of $6.9 million in interest income and $0.1 million in other income. Investment income from non-controlled, non-affiliated investments was $6.1 million while investment income from non-controlled, affiliated investments was $0.9 million.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we were in the development stage for the three months ended March 31, 2011, no revenues were earned during that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operating expenses include the payment of the Management Fee and, depending on our operating results, the Incentive Fee, expenses reimbursable under the Administration Agreement and the Advisory Agreement, and other direct expenses that we incur, such as compensation to our Board and interest payable for borrowings. The Management Fee and Incentive Fee compensate our Adviser for work in identifying, evaluating, negotiating, closing, monitoring, and realizing our investments. Under the terms of the Administration Agreement, our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our Adviser under the terms of the Administration Agreement. We bear all other costs and expenses of our operations and transactions.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Expenses for the three months ended March 31, 2012, were $4.3 million which consisted of $0.9 million of interest expense, $1.1 million in Management Fees (net of waivers), $1.0 million in Incentive Fees, $0.8 million in professional fees, $0.1 million in directors’ fees, and $0.4 million in other general and administrative expenses.</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Expenses for the three months ended March 31, 2011, were $1.6 million which consisted $1.5 million of initial organization costs for which we were required to reimburse the Adviser in accordance with the Administration Agreement and $0.1 of other operating expenses, including director fee expenses; and, a proration of directors’ and officers’ insurance policy premiums and the BDC-required fidelity bond premium.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Gains/Losses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three months ended March 31, 2012, we sold and received proceeds of $45.9 million in connection with our investment in Mannington Mills, Inc. which resulted in $0.4 million of realized gains.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Unrealized Gains/Losses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value our investments quarterly and any changes in fair value are recorded as unrealized gains or losses.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2012, the net change in unrealized gains on our investment portfolio were comprised of the following:</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8100" w:type="dxa"/>
            <w:vAlign w:val="bottom"/>
            <w:gridSpan w:val="2"/>
          </w:tcPr>
          <w:p>
            <w:pPr>
              <w:ind w:left="1380"/>
              <w:spacing w:after="0"/>
              <w:rPr>
                <w:sz w:val="20"/>
                <w:szCs w:val="20"/>
                <w:color w:val="auto"/>
              </w:rPr>
            </w:pPr>
            <w:r>
              <w:rPr>
                <w:rFonts w:ascii="Arial" w:cs="Arial" w:eastAsia="Arial" w:hAnsi="Arial"/>
                <w:sz w:val="14"/>
                <w:szCs w:val="14"/>
                <w:b w:val="1"/>
                <w:bCs w:val="1"/>
                <w:color w:val="auto"/>
              </w:rPr>
              <w:t>($ in millions)</w:t>
            </w: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2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Unrealized losses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w w:val="90"/>
              </w:rPr>
              <w:t>The changes in unrealized gains (losses) for the three months ended March 31, 2012, consisted of the following:</w:t>
            </w: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1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Net Unrealized</w:t>
            </w:r>
          </w:p>
        </w:tc>
        <w:tc>
          <w:tcPr>
            <w:tcW w:w="0" w:type="dxa"/>
            <w:vAlign w:val="bottom"/>
          </w:tcPr>
          <w:p>
            <w:pPr>
              <w:spacing w:after="0"/>
              <w:rPr>
                <w:sz w:val="1"/>
                <w:szCs w:val="1"/>
                <w:color w:val="auto"/>
              </w:rPr>
            </w:pPr>
          </w:p>
        </w:tc>
      </w:tr>
      <w:tr>
        <w:trPr>
          <w:trHeight w:val="149"/>
        </w:trPr>
        <w:tc>
          <w:tcPr>
            <w:tcW w:w="810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 in millions)</w:t>
            </w:r>
          </w:p>
        </w:tc>
        <w:tc>
          <w:tcPr>
            <w:tcW w:w="60" w:type="dxa"/>
            <w:vAlign w:val="bottom"/>
          </w:tcPr>
          <w:p>
            <w:pPr>
              <w:spacing w:after="0"/>
              <w:rPr>
                <w:sz w:val="12"/>
                <w:szCs w:val="12"/>
                <w:color w:val="auto"/>
              </w:rPr>
            </w:pP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Appreciation</w:t>
            </w:r>
          </w:p>
        </w:tc>
        <w:tc>
          <w:tcPr>
            <w:tcW w:w="0" w:type="dxa"/>
            <w:vAlign w:val="bottom"/>
          </w:tcPr>
          <w:p>
            <w:pPr>
              <w:spacing w:after="0"/>
              <w:rPr>
                <w:sz w:val="1"/>
                <w:szCs w:val="1"/>
                <w:color w:val="auto"/>
              </w:rPr>
            </w:pPr>
          </w:p>
        </w:tc>
      </w:tr>
      <w:tr>
        <w:trPr>
          <w:trHeight w:val="161"/>
        </w:trPr>
        <w:tc>
          <w:tcPr>
            <w:tcW w:w="8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(Depreciation)</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CCEEFF"/>
            </w:tcBorders>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6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AFS Technologies, Inc.</w:t>
            </w:r>
          </w:p>
        </w:tc>
        <w:tc>
          <w:tcPr>
            <w:tcW w:w="60" w:type="dxa"/>
            <w:vAlign w:val="bottom"/>
            <w:tcBorders>
              <w:right w:val="single" w:sz="8" w:color="CCEEFF"/>
            </w:tcBorders>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Center Cut Hospitality, Inc.</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Solarsoft, LP (f/k/a CMS-XKO Holding Company, LP)</w:t>
            </w: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Ecommerce Industries, Inc.</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MSC.Software Corporation</w:t>
            </w: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Federal Signal Corporation</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Vivint, Inc.</w:t>
            </w: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Mannington Mills, Inc.</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jc w:val="right"/>
              <w:ind w:right="2672"/>
              <w:spacing w:after="0"/>
              <w:rPr>
                <w:sz w:val="20"/>
                <w:szCs w:val="20"/>
                <w:color w:val="auto"/>
              </w:rPr>
            </w:pPr>
            <w:r>
              <w:rPr>
                <w:rFonts w:ascii="Arial" w:cs="Arial" w:eastAsia="Arial" w:hAnsi="Arial"/>
                <w:sz w:val="18"/>
                <w:szCs w:val="18"/>
                <w:color w:val="auto"/>
              </w:rPr>
              <w:t>24</w:t>
            </w: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1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the Company’s business or results of operations. These hedging activities, which will be in compliance with applicable legal and regulatory requirements, may include the use of various instruments, including futures, options and forward contracts. We will bear the costs incurred in connection with entering into, administering and settling any such derivative contracts. There can be no assurance any hedging strategy we employ will be successful.</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enter into any interest rate, foreign exchange or other derivative agreements during the three months ended March 31, 2012, and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As of March 31, 2012, we had $196.5 million in cash and cash equivalents on hand, an increase of $52.8 million from December 31, 2011. The increase was primarily attributable to additional borrowings under the Revolving Credit Facility and proceeds from investor drawdown notices received near March 31, 2012. The primary uses of our cash and cash equivalents are for (1) investments in portfolio companies and other investments and to comply with certain portfolio diversification requirements; (2) the cost of operations (including paying our Adviser); (3) debt service, repayment, and other financing costs; and, (4) cash distributions to the holders of our shares.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expect to generate additional cash from (1) from operations; (2) future offerings of our common or preferred shares; and, (3) borrowings from banks or other lenders.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Cash and cash equivalents on hand as of March 31, 2012, combined with our uncalled capital commitments of $1.0 billion, is expected to be sufficient for our investing activities and to conduct our operations for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Share Activity</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each of the three months ended March 31, 2012 and March 31, 2011, we entered into subscription agreements (collectively, the “Subscription Agreements”) with several investors, including our Adviser, providing for the private placement of our Common Stock. Offering costs associated with the private placements were absorbed by the Adviser. Under the terms of the Subscription Agreements, investors are required to fund drawdowns to purchase our Common Stock up to the amount of their respective capital commitments on an as-needed basis, with a minimum of 10 business days’ prior notice. As of March 31, 2012, we had received capital commitments totaling $1.3 billion, of which $96.2 million was from our Adviser its affiliates. One of our investors has made a capital commitment to the Company in an amount that will automatically increase upon the closing of each private offering of our Common Stock based on a percentage of the total capital commitments of all investors, up to a specified maximum capital commitment. If this investor were required to make the full amount of its maximum capital commitment as of March 31, 2012, our total capital commitments would have increased by $11.9 million as of such date.</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three months ended March 31, 2012, we delivered drawdown notices to our investors relating to the issuance of 118,183 shares of our Common Stock for aggregate offering proceeds of $116 million. We did not deliver any drawdown notices during the three months ended March 31, 2011. See Note 8 to our consolidated financial statements for the dates and amounts of our drawdowns. Proceeds from the issuances were used in our investing activities and for other general corporate purposes.</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addition to the drawdowns noted above, on March 20, 2012, we issued 343 shares of our Common Stock to investors (including 29 shares to the Adviser) who have not opted out of our dividend reinvestment plan. The number of shares issued through the dividend reinvestment plan was determined by dividing the total dollar amount of the dividend payable to such investor by the net asset value per share of our Common Stock at December 31, 2011 (the declaration date of the dividend). The Common Stock issued through the dividend reinvestment plan was rounded down to the nearest whole share to avoid the issuance of fractional shares, and fractional shares were paid in cash.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March 31, 2012, and December 31, 2011, we had $227 million and $155 million, respectively, outstanding and we were in compliance with the terms of the Revolving Credit Facility. We intend to continue to utilize the Revolving Credit Facility on a revolving basis to fund investments and for other general corporate purposes. See Note 6 to our consolidated financial statements for the three months ended March 31, 2012, for more detail on the Revolving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on our off balance sheet arrangements is contained in Note 7 to our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March 31, 2012,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87"/>
              </w:rPr>
              <w:t>Payments Due by Period</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1-3 years</w:t>
            </w:r>
          </w:p>
        </w:tc>
        <w:tc>
          <w:tcPr>
            <w:tcW w:w="4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4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After 5 years</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36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227</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227</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In addition to the contractual payment obligations in the tables above, we also have commitments to fund investments. See </w:t>
      </w:r>
      <w:r>
        <w:rPr>
          <w:rFonts w:ascii="Arial" w:cs="Arial" w:eastAsia="Arial" w:hAnsi="Arial"/>
          <w:sz w:val="18"/>
          <w:szCs w:val="18"/>
          <w:i w:val="1"/>
          <w:iCs w:val="1"/>
          <w:color w:val="auto"/>
        </w:rPr>
        <w:t>“Off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ENVIRONMENT</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U.S. capital markets have been experiencing extreme volatility and disruption for more than three years, and we believe that the U.S. economy has not fully recovered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conditions could limit our investment originations, limit our ability to grow, negatively impact our operating results, and delay or prevent us from launching or completing an IPO.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On April 30, 2012, the Company entered into $58.4 million of subscription agreements with several investors providing for the private placement of the Company’s Common Stock which, when combined with increased commitments from existing investors, increased the total committed capital to $1.3 billion ($1.0 billion unfunded), of which $98.4 million ($76.2 million unfunded) is from the Adviser and its affiliates.</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May 8, 2012 (the “Closing Date”), TPG SL SPV, LLC (the “Subsidiary”) entered into a Revolving Credit and Security Agreement (the “Facility”). Parties to the agreement include TPG SL SPV, LLC, as Borrower, the lenders from time to time parties hereto (each a “Lender” and collectively the “Lenders”), Natixis, New York Branch, as Facility Agent and The Bank of New York Mellon Trust Company, N.A., as Collateral Agent. The maximum principal amount of the Facility is $100 million, subject to availability under the borrowing base. The Facility provides for a contribution and reinvestment period for up to 18 months after the Closing Date. The Facility will mature on May 8, 2020, and is secured by a perfected first priority security interest in the assets of the Subsidiary and on any payments received by the Subsidiary in respect of such assets. Amounts drawn under the Facility will bear interest at LIBOR plus a margin. The Subsidiary drew $34.4 million on the Closing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the Company’s Annual Report on Form 10-K for the year ended December 31, 2011, which was filed with the Securities and Exchange Commission (“SEC”) on March 22,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and interest rate risk. We currently do not hedge our exposure to these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will value these investments at fair value as determined in good faith by our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Note 2 to our consolidated financial statements for the three months ended March 31, 2012, for more details on estimates and judgments made by us in connection with the valuation of our investments.</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In the future, we may fund a portion of our investments with borrowings, and at such time, our net investment income will be affected by the difference between the rate at which we invest and the rate at which we borrow. Accordingly, there can be no assurance that a significant change in market interest rates will not have a material adverse effect on our net investment income.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March 31, 2012, the majority of the investments at fair value in our portfolio were at variable rates. The Revolving Credit Facility also bears interest at floating rates.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our balance sheet as of March 31, 2012, the following table shows the impact on net income for the three months ended March 31, 2012, of base rate changes in interest rates (considering interest rate floors and ceilings for variable rate instruments) assuming no changes in our investment and borrowing structure: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Basis Point Change</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1"/>
        </w:trPr>
        <w:tc>
          <w:tcPr>
            <w:tcW w:w="6900" w:type="dxa"/>
            <w:vAlign w:val="bottom"/>
            <w:gridSpan w:val="2"/>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Expense</w:t>
            </w:r>
          </w:p>
        </w:tc>
        <w:tc>
          <w:tcPr>
            <w:tcW w:w="2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522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500" w:type="dxa"/>
            <w:vAlign w:val="bottom"/>
          </w:tcPr>
          <w:p>
            <w:pPr>
              <w:jc w:val="right"/>
              <w:spacing w:after="0"/>
              <w:rPr>
                <w:sz w:val="20"/>
                <w:szCs w:val="20"/>
                <w:color w:val="auto"/>
              </w:rPr>
            </w:pPr>
            <w:r>
              <w:rPr>
                <w:rFonts w:ascii="Arial" w:cs="Arial" w:eastAsia="Arial" w:hAnsi="Arial"/>
                <w:sz w:val="18"/>
                <w:szCs w:val="18"/>
                <w:color w:val="auto"/>
              </w:rPr>
              <w:t>1,098</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Down 100 basis points</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(179)</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(96)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Down 300 basis points</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(209)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on Form 10-K for the year ended December 31, 2011, which was filed with the Securities and Exchange Commission (“SEC”) on March 22, 2012.</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information regarding purchases of our common shares by our Adviser and its affiliates for each month in the three month period ended March 31,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per share amounts)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(or Approximate</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620" w:type="dxa"/>
            <w:vAlign w:val="bottom"/>
          </w:tcPr>
          <w:p>
            <w:pPr>
              <w:spacing w:after="0"/>
              <w:rPr>
                <w:sz w:val="12"/>
                <w:szCs w:val="12"/>
                <w:color w:val="auto"/>
              </w:rPr>
            </w:pPr>
          </w:p>
        </w:tc>
        <w:tc>
          <w:tcPr>
            <w:tcW w:w="17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620" w:type="dxa"/>
            <w:vAlign w:val="bottom"/>
          </w:tcPr>
          <w:p>
            <w:pPr>
              <w:spacing w:after="0"/>
              <w:rPr>
                <w:sz w:val="12"/>
                <w:szCs w:val="12"/>
                <w:color w:val="auto"/>
              </w:rPr>
            </w:pPr>
          </w:p>
        </w:tc>
        <w:tc>
          <w:tcPr>
            <w:tcW w:w="17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Be Purchased Under</w:t>
            </w:r>
          </w:p>
        </w:tc>
        <w:tc>
          <w:tcPr>
            <w:tcW w:w="0" w:type="dxa"/>
            <w:vAlign w:val="bottom"/>
          </w:tcPr>
          <w:p>
            <w:pPr>
              <w:spacing w:after="0"/>
              <w:rPr>
                <w:sz w:val="1"/>
                <w:szCs w:val="1"/>
                <w:color w:val="auto"/>
              </w:rPr>
            </w:pPr>
          </w:p>
        </w:tc>
      </w:tr>
      <w:tr>
        <w:trPr>
          <w:trHeight w:val="162"/>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Average Price Paid</w:t>
            </w:r>
          </w:p>
        </w:tc>
        <w:tc>
          <w:tcPr>
            <w:tcW w:w="620" w:type="dxa"/>
            <w:vAlign w:val="bottom"/>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Total Number of</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Announced Plans or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1"/>
        </w:trPr>
        <w:tc>
          <w:tcPr>
            <w:tcW w:w="3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auto"/>
                <w:w w:val="99"/>
              </w:rPr>
              <w:t>per Share</w:t>
            </w:r>
          </w:p>
        </w:tc>
        <w:tc>
          <w:tcPr>
            <w:tcW w:w="620" w:type="dxa"/>
            <w:vAlign w:val="bottom"/>
          </w:tcPr>
          <w:p>
            <w:pPr>
              <w:spacing w:after="0"/>
              <w:rPr>
                <w:sz w:val="14"/>
                <w:szCs w:val="14"/>
                <w:color w:val="auto"/>
              </w:rPr>
            </w:pP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3"/>
              </w:rPr>
              <w:t>Shares Purchased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2012</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February 2012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985.21</w:t>
            </w:r>
          </w:p>
        </w:tc>
        <w:tc>
          <w:tcPr>
            <w:tcW w:w="2280" w:type="dxa"/>
            <w:vAlign w:val="bottom"/>
            <w:gridSpan w:val="3"/>
          </w:tcPr>
          <w:p>
            <w:pPr>
              <w:jc w:val="right"/>
              <w:ind w:right="620"/>
              <w:spacing w:after="0"/>
              <w:rPr>
                <w:sz w:val="20"/>
                <w:szCs w:val="20"/>
                <w:color w:val="auto"/>
              </w:rPr>
            </w:pPr>
            <w:r>
              <w:rPr>
                <w:rFonts w:ascii="Arial" w:cs="Arial" w:eastAsia="Arial" w:hAnsi="Arial"/>
                <w:sz w:val="18"/>
                <w:szCs w:val="18"/>
                <w:color w:val="auto"/>
              </w:rPr>
              <w:t>6,460</w:t>
            </w:r>
          </w:p>
        </w:tc>
        <w:tc>
          <w:tcPr>
            <w:tcW w:w="1180" w:type="dxa"/>
            <w:vAlign w:val="bottom"/>
          </w:tcPr>
          <w:p>
            <w:pPr>
              <w:jc w:val="right"/>
              <w:spacing w:after="0"/>
              <w:rPr>
                <w:sz w:val="20"/>
                <w:szCs w:val="20"/>
                <w:color w:val="auto"/>
              </w:rPr>
            </w:pPr>
            <w:r>
              <w:rPr>
                <w:rFonts w:ascii="Arial" w:cs="Arial" w:eastAsia="Arial" w:hAnsi="Arial"/>
                <w:sz w:val="18"/>
                <w:szCs w:val="18"/>
                <w:color w:val="auto"/>
              </w:rPr>
              <w:t>6,460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2012</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985.12</w:t>
            </w:r>
          </w:p>
        </w:tc>
        <w:tc>
          <w:tcPr>
            <w:tcW w:w="6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6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73,995</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985.17</w:t>
            </w:r>
          </w:p>
        </w:tc>
        <w:tc>
          <w:tcPr>
            <w:tcW w:w="2280" w:type="dxa"/>
            <w:vAlign w:val="bottom"/>
            <w:gridSpan w:val="3"/>
          </w:tcPr>
          <w:p>
            <w:pPr>
              <w:jc w:val="right"/>
              <w:ind w:right="620"/>
              <w:spacing w:after="0"/>
              <w:rPr>
                <w:sz w:val="20"/>
                <w:szCs w:val="20"/>
                <w:color w:val="auto"/>
              </w:rPr>
            </w:pPr>
            <w:r>
              <w:rPr>
                <w:rFonts w:ascii="Arial" w:cs="Arial" w:eastAsia="Arial" w:hAnsi="Arial"/>
                <w:sz w:val="18"/>
                <w:szCs w:val="18"/>
                <w:color w:val="auto"/>
              </w:rPr>
              <w:t>12,287</w:t>
            </w:r>
          </w:p>
        </w:tc>
        <w:tc>
          <w:tcPr>
            <w:tcW w:w="1180" w:type="dxa"/>
            <w:vAlign w:val="bottom"/>
          </w:tcPr>
          <w:p>
            <w:pPr>
              <w:jc w:val="right"/>
              <w:spacing w:after="0"/>
              <w:rPr>
                <w:sz w:val="20"/>
                <w:szCs w:val="20"/>
                <w:color w:val="auto"/>
              </w:rPr>
            </w:pPr>
            <w:r>
              <w:rPr>
                <w:rFonts w:ascii="Arial" w:cs="Arial" w:eastAsia="Arial" w:hAnsi="Arial"/>
                <w:sz w:val="18"/>
                <w:szCs w:val="18"/>
                <w:color w:val="auto"/>
              </w:rPr>
              <w:t>12,287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73,995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240" w:top="459"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(a) Exhibits.</w:t>
            </w:r>
          </w:p>
        </w:tc>
        <w:tc>
          <w:tcPr>
            <w:tcW w:w="9680" w:type="dxa"/>
            <w:vAlign w:val="bottom"/>
          </w:tcPr>
          <w:p>
            <w:pPr>
              <w:spacing w:after="0"/>
              <w:rPr>
                <w:sz w:val="19"/>
                <w:szCs w:val="19"/>
                <w:color w:val="auto"/>
              </w:rPr>
            </w:pPr>
          </w:p>
        </w:tc>
      </w:tr>
      <w:tr>
        <w:trPr>
          <w:trHeight w:val="399"/>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31.1</w:t>
            </w:r>
          </w:p>
        </w:tc>
        <w:tc>
          <w:tcPr>
            <w:tcW w:w="9680" w:type="dxa"/>
            <w:vAlign w:val="bottom"/>
          </w:tcPr>
          <w:p>
            <w:pPr>
              <w:ind w:left="120"/>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Act of 2002.</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31.2</w:t>
            </w:r>
          </w:p>
        </w:tc>
        <w:tc>
          <w:tcPr>
            <w:tcW w:w="9680" w:type="dxa"/>
            <w:vAlign w:val="bottom"/>
          </w:tcPr>
          <w:p>
            <w:pPr>
              <w:ind w:left="12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Act of 2002.</w:t>
            </w:r>
          </w:p>
        </w:tc>
      </w:tr>
    </w:tbl>
    <w:p>
      <w:pPr>
        <w:spacing w:after="0" w:line="102" w:lineRule="exact"/>
        <w:rPr>
          <w:sz w:val="20"/>
          <w:szCs w:val="20"/>
          <w:color w:val="auto"/>
        </w:rPr>
      </w:pPr>
    </w:p>
    <w:p>
      <w:pPr>
        <w:ind w:left="1620" w:right="160" w:hanging="910"/>
        <w:spacing w:after="0" w:line="268"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19"/>
                <w:szCs w:val="19"/>
                <w:color w:val="auto"/>
              </w:rPr>
            </w:pPr>
          </w:p>
        </w:tc>
        <w:tc>
          <w:tcPr>
            <w:tcW w:w="7960" w:type="dxa"/>
            <w:vAlign w:val="bottom"/>
            <w:gridSpan w:val="2"/>
          </w:tcPr>
          <w:p>
            <w:pPr>
              <w:ind w:left="2040"/>
              <w:spacing w:after="0"/>
              <w:rPr>
                <w:sz w:val="20"/>
                <w:szCs w:val="20"/>
                <w:color w:val="auto"/>
              </w:rPr>
            </w:pPr>
            <w:r>
              <w:rPr>
                <w:rFonts w:ascii="Arial" w:cs="Arial" w:eastAsia="Arial" w:hAnsi="Arial"/>
                <w:sz w:val="18"/>
                <w:szCs w:val="18"/>
                <w:color w:val="auto"/>
              </w:rPr>
              <w:t>TPG SPECIALTY LENDING, INC.</w:t>
            </w:r>
          </w:p>
        </w:tc>
      </w:tr>
      <w:tr>
        <w:trPr>
          <w:trHeight w:val="433"/>
        </w:trPr>
        <w:tc>
          <w:tcPr>
            <w:tcW w:w="3460" w:type="dxa"/>
            <w:vAlign w:val="bottom"/>
          </w:tcPr>
          <w:p>
            <w:pPr>
              <w:spacing w:after="0"/>
              <w:rPr>
                <w:sz w:val="20"/>
                <w:szCs w:val="20"/>
                <w:color w:val="auto"/>
              </w:rPr>
            </w:pPr>
            <w:r>
              <w:rPr>
                <w:rFonts w:ascii="Arial" w:cs="Arial" w:eastAsia="Arial" w:hAnsi="Arial"/>
                <w:sz w:val="18"/>
                <w:szCs w:val="18"/>
                <w:color w:val="auto"/>
              </w:rPr>
              <w:t>Date: May 15, 2012</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Fishman</w:t>
            </w:r>
          </w:p>
        </w:tc>
      </w:tr>
      <w:tr>
        <w:trPr>
          <w:trHeight w:val="202"/>
        </w:trPr>
        <w:tc>
          <w:tcPr>
            <w:tcW w:w="3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33"/>
        </w:trPr>
        <w:tc>
          <w:tcPr>
            <w:tcW w:w="3460" w:type="dxa"/>
            <w:vAlign w:val="bottom"/>
          </w:tcPr>
          <w:p>
            <w:pPr>
              <w:spacing w:after="0"/>
              <w:rPr>
                <w:sz w:val="20"/>
                <w:szCs w:val="20"/>
                <w:color w:val="auto"/>
              </w:rPr>
            </w:pPr>
            <w:r>
              <w:rPr>
                <w:rFonts w:ascii="Arial" w:cs="Arial" w:eastAsia="Arial" w:hAnsi="Arial"/>
                <w:sz w:val="18"/>
                <w:szCs w:val="18"/>
                <w:color w:val="auto"/>
              </w:rPr>
              <w:t>Date: May 15, 2012</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E. Viola</w:t>
            </w:r>
          </w:p>
        </w:tc>
      </w:tr>
      <w:tr>
        <w:trPr>
          <w:trHeight w:val="202"/>
        </w:trPr>
        <w:tc>
          <w:tcPr>
            <w:tcW w:w="3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John E. Viola</w:t>
            </w:r>
          </w:p>
        </w:tc>
      </w:tr>
      <w:tr>
        <w:trPr>
          <w:trHeight w:val="222"/>
        </w:trPr>
        <w:tc>
          <w:tcPr>
            <w:tcW w:w="3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3460" w:type="dxa"/>
            <w:vAlign w:val="bottom"/>
          </w:tcPr>
          <w:p>
            <w:pPr>
              <w:spacing w:after="0"/>
              <w:rPr>
                <w:sz w:val="24"/>
                <w:szCs w:val="24"/>
                <w:color w:val="auto"/>
              </w:rPr>
            </w:pPr>
          </w:p>
        </w:tc>
        <w:tc>
          <w:tcPr>
            <w:tcW w:w="250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hanging="440"/>
        <w:spacing w:after="0"/>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90" w:lineRule="exact"/>
        <w:rPr>
          <w:rFonts w:ascii="Arial" w:cs="Arial" w:eastAsia="Arial" w:hAnsi="Arial"/>
          <w:sz w:val="18"/>
          <w:szCs w:val="18"/>
          <w:color w:val="auto"/>
        </w:rPr>
      </w:pPr>
    </w:p>
    <w:p>
      <w:pPr>
        <w:jc w:val="both"/>
        <w:ind w:left="1920" w:hanging="440"/>
        <w:spacing w:after="0" w:line="357" w:lineRule="auto"/>
        <w:tabs>
          <w:tab w:leader="none" w:pos="192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Date: May 15, 2012</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Fishman</w:t>
            </w:r>
          </w:p>
        </w:tc>
      </w:tr>
      <w:tr>
        <w:trPr>
          <w:trHeight w:val="202"/>
        </w:trPr>
        <w:tc>
          <w:tcPr>
            <w:tcW w:w="3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E. Viola, certify that:</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hanging="440"/>
        <w:spacing w:after="0"/>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90" w:lineRule="exact"/>
        <w:rPr>
          <w:rFonts w:ascii="Arial" w:cs="Arial" w:eastAsia="Arial" w:hAnsi="Arial"/>
          <w:sz w:val="18"/>
          <w:szCs w:val="18"/>
          <w:color w:val="auto"/>
        </w:rPr>
      </w:pPr>
    </w:p>
    <w:p>
      <w:pPr>
        <w:jc w:val="both"/>
        <w:ind w:left="1920" w:hanging="440"/>
        <w:spacing w:after="0" w:line="357" w:lineRule="auto"/>
        <w:tabs>
          <w:tab w:leader="none" w:pos="19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Date: May 15, 2012</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E. Viola</w:t>
            </w:r>
          </w:p>
        </w:tc>
      </w:tr>
      <w:tr>
        <w:trPr>
          <w:trHeight w:val="202"/>
        </w:trPr>
        <w:tc>
          <w:tcPr>
            <w:tcW w:w="3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John E. Viola</w:t>
            </w:r>
          </w:p>
        </w:tc>
      </w:tr>
      <w:tr>
        <w:trPr>
          <w:trHeight w:val="222"/>
        </w:trPr>
        <w:tc>
          <w:tcPr>
            <w:tcW w:w="3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March 31, 2012, as filed with the Securities and Exchange Commission on the date hereof (the “Report”), Michael Fishman, as Chief Executive Officer of the Company, and John Viola, as Chief Financial Officer of the Company, each hereby certifies, pursuant to 18 U.S.C. § 1350, as adopted pursuant to § 906 of the Sarbanes-Oxley Act of 2002, that, to such officer’s knowledge:</w:t>
      </w:r>
    </w:p>
    <w:p>
      <w:pPr>
        <w:spacing w:after="0" w:line="62" w:lineRule="exact"/>
        <w:rPr>
          <w:sz w:val="20"/>
          <w:szCs w:val="20"/>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Michael Fishman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15,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John E. Viola</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15, 2012</w:t>
      </w:r>
    </w:p>
    <w:p>
      <w:pPr>
        <w:spacing w:after="0" w:line="17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Roman"/>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lowerRoman"/>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5"/>
    </w:lvl>
  </w:abstractNum>
  <w:abstractNum w:abstractNumId="16">
    <w:nsid w:val="436C6125"/>
    <w:multiLevelType w:val="hybridMultilevel"/>
    <w:lvl w:ilvl="0">
      <w:lvlJc w:val="left"/>
      <w:lvlText w:val="%1."/>
      <w:numFmt w:val="decimal"/>
      <w:start w:val="7"/>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32"/>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2019-12-09T20:32:01Z</dcterms:created>
  <dcterms:modified xsi:type="dcterms:W3CDTF">2019-12-09T20:32:01Z</dcterms:modified>
</cp:coreProperties>
</file>