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02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MSSB TPG Specialty Lending Onshore</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Feeder Fund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color w:val="0000FF"/>
        </w:rPr>
        <w:t>C/O MORGAN STANLEY GWM FEEDER STRATEGIES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522 FIFTH AVENUE, 13TH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NEW YORKNY</w:t>
            </w:r>
          </w:p>
        </w:tc>
        <w:tc>
          <w:tcPr>
            <w:tcW w:w="9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0" w:type="dxa"/>
            <w:vAlign w:val="bottom"/>
            <w:gridSpan w:val="2"/>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12/16/2011</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580" w:space="420"/>
            <w:col w:w="7420"/>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12/16/2011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2,425</w:t>
            </w:r>
            <w:r>
              <w:rPr>
                <w:rFonts w:ascii="Arial" w:cs="Arial" w:eastAsia="Arial" w:hAnsi="Arial"/>
                <w:sz w:val="22"/>
                <w:szCs w:val="22"/>
                <w:color w:val="008000"/>
                <w:w w:val="95"/>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981.12</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33,481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Morgan Stanley GWM Feeder Strategies LLC is the managing owner of the reporting person, and is a wholly-owned subsidiary of Morgan Stanley Smith Barney Holdings LLC. Morgan Stanley Smith Barney Holdings LLC is indirectly majority-owned by Morgan Stanley.</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 delivered a drawdown notice on December 16, 2011, and upon receiving the drawdown notice, the reporting person became obligated to make a capital contribution of $2,379,214 to purchase 2,425 shares of Common Stock at a price of $981.12 per share.</w:t>
      </w:r>
    </w:p>
    <w:p>
      <w:pPr>
        <w:spacing w:after="0" w:line="30" w:lineRule="exact"/>
        <w:rPr>
          <w:rFonts w:ascii="Arial" w:cs="Arial" w:eastAsia="Arial" w:hAnsi="Arial"/>
          <w:sz w:val="14"/>
          <w:szCs w:val="14"/>
          <w:color w:val="008000"/>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Although MSSB TPG Specialty Lending Onshore Feeder Fund (the "Trust") beneficially owns 33,481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20"/>
          </w:cols>
          <w:pgMar w:left="240" w:top="226" w:right="239" w:bottom="1440" w:gutter="0" w:footer="0" w:header="0"/>
          <w:type w:val="continuous"/>
        </w:sectPr>
      </w:pPr>
    </w:p>
    <w:p>
      <w:pPr>
        <w:spacing w:after="0" w:line="62"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John Sweeney,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86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Morgan Stanley GWM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56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Strategies LLC,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owner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25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12/20/2011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2727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2019-12-18T02:03:24Z</dcterms:created>
  <dcterms:modified xsi:type="dcterms:W3CDTF">2019-12-18T02:03:24Z</dcterms:modified>
</cp:coreProperties>
</file>