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11,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333-196969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080" w:type="dxa"/>
        <w:tblCellMar>
          <w:top w:w="0" w:type="dxa"/>
          <w:left w:w="0" w:type="dxa"/>
          <w:bottom w:w="0" w:type="dxa"/>
          <w:right w:w="0" w:type="dxa"/>
        </w:tblCellMar>
      </w:tblPr>
      <w:tr>
        <w:trPr>
          <w:trHeight w:val="225"/>
        </w:trPr>
        <w:tc>
          <w:tcPr>
            <w:tcW w:w="5140" w:type="dxa"/>
            <w:vAlign w:val="bottom"/>
          </w:tcPr>
          <w:p>
            <w:pPr>
              <w:ind w:left="1260"/>
              <w:spacing w:after="0" w:line="225" w:lineRule="exact"/>
              <w:rPr>
                <w:sz w:val="20"/>
                <w:szCs w:val="20"/>
                <w:color w:val="auto"/>
              </w:rPr>
            </w:pPr>
            <w:r>
              <w:rPr>
                <w:rFonts w:ascii="Arial" w:cs="Arial" w:eastAsia="Arial" w:hAnsi="Arial"/>
                <w:sz w:val="22"/>
                <w:szCs w:val="22"/>
                <w:b w:val="1"/>
                <w:bCs w:val="1"/>
                <w:i w:val="1"/>
                <w:iCs w:val="1"/>
                <w:color w:val="auto"/>
              </w:rPr>
              <w:t>UNDER</w:t>
            </w:r>
          </w:p>
        </w:tc>
        <w:tc>
          <w:tcPr>
            <w:tcW w:w="2200" w:type="dxa"/>
            <w:vAlign w:val="bottom"/>
            <w:vMerge w:val="restart"/>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8"/>
        </w:trPr>
        <w:tc>
          <w:tcPr>
            <w:tcW w:w="5140" w:type="dxa"/>
            <w:vAlign w:val="bottom"/>
          </w:tcPr>
          <w:p>
            <w:pPr>
              <w:jc w:val="center"/>
              <w:ind w:right="1952"/>
              <w:spacing w:after="0" w:line="218"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40" w:type="dxa"/>
            <w:vAlign w:val="bottom"/>
          </w:tcPr>
          <w:p>
            <w:pPr>
              <w:jc w:val="center"/>
              <w:ind w:right="1952"/>
              <w:spacing w:after="0" w:line="243" w:lineRule="exact"/>
              <w:rPr>
                <w:sz w:val="20"/>
                <w:szCs w:val="20"/>
                <w:color w:val="auto"/>
              </w:rPr>
            </w:pPr>
            <w:r>
              <w:rPr>
                <w:rFonts w:ascii="Arial" w:cs="Arial" w:eastAsia="Arial" w:hAnsi="Arial"/>
                <w:sz w:val="22"/>
                <w:szCs w:val="22"/>
                <w:b w:val="1"/>
                <w:bCs w:val="1"/>
                <w:color w:val="auto"/>
                <w:w w:val="89"/>
              </w:rPr>
              <w:t>Pre-Effective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0"/>
        </w:trPr>
        <w:tc>
          <w:tcPr>
            <w:tcW w:w="5140" w:type="dxa"/>
            <w:vAlign w:val="bottom"/>
          </w:tcPr>
          <w:p>
            <w:pPr>
              <w:jc w:val="center"/>
              <w:ind w:right="1952"/>
              <w:spacing w:after="0"/>
              <w:rPr>
                <w:sz w:val="20"/>
                <w:szCs w:val="20"/>
                <w:color w:val="auto"/>
              </w:rPr>
            </w:pPr>
            <w:r>
              <w:rPr>
                <w:rFonts w:ascii="Arial" w:cs="Arial" w:eastAsia="Arial" w:hAnsi="Arial"/>
                <w:sz w:val="22"/>
                <w:szCs w:val="22"/>
                <w:b w:val="1"/>
                <w:bCs w:val="1"/>
                <w:color w:val="auto"/>
                <w:w w:val="88"/>
              </w:rPr>
              <w:t>Post-Effective Amendment No. 1</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jc w:val="center"/>
        <w:spacing w:after="0" w:line="237"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rPr>
          <w:sz w:val="20"/>
          <w:szCs w:val="20"/>
          <w:color w:val="auto"/>
        </w:rPr>
      </w:pPr>
      <w:r>
        <w:rPr>
          <w:rFonts w:ascii="Arial" w:cs="Arial" w:eastAsia="Arial" w:hAnsi="Arial"/>
          <w:sz w:val="18"/>
          <w:szCs w:val="18"/>
          <w:b w:val="1"/>
          <w:bCs w:val="1"/>
          <w:color w:val="auto"/>
        </w:rPr>
        <w:t>(817) 871-4000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A. Gerstenzang,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E. Fleisher,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From time to time after the effective date of this Registration Statement.</w:t>
      </w:r>
    </w:p>
    <w:p>
      <w:pPr>
        <w:spacing w:after="0" w:line="121"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Post-Effective Amendment No. 1 to the Registration Statement on Form N-2 (File No. 333-196969) of TPG Specialty Lending, Inc. (the “Registration Statement”) is being filed pursuant to Rule 462(d) under the Securities Act of 1933, as amended (the “Securities Act”), solely for the purpose of filing exhibits to the Registration Statement. Accordingly, this Post-Effective Amendment No. 1 consists only of a facing page, this explanatory note and Part C of the Registration Statement, which sets forth the exhibits to the Registration Statement. This Post-Effective Amendment No. 1 does not modify any other part of the Registration Statement. Pursuant to Rule 462(d) under the Securities Act, this Post-Effective Amendment No. 1 shall become effective immediately upon filing with the Securities and Exchange Commission. The contents of the Registration Statement are hereby incorporated by reference.</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80" w:type="dxa"/>
            <w:vAlign w:val="bottom"/>
          </w:tcPr>
          <w:p>
            <w:pPr>
              <w:jc w:val="center"/>
              <w:ind w:left="1250"/>
              <w:spacing w:after="0"/>
              <w:rPr>
                <w:sz w:val="20"/>
                <w:szCs w:val="20"/>
                <w:color w:val="auto"/>
              </w:rPr>
            </w:pPr>
            <w:r>
              <w:rPr>
                <w:rFonts w:ascii="Arial" w:cs="Arial" w:eastAsia="Arial" w:hAnsi="Arial"/>
                <w:sz w:val="18"/>
                <w:szCs w:val="18"/>
                <w:b w:val="1"/>
                <w:bCs w:val="1"/>
                <w:color w:val="auto"/>
              </w:rPr>
              <w:t>TPG SPECIALTY LENDING, INC.</w:t>
            </w:r>
          </w:p>
        </w:tc>
        <w:tc>
          <w:tcPr>
            <w:tcW w:w="1240" w:type="dxa"/>
            <w:vAlign w:val="bottom"/>
          </w:tcPr>
          <w:p>
            <w:pPr>
              <w:spacing w:after="0"/>
              <w:rPr>
                <w:sz w:val="20"/>
                <w:szCs w:val="20"/>
                <w:color w:val="auto"/>
              </w:rPr>
            </w:pPr>
          </w:p>
        </w:tc>
      </w:tr>
      <w:tr>
        <w:trPr>
          <w:trHeight w:val="324"/>
        </w:trPr>
        <w:tc>
          <w:tcPr>
            <w:tcW w:w="10080" w:type="dxa"/>
            <w:vAlign w:val="bottom"/>
          </w:tcPr>
          <w:p>
            <w:pPr>
              <w:jc w:val="center"/>
              <w:ind w:left="1270"/>
              <w:spacing w:after="0"/>
              <w:rPr>
                <w:sz w:val="20"/>
                <w:szCs w:val="20"/>
                <w:color w:val="auto"/>
              </w:rPr>
            </w:pPr>
            <w:r>
              <w:rPr>
                <w:rFonts w:ascii="Arial" w:cs="Arial" w:eastAsia="Arial" w:hAnsi="Arial"/>
                <w:sz w:val="18"/>
                <w:szCs w:val="18"/>
                <w:b w:val="1"/>
                <w:bCs w:val="1"/>
                <w:color w:val="auto"/>
                <w:w w:val="95"/>
              </w:rPr>
              <w:t>PART C</w:t>
            </w:r>
          </w:p>
        </w:tc>
        <w:tc>
          <w:tcPr>
            <w:tcW w:w="1240" w:type="dxa"/>
            <w:vAlign w:val="bottom"/>
          </w:tcPr>
          <w:p>
            <w:pPr>
              <w:spacing w:after="0"/>
              <w:rPr>
                <w:sz w:val="24"/>
                <w:szCs w:val="24"/>
                <w:color w:val="auto"/>
              </w:rPr>
            </w:pPr>
          </w:p>
        </w:tc>
      </w:tr>
      <w:tr>
        <w:trPr>
          <w:trHeight w:val="324"/>
        </w:trPr>
        <w:tc>
          <w:tcPr>
            <w:tcW w:w="10080" w:type="dxa"/>
            <w:vAlign w:val="bottom"/>
          </w:tcPr>
          <w:p>
            <w:pPr>
              <w:jc w:val="center"/>
              <w:ind w:left="1270"/>
              <w:spacing w:after="0"/>
              <w:rPr>
                <w:sz w:val="20"/>
                <w:szCs w:val="20"/>
                <w:color w:val="auto"/>
              </w:rPr>
            </w:pPr>
            <w:r>
              <w:rPr>
                <w:rFonts w:ascii="Arial" w:cs="Arial" w:eastAsia="Arial" w:hAnsi="Arial"/>
                <w:sz w:val="18"/>
                <w:szCs w:val="18"/>
                <w:b w:val="1"/>
                <w:bCs w:val="1"/>
                <w:color w:val="auto"/>
                <w:w w:val="94"/>
              </w:rPr>
              <w:t>Other Information</w:t>
            </w:r>
          </w:p>
        </w:tc>
        <w:tc>
          <w:tcPr>
            <w:tcW w:w="1240" w:type="dxa"/>
            <w:vAlign w:val="bottom"/>
          </w:tcPr>
          <w:p>
            <w:pPr>
              <w:spacing w:after="0"/>
              <w:rPr>
                <w:sz w:val="24"/>
                <w:szCs w:val="24"/>
                <w:color w:val="auto"/>
              </w:rPr>
            </w:pPr>
          </w:p>
        </w:tc>
      </w:tr>
      <w:tr>
        <w:trPr>
          <w:trHeight w:val="338"/>
        </w:trPr>
        <w:tc>
          <w:tcPr>
            <w:tcW w:w="10080" w:type="dxa"/>
            <w:vAlign w:val="bottom"/>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240" w:type="dxa"/>
            <w:vAlign w:val="bottom"/>
          </w:tcPr>
          <w:p>
            <w:pPr>
              <w:spacing w:after="0"/>
              <w:rPr>
                <w:sz w:val="24"/>
                <w:szCs w:val="24"/>
                <w:color w:val="auto"/>
              </w:rPr>
            </w:pPr>
          </w:p>
        </w:tc>
      </w:tr>
      <w:tr>
        <w:trPr>
          <w:trHeight w:val="324"/>
        </w:trPr>
        <w:tc>
          <w:tcPr>
            <w:tcW w:w="10080" w:type="dxa"/>
            <w:vAlign w:val="bottom"/>
          </w:tcPr>
          <w:p>
            <w:pPr>
              <w:spacing w:after="0"/>
              <w:rPr>
                <w:sz w:val="20"/>
                <w:szCs w:val="20"/>
                <w:color w:val="auto"/>
              </w:rPr>
            </w:pPr>
            <w:r>
              <w:rPr>
                <w:rFonts w:ascii="Arial" w:cs="Arial" w:eastAsia="Arial" w:hAnsi="Arial"/>
                <w:sz w:val="18"/>
                <w:szCs w:val="18"/>
                <w:b w:val="1"/>
                <w:bCs w:val="1"/>
                <w:color w:val="auto"/>
              </w:rPr>
              <w:t>(1) Financial Statements</w:t>
            </w:r>
          </w:p>
        </w:tc>
        <w:tc>
          <w:tcPr>
            <w:tcW w:w="1240" w:type="dxa"/>
            <w:vAlign w:val="bottom"/>
          </w:tcPr>
          <w:p>
            <w:pPr>
              <w:spacing w:after="0"/>
              <w:rPr>
                <w:sz w:val="24"/>
                <w:szCs w:val="24"/>
                <w:color w:val="auto"/>
              </w:rPr>
            </w:pPr>
          </w:p>
        </w:tc>
      </w:tr>
      <w:tr>
        <w:trPr>
          <w:trHeight w:val="324"/>
        </w:trPr>
        <w:tc>
          <w:tcPr>
            <w:tcW w:w="10080" w:type="dxa"/>
            <w:vAlign w:val="bottom"/>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240" w:type="dxa"/>
            <w:vAlign w:val="bottom"/>
          </w:tcPr>
          <w:p>
            <w:pPr>
              <w:spacing w:after="0"/>
              <w:rPr>
                <w:sz w:val="24"/>
                <w:szCs w:val="24"/>
                <w:color w:val="auto"/>
              </w:rPr>
            </w:pPr>
          </w:p>
        </w:tc>
      </w:tr>
      <w:tr>
        <w:trPr>
          <w:trHeight w:val="445"/>
        </w:trPr>
        <w:tc>
          <w:tcPr>
            <w:tcW w:w="10080" w:type="dxa"/>
            <w:vAlign w:val="bottom"/>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240" w:type="dxa"/>
            <w:vAlign w:val="bottom"/>
          </w:tcPr>
          <w:p>
            <w:pPr>
              <w:spacing w:after="0"/>
              <w:rPr>
                <w:sz w:val="24"/>
                <w:szCs w:val="24"/>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2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Balance Sheets as of December 31,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2013, 2012 and 2011</w:t>
            </w:r>
          </w:p>
        </w:tc>
        <w:tc>
          <w:tcPr>
            <w:tcW w:w="12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Schedules of Investments as of December 31,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2013, 2012 and 2011</w:t>
            </w:r>
          </w:p>
        </w:tc>
        <w:tc>
          <w:tcPr>
            <w:tcW w:w="124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2013, 2012 and 2011</w:t>
            </w:r>
          </w:p>
        </w:tc>
        <w:tc>
          <w:tcPr>
            <w:tcW w:w="12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310"/>
        </w:trPr>
        <w:tc>
          <w:tcPr>
            <w:tcW w:w="10080" w:type="dxa"/>
            <w:vAlign w:val="bottom"/>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240" w:type="dxa"/>
            <w:vAlign w:val="bottom"/>
          </w:tcPr>
          <w:p>
            <w:pPr>
              <w:spacing w:after="0"/>
              <w:rPr>
                <w:sz w:val="24"/>
                <w:szCs w:val="24"/>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Balance Sheets as of March 31, 2014 and December 31,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F-38</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Operations for the Three Months Ended March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Schedules of Investments as of March 31, 2014 and December 31,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F-49</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Cash Flows for the Three Months Ended March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F-50</w:t>
            </w:r>
          </w:p>
        </w:tc>
      </w:t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F-51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135" w:lineRule="exact"/>
        <w:rPr>
          <w:sz w:val="20"/>
          <w:szCs w:val="20"/>
          <w:color w:val="auto"/>
        </w:rPr>
      </w:pPr>
    </w:p>
    <w:p>
      <w:pPr>
        <w:ind w:left="760" w:right="100" w:hanging="759"/>
        <w:spacing w:after="0" w:line="277" w:lineRule="auto"/>
        <w:tabs>
          <w:tab w:leader="none" w:pos="7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760" w:right="460" w:hanging="759"/>
        <w:spacing w:after="0" w:line="277" w:lineRule="auto"/>
        <w:tabs>
          <w:tab w:leader="none" w:pos="7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760" w:right="220" w:hanging="75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62" w:lineRule="exact"/>
        <w:rPr>
          <w:rFonts w:ascii="Arial" w:cs="Arial" w:eastAsia="Arial" w:hAnsi="Arial"/>
          <w:sz w:val="18"/>
          <w:szCs w:val="18"/>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760" w:right="40" w:hanging="759"/>
        <w:spacing w:after="0" w:line="277" w:lineRule="auto"/>
        <w:tabs>
          <w:tab w:leader="none" w:pos="7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760" w:right="140" w:hanging="759"/>
        <w:spacing w:after="0" w:line="277" w:lineRule="auto"/>
        <w:tabs>
          <w:tab w:leader="none" w:pos="74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760" w:right="180" w:hanging="759"/>
        <w:spacing w:after="0" w:line="277" w:lineRule="auto"/>
        <w:tabs>
          <w:tab w:leader="none" w:pos="74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(incorporated by reference to Exhibit 4.1 to the Company’s Current Report on Form 8-K filed on June 10, 2014)</w:t>
      </w:r>
    </w:p>
    <w:p>
      <w:pPr>
        <w:spacing w:after="0" w:line="62" w:lineRule="exact"/>
        <w:rPr>
          <w:sz w:val="20"/>
          <w:szCs w:val="20"/>
          <w:color w:val="auto"/>
        </w:rPr>
      </w:pPr>
    </w:p>
    <w:p>
      <w:pPr>
        <w:ind w:left="760" w:hanging="759"/>
        <w:spacing w:after="0" w:line="342" w:lineRule="auto"/>
        <w:tabs>
          <w:tab w:leader="none" w:pos="740" w:val="left"/>
        </w:tabs>
        <w:rPr>
          <w:sz w:val="20"/>
          <w:szCs w:val="20"/>
          <w:color w:val="auto"/>
        </w:rPr>
      </w:pPr>
      <w:r>
        <w:rPr>
          <w:rFonts w:ascii="Arial" w:cs="Arial" w:eastAsia="Arial" w:hAnsi="Arial"/>
          <w:sz w:val="16"/>
          <w:szCs w:val="16"/>
          <w:color w:val="auto"/>
        </w:rPr>
        <w:t>(d)(4)</w:t>
      </w:r>
      <w:r>
        <w:rPr>
          <w:sz w:val="20"/>
          <w:szCs w:val="20"/>
          <w:color w:val="auto"/>
        </w:rPr>
        <w:tab/>
      </w:r>
      <w:r>
        <w:rPr>
          <w:rFonts w:ascii="Arial" w:cs="Arial" w:eastAsia="Arial" w:hAnsi="Arial"/>
          <w:sz w:val="16"/>
          <w:szCs w:val="16"/>
          <w:color w:val="auto"/>
        </w:rPr>
        <w:t>Form of 4.50% Convertible Senior Notes due 2019 under the Indenture, dated June 10, 2014, between TPG Specialty Lending, Inc. and Wells Fargo Bank, National Association (incorporated by reference to Exhibit 4.2 to the Company’s Current Report on Form 8-K filed on June 10, 2014)</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40"/>
          </w:cols>
          <w:pgMar w:left="240" w:top="270" w:right="319" w:bottom="1440" w:gutter="0" w:footer="0" w:header="0"/>
        </w:sectPr>
      </w:pPr>
    </w:p>
    <w:bookmarkStart w:id="3" w:name="page4"/>
    <w:bookmarkEnd w:id="3"/>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(d)(5)</w:t>
      </w:r>
      <w:r>
        <w:rPr>
          <w:sz w:val="20"/>
          <w:szCs w:val="20"/>
          <w:color w:val="auto"/>
        </w:rPr>
        <w:tab/>
      </w:r>
      <w:r>
        <w:rPr>
          <w:rFonts w:ascii="Arial" w:cs="Arial" w:eastAsia="Arial" w:hAnsi="Arial"/>
          <w:sz w:val="18"/>
          <w:szCs w:val="18"/>
          <w:color w:val="auto"/>
        </w:rPr>
        <w:t>Form of Indenture (1)</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Subscription Certificate (1)</w:t>
      </w:r>
    </w:p>
    <w:p>
      <w:pPr>
        <w:spacing w:after="0" w:line="117" w:lineRule="exact"/>
        <w:rPr>
          <w:sz w:val="20"/>
          <w:szCs w:val="20"/>
          <w:color w:val="auto"/>
        </w:rPr>
      </w:pPr>
    </w:p>
    <w:p>
      <w:pPr>
        <w:ind w:left="760" w:right="280" w:hanging="75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right="460" w:hanging="752"/>
        <w:spacing w:after="0" w:line="308"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(1)</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(1)</w:t>
      </w:r>
    </w:p>
    <w:p>
      <w:pPr>
        <w:spacing w:after="0" w:line="117" w:lineRule="exact"/>
        <w:rPr>
          <w:sz w:val="20"/>
          <w:szCs w:val="20"/>
          <w:color w:val="auto"/>
        </w:rPr>
      </w:pPr>
    </w:p>
    <w:p>
      <w:pPr>
        <w:ind w:left="760" w:right="220" w:hanging="759"/>
        <w:spacing w:after="0" w:line="277" w:lineRule="auto"/>
        <w:tabs>
          <w:tab w:leader="none" w:pos="740" w:val="left"/>
        </w:tabs>
        <w:rPr>
          <w:sz w:val="20"/>
          <w:szCs w:val="20"/>
          <w:color w:val="auto"/>
        </w:rPr>
      </w:pPr>
      <w:r>
        <w:rPr>
          <w:rFonts w:ascii="Arial" w:cs="Arial" w:eastAsia="Arial" w:hAnsi="Arial"/>
          <w:sz w:val="18"/>
          <w:szCs w:val="18"/>
          <w:color w:val="auto"/>
        </w:rPr>
        <w:t>(h)(3)</w:t>
      </w:r>
      <w:r>
        <w:rPr>
          <w:sz w:val="20"/>
          <w:szCs w:val="20"/>
          <w:color w:val="auto"/>
        </w:rPr>
        <w:tab/>
      </w:r>
      <w:r>
        <w:rPr>
          <w:rFonts w:ascii="Arial" w:cs="Arial" w:eastAsia="Arial" w:hAnsi="Arial"/>
          <w:sz w:val="18"/>
          <w:szCs w:val="18"/>
          <w:color w:val="auto"/>
        </w:rPr>
        <w:t>Underwriting Agreement, dated August 5, 2014, among the Company, the Adviser, the several underwriters named in Schedule 1 thereto and the several selling stockholders named in Schedule 2 thereto</w:t>
      </w:r>
    </w:p>
    <w:p>
      <w:pPr>
        <w:spacing w:after="0" w:line="62"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right="80" w:hanging="75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760" w:right="680" w:hanging="759"/>
        <w:spacing w:after="0" w:line="277" w:lineRule="auto"/>
        <w:tabs>
          <w:tab w:leader="none" w:pos="74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760" w:right="240" w:hanging="759"/>
        <w:spacing w:after="0" w:line="277" w:lineRule="auto"/>
        <w:tabs>
          <w:tab w:leader="none" w:pos="74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dated as of March 15, 2011, between the Company and the Adviser (incorporated by reference to Exhibit 10.1 to the Company’s Current Report on Form 8-K filed on March 15, 2011)</w:t>
      </w:r>
    </w:p>
    <w:p>
      <w:pPr>
        <w:spacing w:after="0" w:line="62" w:lineRule="exact"/>
        <w:rPr>
          <w:sz w:val="20"/>
          <w:szCs w:val="20"/>
          <w:color w:val="auto"/>
        </w:rPr>
      </w:pPr>
    </w:p>
    <w:p>
      <w:pPr>
        <w:ind w:left="760" w:right="140" w:hanging="759"/>
        <w:spacing w:after="0" w:line="286" w:lineRule="auto"/>
        <w:tabs>
          <w:tab w:leader="none" w:pos="740" w:val="left"/>
        </w:tabs>
        <w:rPr>
          <w:sz w:val="20"/>
          <w:szCs w:val="20"/>
          <w:color w:val="auto"/>
        </w:rPr>
      </w:pPr>
      <w:r>
        <w:rPr>
          <w:rFonts w:ascii="Arial" w:cs="Arial" w:eastAsia="Arial" w:hAnsi="Arial"/>
          <w:sz w:val="17"/>
          <w:szCs w:val="17"/>
          <w:color w:val="auto"/>
        </w:rPr>
        <w:t>(k)(3)</w:t>
      </w:r>
      <w:r>
        <w:rPr>
          <w:sz w:val="20"/>
          <w:szCs w:val="20"/>
          <w:color w:val="auto"/>
        </w:rPr>
        <w:tab/>
      </w:r>
      <w:r>
        <w:rPr>
          <w:rFonts w:ascii="Arial" w:cs="Arial" w:eastAsia="Arial" w:hAnsi="Arial"/>
          <w:sz w:val="17"/>
          <w:szCs w:val="17"/>
          <w:color w:val="auto"/>
        </w:rPr>
        <w:t>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13, 2012)</w:t>
      </w:r>
    </w:p>
    <w:p>
      <w:pPr>
        <w:spacing w:after="0" w:line="57" w:lineRule="exact"/>
        <w:rPr>
          <w:sz w:val="20"/>
          <w:szCs w:val="20"/>
          <w:color w:val="auto"/>
        </w:rPr>
      </w:pPr>
    </w:p>
    <w:p>
      <w:pPr>
        <w:ind w:left="760" w:right="260" w:hanging="759"/>
        <w:spacing w:after="0" w:line="342" w:lineRule="auto"/>
        <w:tabs>
          <w:tab w:leader="none" w:pos="74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Master Sale and Contribution Agreement by and between TPG Specialty Lending, Inc., as the Originator and TPG SL SPV, LLC, as the Buyer, dated as of May 8, 2012 (incorporated by reference to Exhibit 10.2 to the Company’s Quarterly Report on Form 10-Q filed on August 13, 2012)</w:t>
      </w:r>
    </w:p>
    <w:p>
      <w:pPr>
        <w:spacing w:after="0" w:line="16" w:lineRule="exact"/>
        <w:rPr>
          <w:sz w:val="20"/>
          <w:szCs w:val="20"/>
          <w:color w:val="auto"/>
        </w:rPr>
      </w:pPr>
    </w:p>
    <w:p>
      <w:pPr>
        <w:ind w:left="760" w:hanging="759"/>
        <w:spacing w:after="0" w:line="264" w:lineRule="auto"/>
        <w:tabs>
          <w:tab w:leader="none" w:pos="74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760" w:right="100" w:hanging="759"/>
        <w:spacing w:after="0" w:line="264" w:lineRule="auto"/>
        <w:tabs>
          <w:tab w:leader="none" w:pos="74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Instrument of Removal, Appointment and Acceptance, dated November 29, 2012, among State Street Bank and Trust Company and TPG SL SPV, LLC, TPG Specialty Lending, Inc. and the Bank of New York Mellon Trust Company, N.A. (incorporated by reference to Exhibit 10.1 to the Company’s Current Report on Form 8-K filed on January 2, 2013)</w:t>
      </w:r>
    </w:p>
    <w:p>
      <w:pPr>
        <w:spacing w:after="0" w:line="73" w:lineRule="exact"/>
        <w:rPr>
          <w:sz w:val="20"/>
          <w:szCs w:val="20"/>
          <w:color w:val="auto"/>
        </w:rPr>
      </w:pPr>
    </w:p>
    <w:p>
      <w:pPr>
        <w:ind w:left="760" w:right="320" w:hanging="759"/>
        <w:spacing w:after="0" w:line="264" w:lineRule="auto"/>
        <w:tabs>
          <w:tab w:leader="none" w:pos="74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382"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(k)(8)</w:t>
            </w:r>
          </w:p>
        </w:tc>
        <w:tc>
          <w:tcPr>
            <w:tcW w:w="10560" w:type="dxa"/>
            <w:vAlign w:val="bottom"/>
          </w:tcPr>
          <w:p>
            <w:pPr>
              <w:ind w:left="280"/>
              <w:spacing w:after="0"/>
              <w:rPr>
                <w:sz w:val="20"/>
                <w:szCs w:val="20"/>
                <w:color w:val="auto"/>
              </w:rPr>
            </w:pPr>
            <w:r>
              <w:rPr>
                <w:rFonts w:ascii="Arial" w:cs="Arial" w:eastAsia="Arial" w:hAnsi="Arial"/>
                <w:sz w:val="18"/>
                <w:szCs w:val="18"/>
                <w:color w:val="auto"/>
                <w:w w:val="96"/>
              </w:rPr>
              <w:t>Amendment No. 1 dated July 17, 2013 to Revolving Credit and Security Agreement, dated May 8, 2012, among TPG SL SPV, LLC, as</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4"/>
              </w:rPr>
              <w:t>Borrower, the Lenders from Time to Time Parties Hereto, Natixis, New York Branch, as Facility Agent and The Bank of New York Mellon</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Trust Company, N.A., as Collateral Agent (incorporated by reference to Exhibit 10.1 to the Company’s Quarterly Report on Form 10-Q filed</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on August 9, 2013)</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(k)(9)</w:t>
            </w: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Amended and Restated Revolving Credit and Security Agreement, dated as of January 21, 2014, among TPG SL SPV, LLC, as Borrower, the</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6"/>
              </w:rPr>
              <w:t>Lenders from Time to Time Parties Hereto, Natixis, New York Branch, as Facility Agent and State Street Bank and Trust Company, as</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8"/>
              </w:rPr>
              <w:t>Collateral Agent (incorporated by reference to Exhibit 10.18 to the Company’s Annual Report on Form 10-K filed on March 4,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(k)(10)</w:t>
            </w: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Amended and Restated Master Sale and Contribution Agreement by and between TPG Specialty Lending, Inc., as the Originator and TPG SL</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SPV, LLC, as the Buyer, dated as of January 21, 2014 (incorporated by reference to Exhibit 10.19 to the Company’s Annual Report on Form</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10-K filed on March 4,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(k)(11)</w:t>
            </w:r>
          </w:p>
        </w:tc>
        <w:tc>
          <w:tcPr>
            <w:tcW w:w="10560" w:type="dxa"/>
            <w:vAlign w:val="bottom"/>
          </w:tcPr>
          <w:p>
            <w:pPr>
              <w:ind w:left="280"/>
              <w:spacing w:after="0"/>
              <w:rPr>
                <w:sz w:val="20"/>
                <w:szCs w:val="20"/>
                <w:color w:val="auto"/>
              </w:rPr>
            </w:pPr>
            <w:r>
              <w:rPr>
                <w:rFonts w:ascii="Arial" w:cs="Arial" w:eastAsia="Arial" w:hAnsi="Arial"/>
                <w:sz w:val="18"/>
                <w:szCs w:val="18"/>
                <w:color w:val="auto"/>
                <w:w w:val="89"/>
              </w:rPr>
              <w:t>Second Amended and Restated Senior Secured Credit Agreement, dated February 27, 2014, among TPG Specialty Lending, Inc., as Borrower,</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the Lenders Party Hereto and SunTrust Bank, as Administrative Agent, and JPMorgan Chase Bank, N.A., as Syndication Agent (incorporated</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by reference to Exhibit 10.20 to the Company’s Annual Report on Form 10-K filed on March 4,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(k)(12)</w:t>
            </w: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Form of Increase Letter pursuant to the Second Amended and Restated Senior Secured Credit Agreement, dated February 27, 2014, among</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TPG Specialty Lending, Inc., as Borrower, the Lenders Party Hereto and SunTrust Bank, as Administrative Agent, and JPMorgan Chase Bank,</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N.A., as Syndication Agent (1)</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(k)(13)</w:t>
            </w:r>
          </w:p>
        </w:tc>
        <w:tc>
          <w:tcPr>
            <w:tcW w:w="10560" w:type="dxa"/>
            <w:vAlign w:val="bottom"/>
          </w:tcPr>
          <w:p>
            <w:pPr>
              <w:ind w:left="280"/>
              <w:spacing w:after="0"/>
              <w:rPr>
                <w:sz w:val="20"/>
                <w:szCs w:val="20"/>
                <w:color w:val="auto"/>
              </w:rPr>
            </w:pPr>
            <w:r>
              <w:rPr>
                <w:rFonts w:ascii="Arial" w:cs="Arial" w:eastAsia="Arial" w:hAnsi="Arial"/>
                <w:sz w:val="18"/>
                <w:szCs w:val="18"/>
                <w:color w:val="auto"/>
                <w:w w:val="95"/>
              </w:rPr>
              <w:t>First Amendment to the Second Amended and Restated Senior Secured Revolving Credit Agreement, dated June 3, 2014, among TPG</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7"/>
              </w:rPr>
              <w:t>Specialty Lending, Inc., as Borrower, the Lenders party thereto and SunTrust Bank, as Administrative Agent and Collateral Agent (1)</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(k)(14)</w:t>
            </w: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Second Amendment to the Second Amended and Restated Senior Secured Revolving Credit Agreement, dated June 27, 2014, among TPG</w:t>
            </w:r>
          </w:p>
        </w:tc>
      </w:tr>
      <w:tr>
        <w:trPr>
          <w:trHeight w:val="230"/>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Specialty Lending, Inc., as Borrower, Morgan Stanley Bank, N.A., as a Lender, and SunTrust Bank, as Administrative Agent (1)</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60" w:hanging="105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 (1)</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(n)(1)</w:t>
            </w:r>
          </w:p>
        </w:tc>
        <w:tc>
          <w:tcPr>
            <w:tcW w:w="5740" w:type="dxa"/>
            <w:vAlign w:val="bottom"/>
          </w:tcPr>
          <w:p>
            <w:pPr>
              <w:ind w:left="320"/>
              <w:spacing w:after="0"/>
              <w:rPr>
                <w:sz w:val="20"/>
                <w:szCs w:val="20"/>
                <w:color w:val="auto"/>
              </w:rPr>
            </w:pPr>
            <w:r>
              <w:rPr>
                <w:rFonts w:ascii="Arial" w:cs="Arial" w:eastAsia="Arial" w:hAnsi="Arial"/>
                <w:sz w:val="18"/>
                <w:szCs w:val="18"/>
                <w:color w:val="auto"/>
                <w:w w:val="93"/>
              </w:rPr>
              <w:t>Consent of Cleary Gottlieb Steen &amp; Hamilton LLP (included in Exhibit (l))</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(n)(2)</w:t>
            </w:r>
          </w:p>
        </w:tc>
        <w:tc>
          <w:tcPr>
            <w:tcW w:w="5740" w:type="dxa"/>
            <w:vAlign w:val="bottom"/>
          </w:tcPr>
          <w:p>
            <w:pPr>
              <w:ind w:left="320"/>
              <w:spacing w:after="0"/>
              <w:rPr>
                <w:sz w:val="20"/>
                <w:szCs w:val="20"/>
                <w:color w:val="auto"/>
              </w:rPr>
            </w:pPr>
            <w:r>
              <w:rPr>
                <w:rFonts w:ascii="Arial" w:cs="Arial" w:eastAsia="Arial" w:hAnsi="Arial"/>
                <w:sz w:val="18"/>
                <w:szCs w:val="18"/>
                <w:color w:val="auto"/>
              </w:rPr>
              <w:t>Consent of KPMG LLP (1)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(n)(3)</w:t>
            </w:r>
          </w:p>
        </w:tc>
        <w:tc>
          <w:tcPr>
            <w:tcW w:w="5740" w:type="dxa"/>
            <w:vAlign w:val="bottom"/>
          </w:tcPr>
          <w:p>
            <w:pPr>
              <w:ind w:left="320"/>
              <w:spacing w:after="0"/>
              <w:rPr>
                <w:sz w:val="20"/>
                <w:szCs w:val="20"/>
                <w:color w:val="auto"/>
              </w:rPr>
            </w:pPr>
            <w:r>
              <w:rPr>
                <w:rFonts w:ascii="Arial" w:cs="Arial" w:eastAsia="Arial" w:hAnsi="Arial"/>
                <w:sz w:val="18"/>
                <w:szCs w:val="18"/>
                <w:color w:val="auto"/>
              </w:rPr>
              <w:t>Report of KPMG LLP (1)</w:t>
            </w:r>
          </w:p>
        </w:tc>
      </w:tr>
    </w:tbl>
    <w:p>
      <w:pPr>
        <w:spacing w:after="0" w:line="94" w:lineRule="exact"/>
        <w:rPr>
          <w:sz w:val="20"/>
          <w:szCs w:val="20"/>
          <w:color w:val="auto"/>
        </w:rPr>
      </w:pPr>
    </w:p>
    <w:p>
      <w:pPr>
        <w:ind w:left="1060" w:hanging="105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(r)(1)</w:t>
            </w:r>
          </w:p>
        </w:tc>
        <w:tc>
          <w:tcPr>
            <w:tcW w:w="10120" w:type="dxa"/>
            <w:vAlign w:val="bottom"/>
          </w:tcPr>
          <w:p>
            <w:pPr>
              <w:ind w:left="340"/>
              <w:spacing w:after="0"/>
              <w:rPr>
                <w:sz w:val="20"/>
                <w:szCs w:val="20"/>
                <w:color w:val="auto"/>
              </w:rPr>
            </w:pPr>
            <w:r>
              <w:rPr>
                <w:rFonts w:ascii="Arial" w:cs="Arial" w:eastAsia="Arial" w:hAnsi="Arial"/>
                <w:sz w:val="18"/>
                <w:szCs w:val="18"/>
                <w:color w:val="auto"/>
                <w:w w:val="94"/>
              </w:rPr>
              <w:t>Code of Ethics of TPG Specialty Lending, Inc. (incorporated by reference to Exhibit (r)(1) to Pre-Effective Amendment No. 4 to the</w:t>
            </w:r>
          </w:p>
        </w:tc>
      </w:tr>
      <w:tr>
        <w:trPr>
          <w:trHeight w:val="230"/>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(r)(2)</w:t>
            </w:r>
          </w:p>
        </w:tc>
        <w:tc>
          <w:tcPr>
            <w:tcW w:w="10120" w:type="dxa"/>
            <w:vAlign w:val="bottom"/>
          </w:tcPr>
          <w:p>
            <w:pPr>
              <w:ind w:left="340"/>
              <w:spacing w:after="0"/>
              <w:rPr>
                <w:sz w:val="20"/>
                <w:szCs w:val="20"/>
                <w:color w:val="auto"/>
              </w:rPr>
            </w:pPr>
            <w:r>
              <w:rPr>
                <w:rFonts w:ascii="Arial" w:cs="Arial" w:eastAsia="Arial" w:hAnsi="Arial"/>
                <w:sz w:val="18"/>
                <w:szCs w:val="18"/>
                <w:color w:val="auto"/>
                <w:w w:val="92"/>
              </w:rPr>
              <w:t>Code of Ethics of TSL Advisers, LLC (incorporated by reference to Exhibit (r)(2) to Pre-Effective Amendment No. 4 to the Company’s</w:t>
            </w:r>
          </w:p>
        </w:tc>
      </w:tr>
      <w:tr>
        <w:trPr>
          <w:trHeight w:val="230"/>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120" w:type="dxa"/>
            <w:vAlign w:val="bottom"/>
          </w:tcPr>
          <w:p>
            <w:pPr>
              <w:ind w:left="340"/>
              <w:spacing w:after="0"/>
              <w:rPr>
                <w:sz w:val="20"/>
                <w:szCs w:val="20"/>
                <w:color w:val="auto"/>
              </w:rPr>
            </w:pPr>
            <w:r>
              <w:rPr>
                <w:rFonts w:ascii="Arial" w:cs="Arial" w:eastAsia="Arial" w:hAnsi="Arial"/>
                <w:sz w:val="18"/>
                <w:szCs w:val="18"/>
                <w:color w:val="auto"/>
              </w:rPr>
              <w:t>Form of Preliminary Prospectus Supplement For Common Stock Offerings (1)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120" w:type="dxa"/>
            <w:vAlign w:val="bottom"/>
          </w:tcPr>
          <w:p>
            <w:pPr>
              <w:ind w:left="340"/>
              <w:spacing w:after="0"/>
              <w:rPr>
                <w:sz w:val="20"/>
                <w:szCs w:val="20"/>
                <w:color w:val="auto"/>
              </w:rPr>
            </w:pPr>
            <w:r>
              <w:rPr>
                <w:rFonts w:ascii="Arial" w:cs="Arial" w:eastAsia="Arial" w:hAnsi="Arial"/>
                <w:sz w:val="18"/>
                <w:szCs w:val="18"/>
                <w:color w:val="auto"/>
              </w:rPr>
              <w:t>Form of Preliminary Prospectus Supplement For Preferred Stock Offerings (1)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120" w:type="dxa"/>
            <w:vAlign w:val="bottom"/>
          </w:tcPr>
          <w:p>
            <w:pPr>
              <w:ind w:left="340"/>
              <w:spacing w:after="0"/>
              <w:rPr>
                <w:sz w:val="20"/>
                <w:szCs w:val="20"/>
                <w:color w:val="auto"/>
              </w:rPr>
            </w:pPr>
            <w:r>
              <w:rPr>
                <w:rFonts w:ascii="Arial" w:cs="Arial" w:eastAsia="Arial" w:hAnsi="Arial"/>
                <w:sz w:val="18"/>
                <w:szCs w:val="18"/>
                <w:color w:val="auto"/>
              </w:rPr>
              <w:t>Form of Preliminary Prospectus Supplement For Debt Securities Offerings (1)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10120" w:type="dxa"/>
            <w:vAlign w:val="bottom"/>
          </w:tcPr>
          <w:p>
            <w:pPr>
              <w:ind w:left="340"/>
              <w:spacing w:after="0"/>
              <w:rPr>
                <w:sz w:val="20"/>
                <w:szCs w:val="20"/>
                <w:color w:val="auto"/>
              </w:rPr>
            </w:pPr>
            <w:r>
              <w:rPr>
                <w:rFonts w:ascii="Arial" w:cs="Arial" w:eastAsia="Arial" w:hAnsi="Arial"/>
                <w:sz w:val="18"/>
                <w:szCs w:val="18"/>
                <w:color w:val="auto"/>
              </w:rPr>
              <w:t>Form of Preliminary Prospectus Supplement For Rights Offerings (1)</w:t>
            </w:r>
          </w:p>
        </w:tc>
      </w:tr>
      <w:tr>
        <w:trPr>
          <w:trHeight w:val="365"/>
        </w:trPr>
        <w:tc>
          <w:tcPr>
            <w:tcW w:w="720" w:type="dxa"/>
            <w:vAlign w:val="bottom"/>
          </w:tcPr>
          <w:p>
            <w:pPr>
              <w:spacing w:after="0"/>
              <w:rPr>
                <w:sz w:val="24"/>
                <w:szCs w:val="24"/>
                <w:color w:val="auto"/>
              </w:rPr>
            </w:pPr>
          </w:p>
        </w:tc>
        <w:tc>
          <w:tcPr>
            <w:tcW w:w="10120" w:type="dxa"/>
            <w:vAlign w:val="bottom"/>
          </w:tcPr>
          <w:p>
            <w:pPr>
              <w:ind w:left="4860"/>
              <w:spacing w:after="0"/>
              <w:rPr>
                <w:sz w:val="20"/>
                <w:szCs w:val="20"/>
                <w:color w:val="auto"/>
              </w:rPr>
            </w:pPr>
            <w:r>
              <w:rPr>
                <w:rFonts w:ascii="Arial" w:cs="Arial" w:eastAsia="Arial" w:hAnsi="Arial"/>
                <w:sz w:val="18"/>
                <w:szCs w:val="18"/>
                <w:color w:val="auto"/>
              </w:rPr>
              <w:t>C-3</w:t>
            </w:r>
          </w:p>
        </w:tc>
      </w:tr>
    </w:tbl>
    <w:p>
      <w:pPr>
        <w:sectPr>
          <w:pgSz w:w="11900" w:h="16838" w:orient="portrait"/>
          <w:cols w:equalWidth="0" w:num="1">
            <w:col w:w="11340"/>
          </w:cols>
          <w:pgMar w:left="240" w:top="382" w:right="319" w:bottom="1440" w:gutter="0" w:footer="0" w:header="0"/>
        </w:sectPr>
      </w:pPr>
    </w:p>
    <w:bookmarkStart w:id="5" w:name="page6"/>
    <w:bookmarkEnd w:id="5"/>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99.5</w:t>
      </w:r>
      <w:r>
        <w:rPr>
          <w:sz w:val="20"/>
          <w:szCs w:val="20"/>
          <w:color w:val="auto"/>
        </w:rPr>
        <w:tab/>
      </w:r>
      <w:r>
        <w:rPr>
          <w:rFonts w:ascii="Arial" w:cs="Arial" w:eastAsia="Arial" w:hAnsi="Arial"/>
          <w:sz w:val="16"/>
          <w:szCs w:val="16"/>
          <w:color w:val="auto"/>
        </w:rPr>
        <w:t>Form of Preliminary Prospectus Supplement For Warrant Offerings (1)</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754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60" w:type="dxa"/>
            <w:vAlign w:val="bottom"/>
            <w:vMerge w:val="restart"/>
          </w:tcPr>
          <w:p>
            <w:pPr>
              <w:spacing w:after="0"/>
              <w:rPr>
                <w:sz w:val="10"/>
                <w:szCs w:val="10"/>
                <w:color w:val="auto"/>
              </w:rPr>
            </w:pPr>
          </w:p>
        </w:tc>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164,736.61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192,351.64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85,575.00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17,336.75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1,000,000.00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7, 2014.</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3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$0.01 par value</w:t>
            </w:r>
          </w:p>
        </w:tc>
        <w:tc>
          <w:tcPr>
            <w:tcW w:w="18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7"/>
                <w:szCs w:val="17"/>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 Indemnification</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60"/>
          </w:cols>
          <w:pgMar w:left="240" w:top="382"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us the expenses incurred in defending or otherwise participating in any proceeding in advance of its final disposition.</w:t>
      </w:r>
    </w:p>
    <w:p>
      <w:pPr>
        <w:spacing w:after="0" w:line="22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Delaware General Corporation Law. A form of indemnification agreement has been filed as an exhibit to this Registration Statement.</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right="20" w:hanging="446"/>
        <w:spacing w:after="0" w:line="27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20" w:right="20" w:hanging="440"/>
        <w:spacing w:after="0" w:line="264"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920" w:right="100" w:hanging="440"/>
        <w:spacing w:after="0" w:line="277"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270" w:right="259" w:bottom="1440" w:gutter="0" w:footer="0" w:header="0"/>
        </w:sectPr>
      </w:pPr>
    </w:p>
    <w:bookmarkStart w:id="8" w:name="page9"/>
    <w:bookmarkEnd w:id="8"/>
    <w:p>
      <w:pPr>
        <w:ind w:left="1026" w:right="160" w:hanging="567"/>
        <w:spacing w:after="0" w:line="264"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026" w:right="280" w:hanging="567"/>
        <w:spacing w:after="0" w:line="277"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026" w:right="100" w:hanging="567"/>
        <w:spacing w:after="0" w:line="290" w:lineRule="auto"/>
        <w:tabs>
          <w:tab w:leader="none" w:pos="1026"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supercede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1026" w:hanging="567"/>
        <w:spacing w:after="0" w:line="279" w:lineRule="auto"/>
        <w:tabs>
          <w:tab w:leader="none" w:pos="1026"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466" w:right="600" w:hanging="440"/>
        <w:spacing w:after="0" w:line="277" w:lineRule="auto"/>
        <w:tabs>
          <w:tab w:leader="none" w:pos="1466"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66" w:right="700" w:hanging="440"/>
        <w:spacing w:after="0" w:line="277" w:lineRule="auto"/>
        <w:tabs>
          <w:tab w:leader="none" w:pos="1466"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026" w:right="80" w:hanging="567"/>
        <w:spacing w:after="0" w:line="312" w:lineRule="auto"/>
        <w:tabs>
          <w:tab w:leader="none" w:pos="1026" w:val="left"/>
        </w:tabs>
        <w:numPr>
          <w:ilvl w:val="1"/>
          <w:numId w:val="11"/>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52" w:lineRule="exact"/>
        <w:rPr>
          <w:rFonts w:ascii="Arial" w:cs="Arial" w:eastAsia="Arial" w:hAnsi="Arial"/>
          <w:sz w:val="16"/>
          <w:szCs w:val="16"/>
          <w:color w:val="auto"/>
        </w:rPr>
      </w:pPr>
    </w:p>
    <w:p>
      <w:pPr>
        <w:ind w:left="1026" w:right="20" w:hanging="567"/>
        <w:spacing w:after="0" w:line="264" w:lineRule="auto"/>
        <w:tabs>
          <w:tab w:leader="none" w:pos="10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46" w:right="42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446" w:right="80" w:hanging="446"/>
        <w:spacing w:after="0" w:line="264"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respect of any one or more offerings by us of shares of our common stock (including subscription rights to purchase shares of common stock) below net asset value as of the date of the commencement of such offering.</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0946"/>
          </w:cols>
          <w:pgMar w:left="694" w:top="274"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1 to the Registration Statement on Form N-2 to be signed on its behalf by the undersigned, thereunto duly authorized, in the City of New York, and the State of New York on the 11th day of August, 2014.</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98"/>
        </w:trPr>
        <w:tc>
          <w:tcPr>
            <w:tcW w:w="520" w:type="dxa"/>
            <w:vAlign w:val="bottom"/>
          </w:tcPr>
          <w:p>
            <w:pPr>
              <w:spacing w:after="0"/>
              <w:rPr>
                <w:sz w:val="24"/>
                <w:szCs w:val="24"/>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/s/ Michael Fishman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and Director (Principal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August 11, 2014</w:t>
            </w:r>
          </w:p>
        </w:tc>
      </w:tr>
      <w:tr>
        <w:trPr>
          <w:trHeight w:val="230"/>
        </w:trPr>
        <w:tc>
          <w:tcPr>
            <w:tcW w:w="5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100" w:type="dxa"/>
            <w:vAlign w:val="bottom"/>
          </w:tcPr>
          <w:p>
            <w:pPr>
              <w:spacing w:after="0"/>
              <w:rPr>
                <w:sz w:val="20"/>
                <w:szCs w:val="20"/>
                <w:color w:val="auto"/>
              </w:rPr>
            </w:pP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Director and Chairman</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August 11,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of the Board of Directors</w:t>
            </w: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August 11,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Alan Kirshenbaum</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 and Chairman of the Audit Committee</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August 11,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August 11,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August 11, 2014</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Ronald K. Tanemura</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58"/>
        </w:trPr>
        <w:tc>
          <w:tcPr>
            <w:tcW w:w="5080" w:type="dxa"/>
            <w:vAlign w:val="bottom"/>
            <w:gridSpan w:val="3"/>
          </w:tcPr>
          <w:p>
            <w:pPr>
              <w:spacing w:after="0"/>
              <w:rPr>
                <w:sz w:val="20"/>
                <w:szCs w:val="20"/>
                <w:color w:val="auto"/>
              </w:rPr>
            </w:pPr>
            <w:r>
              <w:rPr>
                <w:rFonts w:ascii="Arial" w:cs="Arial" w:eastAsia="Arial" w:hAnsi="Arial"/>
                <w:sz w:val="18"/>
                <w:szCs w:val="18"/>
                <w:color w:val="auto"/>
              </w:rPr>
              <w:t>*By:  /s/ Michael Fishman</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Fishman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(h)(3)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5,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stockholders of TPG Specialty Lending, Inc., a Delaware corporation (the “Company”), named in Schedule 2 hereto (the “Selling Stockholders”) propose, subject to the terms and conditions stated herein, to sell to the several Underwriters listed in Schedule 1 hereto (the “Underwriters”), for whom you are acting as representatives (the “Representatives”), an aggregate of 5,000,000 shares of common stock, par value $0.01 per share, of the Company (the “Underwritten Shares”) and, at the option of the Underwriters, up to an additional 750,000 shares of common stock, par value $0.01 per share of the Company (the “Option Shares”). The Underwritten Shares and the Option Shares are herein referred to as the “Shares.” The shares of common stock, par value $0.01 per share, of the Company to be outstanding after giving effect to the sale of the Shares are referred to herein as the “Stock.”</w:t>
      </w:r>
    </w:p>
    <w:p>
      <w:pPr>
        <w:sectPr>
          <w:pgSz w:w="11900" w:h="16838" w:orient="portrait"/>
          <w:cols w:equalWidth="0" w:num="1">
            <w:col w:w="11420"/>
          </w:cols>
          <w:pgMar w:left="240" w:top="121" w:right="239" w:bottom="1440" w:gutter="0" w:footer="0" w:header="0"/>
        </w:sectPr>
      </w:pPr>
    </w:p>
    <w:bookmarkStart w:id="11" w:name="page12"/>
    <w:bookmarkEnd w:id="11"/>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each of the Selling Stockholders hereby confirm their respective agreements with the several Underwriters concerning the purchase and sale of the Shares, as follows:</w:t>
      </w:r>
    </w:p>
    <w:p>
      <w:pPr>
        <w:spacing w:after="0" w:line="62" w:lineRule="exact"/>
        <w:rPr>
          <w:sz w:val="20"/>
          <w:szCs w:val="20"/>
          <w:color w:val="auto"/>
        </w:rPr>
      </w:pPr>
    </w:p>
    <w:p>
      <w:pPr>
        <w:ind w:firstLine="464"/>
        <w:spacing w:after="0" w:line="268"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333-196969), relating to the Shares, which registration statement was declared effective on August 1, 2014 by the Commission. The Company has also filed with the Commission a preliminary prospectus supplement, dated August 5, 2014, as such prospectus may be amended, which contains a base prospectus, dated August 1, 2014 (the “Base Prospectus” and, collectively, the “Preliminary Prospectus”). Promptly after execution and delivery of this Agreement, the Company will prepare and file a prospectus in accordance with the provisions of Rule 430C (“Rule 430C”) of the rules and regulations of the 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Shares,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7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of 1940 filed pursuant to Section 54(a) of the Investment Company Act (File No. 814-00854) (the “Notification of Election”) was filed under the Investment Company Act with the Commission on April 15, 2011.</w:t>
      </w:r>
    </w:p>
    <w:p>
      <w:pPr>
        <w:spacing w:after="0" w:line="64"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13,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also entered into an Administration Agreement, dated as of March 15, 2011 (the “Administration Agreement”) with the Adviser.</w:t>
      </w:r>
    </w:p>
    <w:p>
      <w:pPr>
        <w:spacing w:after="0" w:line="129"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Preliminary Prospectus, which together with the pricing information set forth on Annex A, comprises the “Pricing Disclosure Package.”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Time” means 6:15 P.M., New York City time, on August 5, 2014.</w:t>
      </w:r>
    </w:p>
    <w:p>
      <w:pPr>
        <w:spacing w:after="0" w:line="117"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Purchase of the Shares by the Underwriters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443"/>
        <w:spacing w:after="0" w:line="302" w:lineRule="auto"/>
        <w:tabs>
          <w:tab w:leader="none" w:pos="932" w:val="left"/>
        </w:tabs>
        <w:numPr>
          <w:ilvl w:val="1"/>
          <w:numId w:val="13"/>
        </w:numPr>
        <w:rPr>
          <w:rFonts w:ascii="Arial" w:cs="Arial" w:eastAsia="Arial" w:hAnsi="Arial"/>
          <w:sz w:val="16"/>
          <w:szCs w:val="16"/>
          <w:color w:val="auto"/>
        </w:rPr>
      </w:pPr>
      <w:r>
        <w:rPr>
          <w:rFonts w:ascii="Arial" w:cs="Arial" w:eastAsia="Arial" w:hAnsi="Arial"/>
          <w:sz w:val="16"/>
          <w:szCs w:val="16"/>
          <w:color w:val="auto"/>
        </w:rPr>
        <w:t>Each Selling Stockholder, severally and not jointly,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from the Selling Stockholders, the proportion of Shares set forth in Schedule 2, the respective number of Underwritten Shares set forth opposite such Underwriter’s name in Schedule 1 hereto at a price per share (the “Purchase Price”) of $18.0711.</w:t>
      </w:r>
    </w:p>
    <w:p>
      <w:pPr>
        <w:spacing w:after="0" w:line="4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addition, the Selling Stockholders agree, severally and not jointly,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Selling Stockholders the Option Shares at the Purchase Price less an amount per share equal to any dividends or distributions declared by the Company and payable on the Underwritten Shares but not payable on the Option Shares.</w:t>
      </w:r>
    </w:p>
    <w:p>
      <w:pPr>
        <w:spacing w:after="0" w:line="46"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Selling Stockholders by the several Underwriters, subject, however, to such adjustments to eliminate any fractional Shares as the Representatives in their sole discretion shall make.</w:t>
      </w:r>
    </w:p>
    <w:p>
      <w:pPr>
        <w:spacing w:after="0" w:line="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Underwriters may exercise the option to purchase Option Shares at any time in whole, or from time to time in part, on or before the thirtieth day following the date of the Prospectus, by written notice from the Representatives to the Company and David Stiepleman and Jennifer Mello, who are acting as the Attorneys-in-Fact on behalf of the Selling Stockholders pursuant to the Power of Attorney (as defined below).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12 hereof). Any such notice shall be given at least three business days prior to the date and time of delivery specified therein.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 w:name="page14"/>
    <w:bookmarkEnd w:id="13"/>
    <w:p>
      <w:pPr>
        <w:ind w:left="240" w:right="40" w:firstLine="443"/>
        <w:spacing w:after="0" w:line="259" w:lineRule="auto"/>
        <w:tabs>
          <w:tab w:leader="none" w:pos="942"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each Selling Stockholder understands that the Underwriters intend to make a public offering of the Shares as soon after the effectiveness of this Agreement as in the judgment of the Representatives is advisable, and initially to offer the Shares on the terms set forth in the Prospectus. The Company and each Selling Stockholder acknowledge and agree that the Underwriters may offer and sell Shares to or through any affiliate of an Underwriter.</w:t>
      </w:r>
    </w:p>
    <w:p>
      <w:pPr>
        <w:spacing w:after="0" w:line="78" w:lineRule="exact"/>
        <w:rPr>
          <w:rFonts w:ascii="Arial" w:cs="Arial" w:eastAsia="Arial" w:hAnsi="Arial"/>
          <w:sz w:val="18"/>
          <w:szCs w:val="18"/>
          <w:color w:val="auto"/>
        </w:rPr>
      </w:pPr>
    </w:p>
    <w:p>
      <w:pPr>
        <w:ind w:left="240" w:right="20" w:firstLine="443"/>
        <w:spacing w:after="0" w:line="272" w:lineRule="auto"/>
        <w:tabs>
          <w:tab w:leader="none" w:pos="932"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Payment for the Shares shall be made by wire transfer in immediately available funds to the accounts specified by each Selling Stockholder to the Representatives, at the offices of Fried, Frank, Harris, Shriver &amp; Jacobson LLP, One New York Plaza, New York, NY 10004, at 10:00 A.M., New York City time, on August 11, 2014, or at such other time or place on the same or such other date, not later than the fifth business day thereafter, as the Representatives and the Company and the Selling Stockholders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with any transfer taxes payable in connection with the sale of such Shares duly paid by the Selling Stockholders. Delivery of the Shares shall be made through the facilities of The Depository Trust Company (“DTC”) unless the Representatives shall otherwise instruct.</w:t>
      </w:r>
    </w:p>
    <w:p>
      <w:pPr>
        <w:spacing w:after="0" w:line="79" w:lineRule="exact"/>
        <w:rPr>
          <w:sz w:val="20"/>
          <w:szCs w:val="20"/>
          <w:color w:val="auto"/>
        </w:rPr>
      </w:pPr>
    </w:p>
    <w:p>
      <w:pPr>
        <w:ind w:left="240" w:firstLine="443"/>
        <w:spacing w:after="0" w:line="289" w:lineRule="auto"/>
        <w:tabs>
          <w:tab w:leader="none" w:pos="9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and each Selling Stockholder acknowledge and agree that the Underwriters are acting solely in the capacity of an arm’s-length contractual counterparty to the Company and the Selling Stockholders with respect to the offering of Shares contemplated hereby (including in connection with determining the terms of the offering) and not as a financial advisor or a fiduciary to, or an agent of, the Company, any of the Selling Stockholders or any other person. Additionally, neither the Representatives nor any other Underwriter is advising the Company, any of the Selling Stockholders or any other person as to any legal, tax, investment, accounting or regulatory matters in any jurisdiction. The Company and each Selling Stockholder shall consult with their own advisors concerning such matters and shall be responsible for making its own independent investigation and appraisal of the transactions contemplated hereby, and the Underwriters shall have no responsibility or liability to the Company or the Selling Stockholders with respect thereto. Any review by the Underwriters of the Company, the transactions contemplated hereby or other matters relating to such transactions will be performed solely for the benefit of the Underwriters and shall not be on behalf of the Company or the Selling Stockholders.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4" w:name="page15"/>
    <w:bookmarkEnd w:id="14"/>
    <w:p>
      <w:pPr>
        <w:ind w:left="404" w:hanging="176"/>
        <w:spacing w:after="0"/>
        <w:tabs>
          <w:tab w:leader="none" w:pos="40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117" w:lineRule="exact"/>
        <w:rPr>
          <w:rFonts w:ascii="Arial" w:cs="Arial" w:eastAsia="Arial" w:hAnsi="Arial"/>
          <w:sz w:val="18"/>
          <w:szCs w:val="18"/>
          <w:color w:val="auto"/>
        </w:rPr>
      </w:pPr>
    </w:p>
    <w:p>
      <w:pPr>
        <w:ind w:left="4" w:right="160" w:firstLine="443"/>
        <w:spacing w:after="0" w:line="254" w:lineRule="auto"/>
        <w:tabs>
          <w:tab w:leader="none" w:pos="695" w:val="left"/>
        </w:tabs>
        <w:numPr>
          <w:ilvl w:val="2"/>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the Preliminary Prospectus has been issued by the Commission,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Preliminary Prospectus included in the Pricing Disclosure Package, at the time of filing thereof, complied in all material respects with the Securities Act, and the Preliminary Prospectus, at the time of filing thereof, did not contain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9(b) hereof.</w:t>
      </w:r>
    </w:p>
    <w:p>
      <w:pPr>
        <w:spacing w:after="0" w:line="84" w:lineRule="exact"/>
        <w:rPr>
          <w:rFonts w:ascii="Arial" w:cs="Arial" w:eastAsia="Arial" w:hAnsi="Arial"/>
          <w:sz w:val="18"/>
          <w:szCs w:val="18"/>
          <w:color w:val="auto"/>
        </w:rPr>
      </w:pPr>
    </w:p>
    <w:p>
      <w:pPr>
        <w:ind w:left="4" w:right="60" w:firstLine="443"/>
        <w:spacing w:after="0" w:line="272" w:lineRule="auto"/>
        <w:tabs>
          <w:tab w:leader="none" w:pos="706" w:val="left"/>
        </w:tabs>
        <w:numPr>
          <w:ilvl w:val="2"/>
          <w:numId w:val="16"/>
        </w:numPr>
        <w:rPr>
          <w:rFonts w:ascii="Arial" w:cs="Arial" w:eastAsia="Arial" w:hAnsi="Arial"/>
          <w:sz w:val="17"/>
          <w:szCs w:val="17"/>
          <w:color w:val="auto"/>
        </w:rPr>
      </w:pPr>
      <w:r>
        <w:rPr>
          <w:rFonts w:ascii="Arial" w:cs="Arial" w:eastAsia="Arial" w:hAnsi="Arial"/>
          <w:sz w:val="17"/>
          <w:szCs w:val="17"/>
          <w:i w:val="1"/>
          <w:iCs w:val="1"/>
          <w:color w:val="auto"/>
        </w:rPr>
        <w:t>Pricing Disclosure Package</w:t>
      </w:r>
      <w:r>
        <w:rPr>
          <w:rFonts w:ascii="Arial" w:cs="Arial" w:eastAsia="Arial" w:hAnsi="Arial"/>
          <w:sz w:val="17"/>
          <w:szCs w:val="17"/>
          <w:color w:val="auto"/>
        </w:rPr>
        <w:t>. The Pricing Disclosure Package as of the Applicable Time did not, and the Pricing Disclosure Package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9(b) hereof.</w:t>
      </w:r>
    </w:p>
    <w:p>
      <w:pPr>
        <w:spacing w:after="0" w:line="69" w:lineRule="exact"/>
        <w:rPr>
          <w:rFonts w:ascii="Arial" w:cs="Arial" w:eastAsia="Arial" w:hAnsi="Arial"/>
          <w:sz w:val="17"/>
          <w:szCs w:val="17"/>
          <w:color w:val="auto"/>
        </w:rPr>
      </w:pPr>
    </w:p>
    <w:p>
      <w:pPr>
        <w:ind w:left="4" w:right="20" w:firstLine="443"/>
        <w:spacing w:after="0" w:line="291" w:lineRule="auto"/>
        <w:tabs>
          <w:tab w:leader="none" w:pos="695" w:val="left"/>
        </w:tabs>
        <w:numPr>
          <w:ilvl w:val="2"/>
          <w:numId w:val="16"/>
        </w:numPr>
        <w:rPr>
          <w:rFonts w:ascii="Arial" w:cs="Arial" w:eastAsia="Arial" w:hAnsi="Arial"/>
          <w:sz w:val="16"/>
          <w:szCs w:val="16"/>
          <w:color w:val="auto"/>
        </w:rPr>
      </w:pPr>
      <w:r>
        <w:rPr>
          <w:rFonts w:ascii="Arial" w:cs="Arial" w:eastAsia="Arial" w:hAnsi="Arial"/>
          <w:sz w:val="16"/>
          <w:szCs w:val="16"/>
          <w:i w:val="1"/>
          <w:iCs w:val="1"/>
          <w:color w:val="auto"/>
        </w:rPr>
        <w:t>Emerging Growth Company</w:t>
      </w:r>
      <w:r>
        <w:rPr>
          <w:rFonts w:ascii="Arial" w:cs="Arial" w:eastAsia="Arial" w:hAnsi="Arial"/>
          <w:sz w:val="16"/>
          <w:szCs w:val="16"/>
          <w:color w:val="auto"/>
        </w:rPr>
        <w:t>. From the time of initial confidential submission to the Commission of its registration statement on Form N-2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its initial public offering through the date hereof, the Company has been and is an “emerging growth company,” as defined in Section 2(a)</w:t>
      </w:r>
    </w:p>
    <w:p>
      <w:pPr>
        <w:ind w:left="344" w:hanging="344"/>
        <w:spacing w:after="0"/>
        <w:tabs>
          <w:tab w:leader="none" w:pos="3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the Securities Act (an “Emerging Growth Company”).</w:t>
      </w:r>
    </w:p>
    <w:p>
      <w:pPr>
        <w:spacing w:after="0" w:line="102" w:lineRule="exact"/>
        <w:rPr>
          <w:rFonts w:ascii="Arial" w:cs="Arial" w:eastAsia="Arial" w:hAnsi="Arial"/>
          <w:sz w:val="18"/>
          <w:szCs w:val="18"/>
          <w:color w:val="auto"/>
        </w:rPr>
      </w:pPr>
    </w:p>
    <w:p>
      <w:pPr>
        <w:ind w:left="4" w:right="140" w:firstLine="443"/>
        <w:spacing w:after="0" w:line="257" w:lineRule="auto"/>
        <w:tabs>
          <w:tab w:leader="none" w:pos="706" w:val="left"/>
        </w:tabs>
        <w:numPr>
          <w:ilvl w:val="2"/>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Testing-the-Waters Materials. </w:t>
      </w:r>
      <w:r>
        <w:rPr>
          <w:rFonts w:ascii="Arial" w:cs="Arial" w:eastAsia="Arial" w:hAnsi="Arial"/>
          <w:sz w:val="18"/>
          <w:szCs w:val="18"/>
          <w:color w:val="auto"/>
        </w:rPr>
        <w:t>The Company (i) has not alone engaged in any Testing-the-Waters Communications and (ii) has not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anyone to engage in Testing-the-Waters Communications. “Testing-the-Waters Communication” means any oral or written communication with potential investors undertaken in reliance on Section 5(d) of the Securities Act. The Company has not distributed or approved for distribution any Written Testing-the-Waters Communications. “Written Testing-the-Waters Communication” means any Testing-the-Waters Communication that is a written communication within the meaning of Rule 405 under the Securities Act.</w:t>
      </w:r>
    </w:p>
    <w:p>
      <w:pPr>
        <w:spacing w:after="0" w:line="80" w:lineRule="exact"/>
        <w:rPr>
          <w:rFonts w:ascii="Arial" w:cs="Arial" w:eastAsia="Arial" w:hAnsi="Arial"/>
          <w:sz w:val="18"/>
          <w:szCs w:val="18"/>
          <w:color w:val="auto"/>
        </w:rPr>
      </w:pPr>
    </w:p>
    <w:p>
      <w:pPr>
        <w:ind w:left="4" w:firstLine="443"/>
        <w:spacing w:after="0" w:line="255" w:lineRule="auto"/>
        <w:tabs>
          <w:tab w:leader="none" w:pos="695" w:val="left"/>
        </w:tabs>
        <w:numPr>
          <w:ilvl w:val="2"/>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and Prospectus. </w:t>
      </w:r>
      <w:r>
        <w:rPr>
          <w:rFonts w:ascii="Arial" w:cs="Arial" w:eastAsia="Arial" w:hAnsi="Arial"/>
          <w:sz w:val="18"/>
          <w:szCs w:val="18"/>
          <w:color w:val="auto"/>
        </w:rPr>
        <w:t>The Company is eligible to use Form N-2. The Registration Statement has been declared effective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and the Investment Company</w:t>
      </w:r>
    </w:p>
    <w:p>
      <w:pPr>
        <w:spacing w:after="0" w:line="126"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4"/>
          </w:cols>
          <w:pgMar w:left="476" w:top="274" w:right="259" w:bottom="1440" w:gutter="0" w:footer="0" w:header="0"/>
        </w:sectPr>
      </w:pPr>
    </w:p>
    <w:bookmarkStart w:id="15" w:name="page16"/>
    <w:bookmarkEnd w:id="15"/>
    <w:p>
      <w:pPr>
        <w:ind w:left="4"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9(b) hereof.</w:t>
      </w:r>
    </w:p>
    <w:p>
      <w:pPr>
        <w:spacing w:after="0" w:line="58" w:lineRule="exact"/>
        <w:rPr>
          <w:sz w:val="20"/>
          <w:szCs w:val="20"/>
          <w:color w:val="auto"/>
        </w:rPr>
      </w:pPr>
    </w:p>
    <w:p>
      <w:pPr>
        <w:ind w:left="4" w:right="20" w:firstLine="443"/>
        <w:spacing w:after="0" w:line="253" w:lineRule="auto"/>
        <w:tabs>
          <w:tab w:leader="none" w:pos="67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financial statements (including the related notes thereto) of the Company and its consolidated subsidiaries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89" w:lineRule="exact"/>
        <w:rPr>
          <w:rFonts w:ascii="Arial" w:cs="Arial" w:eastAsia="Arial" w:hAnsi="Arial"/>
          <w:sz w:val="18"/>
          <w:szCs w:val="18"/>
          <w:color w:val="auto"/>
        </w:rPr>
      </w:pPr>
    </w:p>
    <w:p>
      <w:pPr>
        <w:jc w:val="both"/>
        <w:ind w:left="4" w:right="260" w:firstLine="443"/>
        <w:spacing w:after="0" w:line="291" w:lineRule="auto"/>
        <w:tabs>
          <w:tab w:leader="none" w:pos="706"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left="4" w:hanging="4"/>
        <w:spacing w:after="0" w:line="287" w:lineRule="auto"/>
        <w:tabs>
          <w:tab w:leader="none" w:pos="21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99"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4"/>
          </w:cols>
          <w:pgMar w:left="476" w:top="274" w:right="259" w:bottom="1440" w:gutter="0" w:footer="0" w:header="0"/>
        </w:sectPr>
      </w:pPr>
    </w:p>
    <w:bookmarkStart w:id="16" w:name="page17"/>
    <w:bookmarkEnd w:id="16"/>
    <w:p>
      <w:pPr>
        <w:ind w:right="60" w:firstLine="443"/>
        <w:spacing w:after="0" w:line="253" w:lineRule="auto"/>
        <w:tabs>
          <w:tab w:leader="none" w:pos="70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Organization and Good Standing. </w:t>
      </w:r>
      <w:r>
        <w:rPr>
          <w:rFonts w:ascii="Arial" w:cs="Arial" w:eastAsia="Arial" w:hAnsi="Arial"/>
          <w:sz w:val="18"/>
          <w:szCs w:val="18"/>
          <w:color w:val="auto"/>
        </w:rPr>
        <w:t>The Company and each of its subsidiaries have been duly organized and are validly existing and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Investment Management Agreement and the Administration Agreement (a “Material Adverse Effect”). The subsidiaries listed in Schedule 3 to this Agreement are the only subsidiaries of the Company.</w:t>
      </w:r>
    </w:p>
    <w:p>
      <w:pPr>
        <w:spacing w:after="0" w:line="89" w:lineRule="exact"/>
        <w:rPr>
          <w:rFonts w:ascii="Arial" w:cs="Arial" w:eastAsia="Arial" w:hAnsi="Arial"/>
          <w:sz w:val="18"/>
          <w:szCs w:val="18"/>
          <w:color w:val="auto"/>
        </w:rPr>
      </w:pPr>
    </w:p>
    <w:p>
      <w:pPr>
        <w:ind w:firstLine="443"/>
        <w:spacing w:after="0" w:line="286" w:lineRule="auto"/>
        <w:tabs>
          <w:tab w:leader="none" w:pos="66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June 30, 2014, the Company had authorized and outstanding capital stock and material indebtedness as set forth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Pricing Disclosure Package and the Prospectus; all the outstanding shares of capital stock of the Company, including the Shares to be purchased by the Underwriters from the Selling Stockholders,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66" w:lineRule="exact"/>
        <w:rPr>
          <w:rFonts w:ascii="Arial" w:cs="Arial" w:eastAsia="Arial" w:hAnsi="Arial"/>
          <w:sz w:val="16"/>
          <w:szCs w:val="16"/>
          <w:color w:val="auto"/>
        </w:rPr>
      </w:pPr>
    </w:p>
    <w:p>
      <w:pPr>
        <w:ind w:left="660" w:hanging="2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480" w:top="274" w:right="259" w:bottom="1440" w:gutter="0" w:footer="0" w:header="0"/>
        </w:sectPr>
      </w:pPr>
    </w:p>
    <w:bookmarkStart w:id="17" w:name="page18"/>
    <w:bookmarkEnd w:id="17"/>
    <w:p>
      <w:pPr>
        <w:ind w:right="560" w:firstLine="443"/>
        <w:spacing w:after="0" w:line="276" w:lineRule="auto"/>
        <w:tabs>
          <w:tab w:leader="none" w:pos="702"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Due Authorization. </w:t>
      </w:r>
      <w:r>
        <w:rPr>
          <w:rFonts w:ascii="Arial" w:cs="Arial" w:eastAsia="Arial" w:hAnsi="Arial"/>
          <w:sz w:val="17"/>
          <w:szCs w:val="17"/>
          <w:color w:val="auto"/>
        </w:rPr>
        <w:t>The Company has corporate power and authority to execute and deliver this Agreement and at the applicable time had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and each of the Investment Management Agreement and the Administration Agreement and the consummation by it of the transactions contemplated hereby and thereby has been duly and validly taken.</w:t>
      </w:r>
    </w:p>
    <w:p>
      <w:pPr>
        <w:spacing w:after="0" w:line="64" w:lineRule="exact"/>
        <w:rPr>
          <w:rFonts w:ascii="Arial" w:cs="Arial" w:eastAsia="Arial" w:hAnsi="Arial"/>
          <w:sz w:val="17"/>
          <w:szCs w:val="17"/>
          <w:color w:val="auto"/>
        </w:rPr>
      </w:pPr>
    </w:p>
    <w:p>
      <w:pPr>
        <w:ind w:left="660" w:hanging="21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40" w:firstLine="443"/>
        <w:spacing w:after="0" w:line="259" w:lineRule="auto"/>
        <w:tabs>
          <w:tab w:leader="none" w:pos="75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the Administration Agreement. </w:t>
      </w:r>
      <w:r>
        <w:rPr>
          <w:rFonts w:ascii="Arial" w:cs="Arial" w:eastAsia="Arial" w:hAnsi="Arial"/>
          <w:sz w:val="18"/>
          <w:szCs w:val="18"/>
          <w:color w:val="auto"/>
        </w:rPr>
        <w:t>The Investment Management Agreement and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78" w:lineRule="exact"/>
        <w:rPr>
          <w:rFonts w:ascii="Arial" w:cs="Arial" w:eastAsia="Arial" w:hAnsi="Arial"/>
          <w:sz w:val="18"/>
          <w:szCs w:val="18"/>
          <w:color w:val="auto"/>
        </w:rPr>
      </w:pPr>
    </w:p>
    <w:p>
      <w:pPr>
        <w:ind w:right="80" w:firstLine="443"/>
        <w:spacing w:after="0" w:line="277" w:lineRule="auto"/>
        <w:tabs>
          <w:tab w:leader="none" w:pos="70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The Shares. </w:t>
      </w:r>
      <w:r>
        <w:rPr>
          <w:rFonts w:ascii="Arial" w:cs="Arial" w:eastAsia="Arial" w:hAnsi="Arial"/>
          <w:sz w:val="18"/>
          <w:szCs w:val="18"/>
          <w:color w:val="auto"/>
        </w:rPr>
        <w:t>The Shares conform in all material respects to the descriptions thereof in the Registration Statement, the Pricing Disclosure Package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Prospectus.</w:t>
      </w:r>
    </w:p>
    <w:p>
      <w:pPr>
        <w:spacing w:after="0" w:line="62" w:lineRule="exact"/>
        <w:rPr>
          <w:rFonts w:ascii="Arial" w:cs="Arial" w:eastAsia="Arial" w:hAnsi="Arial"/>
          <w:sz w:val="18"/>
          <w:szCs w:val="18"/>
          <w:color w:val="auto"/>
        </w:rPr>
      </w:pPr>
    </w:p>
    <w:p>
      <w:pPr>
        <w:ind w:right="440" w:firstLine="443"/>
        <w:spacing w:after="0" w:line="264" w:lineRule="auto"/>
        <w:tabs>
          <w:tab w:leader="none" w:pos="70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73" w:lineRule="exact"/>
        <w:rPr>
          <w:rFonts w:ascii="Arial" w:cs="Arial" w:eastAsia="Arial" w:hAnsi="Arial"/>
          <w:sz w:val="18"/>
          <w:szCs w:val="18"/>
          <w:color w:val="auto"/>
        </w:rPr>
      </w:pPr>
    </w:p>
    <w:p>
      <w:pPr>
        <w:ind w:right="40" w:firstLine="443"/>
        <w:spacing w:after="0" w:line="271" w:lineRule="auto"/>
        <w:tabs>
          <w:tab w:leader="none" w:pos="702"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0" w:lineRule="exact"/>
        <w:rPr>
          <w:rFonts w:ascii="Arial" w:cs="Arial" w:eastAsia="Arial" w:hAnsi="Arial"/>
          <w:sz w:val="17"/>
          <w:szCs w:val="17"/>
          <w:color w:val="auto"/>
        </w:rPr>
      </w:pPr>
    </w:p>
    <w:p>
      <w:pPr>
        <w:ind w:firstLine="443"/>
        <w:spacing w:after="0" w:line="255" w:lineRule="auto"/>
        <w:tabs>
          <w:tab w:leader="none" w:pos="70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t>
      </w:r>
      <w:r>
        <w:rPr>
          <w:rFonts w:ascii="Arial" w:cs="Arial" w:eastAsia="Arial" w:hAnsi="Arial"/>
          <w:sz w:val="18"/>
          <w:szCs w:val="18"/>
          <w:color w:val="auto"/>
        </w:rPr>
        <w:t>The execution, delivery and performance by the Company of this Agreement, the sale of the Shares and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contemplated by this Agreement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w:t>
      </w:r>
    </w:p>
    <w:p>
      <w:pPr>
        <w:spacing w:after="0" w:line="12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480" w:top="274" w:right="239" w:bottom="1440" w:gutter="0" w:footer="0" w:header="0"/>
        </w:sectPr>
      </w:pPr>
    </w:p>
    <w:bookmarkStart w:id="18" w:name="page19"/>
    <w:bookmarkEnd w:id="18"/>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64" w:lineRule="exact"/>
        <w:rPr>
          <w:sz w:val="20"/>
          <w:szCs w:val="20"/>
          <w:color w:val="auto"/>
        </w:rPr>
      </w:pPr>
    </w:p>
    <w:p>
      <w:pPr>
        <w:ind w:firstLine="443"/>
        <w:spacing w:after="0" w:line="270" w:lineRule="auto"/>
        <w:tabs>
          <w:tab w:leader="none" w:pos="672"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license,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this Agreement, the sale of the Shares by the Selling Stockholders and the consummation of the transactions contemplated by this Agreement or the performance by the Company of the Investment Management Agreement and the Administration Agreement, except for (i) the registration of the Shares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the New York Stock Exchange or under applicable state securities laws in connection with the purchase and distribution of the Shares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73" w:lineRule="exact"/>
        <w:rPr>
          <w:rFonts w:ascii="Arial" w:cs="Arial" w:eastAsia="Arial" w:hAnsi="Arial"/>
          <w:sz w:val="17"/>
          <w:szCs w:val="17"/>
          <w:color w:val="auto"/>
        </w:rPr>
      </w:pPr>
    </w:p>
    <w:p>
      <w:pPr>
        <w:ind w:right="60" w:firstLine="443"/>
        <w:spacing w:after="0" w:line="269" w:lineRule="auto"/>
        <w:tabs>
          <w:tab w:leader="none" w:pos="682"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74" w:lineRule="exact"/>
        <w:rPr>
          <w:rFonts w:ascii="Arial" w:cs="Arial" w:eastAsia="Arial" w:hAnsi="Arial"/>
          <w:sz w:val="17"/>
          <w:szCs w:val="17"/>
          <w:color w:val="auto"/>
        </w:rPr>
      </w:pPr>
    </w:p>
    <w:p>
      <w:pPr>
        <w:ind w:right="20" w:firstLine="443"/>
        <w:spacing w:after="0" w:line="259" w:lineRule="auto"/>
        <w:tabs>
          <w:tab w:leader="none" w:pos="66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1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480" w:top="274" w:right="239" w:bottom="1440" w:gutter="0" w:footer="0" w:header="0"/>
        </w:sectPr>
      </w:pPr>
    </w:p>
    <w:bookmarkStart w:id="19" w:name="page20"/>
    <w:bookmarkEnd w:id="19"/>
    <w:p>
      <w:pPr>
        <w:ind w:left="4" w:right="40" w:firstLine="443"/>
        <w:spacing w:after="0" w:line="271" w:lineRule="auto"/>
        <w:tabs>
          <w:tab w:leader="none" w:pos="706"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Shares, as of the Closing Date and as of any Additional Closing Date, the operations of the Company are in compliance in all material respects with the provisions of the Investment Company Act applicable to business development companies.</w:t>
      </w:r>
    </w:p>
    <w:p>
      <w:pPr>
        <w:spacing w:after="0" w:line="70" w:lineRule="exact"/>
        <w:rPr>
          <w:rFonts w:ascii="Arial" w:cs="Arial" w:eastAsia="Arial" w:hAnsi="Arial"/>
          <w:sz w:val="17"/>
          <w:szCs w:val="17"/>
          <w:color w:val="auto"/>
        </w:rPr>
      </w:pPr>
    </w:p>
    <w:p>
      <w:pPr>
        <w:ind w:left="4" w:right="100" w:firstLine="443"/>
        <w:spacing w:after="0" w:line="264" w:lineRule="auto"/>
        <w:tabs>
          <w:tab w:leader="none" w:pos="706"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 KPMG LLP, who have certified certain financial statements of the Company and its subsidiaries, is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73" w:lineRule="exact"/>
        <w:rPr>
          <w:rFonts w:ascii="Arial" w:cs="Arial" w:eastAsia="Arial" w:hAnsi="Arial"/>
          <w:sz w:val="18"/>
          <w:szCs w:val="18"/>
          <w:color w:val="auto"/>
        </w:rPr>
      </w:pPr>
    </w:p>
    <w:p>
      <w:pPr>
        <w:ind w:left="4" w:firstLine="443"/>
        <w:spacing w:after="0" w:line="293" w:lineRule="auto"/>
        <w:tabs>
          <w:tab w:leader="none" w:pos="746"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3(x))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56" w:lineRule="exact"/>
        <w:rPr>
          <w:rFonts w:ascii="Arial" w:cs="Arial" w:eastAsia="Arial" w:hAnsi="Arial"/>
          <w:sz w:val="16"/>
          <w:szCs w:val="16"/>
          <w:color w:val="auto"/>
        </w:rPr>
      </w:pPr>
    </w:p>
    <w:p>
      <w:pPr>
        <w:ind w:left="704" w:hanging="257"/>
        <w:spacing w:after="0"/>
        <w:tabs>
          <w:tab w:leader="none" w:pos="704"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Except as would not reasonably be expected, individually or in the aggregate, to have a Material Adverse Effect,</w:t>
      </w:r>
    </w:p>
    <w:p>
      <w:pPr>
        <w:spacing w:after="0" w:line="46" w:lineRule="exact"/>
        <w:rPr>
          <w:rFonts w:ascii="Arial" w:cs="Arial" w:eastAsia="Arial" w:hAnsi="Arial"/>
          <w:sz w:val="16"/>
          <w:szCs w:val="16"/>
          <w:color w:val="auto"/>
        </w:rPr>
      </w:pPr>
    </w:p>
    <w:p>
      <w:pPr>
        <w:ind w:left="4" w:right="180" w:hanging="4"/>
        <w:spacing w:after="0" w:line="252"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25"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4"/>
          </w:cols>
          <w:pgMar w:left="476" w:top="274" w:right="239" w:bottom="1440" w:gutter="0" w:footer="0" w:header="0"/>
        </w:sectPr>
      </w:pPr>
    </w:p>
    <w:bookmarkStart w:id="20" w:name="page21"/>
    <w:bookmarkEnd w:id="20"/>
    <w:p>
      <w:pPr>
        <w:ind w:right="280" w:firstLine="443"/>
        <w:spacing w:after="0" w:line="259" w:lineRule="auto"/>
        <w:tabs>
          <w:tab w:leader="none" w:pos="70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Undisclosed Relationships</w:t>
      </w:r>
      <w:r>
        <w:rPr>
          <w:rFonts w:ascii="Arial" w:cs="Arial" w:eastAsia="Arial" w:hAnsi="Arial"/>
          <w:sz w:val="18"/>
          <w:szCs w:val="18"/>
          <w:color w:val="auto"/>
        </w:rPr>
        <w:t>. 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firstLine="443"/>
        <w:spacing w:after="0" w:line="276" w:lineRule="auto"/>
        <w:tabs>
          <w:tab w:leader="none" w:pos="692"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its subsidiaries are not, and, after giving effect to the offering and sale of the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64" w:lineRule="exact"/>
        <w:rPr>
          <w:sz w:val="20"/>
          <w:szCs w:val="20"/>
          <w:color w:val="auto"/>
        </w:rPr>
      </w:pPr>
    </w:p>
    <w:p>
      <w:pPr>
        <w:ind w:firstLine="443"/>
        <w:spacing w:after="0" w:line="273" w:lineRule="auto"/>
        <w:tabs>
          <w:tab w:leader="none" w:pos="772"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The Company and its subsidiaries have paid (or caused to be paid) all federal, state, local and foreign taxes required by law to be paid,</w:t>
      </w:r>
      <w:r>
        <w:rPr>
          <w:rFonts w:ascii="Arial" w:cs="Arial" w:eastAsia="Arial" w:hAnsi="Arial"/>
          <w:sz w:val="17"/>
          <w:szCs w:val="17"/>
          <w:i w:val="1"/>
          <w:iCs w:val="1"/>
          <w:color w:val="auto"/>
        </w:rPr>
        <w:t xml:space="preserve"> </w:t>
      </w:r>
      <w:r>
        <w:rPr>
          <w:rFonts w:ascii="Arial" w:cs="Arial" w:eastAsia="Arial" w:hAnsi="Arial"/>
          <w:sz w:val="17"/>
          <w:szCs w:val="17"/>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70" w:lineRule="exact"/>
        <w:rPr>
          <w:rFonts w:ascii="Arial" w:cs="Arial" w:eastAsia="Arial" w:hAnsi="Arial"/>
          <w:sz w:val="17"/>
          <w:szCs w:val="17"/>
          <w:color w:val="auto"/>
        </w:rPr>
      </w:pPr>
    </w:p>
    <w:p>
      <w:pPr>
        <w:ind w:right="120" w:firstLine="443"/>
        <w:spacing w:after="0" w:line="270" w:lineRule="auto"/>
        <w:tabs>
          <w:tab w:leader="none" w:pos="792"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73" w:lineRule="exact"/>
        <w:rPr>
          <w:rFonts w:ascii="Arial" w:cs="Arial" w:eastAsia="Arial" w:hAnsi="Arial"/>
          <w:sz w:val="17"/>
          <w:szCs w:val="17"/>
          <w:color w:val="auto"/>
        </w:rPr>
      </w:pPr>
    </w:p>
    <w:p>
      <w:pPr>
        <w:ind w:right="100" w:firstLine="443"/>
        <w:spacing w:after="0" w:line="312" w:lineRule="auto"/>
        <w:tabs>
          <w:tab w:leader="none" w:pos="772"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maintains an effective system of “disclosure controls and procedures” (as defined in Rule 13a-15(e)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w:t>
      </w:r>
    </w:p>
    <w:p>
      <w:pPr>
        <w:spacing w:after="0" w:line="7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480" w:top="274" w:right="239" w:bottom="1440" w:gutter="0" w:footer="0" w:header="0"/>
        </w:sectPr>
      </w:pPr>
    </w:p>
    <w:bookmarkStart w:id="21" w:name="page22"/>
    <w:bookmarkEnd w:id="21"/>
    <w:p>
      <w:pPr>
        <w:ind w:left="4"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57" w:lineRule="exact"/>
        <w:rPr>
          <w:sz w:val="20"/>
          <w:szCs w:val="20"/>
          <w:color w:val="auto"/>
        </w:rPr>
      </w:pPr>
    </w:p>
    <w:p>
      <w:pPr>
        <w:ind w:left="4" w:firstLine="443"/>
        <w:spacing w:after="0" w:line="283" w:lineRule="auto"/>
        <w:tabs>
          <w:tab w:leader="none" w:pos="796"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w:t>
      </w:r>
    </w:p>
    <w:p>
      <w:pPr>
        <w:spacing w:after="0" w:line="6" w:lineRule="exact"/>
        <w:rPr>
          <w:rFonts w:ascii="Arial" w:cs="Arial" w:eastAsia="Arial" w:hAnsi="Arial"/>
          <w:sz w:val="16"/>
          <w:szCs w:val="16"/>
          <w:color w:val="auto"/>
        </w:rPr>
      </w:pPr>
    </w:p>
    <w:p>
      <w:pPr>
        <w:ind w:left="4" w:right="100" w:hanging="4"/>
        <w:spacing w:after="0" w:line="287" w:lineRule="auto"/>
        <w:tabs>
          <w:tab w:leader="none" w:pos="3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2" w:lineRule="exact"/>
        <w:rPr>
          <w:rFonts w:ascii="Arial" w:cs="Arial" w:eastAsia="Arial" w:hAnsi="Arial"/>
          <w:sz w:val="16"/>
          <w:szCs w:val="16"/>
          <w:color w:val="auto"/>
        </w:rPr>
      </w:pPr>
    </w:p>
    <w:p>
      <w:pPr>
        <w:ind w:left="4" w:firstLine="443"/>
        <w:spacing w:after="0" w:line="272" w:lineRule="auto"/>
        <w:tabs>
          <w:tab w:leader="none" w:pos="775"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The Company and its subsidiaries have insurance covering their respective properties, operations, personnel and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10"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4"/>
          </w:cols>
          <w:pgMar w:left="476" w:top="274" w:right="259" w:bottom="1440" w:gutter="0" w:footer="0" w:header="0"/>
        </w:sectPr>
      </w:pPr>
    </w:p>
    <w:bookmarkStart w:id="22" w:name="page23"/>
    <w:bookmarkEnd w:id="22"/>
    <w:p>
      <w:pPr>
        <w:ind w:left="4" w:right="200" w:firstLine="443"/>
        <w:spacing w:after="0" w:line="284" w:lineRule="auto"/>
        <w:tabs>
          <w:tab w:leader="none" w:pos="732"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Unlawful Payments. </w:t>
      </w:r>
      <w:r>
        <w:rPr>
          <w:rFonts w:ascii="Arial" w:cs="Arial" w:eastAsia="Arial" w:hAnsi="Arial"/>
          <w:sz w:val="16"/>
          <w:szCs w:val="16"/>
          <w:color w:val="auto"/>
        </w:rPr>
        <w:t>Neither the Company nor any of its subsidiaries nor any director, officer, or employee of the Company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left="4" w:right="160" w:hanging="4"/>
        <w:spacing w:after="0" w:line="252" w:lineRule="auto"/>
        <w:tabs>
          <w:tab w:leader="none" w:pos="3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84" w:lineRule="exact"/>
        <w:rPr>
          <w:rFonts w:ascii="Arial" w:cs="Arial" w:eastAsia="Arial" w:hAnsi="Arial"/>
          <w:sz w:val="18"/>
          <w:szCs w:val="18"/>
          <w:color w:val="auto"/>
        </w:rPr>
      </w:pPr>
    </w:p>
    <w:p>
      <w:pPr>
        <w:ind w:left="4" w:right="100" w:firstLine="443"/>
        <w:spacing w:after="0" w:line="291" w:lineRule="auto"/>
        <w:tabs>
          <w:tab w:leader="none" w:pos="796"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Company and its subsidiaries are and have been conducted at all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59" w:lineRule="exact"/>
        <w:rPr>
          <w:rFonts w:ascii="Arial" w:cs="Arial" w:eastAsia="Arial" w:hAnsi="Arial"/>
          <w:sz w:val="16"/>
          <w:szCs w:val="16"/>
          <w:color w:val="auto"/>
        </w:rPr>
      </w:pPr>
    </w:p>
    <w:p>
      <w:pPr>
        <w:ind w:left="4" w:firstLine="443"/>
        <w:spacing w:after="0" w:line="290" w:lineRule="auto"/>
        <w:tabs>
          <w:tab w:leader="none" w:pos="796"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Company nor any of its subsidiaries, directors, officers or employees, nor,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any of its subsidiaries located, organized or resident in a country or territory that is the subject or the target of Sanctions, including, without limitation, Cuba, Iran, North Korea, Sudan and Syria, that broadly prohibit dealings with that country or territory (each, a “Sanctioned Country”); and the Company will</w:t>
      </w:r>
    </w:p>
    <w:p>
      <w:pPr>
        <w:spacing w:after="0" w:line="99" w:lineRule="exact"/>
        <w:rPr>
          <w:sz w:val="20"/>
          <w:szCs w:val="20"/>
          <w:color w:val="auto"/>
        </w:rPr>
      </w:pPr>
    </w:p>
    <w:p>
      <w:pPr>
        <w:jc w:val="center"/>
        <w:ind w:right="15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4"/>
          </w:cols>
          <w:pgMar w:left="476" w:top="274" w:right="299" w:bottom="1440" w:gutter="0" w:footer="0" w:header="0"/>
        </w:sectPr>
      </w:pPr>
    </w:p>
    <w:bookmarkStart w:id="23" w:name="page24"/>
    <w:bookmarkEnd w:id="23"/>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directly or indirectly use the proceeds of the offering of the Shares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57" w:lineRule="exact"/>
        <w:rPr>
          <w:sz w:val="20"/>
          <w:szCs w:val="20"/>
          <w:color w:val="auto"/>
        </w:rPr>
      </w:pPr>
    </w:p>
    <w:p>
      <w:pPr>
        <w:ind w:right="60" w:firstLine="443"/>
        <w:spacing w:after="0" w:line="257" w:lineRule="auto"/>
        <w:tabs>
          <w:tab w:leader="none" w:pos="71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80" w:lineRule="exact"/>
        <w:rPr>
          <w:rFonts w:ascii="Arial" w:cs="Arial" w:eastAsia="Arial" w:hAnsi="Arial"/>
          <w:sz w:val="18"/>
          <w:szCs w:val="18"/>
          <w:color w:val="auto"/>
        </w:rPr>
      </w:pPr>
    </w:p>
    <w:p>
      <w:pPr>
        <w:jc w:val="both"/>
        <w:ind w:right="60" w:firstLine="443"/>
        <w:spacing w:after="0" w:line="264" w:lineRule="auto"/>
        <w:tabs>
          <w:tab w:leader="none" w:pos="71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this Agreement) that would give rise to a valid claim against the Company or any of its subsidiaries or any Underwriter for a brokerage commission, finder’s fee or like payment in connection with the offering and sale of the Shares.</w:t>
      </w:r>
    </w:p>
    <w:p>
      <w:pPr>
        <w:spacing w:after="0" w:line="73" w:lineRule="exact"/>
        <w:rPr>
          <w:rFonts w:ascii="Arial" w:cs="Arial" w:eastAsia="Arial" w:hAnsi="Arial"/>
          <w:sz w:val="18"/>
          <w:szCs w:val="18"/>
          <w:color w:val="auto"/>
        </w:rPr>
      </w:pPr>
    </w:p>
    <w:p>
      <w:pPr>
        <w:ind w:right="280" w:firstLine="443"/>
        <w:spacing w:after="0" w:line="308" w:lineRule="auto"/>
        <w:tabs>
          <w:tab w:leader="none" w:pos="792"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Shares.</w:t>
      </w:r>
    </w:p>
    <w:p>
      <w:pPr>
        <w:spacing w:after="0" w:line="38" w:lineRule="exact"/>
        <w:rPr>
          <w:rFonts w:ascii="Arial" w:cs="Arial" w:eastAsia="Arial" w:hAnsi="Arial"/>
          <w:sz w:val="17"/>
          <w:szCs w:val="17"/>
          <w:color w:val="auto"/>
        </w:rPr>
      </w:pPr>
    </w:p>
    <w:p>
      <w:pPr>
        <w:ind w:firstLine="443"/>
        <w:spacing w:after="0" w:line="264" w:lineRule="auto"/>
        <w:tabs>
          <w:tab w:leader="none" w:pos="71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set forth in Section 4(q) with respect to the Adviser, the Company has not taken, directly or indirectly, without giving</w:t>
      </w:r>
      <w:r>
        <w:rPr>
          <w:rFonts w:ascii="Arial" w:cs="Arial" w:eastAsia="Arial" w:hAnsi="Arial"/>
          <w:sz w:val="18"/>
          <w:szCs w:val="18"/>
          <w:i w:val="1"/>
          <w:iCs w:val="1"/>
          <w:color w:val="auto"/>
        </w:rPr>
        <w:t xml:space="preserve"> </w:t>
      </w:r>
      <w:r>
        <w:rPr>
          <w:rFonts w:ascii="Arial" w:cs="Arial" w:eastAsia="Arial" w:hAnsi="Arial"/>
          <w:sz w:val="18"/>
          <w:szCs w:val="18"/>
          <w:color w:val="auto"/>
        </w:rPr>
        <w:t>effect to any activities by the Underwriters, any action designed to or that would reasonably be expected to cause or result in any stabilization or manipulation of the price of the Shares.</w:t>
      </w:r>
    </w:p>
    <w:p>
      <w:pPr>
        <w:spacing w:after="0" w:line="73" w:lineRule="exact"/>
        <w:rPr>
          <w:rFonts w:ascii="Arial" w:cs="Arial" w:eastAsia="Arial" w:hAnsi="Arial"/>
          <w:sz w:val="18"/>
          <w:szCs w:val="18"/>
          <w:color w:val="auto"/>
        </w:rPr>
      </w:pPr>
    </w:p>
    <w:p>
      <w:pPr>
        <w:ind w:right="40" w:firstLine="443"/>
        <w:spacing w:after="0" w:line="264" w:lineRule="auto"/>
        <w:tabs>
          <w:tab w:leader="none" w:pos="89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20" w:firstLine="443"/>
        <w:spacing w:after="0" w:line="264" w:lineRule="auto"/>
        <w:tabs>
          <w:tab w:leader="none" w:pos="79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in the Registration Statement, the Pricing Disclosure Package and the Prospectus is not based on or derived from sources that are reasonably reliable and accurate in all material respects.</w:t>
      </w:r>
    </w:p>
    <w:p>
      <w:pPr>
        <w:spacing w:after="0" w:line="1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480" w:top="274" w:right="279" w:bottom="1440" w:gutter="0" w:footer="0" w:header="0"/>
        </w:sectPr>
      </w:pPr>
    </w:p>
    <w:bookmarkStart w:id="24" w:name="page25"/>
    <w:bookmarkEnd w:id="24"/>
    <w:p>
      <w:pPr>
        <w:ind w:left="4" w:firstLine="443"/>
        <w:spacing w:after="0" w:line="259" w:lineRule="auto"/>
        <w:tabs>
          <w:tab w:leader="none" w:pos="796" w:val="left"/>
        </w:tabs>
        <w:numPr>
          <w:ilvl w:val="2"/>
          <w:numId w:val="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Sarbanes-Oxley Act</w:t>
      </w:r>
      <w:r>
        <w:rPr>
          <w:rFonts w:ascii="Arial" w:cs="Arial" w:eastAsia="Arial" w:hAnsi="Arial"/>
          <w:sz w:val="18"/>
          <w:szCs w:val="18"/>
          <w:color w:val="auto"/>
        </w:rPr>
        <w:t>. To the extent applicable to the Company on the date hereof, there is and has been no failure on the part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left="4" w:right="80" w:firstLine="443"/>
        <w:spacing w:after="0" w:line="286" w:lineRule="auto"/>
        <w:tabs>
          <w:tab w:leader="none" w:pos="796" w:val="left"/>
        </w:tabs>
        <w:numPr>
          <w:ilvl w:val="2"/>
          <w:numId w:val="32"/>
        </w:numPr>
        <w:rPr>
          <w:rFonts w:ascii="Arial" w:cs="Arial" w:eastAsia="Arial" w:hAnsi="Arial"/>
          <w:sz w:val="17"/>
          <w:szCs w:val="17"/>
          <w:color w:val="auto"/>
        </w:rPr>
      </w:pPr>
      <w:r>
        <w:rPr>
          <w:rFonts w:ascii="Arial" w:cs="Arial" w:eastAsia="Arial" w:hAnsi="Arial"/>
          <w:sz w:val="17"/>
          <w:szCs w:val="17"/>
          <w:i w:val="1"/>
          <w:iCs w:val="1"/>
          <w:color w:val="auto"/>
        </w:rPr>
        <w:t>Rule 38a-1 Compliance</w:t>
      </w:r>
      <w:r>
        <w:rPr>
          <w:rFonts w:ascii="Arial" w:cs="Arial" w:eastAsia="Arial" w:hAnsi="Arial"/>
          <w:sz w:val="17"/>
          <w:szCs w:val="17"/>
          <w:color w:val="auto"/>
        </w:rPr>
        <w:t>. The Company has adopted and implemented written policies and procedures reasonably designed to prevent violation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57" w:lineRule="exact"/>
        <w:rPr>
          <w:rFonts w:ascii="Arial" w:cs="Arial" w:eastAsia="Arial" w:hAnsi="Arial"/>
          <w:sz w:val="17"/>
          <w:szCs w:val="17"/>
          <w:color w:val="auto"/>
        </w:rPr>
      </w:pPr>
    </w:p>
    <w:p>
      <w:pPr>
        <w:ind w:left="4" w:right="120" w:firstLine="443"/>
        <w:spacing w:after="0" w:line="259" w:lineRule="auto"/>
        <w:tabs>
          <w:tab w:leader="none" w:pos="796" w:val="left"/>
        </w:tabs>
        <w:numPr>
          <w:ilvl w:val="2"/>
          <w:numId w:val="32"/>
        </w:numPr>
        <w:rPr>
          <w:rFonts w:ascii="Arial" w:cs="Arial" w:eastAsia="Arial" w:hAnsi="Arial"/>
          <w:sz w:val="18"/>
          <w:szCs w:val="18"/>
          <w:color w:val="auto"/>
        </w:rPr>
      </w:pPr>
      <w:r>
        <w:rPr>
          <w:rFonts w:ascii="Arial" w:cs="Arial" w:eastAsia="Arial" w:hAnsi="Arial"/>
          <w:sz w:val="18"/>
          <w:szCs w:val="18"/>
          <w:i w:val="1"/>
          <w:iCs w:val="1"/>
          <w:color w:val="auto"/>
        </w:rPr>
        <w:t>Regulated Investment Company</w:t>
      </w:r>
      <w:r>
        <w:rPr>
          <w:rFonts w:ascii="Arial" w:cs="Arial" w:eastAsia="Arial" w:hAnsi="Arial"/>
          <w:sz w:val="18"/>
          <w:szCs w:val="18"/>
          <w:color w:val="auto"/>
        </w:rPr>
        <w:t>. The Company has elected to be treated, and has operated, and intends to continue to operate, its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manner so as to enable the Company to continue to qualify as a regulated investment company under Subchapter M of the Code. The Company intends to direct the investment of the proceeds of the offering of the Shares in such a manner as to comply with the requirements of Subchapter M of the Code.</w:t>
      </w:r>
    </w:p>
    <w:p>
      <w:pPr>
        <w:spacing w:after="0" w:line="78" w:lineRule="exact"/>
        <w:rPr>
          <w:rFonts w:ascii="Arial" w:cs="Arial" w:eastAsia="Arial" w:hAnsi="Arial"/>
          <w:sz w:val="18"/>
          <w:szCs w:val="18"/>
          <w:color w:val="auto"/>
        </w:rPr>
      </w:pPr>
    </w:p>
    <w:p>
      <w:pPr>
        <w:ind w:left="404" w:hanging="176"/>
        <w:spacing w:after="0"/>
        <w:tabs>
          <w:tab w:leader="none" w:pos="40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jc w:val="both"/>
        <w:ind w:left="4" w:right="240" w:firstLine="443"/>
        <w:spacing w:after="0" w:line="291" w:lineRule="auto"/>
        <w:tabs>
          <w:tab w:leader="none" w:pos="695" w:val="left"/>
        </w:tabs>
        <w:numPr>
          <w:ilvl w:val="2"/>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left="4" w:right="40" w:hanging="4"/>
        <w:spacing w:after="0" w:line="292" w:lineRule="auto"/>
        <w:tabs>
          <w:tab w:leader="none" w:pos="2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54" w:lineRule="exact"/>
        <w:rPr>
          <w:rFonts w:ascii="Arial" w:cs="Arial" w:eastAsia="Arial" w:hAnsi="Arial"/>
          <w:sz w:val="16"/>
          <w:szCs w:val="16"/>
          <w:color w:val="auto"/>
        </w:rPr>
      </w:pPr>
    </w:p>
    <w:p>
      <w:pPr>
        <w:ind w:left="4" w:right="160" w:firstLine="443"/>
        <w:spacing w:after="0" w:line="271" w:lineRule="auto"/>
        <w:tabs>
          <w:tab w:leader="none" w:pos="706" w:val="left"/>
        </w:tabs>
        <w:numPr>
          <w:ilvl w:val="2"/>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Adviser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111"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4"/>
          </w:cols>
          <w:pgMar w:left="476" w:top="274" w:right="279" w:bottom="1440" w:gutter="0" w:footer="0" w:header="0"/>
        </w:sectPr>
      </w:pPr>
    </w:p>
    <w:bookmarkStart w:id="25" w:name="page26"/>
    <w:bookmarkEnd w:id="25"/>
    <w:p>
      <w:pPr>
        <w:ind w:right="60" w:firstLine="443"/>
        <w:spacing w:after="0" w:line="276" w:lineRule="auto"/>
        <w:tabs>
          <w:tab w:leader="none" w:pos="692"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as an Investment Adviser</w:t>
      </w:r>
      <w:r>
        <w:rPr>
          <w:rFonts w:ascii="Arial" w:cs="Arial" w:eastAsia="Arial" w:hAnsi="Arial"/>
          <w:sz w:val="17"/>
          <w:szCs w:val="17"/>
          <w:color w:val="auto"/>
        </w:rPr>
        <w:t>. The Adviser is duly registered with the Commission as an investment adviser under the Advisers Act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right="100" w:firstLine="443"/>
        <w:spacing w:after="0" w:line="259" w:lineRule="auto"/>
        <w:tabs>
          <w:tab w:leader="none" w:pos="69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the Administration Agreement. </w:t>
      </w:r>
      <w:r>
        <w:rPr>
          <w:rFonts w:ascii="Arial" w:cs="Arial" w:eastAsia="Arial" w:hAnsi="Arial"/>
          <w:sz w:val="18"/>
          <w:szCs w:val="18"/>
          <w:color w:val="auto"/>
        </w:rPr>
        <w:t>The Investment Management Agreement and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78" w:lineRule="exact"/>
        <w:rPr>
          <w:rFonts w:ascii="Arial" w:cs="Arial" w:eastAsia="Arial" w:hAnsi="Arial"/>
          <w:sz w:val="18"/>
          <w:szCs w:val="18"/>
          <w:color w:val="auto"/>
        </w:rPr>
      </w:pPr>
    </w:p>
    <w:p>
      <w:pPr>
        <w:ind w:right="140" w:firstLine="443"/>
        <w:spacing w:after="0" w:line="271" w:lineRule="auto"/>
        <w:tabs>
          <w:tab w:leader="none" w:pos="672"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Adviser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70" w:lineRule="exact"/>
        <w:rPr>
          <w:rFonts w:ascii="Arial" w:cs="Arial" w:eastAsia="Arial" w:hAnsi="Arial"/>
          <w:sz w:val="17"/>
          <w:szCs w:val="17"/>
          <w:color w:val="auto"/>
        </w:rPr>
      </w:pPr>
    </w:p>
    <w:p>
      <w:pPr>
        <w:ind w:firstLine="443"/>
        <w:spacing w:after="0" w:line="270" w:lineRule="auto"/>
        <w:tabs>
          <w:tab w:leader="none" w:pos="702"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11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480" w:top="274" w:right="259" w:bottom="1440" w:gutter="0" w:footer="0" w:header="0"/>
        </w:sectPr>
      </w:pPr>
    </w:p>
    <w:bookmarkStart w:id="26" w:name="page27"/>
    <w:bookmarkEnd w:id="26"/>
    <w:p>
      <w:pPr>
        <w:ind w:right="160" w:firstLine="443"/>
        <w:spacing w:after="0" w:line="255" w:lineRule="auto"/>
        <w:tabs>
          <w:tab w:leader="none" w:pos="70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firstLine="443"/>
        <w:spacing w:after="0" w:line="289" w:lineRule="auto"/>
        <w:tabs>
          <w:tab w:leader="none" w:pos="662"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58" w:lineRule="exact"/>
        <w:rPr>
          <w:rFonts w:ascii="Arial" w:cs="Arial" w:eastAsia="Arial" w:hAnsi="Arial"/>
          <w:sz w:val="16"/>
          <w:szCs w:val="16"/>
          <w:color w:val="auto"/>
        </w:rPr>
      </w:pPr>
    </w:p>
    <w:p>
      <w:pPr>
        <w:ind w:right="80" w:firstLine="443"/>
        <w:spacing w:after="0" w:line="270" w:lineRule="auto"/>
        <w:tabs>
          <w:tab w:leader="none" w:pos="662"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Adviser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1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480" w:top="274" w:right="239" w:bottom="1440" w:gutter="0" w:footer="0" w:header="0"/>
        </w:sectPr>
      </w:pPr>
    </w:p>
    <w:bookmarkStart w:id="27" w:name="page28"/>
    <w:bookmarkEnd w:id="27"/>
    <w:p>
      <w:pPr>
        <w:ind w:left="4" w:right="380" w:firstLine="443"/>
        <w:spacing w:after="0" w:line="312" w:lineRule="auto"/>
        <w:tabs>
          <w:tab w:leader="none" w:pos="706"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the Adviser</w:t>
      </w:r>
      <w:r>
        <w:rPr>
          <w:rFonts w:ascii="Arial" w:cs="Arial" w:eastAsia="Arial" w:hAnsi="Arial"/>
          <w:sz w:val="16"/>
          <w:szCs w:val="16"/>
          <w:color w:val="auto"/>
        </w:rPr>
        <w:t>. The description of the Adviser and its respective principals and business in the Registration Statement,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38" w:lineRule="exact"/>
        <w:rPr>
          <w:rFonts w:ascii="Arial" w:cs="Arial" w:eastAsia="Arial" w:hAnsi="Arial"/>
          <w:sz w:val="16"/>
          <w:szCs w:val="16"/>
          <w:color w:val="auto"/>
        </w:rPr>
      </w:pPr>
    </w:p>
    <w:p>
      <w:pPr>
        <w:ind w:left="4" w:right="640" w:firstLine="443"/>
        <w:spacing w:after="0" w:line="264" w:lineRule="auto"/>
        <w:tabs>
          <w:tab w:leader="none" w:pos="666"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73" w:lineRule="exact"/>
        <w:rPr>
          <w:rFonts w:ascii="Arial" w:cs="Arial" w:eastAsia="Arial" w:hAnsi="Arial"/>
          <w:sz w:val="18"/>
          <w:szCs w:val="18"/>
          <w:color w:val="auto"/>
        </w:rPr>
      </w:pPr>
    </w:p>
    <w:p>
      <w:pPr>
        <w:ind w:left="4" w:firstLine="443"/>
        <w:spacing w:after="0" w:line="291" w:lineRule="auto"/>
        <w:tabs>
          <w:tab w:leader="none" w:pos="756"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Internal Controls</w:t>
      </w:r>
      <w:r>
        <w:rPr>
          <w:rFonts w:ascii="Arial" w:cs="Arial" w:eastAsia="Arial" w:hAnsi="Arial"/>
          <w:sz w:val="16"/>
          <w:szCs w:val="16"/>
          <w:color w:val="auto"/>
        </w:rPr>
        <w:t>. The Adviser maintains a system of internal accounting controls sufficient to provide reasonable assurance that (i)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59" w:lineRule="exact"/>
        <w:rPr>
          <w:rFonts w:ascii="Arial" w:cs="Arial" w:eastAsia="Arial" w:hAnsi="Arial"/>
          <w:sz w:val="16"/>
          <w:szCs w:val="16"/>
          <w:color w:val="auto"/>
        </w:rPr>
      </w:pPr>
    </w:p>
    <w:p>
      <w:pPr>
        <w:ind w:left="4" w:right="220" w:firstLine="443"/>
        <w:spacing w:after="0" w:line="284" w:lineRule="auto"/>
        <w:tabs>
          <w:tab w:leader="none" w:pos="706"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Adviser nor any of its subsidiaries nor any director, officer, or employee of the Adviser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left="4" w:right="100" w:hanging="4"/>
        <w:spacing w:after="0" w:line="254" w:lineRule="auto"/>
        <w:tabs>
          <w:tab w:leader="none" w:pos="3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81" w:lineRule="exact"/>
        <w:rPr>
          <w:rFonts w:ascii="Arial" w:cs="Arial" w:eastAsia="Arial" w:hAnsi="Arial"/>
          <w:sz w:val="18"/>
          <w:szCs w:val="18"/>
          <w:color w:val="auto"/>
        </w:rPr>
      </w:pPr>
    </w:p>
    <w:p>
      <w:pPr>
        <w:ind w:left="4" w:right="160" w:firstLine="443"/>
        <w:spacing w:after="0" w:line="276" w:lineRule="auto"/>
        <w:tabs>
          <w:tab w:leader="none" w:pos="706"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05"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4"/>
          </w:cols>
          <w:pgMar w:left="476" w:top="274" w:right="279" w:bottom="1440" w:gutter="0" w:footer="0" w:header="0"/>
        </w:sectPr>
      </w:pPr>
    </w:p>
    <w:bookmarkStart w:id="28" w:name="page29"/>
    <w:bookmarkEnd w:id="28"/>
    <w:p>
      <w:pPr>
        <w:ind w:left="180" w:right="100" w:firstLine="443"/>
        <w:spacing w:after="0" w:line="276" w:lineRule="auto"/>
        <w:tabs>
          <w:tab w:leader="none" w:pos="882"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Conflicts with Sanctions Laws. </w:t>
      </w:r>
      <w:r>
        <w:rPr>
          <w:rFonts w:ascii="Arial" w:cs="Arial" w:eastAsia="Arial" w:hAnsi="Arial"/>
          <w:sz w:val="17"/>
          <w:szCs w:val="17"/>
          <w:color w:val="auto"/>
        </w:rPr>
        <w:t>Neither the Adviser nor any of its subsidiaries, directors, officers or employees, nor, to the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64" w:lineRule="exact"/>
        <w:rPr>
          <w:rFonts w:ascii="Arial" w:cs="Arial" w:eastAsia="Arial" w:hAnsi="Arial"/>
          <w:sz w:val="17"/>
          <w:szCs w:val="17"/>
          <w:color w:val="auto"/>
        </w:rPr>
      </w:pPr>
    </w:p>
    <w:p>
      <w:pPr>
        <w:ind w:left="180" w:right="300" w:firstLine="443"/>
        <w:spacing w:after="0" w:line="264" w:lineRule="auto"/>
        <w:tabs>
          <w:tab w:leader="none" w:pos="882"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Adviser has not taken, directly or indirectly, without giving effect to any activities by the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Shares, other than permitted activity pursuant to Regulation M and Rule 10b-18 under the Exchange Act.</w:t>
      </w:r>
    </w:p>
    <w:p>
      <w:pPr>
        <w:spacing w:after="0" w:line="73" w:lineRule="exact"/>
        <w:rPr>
          <w:rFonts w:ascii="Arial" w:cs="Arial" w:eastAsia="Arial" w:hAnsi="Arial"/>
          <w:sz w:val="18"/>
          <w:szCs w:val="18"/>
          <w:color w:val="auto"/>
        </w:rPr>
      </w:pPr>
    </w:p>
    <w:p>
      <w:pPr>
        <w:jc w:val="both"/>
        <w:ind w:left="180" w:right="160" w:firstLine="443"/>
        <w:spacing w:after="0" w:line="279" w:lineRule="auto"/>
        <w:tabs>
          <w:tab w:leader="none" w:pos="852"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Key Employees. </w:t>
      </w:r>
      <w:r>
        <w:rPr>
          <w:rFonts w:ascii="Arial" w:cs="Arial" w:eastAsia="Arial" w:hAnsi="Arial"/>
          <w:sz w:val="17"/>
          <w:szCs w:val="17"/>
          <w:color w:val="auto"/>
        </w:rPr>
        <w:t>The Adviser is not aware that (i) any of its executives, key employees or significant group of employees plans to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63" w:lineRule="exact"/>
        <w:rPr>
          <w:rFonts w:ascii="Arial" w:cs="Arial" w:eastAsia="Arial" w:hAnsi="Arial"/>
          <w:sz w:val="17"/>
          <w:szCs w:val="17"/>
          <w:color w:val="auto"/>
        </w:rPr>
      </w:pPr>
    </w:p>
    <w:p>
      <w:pPr>
        <w:ind w:left="180" w:firstLine="443"/>
        <w:spacing w:after="0" w:line="259" w:lineRule="auto"/>
        <w:tabs>
          <w:tab w:leader="none" w:pos="862"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78" w:lineRule="exact"/>
        <w:rPr>
          <w:rFonts w:ascii="Arial" w:cs="Arial" w:eastAsia="Arial" w:hAnsi="Arial"/>
          <w:sz w:val="18"/>
          <w:szCs w:val="18"/>
          <w:color w:val="auto"/>
        </w:rPr>
      </w:pPr>
    </w:p>
    <w:p>
      <w:pPr>
        <w:ind w:left="-60" w:right="280" w:firstLine="464"/>
        <w:spacing w:after="0" w:line="277" w:lineRule="auto"/>
        <w:tabs>
          <w:tab w:leader="none" w:pos="57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by the Selling Stockholders</w:t>
      </w:r>
      <w:r>
        <w:rPr>
          <w:rFonts w:ascii="Arial" w:cs="Arial" w:eastAsia="Arial" w:hAnsi="Arial"/>
          <w:sz w:val="18"/>
          <w:szCs w:val="18"/>
          <w:color w:val="auto"/>
        </w:rPr>
        <w:t>. Each Selling Stockholder severally represents and warrants to, and agrees with each Underwriter that:</w:t>
      </w:r>
    </w:p>
    <w:p>
      <w:pPr>
        <w:spacing w:after="0" w:line="62" w:lineRule="exact"/>
        <w:rPr>
          <w:rFonts w:ascii="Arial" w:cs="Arial" w:eastAsia="Arial" w:hAnsi="Arial"/>
          <w:sz w:val="18"/>
          <w:szCs w:val="18"/>
          <w:color w:val="auto"/>
        </w:rPr>
      </w:pPr>
    </w:p>
    <w:p>
      <w:pPr>
        <w:ind w:left="180" w:right="20" w:firstLine="443"/>
        <w:spacing w:after="0" w:line="270" w:lineRule="auto"/>
        <w:tabs>
          <w:tab w:leader="none" w:pos="872"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and Prospectus. </w:t>
      </w:r>
      <w:r>
        <w:rPr>
          <w:rFonts w:ascii="Arial" w:cs="Arial" w:eastAsia="Arial" w:hAnsi="Arial"/>
          <w:sz w:val="17"/>
          <w:szCs w:val="17"/>
          <w:color w:val="auto"/>
        </w:rPr>
        <w:t>As of the applicable effective date of the Registration Statement and any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thereto, the Registration Statement and any such post-effective amendment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and any amendment or supplement thereto will not contain any untrue statement of a material fact or omit to state a material fact necessary in order to make the statements therein, in the light of the circumstances under which they were made, not misleading; provided that such representations and warranties set forth in this Section 5(a) apply only to statements or omissions made in reliance upon and in conformity with the information relating to such Selling Stockholder, furnished in writing by or on behalf of such Selling Stockholder expressly for use in the Registration Statement, the Pricing Disclosure Package or the Prospectus or any amendment or supplement thereto (the “Selling Stockholder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00" w:top="274" w:right="299" w:bottom="1440" w:gutter="0" w:footer="0" w:header="0"/>
        </w:sectPr>
      </w:pPr>
    </w:p>
    <w:bookmarkStart w:id="29" w:name="page30"/>
    <w:bookmarkEnd w:id="2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Each Underwriter, the Company and each Selling Stockholder agree that the Selling Stockholder Information consists solely of (i) the legal name of such Selling Stockholder, (ii) the applicable information for the relevant Selling Stockholder as contained in the table next to the name of such Selling Stockholder and any applicable related footnote all as set forth in “Selling Stockholders” in the Prospectus and (iii) the twenty-fifth paragraph in the section “Underwriting” in the Prospectus.</w:t>
      </w:r>
    </w:p>
    <w:p>
      <w:pPr>
        <w:spacing w:after="0" w:line="79" w:lineRule="exact"/>
        <w:rPr>
          <w:sz w:val="20"/>
          <w:szCs w:val="20"/>
          <w:color w:val="auto"/>
        </w:rPr>
      </w:pPr>
    </w:p>
    <w:p>
      <w:pPr>
        <w:ind w:right="40" w:firstLine="443"/>
        <w:spacing w:after="0" w:line="276" w:lineRule="auto"/>
        <w:tabs>
          <w:tab w:leader="none" w:pos="702"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Pricing Disclosure Package. </w:t>
      </w:r>
      <w:r>
        <w:rPr>
          <w:rFonts w:ascii="Arial" w:cs="Arial" w:eastAsia="Arial" w:hAnsi="Arial"/>
          <w:sz w:val="17"/>
          <w:szCs w:val="17"/>
          <w:color w:val="auto"/>
        </w:rPr>
        <w:t>The Pricing Disclosure Package as of the Applicable Time did not, and the Pricing Disclosure Package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with any amendment or supplement thereto) as of the Closing Date and as of any Additional Closing Date, as the case may be, will not, contain any untrue statement of a material fact or omit to state a material fact necessary in order to make the statements therein, in the light of the circumstances under which they were made, not misleading, provided that such representations and warranties set forth in this Section 5(b) apply only to statements or omissions made in reliance upon and in conformity with the Selling Stockholder Information.</w:t>
      </w:r>
    </w:p>
    <w:p>
      <w:pPr>
        <w:spacing w:after="0" w:line="64" w:lineRule="exact"/>
        <w:rPr>
          <w:rFonts w:ascii="Arial" w:cs="Arial" w:eastAsia="Arial" w:hAnsi="Arial"/>
          <w:sz w:val="17"/>
          <w:szCs w:val="17"/>
          <w:color w:val="auto"/>
        </w:rPr>
      </w:pPr>
    </w:p>
    <w:p>
      <w:pPr>
        <w:ind w:right="340" w:firstLine="443"/>
        <w:spacing w:after="0" w:line="286" w:lineRule="auto"/>
        <w:tabs>
          <w:tab w:leader="none" w:pos="692"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Material Information. </w:t>
      </w:r>
      <w:r>
        <w:rPr>
          <w:rFonts w:ascii="Arial" w:cs="Arial" w:eastAsia="Arial" w:hAnsi="Arial"/>
          <w:sz w:val="17"/>
          <w:szCs w:val="17"/>
          <w:color w:val="auto"/>
        </w:rPr>
        <w:t>As of the date hereof, as of the Closing Date and as of any Additional Closing Date, as the case may be, the sale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by each Selling Stockholder is not and will not be prompted by any material information known to the Selling Stockholder concerning the Company that is not set forth in the Registration Statement, the Pricing Disclosure Package or the Prospectus.</w:t>
      </w:r>
    </w:p>
    <w:p>
      <w:pPr>
        <w:spacing w:after="0" w:line="57" w:lineRule="exact"/>
        <w:rPr>
          <w:rFonts w:ascii="Arial" w:cs="Arial" w:eastAsia="Arial" w:hAnsi="Arial"/>
          <w:sz w:val="17"/>
          <w:szCs w:val="17"/>
          <w:color w:val="auto"/>
        </w:rPr>
      </w:pPr>
    </w:p>
    <w:p>
      <w:pPr>
        <w:ind w:left="700" w:hanging="257"/>
        <w:spacing w:after="0"/>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Underwriting Agreement. </w:t>
      </w:r>
      <w:r>
        <w:rPr>
          <w:rFonts w:ascii="Arial" w:cs="Arial" w:eastAsia="Arial" w:hAnsi="Arial"/>
          <w:sz w:val="17"/>
          <w:szCs w:val="17"/>
          <w:color w:val="auto"/>
        </w:rPr>
        <w:t>This Agreement has been duly authorized, executed and delivered by or on behalf of such Selling Stockholder.</w:t>
      </w:r>
    </w:p>
    <w:p>
      <w:pPr>
        <w:spacing w:after="0" w:line="128" w:lineRule="exact"/>
        <w:rPr>
          <w:rFonts w:ascii="Arial" w:cs="Arial" w:eastAsia="Arial" w:hAnsi="Arial"/>
          <w:sz w:val="17"/>
          <w:szCs w:val="17"/>
          <w:color w:val="auto"/>
        </w:rPr>
      </w:pPr>
    </w:p>
    <w:p>
      <w:pPr>
        <w:ind w:right="220" w:firstLine="443"/>
        <w:spacing w:after="0" w:line="342" w:lineRule="auto"/>
        <w:tabs>
          <w:tab w:leader="none" w:pos="69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of Power of Attorney. </w:t>
      </w:r>
      <w:r>
        <w:rPr>
          <w:rFonts w:ascii="Arial" w:cs="Arial" w:eastAsia="Arial" w:hAnsi="Arial"/>
          <w:sz w:val="16"/>
          <w:szCs w:val="16"/>
          <w:color w:val="auto"/>
        </w:rPr>
        <w:t>The Power of Attorney, in the form heretofore furnished to the Representatives (the “Power of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duly authorized, executed and delivered by such Selling Stockholder and is the valid and binding agreement of such Selling Stockholder.</w:t>
      </w:r>
    </w:p>
    <w:p>
      <w:pPr>
        <w:spacing w:after="0" w:line="15" w:lineRule="exact"/>
        <w:rPr>
          <w:rFonts w:ascii="Arial" w:cs="Arial" w:eastAsia="Arial" w:hAnsi="Arial"/>
          <w:sz w:val="16"/>
          <w:szCs w:val="16"/>
          <w:color w:val="auto"/>
        </w:rPr>
      </w:pPr>
    </w:p>
    <w:p>
      <w:pPr>
        <w:ind w:firstLine="443"/>
        <w:spacing w:after="0" w:line="269" w:lineRule="auto"/>
        <w:tabs>
          <w:tab w:leader="none" w:pos="672"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such Selling Stockholder of this Agreement and the Power of Attorney and the sale</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delivery of the Shares to be sold by such Selling Stockholder and the consummation of the transactions contemplated herein and compliance by such Selling Stockholder with its obligations hereunder do not and will not (i) conflict with or result in a breach or violation of any of the terms or provisions of, or constitute a default under, or result in the creation or imposition of any tax, lien, charge or encumbrance upon the Shares to be sold by such Selling Stockholder or any property or assets of such Selling Stockholder pursuant to any indenture, mortgage, deed of trust, loan agreement, license, or other agreement or instrument to which such Selling Stockholder is a party or by which such Selling Stockholder may be bound, or to which any of the property or assets of such Selling Stockholder is subject, (ii) result in any violation of the provisions of the charter or by-laws or similar organizational documents, of such Selling Stockholder, if applicable, or (iii) result in the violation of any law or statute applicable to such Selling Stockholder or any judgment, order, rule or regulation of any court or arbitrator or governmental or regulatory authority having jurisdiction over such Selling Stockholder or any of its properties, except in the case of clauses (i) and (iii) above, for any such conflict, breach, violation, default, lien, charge or encumbrance that would not, individually or in the aggregate, have a material adverse effect on the ability of such Selling Stockholder to consummate the transactions contemplated herein.</w:t>
      </w:r>
    </w:p>
    <w:p>
      <w:pPr>
        <w:spacing w:after="0" w:line="11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480" w:top="274" w:right="239" w:bottom="1440" w:gutter="0" w:footer="0" w:header="0"/>
        </w:sectPr>
      </w:pPr>
    </w:p>
    <w:bookmarkStart w:id="30" w:name="page31"/>
    <w:bookmarkEnd w:id="30"/>
    <w:p>
      <w:pPr>
        <w:jc w:val="both"/>
        <w:ind w:right="120" w:firstLine="443"/>
        <w:spacing w:after="0" w:line="259" w:lineRule="auto"/>
        <w:tabs>
          <w:tab w:leader="none" w:pos="702"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Ownership and Authority. </w:t>
      </w:r>
      <w:r>
        <w:rPr>
          <w:rFonts w:ascii="Arial" w:cs="Arial" w:eastAsia="Arial" w:hAnsi="Arial"/>
          <w:sz w:val="18"/>
          <w:szCs w:val="18"/>
          <w:color w:val="auto"/>
        </w:rPr>
        <w:t>The Selling Stockholder is the record and beneficial owner of the Shares, free and clear of all security interests, liens,</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encumbrances, equities or other claims and has the legal right and power, and all authorization and approval required by law, to enter into this Agreement and the Power of Attorney and to sell, transfer and deliver the Shares to be sold by such Selling Stockholder or a valid security entitlement in respect of such Shares.</w:t>
      </w:r>
    </w:p>
    <w:p>
      <w:pPr>
        <w:spacing w:after="0" w:line="78" w:lineRule="exact"/>
        <w:rPr>
          <w:rFonts w:ascii="Arial" w:cs="Arial" w:eastAsia="Arial" w:hAnsi="Arial"/>
          <w:sz w:val="18"/>
          <w:szCs w:val="18"/>
          <w:color w:val="auto"/>
        </w:rPr>
      </w:pPr>
    </w:p>
    <w:p>
      <w:pPr>
        <w:ind w:right="40" w:firstLine="443"/>
        <w:spacing w:after="0" w:line="285" w:lineRule="auto"/>
        <w:tabs>
          <w:tab w:leader="none" w:pos="702"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Delivery of Shares. </w:t>
      </w:r>
      <w:r>
        <w:rPr>
          <w:rFonts w:ascii="Arial" w:cs="Arial" w:eastAsia="Arial" w:hAnsi="Arial"/>
          <w:sz w:val="16"/>
          <w:szCs w:val="16"/>
          <w:color w:val="auto"/>
        </w:rPr>
        <w:t>Upon payment of the purchase price for the Shares to be sold by such Selling Stockholder pursuant to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such Shares, as directed by the Representatives, to Cede &amp; Co. (“Cede”) or such other nominee as may be designated by The Depository Trust Company (“DTC”) (unless delivery of such Shares is unnecessary because such Shares are already in possession of Cede or such nominee or otherwise already issued to Cede or such nominee), registration of such Shares in the name of Cede or such other nominee (unless registration of such Shares is unnecessary because such Shares are already registered in the name of Cede or such nominee), and the crediting of such Shares on the books of DTC to securities accounts (within the meaning of Section 8-501(a) of the UCC) of the Underwriters (assuming that neither DTC nor any such Underwriter has notice of any “adverse claim,” within the meaning of Section 8-105 of the Uniform Commercial Code then in effect in the State of New York (“UCC”), to such Shares), (A) under Section 8-501 of the UCC, the Underwriters will acquire a valid “security entitlement” in respect of such Shares and (B) no action (whether framed in conversion, replevin, constructive trust, equitable lien, or other theory) based on any “adverse claim,” within the meaning of Section 8-102 of the UCC, to such Shares may be asserted against the Underwriters with respect to such security entitlement; for purposes of this representation, such Selling Stockholder may assume that when such payment, delivery (if necessary) and crediting occur, (i) such Shares will have been registered in the name of Cede or another nominee designated by DTC, in each case on the Company’s share registry in accordance with its certificate of incorporation, bylaws and applicable law, (ii) DTC will be registered as a “clearing corporation,” within the meaning of Section 8-102 of the UCC, (iii) appropriate entries to the accounts of the several Underwriters on the records of DTC will have been made pursuant to the UCC, (iv) to the extent DTC, or any other securities intermediary which acts as “clearing corporation” with respect to the Shares, maintains any “financial asset” (as defined in Section 8-102(a)(9) of the UCC in a clearing corporation pursuant to Section 8-111 of the UCC, the rules of such clearing corporation may affect the rights of DTC or such securities intermediaries and the ownership interest of the Underwriters, (v) claims of creditors of DTC or any other securities intermediary or clearing corporation may be given priority to the extent set forth in Section 8-511(b) and 8-511(c) of the UCC and (vi) if at any time DTC or other securities intermediary does not have sufficient Shares to satisfy claims of all of its entitlement holders with respect thereto then all holders will share pro rata in the Shares then held by DTC or such securities intermediary.</w:t>
      </w:r>
    </w:p>
    <w:p>
      <w:pPr>
        <w:spacing w:after="0" w:line="278" w:lineRule="exact"/>
        <w:rPr>
          <w:rFonts w:ascii="Arial" w:cs="Arial" w:eastAsia="Arial" w:hAnsi="Arial"/>
          <w:sz w:val="16"/>
          <w:szCs w:val="16"/>
          <w:color w:val="auto"/>
        </w:rPr>
      </w:pPr>
    </w:p>
    <w:p>
      <w:pPr>
        <w:ind w:firstLine="443"/>
        <w:spacing w:after="0" w:line="264" w:lineRule="auto"/>
        <w:tabs>
          <w:tab w:leader="none" w:pos="662"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Absence of Manipulation. </w:t>
      </w:r>
      <w:r>
        <w:rPr>
          <w:rFonts w:ascii="Arial" w:cs="Arial" w:eastAsia="Arial" w:hAnsi="Arial"/>
          <w:sz w:val="18"/>
          <w:szCs w:val="18"/>
          <w:color w:val="auto"/>
        </w:rPr>
        <w:t>Such Selling Stockholder has not taken, and will not take, directly or indirectly, without giving effect to activities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any action which is designed to or which constituted or would be expected to cause or result in stabilization or manipulation of the price of any security of the Company to facilitate the sale or resale of the Shares.</w:t>
      </w:r>
    </w:p>
    <w:p>
      <w:pPr>
        <w:spacing w:after="0" w:line="11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480" w:top="274" w:right="239" w:bottom="1440" w:gutter="0" w:footer="0" w:header="0"/>
        </w:sectPr>
      </w:pPr>
    </w:p>
    <w:bookmarkStart w:id="31" w:name="page32"/>
    <w:bookmarkEnd w:id="31"/>
    <w:p>
      <w:pPr>
        <w:ind w:left="240" w:right="60" w:firstLine="443"/>
        <w:spacing w:after="0" w:line="255" w:lineRule="auto"/>
        <w:tabs>
          <w:tab w:leader="none" w:pos="902"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Consents Required. </w:t>
      </w:r>
      <w:r>
        <w:rPr>
          <w:rFonts w:ascii="Arial" w:cs="Arial" w:eastAsia="Arial" w:hAnsi="Arial"/>
          <w:sz w:val="18"/>
          <w:szCs w:val="18"/>
          <w:color w:val="auto"/>
        </w:rPr>
        <w:t>No consent, approval, authorization, order, registration or qualification of or with any court or arbitrator or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or regulatory authority is necessary or required for the execution, delivery and performance by each Selling Stockholder of its obligations hereunder or in the Power of Attorney, or in connection with the sale and delivery of the Shares hereunder or the consummation of the transactions contemplated by this Agreement, except, except for (i) the registration of the Shares under the Securities Act, (ii) such consents, approvals, authorizations, orders, registrations or qualifications as have already been obtained or made, (iii) such consents, approvals, authorizations, orders and registrations or qualifications as may be required by FINRA, the New York Stock Exchange or under applicable state securities laws in connection with the purchase and distribution of the Shares by the Underwriters.</w:t>
      </w:r>
    </w:p>
    <w:p>
      <w:pPr>
        <w:spacing w:after="0" w:line="81" w:lineRule="exact"/>
        <w:rPr>
          <w:rFonts w:ascii="Arial" w:cs="Arial" w:eastAsia="Arial" w:hAnsi="Arial"/>
          <w:sz w:val="18"/>
          <w:szCs w:val="18"/>
          <w:color w:val="auto"/>
        </w:rPr>
      </w:pPr>
    </w:p>
    <w:p>
      <w:pPr>
        <w:ind w:left="240" w:firstLine="443"/>
        <w:spacing w:after="0" w:line="342" w:lineRule="auto"/>
        <w:tabs>
          <w:tab w:leader="none" w:pos="942"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No Registration Rights. </w:t>
      </w:r>
      <w:r>
        <w:rPr>
          <w:rFonts w:ascii="Arial" w:cs="Arial" w:eastAsia="Arial" w:hAnsi="Arial"/>
          <w:sz w:val="16"/>
          <w:szCs w:val="16"/>
          <w:color w:val="auto"/>
        </w:rPr>
        <w:t>Such Selling Stockholder does not have the right to require the Company or any of its subsidiaries to register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for sale under the Securities Act by reason of the filing of the Registration Statement with the Commission or the issuance and sale of the Shares.</w:t>
      </w:r>
    </w:p>
    <w:p>
      <w:pPr>
        <w:spacing w:after="0" w:line="15" w:lineRule="exact"/>
        <w:rPr>
          <w:rFonts w:ascii="Arial" w:cs="Arial" w:eastAsia="Arial" w:hAnsi="Arial"/>
          <w:sz w:val="16"/>
          <w:szCs w:val="16"/>
          <w:color w:val="auto"/>
        </w:rPr>
      </w:pPr>
    </w:p>
    <w:p>
      <w:pPr>
        <w:ind w:right="220" w:firstLine="464"/>
        <w:spacing w:after="0" w:line="277" w:lineRule="auto"/>
        <w:tabs>
          <w:tab w:leader="none" w:pos="63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 and each Selling Stockholder</w:t>
      </w:r>
      <w:r>
        <w:rPr>
          <w:rFonts w:ascii="Arial" w:cs="Arial" w:eastAsia="Arial" w:hAnsi="Arial"/>
          <w:sz w:val="18"/>
          <w:szCs w:val="18"/>
          <w:color w:val="auto"/>
        </w:rPr>
        <w:t>. The Company and each Selling Stockholder, as applicable, covenant and agree with each Underwriter that:</w:t>
      </w:r>
    </w:p>
    <w:p>
      <w:pPr>
        <w:spacing w:after="0" w:line="62" w:lineRule="exact"/>
        <w:rPr>
          <w:rFonts w:ascii="Arial" w:cs="Arial" w:eastAsia="Arial" w:hAnsi="Arial"/>
          <w:sz w:val="18"/>
          <w:szCs w:val="18"/>
          <w:color w:val="auto"/>
        </w:rPr>
      </w:pPr>
    </w:p>
    <w:p>
      <w:pPr>
        <w:ind w:left="240" w:right="20" w:firstLine="443"/>
        <w:spacing w:after="0" w:line="272" w:lineRule="auto"/>
        <w:tabs>
          <w:tab w:leader="none" w:pos="932"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 430C</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69" w:lineRule="exact"/>
        <w:rPr>
          <w:rFonts w:ascii="Arial" w:cs="Arial" w:eastAsia="Arial" w:hAnsi="Arial"/>
          <w:sz w:val="17"/>
          <w:szCs w:val="17"/>
          <w:color w:val="auto"/>
        </w:rPr>
      </w:pPr>
    </w:p>
    <w:p>
      <w:pPr>
        <w:ind w:left="240" w:right="40" w:firstLine="443"/>
        <w:spacing w:after="0" w:line="293" w:lineRule="auto"/>
        <w:tabs>
          <w:tab w:leader="none" w:pos="942"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electronic signed copies of the Registration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in connection with sales of the Shares by any Underwriter or dealer.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2" w:name="page33"/>
    <w:bookmarkEnd w:id="32"/>
    <w:p>
      <w:pPr>
        <w:ind w:right="340" w:firstLine="443"/>
        <w:spacing w:after="0" w:line="259" w:lineRule="auto"/>
        <w:tabs>
          <w:tab w:leader="none" w:pos="69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pacing w:after="0" w:line="78" w:lineRule="exact"/>
        <w:rPr>
          <w:rFonts w:ascii="Arial" w:cs="Arial" w:eastAsia="Arial" w:hAnsi="Arial"/>
          <w:sz w:val="18"/>
          <w:szCs w:val="18"/>
          <w:color w:val="auto"/>
        </w:rPr>
      </w:pPr>
    </w:p>
    <w:p>
      <w:pPr>
        <w:ind w:right="60" w:firstLine="443"/>
        <w:spacing w:after="0" w:line="268" w:lineRule="auto"/>
        <w:tabs>
          <w:tab w:leader="none" w:pos="702"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Notice to the Representatives. </w:t>
      </w:r>
      <w:r>
        <w:rPr>
          <w:rFonts w:ascii="Arial" w:cs="Arial" w:eastAsia="Arial" w:hAnsi="Arial"/>
          <w:sz w:val="17"/>
          <w:szCs w:val="17"/>
          <w:color w:val="auto"/>
        </w:rPr>
        <w:t>The Company will advise the Representatives promptly, and confirm such advice in writing, (i) when any</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Shares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commercially reasonable efforts to obtain as soon as possible the withdrawal thereof.</w:t>
      </w:r>
    </w:p>
    <w:p>
      <w:pPr>
        <w:spacing w:after="0" w:line="75" w:lineRule="exact"/>
        <w:rPr>
          <w:rFonts w:ascii="Arial" w:cs="Arial" w:eastAsia="Arial" w:hAnsi="Arial"/>
          <w:sz w:val="17"/>
          <w:szCs w:val="17"/>
          <w:color w:val="auto"/>
        </w:rPr>
      </w:pPr>
    </w:p>
    <w:p>
      <w:pPr>
        <w:ind w:firstLine="443"/>
        <w:spacing w:after="0" w:line="270" w:lineRule="auto"/>
        <w:tabs>
          <w:tab w:leader="none" w:pos="692"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Ongoing Compliance. </w:t>
      </w:r>
      <w:r>
        <w:rPr>
          <w:rFonts w:ascii="Arial" w:cs="Arial" w:eastAsia="Arial" w:hAnsi="Arial"/>
          <w:sz w:val="17"/>
          <w:szCs w:val="17"/>
          <w:color w:val="auto"/>
        </w:rPr>
        <w:t>(1) If during the Prospectus Delivery Period (i) any event or development shall occur or condition shall exist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w:t>
      </w:r>
    </w:p>
    <w:p>
      <w:pPr>
        <w:spacing w:after="0" w:line="11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480" w:top="274" w:right="299" w:bottom="1440" w:gutter="0" w:footer="0" w:header="0"/>
        </w:sectPr>
      </w:pPr>
    </w:p>
    <w:bookmarkStart w:id="33" w:name="page34"/>
    <w:bookmarkEnd w:id="3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57" w:lineRule="exact"/>
        <w:rPr>
          <w:sz w:val="20"/>
          <w:szCs w:val="20"/>
          <w:color w:val="auto"/>
        </w:rPr>
      </w:pPr>
    </w:p>
    <w:p>
      <w:pPr>
        <w:ind w:right="120" w:firstLine="443"/>
        <w:spacing w:after="0" w:line="297" w:lineRule="auto"/>
        <w:tabs>
          <w:tab w:leader="none" w:pos="672"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will use commercially reasonable efforts, in cooperation with the Representatives, to qualify the Shares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offer and sale under the securities or Blue Sky laws of such jurisdictions as the Representatives shall reasonably request and will continue such qualifications in effect so long as required for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50" w:lineRule="exact"/>
        <w:rPr>
          <w:rFonts w:ascii="Arial" w:cs="Arial" w:eastAsia="Arial" w:hAnsi="Arial"/>
          <w:sz w:val="16"/>
          <w:szCs w:val="16"/>
          <w:color w:val="auto"/>
        </w:rPr>
      </w:pPr>
    </w:p>
    <w:p>
      <w:pPr>
        <w:ind w:right="80" w:firstLine="443"/>
        <w:spacing w:after="0" w:line="257" w:lineRule="auto"/>
        <w:tabs>
          <w:tab w:leader="none" w:pos="70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Representatives as soon as practicable an earning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80" w:lineRule="exact"/>
        <w:rPr>
          <w:rFonts w:ascii="Arial" w:cs="Arial" w:eastAsia="Arial" w:hAnsi="Arial"/>
          <w:sz w:val="18"/>
          <w:szCs w:val="18"/>
          <w:color w:val="auto"/>
        </w:rPr>
      </w:pPr>
    </w:p>
    <w:p>
      <w:pPr>
        <w:ind w:firstLine="443"/>
        <w:spacing w:after="0" w:line="268" w:lineRule="auto"/>
        <w:tabs>
          <w:tab w:leader="none" w:pos="702"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Clear Market. </w:t>
      </w:r>
      <w:r>
        <w:rPr>
          <w:rFonts w:ascii="Arial" w:cs="Arial" w:eastAsia="Arial" w:hAnsi="Arial"/>
          <w:sz w:val="17"/>
          <w:szCs w:val="17"/>
          <w:color w:val="auto"/>
        </w:rPr>
        <w:t>For a period of 90 days after the date of the Prospectus, the Company will not (i) offer, pledge, sell, contract to sell, sell any option</w:t>
      </w:r>
      <w:r>
        <w:rPr>
          <w:rFonts w:ascii="Arial" w:cs="Arial" w:eastAsia="Arial" w:hAnsi="Arial"/>
          <w:sz w:val="17"/>
          <w:szCs w:val="17"/>
          <w:i w:val="1"/>
          <w:iCs w:val="1"/>
          <w:color w:val="auto"/>
        </w:rPr>
        <w:t xml:space="preserve"> </w:t>
      </w:r>
      <w:r>
        <w:rPr>
          <w:rFonts w:ascii="Arial" w:cs="Arial" w:eastAsia="Arial" w:hAnsi="Arial"/>
          <w:sz w:val="17"/>
          <w:szCs w:val="17"/>
          <w:color w:val="auto"/>
        </w:rPr>
        <w:t>or contract to purchase, purchase any option or contract to sell, grant any option, right or warrant to purchase, or otherwise transfer or dispose of, directly or indirectly, or file with the Commission a registration statement under the Securities Act relating to, any shares of Stock or any securities convertible into or exercisable or exchangeable for Stock, or publicly disclose the intention to make any such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Merrill Lynch, Pierce, Fenner &amp; Smith Incorporated on behalf of the Underwriters, other than the (A) Shares to be sold hereunder, and (B) shares of Stock issued or delivered in connection with the Company’s dividend reinvestment plan. Notwithstanding the foregoing, if the Company is not then an Emerging Growth Company, then if (1) during the last 17 days of the 90-day restricted period, the Company issues an earnings release or material news or a material event relating to the Company occurs; or (2) prior to the expiration of the 90-day restricted period, the Company announces that it will release earnings results during the 16-day period beginning on the last day of the 90-day period, the restrictions imposed by this Agreement shall continue to apply until the expiration of the 18-day period beginning on the issuance of the earnings release or the occurrence of the material news or material event.</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480" w:top="274" w:right="239" w:bottom="1440" w:gutter="0" w:footer="0" w:header="0"/>
        </w:sectPr>
      </w:pPr>
    </w:p>
    <w:bookmarkStart w:id="34" w:name="page35"/>
    <w:bookmarkEnd w:id="34"/>
    <w:p>
      <w:pPr>
        <w:ind w:right="60" w:firstLine="443"/>
        <w:spacing w:after="0" w:line="264" w:lineRule="auto"/>
        <w:tabs>
          <w:tab w:leader="none" w:pos="662"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Stabilization. </w:t>
      </w:r>
      <w:r>
        <w:rPr>
          <w:rFonts w:ascii="Arial" w:cs="Arial" w:eastAsia="Arial" w:hAnsi="Arial"/>
          <w:sz w:val="18"/>
          <w:szCs w:val="18"/>
          <w:color w:val="auto"/>
        </w:rPr>
        <w:t>Except as described in 3(mm) herein, the Company will not take, directly or indirectly, without giving effect to any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any action designed to or that would reasonably be expected to cause or result in any stabilization or manipulation of the price of the Stock.</w:t>
      </w:r>
    </w:p>
    <w:p>
      <w:pPr>
        <w:spacing w:after="0" w:line="73" w:lineRule="exact"/>
        <w:rPr>
          <w:rFonts w:ascii="Arial" w:cs="Arial" w:eastAsia="Arial" w:hAnsi="Arial"/>
          <w:sz w:val="18"/>
          <w:szCs w:val="18"/>
          <w:color w:val="auto"/>
        </w:rPr>
      </w:pPr>
    </w:p>
    <w:p>
      <w:pPr>
        <w:ind w:left="660" w:hanging="217"/>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Exchange Listing. </w:t>
      </w:r>
      <w:r>
        <w:rPr>
          <w:rFonts w:ascii="Arial" w:cs="Arial" w:eastAsia="Arial" w:hAnsi="Arial"/>
          <w:sz w:val="16"/>
          <w:szCs w:val="16"/>
          <w:color w:val="auto"/>
        </w:rPr>
        <w:t>The Company will use commercially reasonable efforts to maintain the listing of the Shares on the New York Stock Exchange.</w:t>
      </w:r>
    </w:p>
    <w:p>
      <w:pPr>
        <w:spacing w:after="0" w:line="140" w:lineRule="exact"/>
        <w:rPr>
          <w:rFonts w:ascii="Arial" w:cs="Arial" w:eastAsia="Arial" w:hAnsi="Arial"/>
          <w:sz w:val="16"/>
          <w:szCs w:val="16"/>
          <w:color w:val="auto"/>
        </w:rPr>
      </w:pPr>
    </w:p>
    <w:p>
      <w:pPr>
        <w:ind w:right="160" w:firstLine="443"/>
        <w:spacing w:after="0" w:line="257" w:lineRule="auto"/>
        <w:tabs>
          <w:tab w:leader="none" w:pos="702"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Shares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80" w:lineRule="exact"/>
        <w:rPr>
          <w:rFonts w:ascii="Arial" w:cs="Arial" w:eastAsia="Arial" w:hAnsi="Arial"/>
          <w:sz w:val="18"/>
          <w:szCs w:val="18"/>
          <w:color w:val="auto"/>
        </w:rPr>
      </w:pPr>
    </w:p>
    <w:p>
      <w:pPr>
        <w:ind w:right="60" w:firstLine="443"/>
        <w:spacing w:after="0" w:line="264" w:lineRule="auto"/>
        <w:tabs>
          <w:tab w:leader="none" w:pos="662"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prior to the later of (i) completion of the distribution of Shares within the meaning of the Securities Act and (ii) completion of the 90-day restricted period referred to in Section 6(h) hereof.</w:t>
      </w:r>
    </w:p>
    <w:p>
      <w:pPr>
        <w:spacing w:after="0" w:line="73" w:lineRule="exact"/>
        <w:rPr>
          <w:rFonts w:ascii="Arial" w:cs="Arial" w:eastAsia="Arial" w:hAnsi="Arial"/>
          <w:sz w:val="18"/>
          <w:szCs w:val="18"/>
          <w:color w:val="auto"/>
        </w:rPr>
      </w:pPr>
    </w:p>
    <w:p>
      <w:pPr>
        <w:jc w:val="both"/>
        <w:ind w:firstLine="443"/>
        <w:spacing w:after="0" w:line="302" w:lineRule="auto"/>
        <w:tabs>
          <w:tab w:leader="none" w:pos="752"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Business Development Company</w:t>
      </w:r>
      <w:r>
        <w:rPr>
          <w:rFonts w:ascii="Arial" w:cs="Arial" w:eastAsia="Arial" w:hAnsi="Arial"/>
          <w:sz w:val="16"/>
          <w:szCs w:val="16"/>
          <w:color w:val="auto"/>
        </w:rPr>
        <w:t>. The Company, during a period of twelve months from the effective date of the Registration Statement, will use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commercially reasonable efforts to maintain its status as a business development company under the Investment Company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46" w:lineRule="exact"/>
        <w:rPr>
          <w:rFonts w:ascii="Arial" w:cs="Arial" w:eastAsia="Arial" w:hAnsi="Arial"/>
          <w:sz w:val="16"/>
          <w:szCs w:val="16"/>
          <w:color w:val="auto"/>
        </w:rPr>
      </w:pPr>
    </w:p>
    <w:p>
      <w:pPr>
        <w:ind w:right="140" w:firstLine="443"/>
        <w:spacing w:after="0" w:line="264" w:lineRule="auto"/>
        <w:tabs>
          <w:tab w:leader="none" w:pos="702"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right="140" w:firstLine="443"/>
        <w:spacing w:after="0" w:line="257" w:lineRule="auto"/>
        <w:tabs>
          <w:tab w:leader="none" w:pos="702"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480" w:top="274" w:right="239" w:bottom="1440" w:gutter="0" w:footer="0" w:header="0"/>
        </w:sectPr>
      </w:pPr>
    </w:p>
    <w:bookmarkStart w:id="35" w:name="page36"/>
    <w:bookmarkEnd w:id="35"/>
    <w:p>
      <w:pPr>
        <w:ind w:left="200" w:right="20" w:firstLine="443"/>
        <w:spacing w:after="0" w:line="291" w:lineRule="auto"/>
        <w:tabs>
          <w:tab w:leader="none" w:pos="902" w:val="left"/>
        </w:tabs>
        <w:numPr>
          <w:ilvl w:val="2"/>
          <w:numId w:val="4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Free Writing Prospectus</w:t>
      </w:r>
      <w:r>
        <w:rPr>
          <w:rFonts w:ascii="Arial" w:cs="Arial" w:eastAsia="Arial" w:hAnsi="Arial"/>
          <w:sz w:val="16"/>
          <w:szCs w:val="16"/>
          <w:color w:val="auto"/>
        </w:rPr>
        <w:t>. Each of the Company and each Selling Stockholder represents and agrees that, without the prior consent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(i) it will not distribute any offering material other than the Registration Statement, the Pricing Disclosures Package or the Prospectus, and</w:t>
      </w:r>
    </w:p>
    <w:p>
      <w:pPr>
        <w:ind w:left="200" w:hanging="4"/>
        <w:spacing w:after="0" w:line="253" w:lineRule="auto"/>
        <w:tabs>
          <w:tab w:leader="none" w:pos="4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has not made and will not make any offer relating to the Shares that would constitute a “free writing prospectus” as defined in Rule 405 under the Act and which the parties agree, for the purposes of this Agreement, includes (x) any “advertisement” as defined in Rule 482 under the Act; and (y) any sales literature, materials or information provided to investors by, or with the approval of, the Company in connection with the marketing of the offering of the Shares, including any in-person roadshow or investor presentations (including slides and scripts relating thereto) made to investors by or on behalf of the Company and the Selling Stockholders.</w:t>
      </w:r>
    </w:p>
    <w:p>
      <w:pPr>
        <w:spacing w:after="0" w:line="83" w:lineRule="exact"/>
        <w:rPr>
          <w:rFonts w:ascii="Arial" w:cs="Arial" w:eastAsia="Arial" w:hAnsi="Arial"/>
          <w:sz w:val="18"/>
          <w:szCs w:val="18"/>
          <w:color w:val="auto"/>
        </w:rPr>
      </w:pPr>
    </w:p>
    <w:p>
      <w:pPr>
        <w:ind w:left="600" w:hanging="176"/>
        <w:spacing w:after="0"/>
        <w:tabs>
          <w:tab w:leader="none" w:pos="60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left="200" w:right="20" w:firstLine="443"/>
        <w:spacing w:after="0" w:line="259" w:lineRule="auto"/>
        <w:tabs>
          <w:tab w:leader="none" w:pos="892" w:val="left"/>
        </w:tabs>
        <w:numPr>
          <w:ilvl w:val="2"/>
          <w:numId w:val="49"/>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Shares, including any Written Testing-the-Waters Communication, other than materials contained in the Pricing Disclosure Package, the Prospectus or any other offering materials prepared by or with the prior written consent of the Company.</w:t>
      </w:r>
    </w:p>
    <w:p>
      <w:pPr>
        <w:spacing w:after="0" w:line="78" w:lineRule="exact"/>
        <w:rPr>
          <w:rFonts w:ascii="Arial" w:cs="Arial" w:eastAsia="Arial" w:hAnsi="Arial"/>
          <w:sz w:val="18"/>
          <w:szCs w:val="18"/>
          <w:color w:val="auto"/>
        </w:rPr>
      </w:pPr>
    </w:p>
    <w:p>
      <w:pPr>
        <w:ind w:left="200" w:right="200" w:firstLine="443"/>
        <w:spacing w:after="0" w:line="277" w:lineRule="auto"/>
        <w:tabs>
          <w:tab w:leader="none" w:pos="902" w:val="left"/>
        </w:tabs>
        <w:numPr>
          <w:ilvl w:val="2"/>
          <w:numId w:val="49"/>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62" w:lineRule="exact"/>
        <w:rPr>
          <w:rFonts w:ascii="Arial" w:cs="Arial" w:eastAsia="Arial" w:hAnsi="Arial"/>
          <w:sz w:val="18"/>
          <w:szCs w:val="18"/>
          <w:color w:val="auto"/>
        </w:rPr>
      </w:pPr>
    </w:p>
    <w:p>
      <w:pPr>
        <w:ind w:left="-40" w:right="40" w:firstLine="464"/>
        <w:spacing w:after="0" w:line="264" w:lineRule="auto"/>
        <w:tabs>
          <w:tab w:leader="none" w:pos="596"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the Closing Date or the Additional Closing Date, as the case may be, as provided herein is subject to the performance by the Company and each Selling Stockholder of its covenants and other obligations hereunder and to the following additional conditions:</w:t>
      </w:r>
    </w:p>
    <w:p>
      <w:pPr>
        <w:spacing w:after="0" w:line="73" w:lineRule="exact"/>
        <w:rPr>
          <w:rFonts w:ascii="Arial" w:cs="Arial" w:eastAsia="Arial" w:hAnsi="Arial"/>
          <w:sz w:val="18"/>
          <w:szCs w:val="18"/>
          <w:color w:val="auto"/>
        </w:rPr>
      </w:pPr>
    </w:p>
    <w:p>
      <w:pPr>
        <w:ind w:left="200" w:right="20" w:firstLine="443"/>
        <w:spacing w:after="0" w:line="279" w:lineRule="auto"/>
        <w:tabs>
          <w:tab w:leader="none" w:pos="892" w:val="left"/>
        </w:tabs>
        <w:numPr>
          <w:ilvl w:val="2"/>
          <w:numId w:val="49"/>
        </w:numPr>
        <w:rPr>
          <w:rFonts w:ascii="Arial" w:cs="Arial" w:eastAsia="Arial" w:hAnsi="Arial"/>
          <w:sz w:val="17"/>
          <w:szCs w:val="17"/>
          <w:color w:val="auto"/>
        </w:rPr>
      </w:pPr>
      <w:r>
        <w:rPr>
          <w:rFonts w:ascii="Arial" w:cs="Arial" w:eastAsia="Arial" w:hAnsi="Arial"/>
          <w:sz w:val="17"/>
          <w:szCs w:val="17"/>
          <w:i w:val="1"/>
          <w:iCs w:val="1"/>
          <w:color w:val="auto"/>
        </w:rPr>
        <w:t>Registration Compliance; No Stop Order</w:t>
      </w:r>
      <w:r>
        <w:rPr>
          <w:rFonts w:ascii="Arial" w:cs="Arial" w:eastAsia="Arial" w:hAnsi="Arial"/>
          <w:sz w:val="17"/>
          <w:szCs w:val="17"/>
          <w:color w:val="auto"/>
        </w:rPr>
        <w:t>. 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shall have been timely filed with the Commission under the Securities Act and in accordance with Section 6(a) hereof; and all requests by the Commission for additional information shall have been complied with to the reasonable satisfaction of the Representatives.</w:t>
      </w:r>
    </w:p>
    <w:p>
      <w:pPr>
        <w:spacing w:after="0" w:line="63" w:lineRule="exact"/>
        <w:rPr>
          <w:rFonts w:ascii="Arial" w:cs="Arial" w:eastAsia="Arial" w:hAnsi="Arial"/>
          <w:sz w:val="17"/>
          <w:szCs w:val="17"/>
          <w:color w:val="auto"/>
        </w:rPr>
      </w:pPr>
    </w:p>
    <w:p>
      <w:pPr>
        <w:jc w:val="both"/>
        <w:ind w:left="200" w:right="40" w:firstLine="443"/>
        <w:spacing w:after="0" w:line="259" w:lineRule="auto"/>
        <w:tabs>
          <w:tab w:leader="none" w:pos="902" w:val="left"/>
        </w:tabs>
        <w:numPr>
          <w:ilvl w:val="2"/>
          <w:numId w:val="4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of the Company, each Selling Stockholder and the Adviser contained herein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true and correct on the date hereof and on and as of the Closing Date or the Additional Closing Date, as the case may be; and the statements of the Company and each Selling Stockholder, as applicable, and its officers made in any certificates delivered pursuant to this Agreement shall be true and correct on and as of the Closing Date or the Additional Closing Date,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80" w:top="274" w:right="259" w:bottom="1440" w:gutter="0" w:footer="0" w:header="0"/>
        </w:sectPr>
      </w:pPr>
    </w:p>
    <w:bookmarkStart w:id="36" w:name="page37"/>
    <w:bookmarkEnd w:id="36"/>
    <w:p>
      <w:pPr>
        <w:ind w:left="4" w:firstLine="443"/>
        <w:spacing w:after="0" w:line="276" w:lineRule="auto"/>
        <w:tabs>
          <w:tab w:leader="none" w:pos="695"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Adverse Change</w:t>
      </w:r>
      <w:r>
        <w:rPr>
          <w:rFonts w:ascii="Arial" w:cs="Arial" w:eastAsia="Arial" w:hAnsi="Arial"/>
          <w:sz w:val="17"/>
          <w:szCs w:val="17"/>
          <w:color w:val="auto"/>
        </w:rPr>
        <w:t>. No event or condition of a type described in Section 3(g) and Section 4(a) hereof shall have occurred or shall exist,</w:t>
      </w:r>
      <w:r>
        <w:rPr>
          <w:rFonts w:ascii="Arial" w:cs="Arial" w:eastAsia="Arial" w:hAnsi="Arial"/>
          <w:sz w:val="17"/>
          <w:szCs w:val="17"/>
          <w:i w:val="1"/>
          <w:iCs w:val="1"/>
          <w:color w:val="auto"/>
        </w:rPr>
        <w:t xml:space="preserve"> </w:t>
      </w:r>
      <w:r>
        <w:rPr>
          <w:rFonts w:ascii="Arial" w:cs="Arial" w:eastAsia="Arial" w:hAnsi="Arial"/>
          <w:sz w:val="17"/>
          <w:szCs w:val="17"/>
          <w:color w:val="auto"/>
        </w:rPr>
        <w:t>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7"/>
          <w:szCs w:val="17"/>
          <w:color w:val="auto"/>
        </w:rPr>
      </w:pPr>
    </w:p>
    <w:p>
      <w:pPr>
        <w:ind w:left="4" w:right="200" w:firstLine="443"/>
        <w:spacing w:after="0" w:line="286" w:lineRule="auto"/>
        <w:tabs>
          <w:tab w:leader="none" w:pos="706" w:val="left"/>
        </w:tabs>
        <w:numPr>
          <w:ilvl w:val="1"/>
          <w:numId w:val="50"/>
        </w:numPr>
        <w:rPr>
          <w:rFonts w:ascii="Arial" w:cs="Arial" w:eastAsia="Arial" w:hAnsi="Arial"/>
          <w:sz w:val="16"/>
          <w:szCs w:val="16"/>
          <w:color w:val="auto"/>
        </w:rPr>
      </w:pPr>
      <w:r>
        <w:rPr>
          <w:rFonts w:ascii="Arial" w:cs="Arial" w:eastAsia="Arial" w:hAnsi="Arial"/>
          <w:sz w:val="16"/>
          <w:szCs w:val="16"/>
          <w:i w:val="1"/>
          <w:iCs w:val="1"/>
          <w:color w:val="auto"/>
        </w:rPr>
        <w:t>Company’s Officer’s Certificate</w:t>
      </w:r>
      <w:r>
        <w:rPr>
          <w:rFonts w:ascii="Arial" w:cs="Arial" w:eastAsia="Arial" w:hAnsi="Arial"/>
          <w:sz w:val="16"/>
          <w:szCs w:val="16"/>
          <w:color w:val="auto"/>
        </w:rPr>
        <w:t>. The Representatives shall have received on and as of the Closing Date or the Additional Closing Date,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may be,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Representatives (i) confirming that such officers have carefully reviewed the Registration Statement, the Pricing Disclosure Package and the Prospectus,</w:t>
      </w:r>
    </w:p>
    <w:p>
      <w:pPr>
        <w:spacing w:after="0" w:line="1" w:lineRule="exact"/>
        <w:rPr>
          <w:rFonts w:ascii="Arial" w:cs="Arial" w:eastAsia="Arial" w:hAnsi="Arial"/>
          <w:sz w:val="16"/>
          <w:szCs w:val="16"/>
          <w:color w:val="auto"/>
        </w:rPr>
      </w:pPr>
    </w:p>
    <w:p>
      <w:pPr>
        <w:ind w:left="4" w:right="120" w:hanging="4"/>
        <w:spacing w:after="0" w:line="253" w:lineRule="auto"/>
        <w:tabs>
          <w:tab w:leader="none" w:pos="2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confirming that, to the knowledge of such officers, the representations and warranties of the Company in Sections 3(b)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paragraphs (a) above and, with respect to the Company and its subsidiaries, to the effect set forth in paragraph (c) above.</w:t>
      </w:r>
    </w:p>
    <w:p>
      <w:pPr>
        <w:spacing w:after="0" w:line="83" w:lineRule="exact"/>
        <w:rPr>
          <w:rFonts w:ascii="Arial" w:cs="Arial" w:eastAsia="Arial" w:hAnsi="Arial"/>
          <w:sz w:val="18"/>
          <w:szCs w:val="18"/>
          <w:color w:val="auto"/>
        </w:rPr>
      </w:pPr>
    </w:p>
    <w:p>
      <w:pPr>
        <w:ind w:left="4" w:right="60" w:firstLine="443"/>
        <w:spacing w:after="0" w:line="255" w:lineRule="auto"/>
        <w:tabs>
          <w:tab w:leader="none" w:pos="695"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Adviser’s Officer’s Certificate</w:t>
      </w:r>
      <w:r>
        <w:rPr>
          <w:rFonts w:ascii="Arial" w:cs="Arial" w:eastAsia="Arial" w:hAnsi="Arial"/>
          <w:sz w:val="18"/>
          <w:szCs w:val="18"/>
          <w:color w:val="auto"/>
        </w:rPr>
        <w:t>. The Representatives shall have received on and as of the Closing Date or the Additional Closing Date, as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a certificate, which shall be delivered on behalf of the Adviser and not the signatories in their individual capacity, from the two appropriate senior officers of the Adviser reasonably satisfactory to the 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85" w:lineRule="exact"/>
        <w:rPr>
          <w:rFonts w:ascii="Arial" w:cs="Arial" w:eastAsia="Arial" w:hAnsi="Arial"/>
          <w:sz w:val="18"/>
          <w:szCs w:val="18"/>
          <w:color w:val="auto"/>
        </w:rPr>
      </w:pPr>
    </w:p>
    <w:p>
      <w:pPr>
        <w:jc w:val="both"/>
        <w:ind w:left="4" w:right="120" w:firstLine="443"/>
        <w:spacing w:after="0" w:line="279" w:lineRule="auto"/>
        <w:tabs>
          <w:tab w:leader="none" w:pos="676"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Certificate of Selling Stockholders</w:t>
      </w:r>
      <w:r>
        <w:rPr>
          <w:rFonts w:ascii="Arial" w:cs="Arial" w:eastAsia="Arial" w:hAnsi="Arial"/>
          <w:sz w:val="17"/>
          <w:szCs w:val="17"/>
          <w:color w:val="auto"/>
        </w:rPr>
        <w:t>. The Representatives shall have received on and as of the Closing Date or the Additional Closing Date,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case may be, a certificate of an Attorney-in-Fact on behalf of each Selling Stockholder confirming that the representations and warranties of each Selling Stockholder in this Agreement are true and correct and that each Selling Stockholder has complied with all agreements and satisfied all conditions on its part to be performed or satisfied hereunder at or prior to the Closing Date or the Additional Closing Date, as the case may be.</w:t>
      </w:r>
    </w:p>
    <w:p>
      <w:pPr>
        <w:spacing w:after="0" w:line="63" w:lineRule="exact"/>
        <w:rPr>
          <w:rFonts w:ascii="Arial" w:cs="Arial" w:eastAsia="Arial" w:hAnsi="Arial"/>
          <w:sz w:val="17"/>
          <w:szCs w:val="17"/>
          <w:color w:val="auto"/>
        </w:rPr>
      </w:pPr>
    </w:p>
    <w:p>
      <w:pPr>
        <w:ind w:left="4" w:right="240" w:firstLine="443"/>
        <w:spacing w:after="0" w:line="264" w:lineRule="auto"/>
        <w:tabs>
          <w:tab w:leader="none" w:pos="706"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Comfort Letters</w:t>
      </w:r>
      <w:r>
        <w:rPr>
          <w:rFonts w:ascii="Arial" w:cs="Arial" w:eastAsia="Arial" w:hAnsi="Arial"/>
          <w:sz w:val="18"/>
          <w:szCs w:val="18"/>
          <w:color w:val="auto"/>
        </w:rPr>
        <w:t>. On the date of this Agreement and on the Closing Date or the Additional Closing Date, as the case may be, KPMG LLP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furnished to the Representatives, at the request of the Company, letters, dated the respective dates of delivery thereof and addressed to the Underwriters, in form and substance reasonably satisfactory to the</w:t>
      </w:r>
    </w:p>
    <w:p>
      <w:pPr>
        <w:spacing w:after="0" w:line="114"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4"/>
          </w:cols>
          <w:pgMar w:left="476" w:top="274" w:right="239" w:bottom="1440" w:gutter="0" w:footer="0" w:header="0"/>
        </w:sectPr>
      </w:pPr>
    </w:p>
    <w:bookmarkStart w:id="37" w:name="page38"/>
    <w:bookmarkEnd w:id="37"/>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63" w:lineRule="exact"/>
        <w:rPr>
          <w:sz w:val="20"/>
          <w:szCs w:val="20"/>
          <w:color w:val="auto"/>
        </w:rPr>
      </w:pPr>
    </w:p>
    <w:p>
      <w:pPr>
        <w:ind w:firstLine="443"/>
        <w:spacing w:after="0" w:line="269" w:lineRule="auto"/>
        <w:tabs>
          <w:tab w:leader="none" w:pos="702"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Company and Adviser. </w:t>
      </w:r>
      <w:r>
        <w:rPr>
          <w:rFonts w:ascii="Arial" w:cs="Arial" w:eastAsia="Arial" w:hAnsi="Arial"/>
          <w:sz w:val="17"/>
          <w:szCs w:val="17"/>
          <w:color w:val="auto"/>
        </w:rPr>
        <w:t>Cleary Gottlieb Steen &amp; Hamilton LLP, counsel for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 Sutherland Asbill &amp; Brennan LLP, Investment Company Act counsel for the Company and Advisers Act counsel for the Adviser, shall have furnished to the Representatives, at the request of the Company and the Adviser, their written opinion, dated the Closing Date or the Additional Closing Date, as the case may be, and addressed to the Underwriters, in form and substance reasonably satisfactory to the Representatives. Morris, Nichols, Arsht &amp; Tunnell LLP, Delaware counsel for the Company and the Adviser, shall have furnished to the Representatives, at the request of the Company and the Adviser, their written opinion, dated the Closing Date or the Additional Closing Date, as the case may be, and addressed to the Underwriters, in form and substance reasonably satisfactory to the Representatives. In-house counsel to the Company and the Adviser, shall have furnished to the Representatives its written opinion, dated the Closing Date or the Additional Closing Date, as the case may be, and addressed to the Underwriters, in form and substance reasonably satisfactory to the Representatives.</w:t>
      </w:r>
    </w:p>
    <w:p>
      <w:pPr>
        <w:spacing w:after="0" w:line="74" w:lineRule="exact"/>
        <w:rPr>
          <w:rFonts w:ascii="Arial" w:cs="Arial" w:eastAsia="Arial" w:hAnsi="Arial"/>
          <w:sz w:val="17"/>
          <w:szCs w:val="17"/>
          <w:color w:val="auto"/>
        </w:rPr>
      </w:pPr>
    </w:p>
    <w:p>
      <w:pPr>
        <w:ind w:right="80" w:firstLine="443"/>
        <w:spacing w:after="0" w:line="259" w:lineRule="auto"/>
        <w:tabs>
          <w:tab w:leader="none" w:pos="66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the Selling Stockholders. </w:t>
      </w:r>
      <w:r>
        <w:rPr>
          <w:rFonts w:ascii="Arial" w:cs="Arial" w:eastAsia="Arial" w:hAnsi="Arial"/>
          <w:sz w:val="18"/>
          <w:szCs w:val="18"/>
          <w:color w:val="auto"/>
        </w:rPr>
        <w:t>Counsel for the Selling Stockholders, identified on Schedule 2,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the request of such Selling Stockholder, their written opinions, dated the Closing Date or the Additional Closing Date, as the case may be, and addressed to the Underwriters, to the effect set forth in Exhibit A-1 hereto, and to such further effect as counsel to the Underwriters may reasonably request.</w:t>
      </w:r>
    </w:p>
    <w:p>
      <w:pPr>
        <w:spacing w:after="0" w:line="78" w:lineRule="exact"/>
        <w:rPr>
          <w:rFonts w:ascii="Arial" w:cs="Arial" w:eastAsia="Arial" w:hAnsi="Arial"/>
          <w:sz w:val="18"/>
          <w:szCs w:val="18"/>
          <w:color w:val="auto"/>
        </w:rPr>
      </w:pPr>
    </w:p>
    <w:p>
      <w:pPr>
        <w:ind w:right="400" w:firstLine="443"/>
        <w:spacing w:after="0" w:line="279" w:lineRule="auto"/>
        <w:tabs>
          <w:tab w:leader="none" w:pos="662"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Underwriters. </w:t>
      </w:r>
      <w:r>
        <w:rPr>
          <w:rFonts w:ascii="Arial" w:cs="Arial" w:eastAsia="Arial" w:hAnsi="Arial"/>
          <w:sz w:val="17"/>
          <w:szCs w:val="17"/>
          <w:color w:val="auto"/>
        </w:rPr>
        <w:t>The Representatives shall have received on and as of the Closing Date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Closing Date, as the case may be, an opinion and 10b-5 statement of Fried, Frank, Harris, Shriver &amp; Jacobson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63" w:lineRule="exact"/>
        <w:rPr>
          <w:rFonts w:ascii="Arial" w:cs="Arial" w:eastAsia="Arial" w:hAnsi="Arial"/>
          <w:sz w:val="17"/>
          <w:szCs w:val="17"/>
          <w:color w:val="auto"/>
        </w:rPr>
      </w:pPr>
    </w:p>
    <w:p>
      <w:pPr>
        <w:ind w:right="120" w:firstLine="443"/>
        <w:spacing w:after="0" w:line="279" w:lineRule="auto"/>
        <w:tabs>
          <w:tab w:leader="none" w:pos="702"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No Legal Impediment to Issuance. </w:t>
      </w:r>
      <w:r>
        <w:rPr>
          <w:rFonts w:ascii="Arial" w:cs="Arial" w:eastAsia="Arial" w:hAnsi="Arial"/>
          <w:sz w:val="17"/>
          <w:szCs w:val="17"/>
          <w:color w:val="auto"/>
        </w:rPr>
        <w:t>No action shall have been taken and no statute, rule, regulation or order shall have been enacted, adopted or</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any federal, state or foreign governmental or regulatory authority that would, as of the Closing Date or the Additional Closing Date, as the case may be, prevent the offer and sale of the Shares; and no injunction or order of any federal, state or foreign court shall have been issued that would, as of the Closing Date or the Additional Closing Date, as the case may be, prevent the offer and sale of the Shares.</w:t>
      </w:r>
    </w:p>
    <w:p>
      <w:pPr>
        <w:spacing w:after="0" w:line="10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480" w:top="274" w:right="259" w:bottom="1440" w:gutter="0" w:footer="0" w:header="0"/>
        </w:sectPr>
      </w:pPr>
    </w:p>
    <w:bookmarkStart w:id="38" w:name="page39"/>
    <w:bookmarkEnd w:id="38"/>
    <w:p>
      <w:pPr>
        <w:ind w:left="240" w:right="180" w:firstLine="443"/>
        <w:spacing w:after="0" w:line="259" w:lineRule="auto"/>
        <w:tabs>
          <w:tab w:leader="none" w:pos="90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Standing</w:t>
      </w:r>
      <w:r>
        <w:rPr>
          <w:rFonts w:ascii="Arial" w:cs="Arial" w:eastAsia="Arial" w:hAnsi="Arial"/>
          <w:sz w:val="18"/>
          <w:szCs w:val="18"/>
          <w:color w:val="auto"/>
        </w:rPr>
        <w:t>. The Representatives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left="240" w:firstLine="443"/>
        <w:spacing w:after="0" w:line="277" w:lineRule="auto"/>
        <w:tabs>
          <w:tab w:leader="none" w:pos="99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Additional Closing Date, as the case may be, shall have been duly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York Stock Exchange.</w:t>
      </w:r>
    </w:p>
    <w:p>
      <w:pPr>
        <w:spacing w:after="0" w:line="62" w:lineRule="exact"/>
        <w:rPr>
          <w:rFonts w:ascii="Arial" w:cs="Arial" w:eastAsia="Arial" w:hAnsi="Arial"/>
          <w:sz w:val="18"/>
          <w:szCs w:val="18"/>
          <w:color w:val="auto"/>
        </w:rPr>
      </w:pPr>
    </w:p>
    <w:p>
      <w:pPr>
        <w:ind w:left="240" w:right="60" w:firstLine="443"/>
        <w:spacing w:after="0" w:line="259" w:lineRule="auto"/>
        <w:tabs>
          <w:tab w:leader="none" w:pos="94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A-2 hereto, from the persons and entities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4-A, in the form of Exhibit A-3 hereto, from the persons listed on Schedule 4-B, and in the form of Exhibit A-4 hereto, and from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78" w:lineRule="exact"/>
        <w:rPr>
          <w:rFonts w:ascii="Arial" w:cs="Arial" w:eastAsia="Arial" w:hAnsi="Arial"/>
          <w:sz w:val="18"/>
          <w:szCs w:val="18"/>
          <w:color w:val="auto"/>
        </w:rPr>
      </w:pPr>
    </w:p>
    <w:p>
      <w:pPr>
        <w:ind w:left="240" w:right="60" w:firstLine="443"/>
        <w:spacing w:after="0" w:line="255" w:lineRule="auto"/>
        <w:tabs>
          <w:tab w:leader="none" w:pos="942"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 any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85" w:lineRule="exact"/>
        <w:rPr>
          <w:rFonts w:ascii="Arial" w:cs="Arial" w:eastAsia="Arial" w:hAnsi="Arial"/>
          <w:sz w:val="18"/>
          <w:szCs w:val="18"/>
          <w:color w:val="auto"/>
        </w:rPr>
      </w:pPr>
    </w:p>
    <w:p>
      <w:pPr>
        <w:ind w:left="240" w:right="620" w:firstLine="443"/>
        <w:spacing w:after="0" w:line="342" w:lineRule="auto"/>
        <w:tabs>
          <w:tab w:leader="none" w:pos="942"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Additional Documents. </w:t>
      </w:r>
      <w:r>
        <w:rPr>
          <w:rFonts w:ascii="Arial" w:cs="Arial" w:eastAsia="Arial" w:hAnsi="Arial"/>
          <w:sz w:val="16"/>
          <w:szCs w:val="16"/>
          <w:color w:val="auto"/>
        </w:rPr>
        <w:t>On or prior to the Closing Date or the Additional Closing Date, as the case may be, the Company and the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shall have furnished to the Representatives such further certificates and documents as the Representatives may reasonably request.</w:t>
      </w:r>
    </w:p>
    <w:p>
      <w:pPr>
        <w:spacing w:after="0" w:line="16"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62"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443"/>
        <w:spacing w:after="0" w:line="257" w:lineRule="auto"/>
        <w:tabs>
          <w:tab w:leader="none" w:pos="932"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Underwriters by the Company. </w:t>
      </w:r>
      <w:r>
        <w:rPr>
          <w:rFonts w:ascii="Arial" w:cs="Arial" w:eastAsia="Arial" w:hAnsi="Arial"/>
          <w:sz w:val="18"/>
          <w:szCs w:val="18"/>
          <w:color w:val="auto"/>
        </w:rPr>
        <w:t>The Company agrees to indemnify and hold harmless each Underwriter,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39" w:name="page40"/>
    <w:bookmarkEnd w:id="3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(c) below.</w:t>
      </w:r>
    </w:p>
    <w:p>
      <w:pPr>
        <w:spacing w:after="0" w:line="70" w:lineRule="exact"/>
        <w:rPr>
          <w:sz w:val="20"/>
          <w:szCs w:val="20"/>
          <w:color w:val="auto"/>
        </w:rPr>
      </w:pPr>
    </w:p>
    <w:p>
      <w:pPr>
        <w:ind w:firstLine="443"/>
        <w:spacing w:after="0" w:line="288" w:lineRule="auto"/>
        <w:tabs>
          <w:tab w:leader="none" w:pos="702"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by the Selling Stockholders. </w:t>
      </w:r>
      <w:r>
        <w:rPr>
          <w:rFonts w:ascii="Arial" w:cs="Arial" w:eastAsia="Arial" w:hAnsi="Arial"/>
          <w:sz w:val="16"/>
          <w:szCs w:val="16"/>
          <w:color w:val="auto"/>
        </w:rPr>
        <w:t>Each Selling Stockholder, severally and not jointly, agrees to indemnify and</w:t>
      </w:r>
      <w:r>
        <w:rPr>
          <w:rFonts w:ascii="Arial" w:cs="Arial" w:eastAsia="Arial" w:hAnsi="Arial"/>
          <w:sz w:val="16"/>
          <w:szCs w:val="16"/>
          <w:i w:val="1"/>
          <w:iCs w:val="1"/>
          <w:color w:val="auto"/>
        </w:rPr>
        <w:t xml:space="preserve"> </w:t>
      </w:r>
      <w:r>
        <w:rPr>
          <w:rFonts w:ascii="Arial" w:cs="Arial" w:eastAsia="Arial" w:hAnsi="Arial"/>
          <w:sz w:val="16"/>
          <w:szCs w:val="16"/>
          <w:color w:val="auto"/>
        </w:rPr>
        <w:t>hold harmless each Underwriter, its affiliates, directors and officers and each person, if any, who controls such Underwriter within the meaning of Section 15 of the Securities Act or Section 20 of the Exchange Act, to the same extent of subsection (a) above; provided that each Selling Stockholder shall be liable only to the extent that such losses, claims, damages and liabilities arise out of, or are based upon an untrue statement or alleged untrue statement or omission or alleged omission has been made in reliance upon and in conformity with any information furnished to the Company in writing by or on behalf of the Selling Stockholders expressly for use in the in the Prospectus (or any amendment or supplement thereto), any road show or the Pricing Disclosure Package (including any Pricing Disclosure Package that has subsequently been amended), it being understood and agreed that the only such information furnished by or on behalf of such Selling Stockholder consists of the Selling Stockholder Information; provided, further, that the liability under this subsection of each Selling Stockholder shall be limited to an amount equal to the aggregate gross proceeds after underwriting commissions and discounts, but before expenses, to such Selling Stockholder from the sale of Shares sold by such Selling Stockholder hereunder.</w:t>
      </w:r>
    </w:p>
    <w:p>
      <w:pPr>
        <w:spacing w:after="0" w:line="61" w:lineRule="exact"/>
        <w:rPr>
          <w:rFonts w:ascii="Arial" w:cs="Arial" w:eastAsia="Arial" w:hAnsi="Arial"/>
          <w:sz w:val="16"/>
          <w:szCs w:val="16"/>
          <w:color w:val="auto"/>
        </w:rPr>
      </w:pPr>
    </w:p>
    <w:p>
      <w:pPr>
        <w:ind w:right="60" w:firstLine="443"/>
        <w:spacing w:after="0" w:line="254" w:lineRule="auto"/>
        <w:tabs>
          <w:tab w:leader="none" w:pos="692"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Company and the Selling Stockholders. </w:t>
      </w:r>
      <w:r>
        <w:rPr>
          <w:rFonts w:ascii="Arial" w:cs="Arial" w:eastAsia="Arial" w:hAnsi="Arial"/>
          <w:sz w:val="18"/>
          <w:szCs w:val="18"/>
          <w:color w:val="auto"/>
        </w:rPr>
        <w:t>Each Underwriter agrees, severally and not jointly, to indemnify and hold</w:t>
      </w:r>
      <w:r>
        <w:rPr>
          <w:rFonts w:ascii="Arial" w:cs="Arial" w:eastAsia="Arial" w:hAnsi="Arial"/>
          <w:sz w:val="18"/>
          <w:szCs w:val="18"/>
          <w:i w:val="1"/>
          <w:iCs w:val="1"/>
          <w:color w:val="auto"/>
        </w:rPr>
        <w:t xml:space="preserve"> </w:t>
      </w:r>
      <w:r>
        <w:rPr>
          <w:rFonts w:ascii="Arial" w:cs="Arial" w:eastAsia="Arial" w:hAnsi="Arial"/>
          <w:sz w:val="18"/>
          <w:szCs w:val="18"/>
          <w:color w:val="auto"/>
        </w:rPr>
        <w:t>harmless the Company, its directors, its officers who signed the Registration Statement and each person, if any, who controls the Company within the meaning of Section 15 of the Securities Act or Section 20 of the Exchange Act, and each Selling Stockholder to the same extent as the indemnity set forth in paragraph (a) and (b)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or any Pricing Disclosure Package (including any Pricing Disclosure Package that has subsequently been amended), it being</w:t>
      </w:r>
    </w:p>
    <w:p>
      <w:pPr>
        <w:spacing w:after="0" w:line="1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480" w:top="274" w:right="279" w:bottom="1440" w:gutter="0" w:footer="0" w:header="0"/>
        </w:sectPr>
      </w:pPr>
    </w:p>
    <w:bookmarkStart w:id="40" w:name="page41"/>
    <w:bookmarkEnd w:id="40"/>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fourth paragraph, the statements regarding electronic distribution in the eighteenth paragraph, the information regarding stabilizing transactions contained in the nineteenth, twentieth and twenty-first paragraphs.</w:t>
      </w:r>
    </w:p>
    <w:p>
      <w:pPr>
        <w:spacing w:after="0" w:line="46" w:lineRule="exact"/>
        <w:rPr>
          <w:sz w:val="20"/>
          <w:szCs w:val="20"/>
          <w:color w:val="auto"/>
        </w:rPr>
      </w:pPr>
    </w:p>
    <w:p>
      <w:pPr>
        <w:ind w:firstLine="443"/>
        <w:spacing w:after="0" w:line="284" w:lineRule="auto"/>
        <w:tabs>
          <w:tab w:leader="none" w:pos="693"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brought or asserted against any person in respect of which indemnification may be sought pursuant to either paragraph (a), (b) or (c)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(b) or (c) above except to the extent that it has been materially prejudiced (including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(b) or (c)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Merrill Lynch, Pierce, Fenner &amp; Smith Incorporated, and any such separate firm for the Company, its directors, its officers who signed the Registration Statement and any control persons of the Company shall be designated in writing by the Company, and any such separate firm for such Selling Stockholder shall be designated in writing by such Selling Stockholder. The Indemnifying Person shall not be liable for any settlement of any proceeding effected without its written consent, but if settled with such consent or if there be a final judgment for the plaintiff, the Indemnifying Person agrees to indemnify each Indemnified Person from and</w:t>
      </w:r>
    </w:p>
    <w:p>
      <w:pPr>
        <w:spacing w:after="0" w:line="3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700" w:top="274" w:right="259" w:bottom="1440" w:gutter="0" w:footer="0" w:header="0"/>
        </w:sectPr>
      </w:pPr>
    </w:p>
    <w:bookmarkStart w:id="41" w:name="page42"/>
    <w:bookmarkEnd w:id="41"/>
    <w:p>
      <w:pPr>
        <w:ind w:left="4"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w:t>
      </w:r>
    </w:p>
    <w:p>
      <w:pPr>
        <w:ind w:left="4" w:hanging="4"/>
        <w:spacing w:after="0" w:line="269" w:lineRule="auto"/>
        <w:tabs>
          <w:tab w:leader="none" w:pos="219" w:val="left"/>
        </w:tabs>
        <w:numPr>
          <w:ilvl w:val="0"/>
          <w:numId w:val="57"/>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72" w:lineRule="exact"/>
        <w:rPr>
          <w:rFonts w:ascii="Arial" w:cs="Arial" w:eastAsia="Arial" w:hAnsi="Arial"/>
          <w:sz w:val="17"/>
          <w:szCs w:val="17"/>
          <w:color w:val="auto"/>
        </w:rPr>
      </w:pPr>
    </w:p>
    <w:p>
      <w:pPr>
        <w:ind w:left="4" w:firstLine="443"/>
        <w:spacing w:after="0" w:line="285" w:lineRule="auto"/>
        <w:tabs>
          <w:tab w:leader="none" w:pos="695"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(b) and (c) above is unavailable to an Indemnified Person or insufficient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each Selling Stockholder on the one hand, and the Underwriters on the other, shall be deemed to be in the same respective proportions as the net proceeds (before deducting expenses) received by the Company and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and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the Selling Stockholders or by the Underwriters and the parties’ relative intent, knowledge, access to information and opportunity to correct or prevent such statement or omission. Notwithstanding any other provision in this Section 9, no party shall be entitled to indemnification or contribution under this Agreement in violation of Section 17(j) of the 1940 Act.</w:t>
      </w:r>
    </w:p>
    <w:p>
      <w:pPr>
        <w:spacing w:after="0" w:line="110" w:lineRule="exact"/>
        <w:rPr>
          <w:sz w:val="20"/>
          <w:szCs w:val="20"/>
          <w:color w:val="auto"/>
        </w:rPr>
      </w:pPr>
    </w:p>
    <w:p>
      <w:pPr>
        <w:jc w:val="center"/>
        <w:ind w:right="136"/>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4"/>
          </w:cols>
          <w:pgMar w:left="476" w:top="274" w:right="319" w:bottom="1440" w:gutter="0" w:footer="0" w:header="0"/>
        </w:sectPr>
      </w:pPr>
    </w:p>
    <w:bookmarkStart w:id="42" w:name="page43"/>
    <w:bookmarkEnd w:id="42"/>
    <w:p>
      <w:pPr>
        <w:ind w:left="232" w:right="100" w:firstLine="443"/>
        <w:spacing w:after="0" w:line="287" w:lineRule="auto"/>
        <w:tabs>
          <w:tab w:leader="none" w:pos="904" w:val="left"/>
        </w:tabs>
        <w:numPr>
          <w:ilvl w:val="2"/>
          <w:numId w:val="5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Limitation on Liability. </w:t>
      </w:r>
      <w:r>
        <w:rPr>
          <w:rFonts w:ascii="Arial" w:cs="Arial" w:eastAsia="Arial" w:hAnsi="Arial"/>
          <w:sz w:val="16"/>
          <w:szCs w:val="16"/>
          <w:color w:val="auto"/>
        </w:rPr>
        <w:t>The Company, the Selling Stockholders and the Underwriters agree that it would not be just and equitable if contribution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paragraph (e) 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reasonable and documented legal or other expenses incurred by such Indemnified Person in connection with any such action or claim. Notwithstanding the provisions of paragraphs (e) and (f) of this Section 9,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of this Section 9 are several in proportion to their respective purchase obligations hereunder and not joint.</w:t>
      </w:r>
    </w:p>
    <w:p>
      <w:pPr>
        <w:spacing w:after="0" w:line="64" w:lineRule="exact"/>
        <w:rPr>
          <w:rFonts w:ascii="Arial" w:cs="Arial" w:eastAsia="Arial" w:hAnsi="Arial"/>
          <w:sz w:val="16"/>
          <w:szCs w:val="16"/>
          <w:color w:val="auto"/>
        </w:rPr>
      </w:pPr>
    </w:p>
    <w:p>
      <w:pPr>
        <w:ind w:left="232" w:firstLine="443"/>
        <w:spacing w:after="0" w:line="277" w:lineRule="auto"/>
        <w:tabs>
          <w:tab w:leader="none" w:pos="934" w:val="left"/>
        </w:tabs>
        <w:numPr>
          <w:ilvl w:val="2"/>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9 paragraphs (a) through (f)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62" w:lineRule="exact"/>
        <w:rPr>
          <w:rFonts w:ascii="Arial" w:cs="Arial" w:eastAsia="Arial" w:hAnsi="Arial"/>
          <w:sz w:val="18"/>
          <w:szCs w:val="18"/>
          <w:color w:val="auto"/>
        </w:rPr>
      </w:pPr>
    </w:p>
    <w:p>
      <w:pPr>
        <w:ind w:left="232" w:right="160" w:firstLine="443"/>
        <w:spacing w:after="0" w:line="277" w:lineRule="auto"/>
        <w:tabs>
          <w:tab w:leader="none" w:pos="934"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provisions of this Section shall not affect any agreement among the Company and the Selling Stockholders with respect to indemnification and contribution.</w:t>
      </w:r>
    </w:p>
    <w:p>
      <w:pPr>
        <w:spacing w:after="0" w:line="62" w:lineRule="exact"/>
        <w:rPr>
          <w:rFonts w:ascii="Arial" w:cs="Arial" w:eastAsia="Arial" w:hAnsi="Arial"/>
          <w:sz w:val="18"/>
          <w:szCs w:val="18"/>
          <w:color w:val="auto"/>
        </w:rPr>
      </w:pPr>
    </w:p>
    <w:p>
      <w:pPr>
        <w:ind w:left="732" w:hanging="276"/>
        <w:spacing w:after="0"/>
        <w:tabs>
          <w:tab w:leader="none" w:pos="732"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117" w:lineRule="exact"/>
        <w:rPr>
          <w:rFonts w:ascii="Arial" w:cs="Arial" w:eastAsia="Arial" w:hAnsi="Arial"/>
          <w:sz w:val="18"/>
          <w:szCs w:val="18"/>
          <w:color w:val="auto"/>
        </w:rPr>
      </w:pPr>
    </w:p>
    <w:p>
      <w:pPr>
        <w:ind w:left="-8" w:right="200" w:firstLine="464"/>
        <w:spacing w:after="0" w:line="286" w:lineRule="auto"/>
        <w:tabs>
          <w:tab w:leader="none" w:pos="712"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and the Selling Stockholders, if after the execution and delivery of this Agreement and prior to the Closing Date or, in the case of the Option Shares,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w:t>
      </w:r>
    </w:p>
    <w:p>
      <w:pPr>
        <w:spacing w:after="0" w:line="1" w:lineRule="exact"/>
        <w:rPr>
          <w:rFonts w:ascii="Arial" w:cs="Arial" w:eastAsia="Arial" w:hAnsi="Arial"/>
          <w:sz w:val="16"/>
          <w:szCs w:val="16"/>
          <w:color w:val="auto"/>
        </w:rPr>
      </w:pPr>
    </w:p>
    <w:p>
      <w:pPr>
        <w:ind w:left="-8" w:right="140" w:firstLine="8"/>
        <w:spacing w:after="0" w:line="253" w:lineRule="auto"/>
        <w:tabs>
          <w:tab w:leader="none" w:pos="3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83" w:lineRule="exact"/>
        <w:rPr>
          <w:rFonts w:ascii="Arial" w:cs="Arial" w:eastAsia="Arial" w:hAnsi="Arial"/>
          <w:sz w:val="18"/>
          <w:szCs w:val="18"/>
          <w:color w:val="auto"/>
        </w:rPr>
      </w:pPr>
    </w:p>
    <w:p>
      <w:pPr>
        <w:ind w:left="732" w:hanging="276"/>
        <w:spacing w:after="0"/>
        <w:tabs>
          <w:tab w:leader="none" w:pos="732"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32" w:right="80" w:firstLine="443"/>
        <w:spacing w:after="0" w:line="277" w:lineRule="auto"/>
        <w:tabs>
          <w:tab w:leader="none" w:pos="924"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12"/>
          </w:cols>
          <w:pgMar w:left="248" w:top="274" w:right="239" w:bottom="1440" w:gutter="0" w:footer="0" w:header="0"/>
        </w:sectPr>
      </w:pPr>
    </w:p>
    <w:bookmarkStart w:id="43" w:name="page44"/>
    <w:bookmarkEnd w:id="4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of such Shares by other persons satisfactory to the Company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61" w:lineRule="exact"/>
        <w:rPr>
          <w:sz w:val="20"/>
          <w:szCs w:val="20"/>
          <w:color w:val="auto"/>
        </w:rPr>
      </w:pPr>
    </w:p>
    <w:p>
      <w:pPr>
        <w:ind w:right="40" w:firstLine="443"/>
        <w:spacing w:after="0" w:line="255" w:lineRule="auto"/>
        <w:tabs>
          <w:tab w:leader="none" w:pos="7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and the Company and 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81" w:lineRule="exact"/>
        <w:rPr>
          <w:rFonts w:ascii="Arial" w:cs="Arial" w:eastAsia="Arial" w:hAnsi="Arial"/>
          <w:sz w:val="18"/>
          <w:szCs w:val="18"/>
          <w:color w:val="auto"/>
        </w:rPr>
      </w:pPr>
    </w:p>
    <w:p>
      <w:pPr>
        <w:ind w:firstLine="443"/>
        <w:spacing w:after="0" w:line="290" w:lineRule="auto"/>
        <w:tabs>
          <w:tab w:leader="none" w:pos="692"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and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except that the Company and the Selling Stockholders will continue to be liable for the payment of expenses as set forth in Section 13 hereof and except that the provisions of Section 9 hereof shall not terminate and shall remain in effect.</w:t>
      </w:r>
    </w:p>
    <w:p>
      <w:pPr>
        <w:spacing w:after="0" w:line="58" w:lineRule="exact"/>
        <w:rPr>
          <w:rFonts w:ascii="Arial" w:cs="Arial" w:eastAsia="Arial" w:hAnsi="Arial"/>
          <w:sz w:val="16"/>
          <w:szCs w:val="16"/>
          <w:color w:val="auto"/>
        </w:rPr>
      </w:pPr>
    </w:p>
    <w:p>
      <w:pPr>
        <w:ind w:right="160" w:firstLine="443"/>
        <w:spacing w:after="0" w:line="277" w:lineRule="auto"/>
        <w:tabs>
          <w:tab w:leader="none" w:pos="7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0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480" w:top="274" w:right="279" w:bottom="1440" w:gutter="0" w:footer="0" w:header="0"/>
        </w:sectPr>
      </w:pPr>
    </w:p>
    <w:bookmarkStart w:id="44" w:name="page45"/>
    <w:bookmarkEnd w:id="44"/>
    <w:p>
      <w:pPr>
        <w:ind w:left="504" w:hanging="276"/>
        <w:spacing w:after="0"/>
        <w:tabs>
          <w:tab w:leader="none" w:pos="50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Expenses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4" w:right="180" w:firstLine="443"/>
        <w:spacing w:after="0" w:line="288" w:lineRule="auto"/>
        <w:tabs>
          <w:tab w:leader="none" w:pos="696" w:val="left"/>
        </w:tabs>
        <w:numPr>
          <w:ilvl w:val="2"/>
          <w:numId w:val="62"/>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stamp, issuance, transfer or other similar taxes payable in that connection;</w:t>
      </w:r>
    </w:p>
    <w:p>
      <w:pPr>
        <w:ind w:left="4" w:hanging="4"/>
        <w:spacing w:after="0" w:line="285" w:lineRule="auto"/>
        <w:tabs>
          <w:tab w:leader="none" w:pos="269"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Shares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the cost of preparing stock certificates, if applicable; (vi) the costs and charges of any transfer agent and any registrar; (vii) all filing fees and the reasonable fees and expenses incurred in connection with any filing with, and clearance of the offering by, FINRA (such fees and expenses pursuant to this clause (vii) and clause (iv), in the aggregate, shall not exceed $10,000); (viii) all expenses incurred by the Company in connection with any “road show” presentation to potential investors,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Underwriters shall be responsible for 50% of the third-party costs of any chartered private aircraft incurred in connection with such road show; and (ix) all expenses and application fees related to the listing of the Shares on the New York Stock Exchange. It is, however, understood that except as provided in this Section 13 or in Section 9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60" w:lineRule="exact"/>
        <w:rPr>
          <w:rFonts w:ascii="Arial" w:cs="Arial" w:eastAsia="Arial" w:hAnsi="Arial"/>
          <w:sz w:val="16"/>
          <w:szCs w:val="16"/>
          <w:color w:val="auto"/>
        </w:rPr>
      </w:pPr>
    </w:p>
    <w:p>
      <w:pPr>
        <w:ind w:left="704" w:hanging="257"/>
        <w:spacing w:after="0"/>
        <w:tabs>
          <w:tab w:leader="none" w:pos="704" w:val="left"/>
        </w:tabs>
        <w:numPr>
          <w:ilvl w:val="2"/>
          <w:numId w:val="63"/>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11 (other than as a result of a termination pursuant to clauses (i), (iii) or (iv) of</w:t>
      </w:r>
    </w:p>
    <w:p>
      <w:pPr>
        <w:spacing w:after="0" w:line="35" w:lineRule="exact"/>
        <w:rPr>
          <w:sz w:val="20"/>
          <w:szCs w:val="20"/>
          <w:color w:val="auto"/>
        </w:rPr>
      </w:pPr>
    </w:p>
    <w:p>
      <w:pPr>
        <w:ind w:left="4" w:right="120"/>
        <w:spacing w:after="0" w:line="281" w:lineRule="auto"/>
        <w:rPr>
          <w:sz w:val="20"/>
          <w:szCs w:val="20"/>
          <w:color w:val="auto"/>
        </w:rPr>
      </w:pPr>
      <w:r>
        <w:rPr>
          <w:rFonts w:ascii="Arial" w:cs="Arial" w:eastAsia="Arial" w:hAnsi="Arial"/>
          <w:sz w:val="16"/>
          <w:szCs w:val="16"/>
          <w:color w:val="auto"/>
        </w:rPr>
        <w:t>Section 11), (ii) the Company for any reason fails to tender the Shares for delivery to the Underwriters (other than as a result of a termination pursuant to Section 12 or clauses (i), (iii) or (iv) of Section 11 or the default by one or more of the Underwriters in its or their respective obligations hereunder) or</w:t>
      </w:r>
    </w:p>
    <w:p>
      <w:pPr>
        <w:spacing w:after="0" w:line="1" w:lineRule="exact"/>
        <w:rPr>
          <w:sz w:val="20"/>
          <w:szCs w:val="20"/>
          <w:color w:val="auto"/>
        </w:rPr>
      </w:pPr>
    </w:p>
    <w:p>
      <w:pPr>
        <w:ind w:left="4" w:right="180" w:hanging="4"/>
        <w:spacing w:after="0" w:line="255" w:lineRule="auto"/>
        <w:tabs>
          <w:tab w:leader="none" w:pos="31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82" w:lineRule="exact"/>
        <w:rPr>
          <w:rFonts w:ascii="Arial" w:cs="Arial" w:eastAsia="Arial" w:hAnsi="Arial"/>
          <w:sz w:val="18"/>
          <w:szCs w:val="18"/>
          <w:color w:val="auto"/>
        </w:rPr>
      </w:pPr>
    </w:p>
    <w:p>
      <w:pPr>
        <w:ind w:left="4" w:right="80" w:firstLine="443"/>
        <w:spacing w:after="0" w:line="279" w:lineRule="auto"/>
        <w:tabs>
          <w:tab w:leader="none" w:pos="696"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Selling Stockholders, jointly and severally, will pay all expenses incident to the performance of their respective obligations under, and the consummation of the transactions contemplated by, this Agreement, including (i) any stamp and other duties and stock and other transfer taxes, if any, payable upon the sale of the Underwritten Shares to the Underwriters and their transfer between the Underwriters pursuant to an agreement between such Underwriters, and (ii) the fees and disbursements of their respective counsel and other advisors.</w:t>
      </w:r>
    </w:p>
    <w:p>
      <w:pPr>
        <w:spacing w:after="0" w:line="104" w:lineRule="exact"/>
        <w:rPr>
          <w:sz w:val="20"/>
          <w:szCs w:val="20"/>
          <w:color w:val="auto"/>
        </w:rPr>
      </w:pPr>
    </w:p>
    <w:p>
      <w:pPr>
        <w:jc w:val="center"/>
        <w:ind w:right="156"/>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4"/>
          </w:cols>
          <w:pgMar w:left="476" w:top="274" w:right="299" w:bottom="1440" w:gutter="0" w:footer="0" w:header="0"/>
        </w:sectPr>
      </w:pPr>
    </w:p>
    <w:bookmarkStart w:id="45" w:name="page46"/>
    <w:bookmarkEnd w:id="45"/>
    <w:p>
      <w:pPr>
        <w:ind w:left="220" w:right="200" w:firstLine="443"/>
        <w:spacing w:after="0" w:line="277" w:lineRule="auto"/>
        <w:tabs>
          <w:tab w:leader="none" w:pos="922"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this Section shall not affect any agreement that the Company and the Selling Stockholders may make for the sharing of such costs and expenses.</w:t>
      </w:r>
    </w:p>
    <w:p>
      <w:pPr>
        <w:spacing w:after="0" w:line="62" w:lineRule="exact"/>
        <w:rPr>
          <w:rFonts w:ascii="Arial" w:cs="Arial" w:eastAsia="Arial" w:hAnsi="Arial"/>
          <w:sz w:val="18"/>
          <w:szCs w:val="18"/>
          <w:color w:val="auto"/>
        </w:rPr>
      </w:pPr>
    </w:p>
    <w:p>
      <w:pPr>
        <w:ind w:left="-20" w:right="140" w:firstLine="464"/>
        <w:spacing w:after="0" w:line="279" w:lineRule="auto"/>
        <w:tabs>
          <w:tab w:leader="none" w:pos="70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63" w:lineRule="exact"/>
        <w:rPr>
          <w:rFonts w:ascii="Arial" w:cs="Arial" w:eastAsia="Arial" w:hAnsi="Arial"/>
          <w:sz w:val="17"/>
          <w:szCs w:val="17"/>
          <w:color w:val="auto"/>
        </w:rPr>
      </w:pPr>
    </w:p>
    <w:p>
      <w:pPr>
        <w:ind w:left="-20" w:firstLine="464"/>
        <w:spacing w:after="0" w:line="257" w:lineRule="auto"/>
        <w:tabs>
          <w:tab w:leader="none" w:pos="70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the Adviser, the Selling Stockholders and the Underwriters contained in this Agreement or made by or on behalf of the Company, the Selling Stockholders, the Adviser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the Adviser or the Underwriters.</w:t>
      </w:r>
    </w:p>
    <w:p>
      <w:pPr>
        <w:spacing w:after="0" w:line="80" w:lineRule="exact"/>
        <w:rPr>
          <w:rFonts w:ascii="Arial" w:cs="Arial" w:eastAsia="Arial" w:hAnsi="Arial"/>
          <w:sz w:val="18"/>
          <w:szCs w:val="18"/>
          <w:color w:val="auto"/>
        </w:rPr>
      </w:pPr>
    </w:p>
    <w:p>
      <w:pPr>
        <w:ind w:left="-20" w:right="80" w:firstLine="464"/>
        <w:spacing w:after="0" w:line="286" w:lineRule="auto"/>
        <w:tabs>
          <w:tab w:leader="none" w:pos="70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57" w:lineRule="exact"/>
        <w:rPr>
          <w:rFonts w:ascii="Arial" w:cs="Arial" w:eastAsia="Arial" w:hAnsi="Arial"/>
          <w:sz w:val="17"/>
          <w:szCs w:val="17"/>
          <w:color w:val="auto"/>
        </w:rPr>
      </w:pPr>
    </w:p>
    <w:p>
      <w:pPr>
        <w:ind w:left="720" w:hanging="27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 w:firstLine="443"/>
        <w:spacing w:after="0" w:line="272" w:lineRule="auto"/>
        <w:tabs>
          <w:tab w:leader="none" w:pos="912"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hereunder shall be in writing and shall be deemed to have been duly given if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transmitted and confirmed by any standard form of telecommunication. Notices to the Underwriters shall be given to the Representatives c/o Merrill Lynch, Pierce, Fenner &amp; Smith Incorporated, One Bryant Park, New York, New York 10036, attention of Syndicate Department, with a copy to ECM Legal; J.P. Morgan Securities LLC, 383 Madison Avenue, New York, New York 10179 (fax: (212) 622-8358); Attention Equity Syndicate Desk; Goldman, Sachs &amp; Co., 200 West Street, New York, New York 10282, Attention: Registration Department. Notices to the Company or the Adviser shall be given to either of them at TPG Specialty Lending, Inc., 345 California Street, Suite 3300, San Francisco, California 94104 (fax: (917) 463-0175), Attention: David Stiepleman. Notices to the Selling Stockholders shall be given to the address set forth in Schedule 2 hereto.</w:t>
      </w:r>
    </w:p>
    <w:p>
      <w:pPr>
        <w:spacing w:after="0" w:line="69" w:lineRule="exact"/>
        <w:rPr>
          <w:rFonts w:ascii="Arial" w:cs="Arial" w:eastAsia="Arial" w:hAnsi="Arial"/>
          <w:sz w:val="17"/>
          <w:szCs w:val="17"/>
          <w:color w:val="auto"/>
        </w:rPr>
      </w:pPr>
    </w:p>
    <w:p>
      <w:pPr>
        <w:ind w:left="220" w:right="80" w:firstLine="443"/>
        <w:spacing w:after="0" w:line="264" w:lineRule="auto"/>
        <w:tabs>
          <w:tab w:leader="none" w:pos="922"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 2001)),</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60" w:top="274" w:right="259" w:bottom="1440" w:gutter="0" w:footer="0" w:header="0"/>
        </w:sectPr>
      </w:pPr>
    </w:p>
    <w:bookmarkStart w:id="46" w:name="page47"/>
    <w:bookmarkEnd w:id="46"/>
    <w:p>
      <w:pPr>
        <w:ind w:right="340" w:firstLine="443"/>
        <w:spacing w:after="0" w:line="308" w:lineRule="auto"/>
        <w:tabs>
          <w:tab w:leader="none" w:pos="692"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38" w:lineRule="exact"/>
        <w:rPr>
          <w:rFonts w:ascii="Arial" w:cs="Arial" w:eastAsia="Arial" w:hAnsi="Arial"/>
          <w:sz w:val="17"/>
          <w:szCs w:val="17"/>
          <w:color w:val="auto"/>
        </w:rPr>
      </w:pPr>
    </w:p>
    <w:p>
      <w:pPr>
        <w:ind w:right="1020" w:firstLine="443"/>
        <w:spacing w:after="0" w:line="308" w:lineRule="auto"/>
        <w:tabs>
          <w:tab w:leader="none" w:pos="702"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38" w:lineRule="exact"/>
        <w:rPr>
          <w:rFonts w:ascii="Arial" w:cs="Arial" w:eastAsia="Arial" w:hAnsi="Arial"/>
          <w:sz w:val="17"/>
          <w:szCs w:val="17"/>
          <w:color w:val="auto"/>
        </w:rPr>
      </w:pPr>
    </w:p>
    <w:p>
      <w:pPr>
        <w:ind w:firstLine="443"/>
        <w:spacing w:after="0" w:line="277" w:lineRule="auto"/>
        <w:tabs>
          <w:tab w:leader="none" w:pos="692"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right="300" w:firstLine="443"/>
        <w:spacing w:after="0" w:line="277" w:lineRule="auto"/>
        <w:tabs>
          <w:tab w:leader="none" w:pos="672"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480" w:top="274" w:right="379" w:bottom="1440" w:gutter="0" w:footer="0" w:header="0"/>
        </w:sectPr>
      </w:pPr>
    </w:p>
    <w:bookmarkStart w:id="47" w:name="page48"/>
    <w:bookmarkEnd w:id="4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Co-Chief Executive Officer</w:t>
      </w: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Underwriting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274" w:right="1440" w:bottom="1440" w:gutter="0" w:footer="0" w:header="0"/>
        </w:sectPr>
      </w:pPr>
    </w:p>
    <w:bookmarkStart w:id="48" w:name="page49"/>
    <w:bookmarkEnd w:id="4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Stiepleman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As Attorney-in-Fact acting on behalf of</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Selling Stockholders named in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Schedule 2 hereto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019"/>
          </w:cols>
          <w:pgMar w:left="1440" w:top="274"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MERRILL LYNCH, PIERCE, FENNER &amp; SMITH</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Gary Swidler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Gary Swidler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Ray Craig</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Christian Erich Bluhm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Underwriting Agreement]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274"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324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4520" w:type="dxa"/>
            <w:vAlign w:val="bottom"/>
            <w:gridSpan w:val="3"/>
          </w:tcPr>
          <w:p>
            <w:pPr>
              <w:ind w:left="3360"/>
              <w:spacing w:after="0"/>
              <w:rPr>
                <w:sz w:val="20"/>
                <w:szCs w:val="20"/>
                <w:color w:val="auto"/>
              </w:rPr>
            </w:pPr>
            <w:r>
              <w:rPr>
                <w:rFonts w:ascii="Arial" w:cs="Arial" w:eastAsia="Arial" w:hAnsi="Arial"/>
                <w:sz w:val="14"/>
                <w:szCs w:val="14"/>
                <w:color w:val="auto"/>
              </w:rPr>
              <w:t>Number of Shares</w:t>
            </w: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5"/>
        </w:trPr>
        <w:tc>
          <w:tcPr>
            <w:tcW w:w="3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Merrill Lynch, Pierce, Fenner &amp; Smith</w:t>
            </w:r>
          </w:p>
        </w:tc>
        <w:tc>
          <w:tcPr>
            <w:tcW w:w="3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44"/>
        </w:trPr>
        <w:tc>
          <w:tcPr>
            <w:tcW w:w="700" w:type="dxa"/>
            <w:vAlign w:val="bottom"/>
            <w:shd w:val="clear" w:color="auto" w:fill="CCEEFF"/>
          </w:tcPr>
          <w:p>
            <w:pPr>
              <w:spacing w:after="0"/>
              <w:rPr>
                <w:sz w:val="21"/>
                <w:szCs w:val="21"/>
                <w:color w:val="auto"/>
              </w:rPr>
            </w:pPr>
          </w:p>
        </w:tc>
        <w:tc>
          <w:tcPr>
            <w:tcW w:w="2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Incorporated</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725,000</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TPG Capital BD, LLC</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SunTrustRobinson Humphrey, Inc.</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Imperial Capital, LLC</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CEEFF"/>
          </w:tcPr>
          <w:p>
            <w:pPr>
              <w:spacing w:after="0"/>
              <w:rPr>
                <w:sz w:val="18"/>
                <w:szCs w:val="18"/>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33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19"/>
                <w:szCs w:val="19"/>
                <w:color w:val="auto"/>
              </w:rPr>
            </w:pPr>
          </w:p>
        </w:tc>
      </w:tr>
      <w:tr>
        <w:trPr>
          <w:trHeight w:val="216"/>
        </w:trPr>
        <w:tc>
          <w:tcPr>
            <w:tcW w:w="3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r>
      <w:tr>
        <w:trPr>
          <w:trHeight w:val="372"/>
        </w:trPr>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520" w:type="dxa"/>
            <w:vAlign w:val="bottom"/>
            <w:gridSpan w:val="3"/>
          </w:tcPr>
          <w:p>
            <w:pPr>
              <w:ind w:left="440"/>
              <w:spacing w:after="0"/>
              <w:rPr>
                <w:sz w:val="20"/>
                <w:szCs w:val="20"/>
                <w:color w:val="auto"/>
              </w:rPr>
            </w:pPr>
            <w:r>
              <w:rPr>
                <w:rFonts w:ascii="Arial" w:cs="Arial" w:eastAsia="Arial" w:hAnsi="Arial"/>
                <w:sz w:val="18"/>
                <w:szCs w:val="18"/>
                <w:color w:val="auto"/>
              </w:rPr>
              <w:t>S-1-1</w:t>
            </w:r>
          </w:p>
        </w:tc>
      </w:tr>
    </w:tbl>
    <w:p>
      <w:pPr>
        <w:sectPr>
          <w:pgSz w:w="11900" w:h="16838" w:orient="portrait"/>
          <w:cols w:equalWidth="0" w:num="1">
            <w:col w:w="10220"/>
          </w:cols>
          <w:pgMar w:left="1440" w:top="274" w:right="239" w:bottom="1440" w:gutter="0" w:footer="0" w:header="0"/>
        </w:sectPr>
      </w:pPr>
    </w:p>
    <w:bookmarkStart w:id="51" w:name="page52"/>
    <w:bookmarkEnd w:id="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tcPr>
          <w:p>
            <w:pPr>
              <w:ind w:left="2400"/>
              <w:spacing w:after="0"/>
              <w:rPr>
                <w:sz w:val="20"/>
                <w:szCs w:val="20"/>
                <w:color w:val="auto"/>
              </w:rPr>
            </w:pPr>
            <w:r>
              <w:rPr>
                <w:rFonts w:ascii="Arial" w:cs="Arial" w:eastAsia="Arial" w:hAnsi="Arial"/>
                <w:sz w:val="18"/>
                <w:szCs w:val="18"/>
                <w:color w:val="auto"/>
                <w:w w:val="86"/>
              </w:rPr>
              <w:t>Schedule 2</w:t>
            </w:r>
          </w:p>
        </w:tc>
        <w:tc>
          <w:tcPr>
            <w:tcW w:w="0" w:type="dxa"/>
            <w:vAlign w:val="bottom"/>
          </w:tcPr>
          <w:p>
            <w:pPr>
              <w:spacing w:after="0"/>
              <w:rPr>
                <w:sz w:val="1"/>
                <w:szCs w:val="1"/>
                <w:color w:val="auto"/>
              </w:rPr>
            </w:pPr>
          </w:p>
        </w:tc>
      </w:tr>
      <w:tr>
        <w:trPr>
          <w:trHeight w:val="648"/>
        </w:trPr>
        <w:tc>
          <w:tcPr>
            <w:tcW w:w="1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720" w:type="dxa"/>
            <w:vAlign w:val="bottom"/>
            <w:gridSpan w:val="4"/>
          </w:tcPr>
          <w:p>
            <w:pPr>
              <w:ind w:left="800"/>
              <w:spacing w:after="0"/>
              <w:rPr>
                <w:sz w:val="20"/>
                <w:szCs w:val="20"/>
                <w:color w:val="auto"/>
              </w:rPr>
            </w:pPr>
            <w:r>
              <w:rPr>
                <w:rFonts w:ascii="Arial" w:cs="Arial" w:eastAsia="Arial" w:hAnsi="Arial"/>
                <w:sz w:val="18"/>
                <w:szCs w:val="18"/>
                <w:color w:val="auto"/>
              </w:rPr>
              <w:t>Selling Stockholders</w:t>
            </w: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Maximum Number</w:t>
            </w: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 Underwritten</w:t>
            </w: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Stockholders (1):</w:t>
            </w:r>
          </w:p>
        </w:tc>
        <w:tc>
          <w:tcPr>
            <w:tcW w:w="2200" w:type="dxa"/>
            <w:vAlign w:val="bottom"/>
            <w:gridSpan w:val="2"/>
            <w:vMerge w:val="continue"/>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Option Shares to</w:t>
            </w:r>
          </w:p>
        </w:tc>
        <w:tc>
          <w:tcPr>
            <w:tcW w:w="340" w:type="dxa"/>
            <w:vAlign w:val="bottom"/>
          </w:tcPr>
          <w:p>
            <w:pPr>
              <w:spacing w:after="0"/>
              <w:rPr>
                <w:sz w:val="12"/>
                <w:szCs w:val="12"/>
                <w:color w:val="auto"/>
              </w:rPr>
            </w:pPr>
          </w:p>
        </w:tc>
        <w:tc>
          <w:tcPr>
            <w:tcW w:w="32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Counsel to Selling Stockholder</w:t>
            </w:r>
          </w:p>
        </w:tc>
        <w:tc>
          <w:tcPr>
            <w:tcW w:w="0" w:type="dxa"/>
            <w:vAlign w:val="bottom"/>
          </w:tcPr>
          <w:p>
            <w:pPr>
              <w:spacing w:after="0"/>
              <w:rPr>
                <w:sz w:val="1"/>
                <w:szCs w:val="1"/>
                <w:color w:val="auto"/>
              </w:rPr>
            </w:pPr>
          </w:p>
        </w:tc>
      </w:tr>
      <w:tr>
        <w:trPr>
          <w:trHeight w:val="158"/>
        </w:trPr>
        <w:tc>
          <w:tcPr>
            <w:tcW w:w="4160" w:type="dxa"/>
            <w:vAlign w:val="bottom"/>
            <w:gridSpan w:val="2"/>
            <w:vMerge w:val="continue"/>
          </w:tcPr>
          <w:p>
            <w:pPr>
              <w:spacing w:after="0"/>
              <w:rPr>
                <w:sz w:val="13"/>
                <w:szCs w:val="13"/>
                <w:color w:val="auto"/>
              </w:rPr>
            </w:pPr>
          </w:p>
        </w:tc>
        <w:tc>
          <w:tcPr>
            <w:tcW w:w="2200" w:type="dxa"/>
            <w:vAlign w:val="bottom"/>
            <w:gridSpan w:val="2"/>
          </w:tcPr>
          <w:p>
            <w:pPr>
              <w:jc w:val="right"/>
              <w:ind w:right="900"/>
              <w:spacing w:after="0" w:line="158" w:lineRule="exact"/>
              <w:rPr>
                <w:sz w:val="20"/>
                <w:szCs w:val="20"/>
                <w:color w:val="auto"/>
              </w:rPr>
            </w:pPr>
            <w:r>
              <w:rPr>
                <w:rFonts w:ascii="Arial" w:cs="Arial" w:eastAsia="Arial" w:hAnsi="Arial"/>
                <w:sz w:val="14"/>
                <w:szCs w:val="14"/>
                <w:b w:val="1"/>
                <w:bCs w:val="1"/>
                <w:color w:val="auto"/>
              </w:rPr>
              <w:t>Shares to be Sold</w:t>
            </w:r>
          </w:p>
        </w:tc>
        <w:tc>
          <w:tcPr>
            <w:tcW w:w="15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6"/>
              </w:rPr>
              <w:t>be Sold</w:t>
            </w:r>
          </w:p>
        </w:tc>
        <w:tc>
          <w:tcPr>
            <w:tcW w:w="34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MSSB TPG Specialty Lending Onshore Feeder</w:t>
            </w:r>
          </w:p>
        </w:tc>
        <w:tc>
          <w:tcPr>
            <w:tcW w:w="1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2,593,099</w:t>
            </w:r>
          </w:p>
        </w:tc>
        <w:tc>
          <w:tcPr>
            <w:tcW w:w="6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388,965</w:t>
            </w: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Alston &amp; Bird LLP</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Universities Superannuation Scheme Limited</w:t>
            </w:r>
          </w:p>
        </w:tc>
        <w:tc>
          <w:tcPr>
            <w:tcW w:w="2200" w:type="dxa"/>
            <w:vAlign w:val="bottom"/>
            <w:gridSpan w:val="2"/>
          </w:tcPr>
          <w:p>
            <w:pPr>
              <w:jc w:val="right"/>
              <w:ind w:right="660"/>
              <w:spacing w:after="0"/>
              <w:rPr>
                <w:sz w:val="20"/>
                <w:szCs w:val="20"/>
                <w:color w:val="auto"/>
              </w:rPr>
            </w:pPr>
            <w:r>
              <w:rPr>
                <w:rFonts w:ascii="Arial" w:cs="Arial" w:eastAsia="Arial" w:hAnsi="Arial"/>
                <w:sz w:val="18"/>
                <w:szCs w:val="18"/>
                <w:color w:val="auto"/>
              </w:rPr>
              <w:t>422,996</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63,449</w:t>
            </w: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Proskauer Rose LLP</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p>
        </w:tc>
        <w:tc>
          <w:tcPr>
            <w:tcW w:w="2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648,853</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97,327</w:t>
            </w: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Nixon Peabody LLP</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Arizona State Retirement System</w:t>
            </w:r>
          </w:p>
        </w:tc>
        <w:tc>
          <w:tcPr>
            <w:tcW w:w="2200" w:type="dxa"/>
            <w:vAlign w:val="bottom"/>
            <w:gridSpan w:val="2"/>
          </w:tcPr>
          <w:p>
            <w:pPr>
              <w:jc w:val="right"/>
              <w:ind w:right="660"/>
              <w:spacing w:after="0"/>
              <w:rPr>
                <w:sz w:val="20"/>
                <w:szCs w:val="20"/>
                <w:color w:val="auto"/>
              </w:rPr>
            </w:pPr>
            <w:r>
              <w:rPr>
                <w:rFonts w:ascii="Arial" w:cs="Arial" w:eastAsia="Arial" w:hAnsi="Arial"/>
                <w:sz w:val="18"/>
                <w:szCs w:val="18"/>
                <w:color w:val="auto"/>
              </w:rPr>
              <w:t>959,678</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143,952</w:t>
            </w: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Foley &amp; Lardner LLP</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Peregrine Multi-Manager Fund, LP</w:t>
            </w:r>
          </w:p>
        </w:tc>
        <w:tc>
          <w:tcPr>
            <w:tcW w:w="2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136,963</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20,544</w:t>
            </w: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Thompson &amp; Knight LLP</w:t>
            </w:r>
          </w:p>
        </w:tc>
        <w:tc>
          <w:tcPr>
            <w:tcW w:w="0" w:type="dxa"/>
            <w:vAlign w:val="bottom"/>
          </w:tcPr>
          <w:p>
            <w:pPr>
              <w:spacing w:after="0"/>
              <w:rPr>
                <w:sz w:val="1"/>
                <w:szCs w:val="1"/>
                <w:color w:val="auto"/>
              </w:rPr>
            </w:pP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Millennium Trust FBO—DCM Investments LP</w:t>
            </w:r>
          </w:p>
        </w:tc>
        <w:tc>
          <w:tcPr>
            <w:tcW w:w="1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—TPGSL</w:t>
            </w:r>
          </w:p>
        </w:tc>
        <w:tc>
          <w:tcPr>
            <w:tcW w:w="2200" w:type="dxa"/>
            <w:vAlign w:val="bottom"/>
            <w:gridSpan w:val="2"/>
          </w:tcPr>
          <w:p>
            <w:pPr>
              <w:jc w:val="right"/>
              <w:ind w:right="660"/>
              <w:spacing w:after="0"/>
              <w:rPr>
                <w:sz w:val="20"/>
                <w:szCs w:val="20"/>
                <w:color w:val="auto"/>
              </w:rPr>
            </w:pPr>
            <w:r>
              <w:rPr>
                <w:rFonts w:ascii="Arial" w:cs="Arial" w:eastAsia="Arial" w:hAnsi="Arial"/>
                <w:sz w:val="18"/>
                <w:szCs w:val="18"/>
                <w:color w:val="auto"/>
              </w:rPr>
              <w:t>39,310</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5,897</w:t>
            </w: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DCM TPGSL Fund LLC</w:t>
            </w:r>
          </w:p>
        </w:tc>
        <w:tc>
          <w:tcPr>
            <w:tcW w:w="2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33,575</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5,036</w:t>
            </w: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Pipeline Industry Pension Fund</w:t>
            </w:r>
          </w:p>
        </w:tc>
        <w:tc>
          <w:tcPr>
            <w:tcW w:w="1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Segal Rogerscasey (In-House Counsel) or</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w w:val="97"/>
              </w:rPr>
              <w:t>such external counsel as shall be agreed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0" w:type="dxa"/>
            <w:vAlign w:val="bottom"/>
            <w:gridSpan w:val="2"/>
          </w:tcPr>
          <w:p>
            <w:pPr>
              <w:jc w:val="right"/>
              <w:ind w:right="660"/>
              <w:spacing w:after="0"/>
              <w:rPr>
                <w:sz w:val="20"/>
                <w:szCs w:val="20"/>
                <w:color w:val="auto"/>
              </w:rPr>
            </w:pPr>
            <w:r>
              <w:rPr>
                <w:rFonts w:ascii="Arial" w:cs="Arial" w:eastAsia="Arial" w:hAnsi="Arial"/>
                <w:sz w:val="18"/>
                <w:szCs w:val="18"/>
                <w:color w:val="auto"/>
              </w:rPr>
              <w:t>41,612</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6,242</w:t>
            </w: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among the parties</w:t>
            </w:r>
          </w:p>
        </w:tc>
        <w:tc>
          <w:tcPr>
            <w:tcW w:w="0" w:type="dxa"/>
            <w:vAlign w:val="bottom"/>
          </w:tcPr>
          <w:p>
            <w:pPr>
              <w:spacing w:after="0"/>
              <w:rPr>
                <w:sz w:val="1"/>
                <w:szCs w:val="1"/>
                <w:color w:val="auto"/>
              </w:rPr>
            </w:pPr>
          </w:p>
        </w:tc>
      </w:tr>
      <w:tr>
        <w:trPr>
          <w:trHeight w:val="202"/>
        </w:trPr>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International Union, UAW Strike Trust</w:t>
            </w:r>
          </w:p>
        </w:tc>
        <w:tc>
          <w:tcPr>
            <w:tcW w:w="1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Segal Rogerscasey (In-House Counsel) or</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such external counsel as shall be agreed</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33,284</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4,993</w:t>
            </w: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among the parties</w:t>
            </w:r>
          </w:p>
        </w:tc>
        <w:tc>
          <w:tcPr>
            <w:tcW w:w="0" w:type="dxa"/>
            <w:vAlign w:val="bottom"/>
          </w:tcPr>
          <w:p>
            <w:pPr>
              <w:spacing w:after="0"/>
              <w:rPr>
                <w:sz w:val="1"/>
                <w:szCs w:val="1"/>
                <w:color w:val="auto"/>
              </w:rPr>
            </w:pP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International Union, UAW Master Pension Trust</w:t>
            </w:r>
          </w:p>
        </w:tc>
        <w:tc>
          <w:tcPr>
            <w:tcW w:w="1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Segal Rogerscasey (In-House Counsel) or</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w w:val="97"/>
              </w:rPr>
              <w:t>such external counsel as shall be agreed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0" w:type="dxa"/>
            <w:vAlign w:val="bottom"/>
            <w:gridSpan w:val="2"/>
          </w:tcPr>
          <w:p>
            <w:pPr>
              <w:jc w:val="right"/>
              <w:ind w:right="660"/>
              <w:spacing w:after="0"/>
              <w:rPr>
                <w:sz w:val="20"/>
                <w:szCs w:val="20"/>
                <w:color w:val="auto"/>
              </w:rPr>
            </w:pPr>
            <w:r>
              <w:rPr>
                <w:rFonts w:ascii="Arial" w:cs="Arial" w:eastAsia="Arial" w:hAnsi="Arial"/>
                <w:sz w:val="18"/>
                <w:szCs w:val="18"/>
                <w:color w:val="auto"/>
              </w:rPr>
              <w:t>33,284</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4,993</w:t>
            </w: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among the parties</w:t>
            </w:r>
          </w:p>
        </w:tc>
        <w:tc>
          <w:tcPr>
            <w:tcW w:w="0" w:type="dxa"/>
            <w:vAlign w:val="bottom"/>
          </w:tcPr>
          <w:p>
            <w:pPr>
              <w:spacing w:after="0"/>
              <w:rPr>
                <w:sz w:val="1"/>
                <w:szCs w:val="1"/>
                <w:color w:val="auto"/>
              </w:rPr>
            </w:pPr>
          </w:p>
        </w:tc>
      </w:tr>
      <w:tr>
        <w:trPr>
          <w:trHeight w:val="202"/>
        </w:trPr>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Iron Workers District Council of Southern</w:t>
            </w:r>
          </w:p>
        </w:tc>
        <w:tc>
          <w:tcPr>
            <w:tcW w:w="1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Segal Rogerscasey (In-House Counsel) or</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Ohio &amp; Vicinity Pension Trust</w:t>
            </w: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such external counsel as shall be agreed</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27,727</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4,159</w:t>
            </w: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among the parties</w:t>
            </w:r>
          </w:p>
        </w:tc>
        <w:tc>
          <w:tcPr>
            <w:tcW w:w="0" w:type="dxa"/>
            <w:vAlign w:val="bottom"/>
          </w:tcPr>
          <w:p>
            <w:pPr>
              <w:spacing w:after="0"/>
              <w:rPr>
                <w:sz w:val="1"/>
                <w:szCs w:val="1"/>
                <w:color w:val="auto"/>
              </w:rPr>
            </w:pP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Harold Charles Price</w:t>
            </w:r>
          </w:p>
        </w:tc>
        <w:tc>
          <w:tcPr>
            <w:tcW w:w="1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Segal Rogerscasey (In-House Counsel) or</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w w:val="97"/>
              </w:rPr>
              <w:t>such external counsel as shall be agreed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0" w:type="dxa"/>
            <w:vAlign w:val="bottom"/>
            <w:gridSpan w:val="2"/>
          </w:tcPr>
          <w:p>
            <w:pPr>
              <w:jc w:val="right"/>
              <w:ind w:right="660"/>
              <w:spacing w:after="0"/>
              <w:rPr>
                <w:sz w:val="20"/>
                <w:szCs w:val="20"/>
                <w:color w:val="auto"/>
              </w:rPr>
            </w:pPr>
            <w:r>
              <w:rPr>
                <w:rFonts w:ascii="Arial" w:cs="Arial" w:eastAsia="Arial" w:hAnsi="Arial"/>
                <w:sz w:val="18"/>
                <w:szCs w:val="18"/>
                <w:color w:val="auto"/>
              </w:rPr>
              <w:t>16,642</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2,496</w:t>
            </w:r>
          </w:p>
        </w:tc>
        <w:tc>
          <w:tcPr>
            <w:tcW w:w="3540" w:type="dxa"/>
            <w:vAlign w:val="bottom"/>
            <w:gridSpan w:val="2"/>
          </w:tcPr>
          <w:p>
            <w:pPr>
              <w:ind w:left="340"/>
              <w:spacing w:after="0"/>
              <w:rPr>
                <w:sz w:val="20"/>
                <w:szCs w:val="20"/>
                <w:color w:val="auto"/>
              </w:rPr>
            </w:pPr>
            <w:r>
              <w:rPr>
                <w:rFonts w:ascii="Arial" w:cs="Arial" w:eastAsia="Arial" w:hAnsi="Arial"/>
                <w:sz w:val="18"/>
                <w:szCs w:val="18"/>
                <w:color w:val="auto"/>
              </w:rPr>
              <w:t>among the parties</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Huan Piao Chen &amp; Ann Pao Chen</w:t>
            </w:r>
          </w:p>
        </w:tc>
        <w:tc>
          <w:tcPr>
            <w:tcW w:w="2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12,977</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1,947</w:t>
            </w:r>
          </w:p>
        </w:tc>
        <w:tc>
          <w:tcPr>
            <w:tcW w:w="3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41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right="240" w:hanging="452"/>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otherwise indicated, the address of each Selling Stockholder is c/o Jennifer Mello, As Attorney-in-Fact, c/o TPG Specialty Lending, Inc., 345 California Street, Suite 3300, San Francisco, CA 94104.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27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25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TSL MR,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2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persons and entities subject to 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MSSB TPG Specialty Lending Onshore Feeder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 Public Employees Retirement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Arizona State Retirement System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Peregrine Multi-Manager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Millennium Trust FBO—DCM Investments LP—TPGSL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DCM TPGSL Fund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Pipeline Industry Pension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Union, UAW Strike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Union, UAW Master Pension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Iron Workers District Council of Southern Ohio &amp; Vicinity Pension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Harold Charles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Huan Piao Chen &amp; Ann Pao Chen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S-4-A-1</w:t>
      </w:r>
    </w:p>
    <w:p>
      <w:pPr>
        <w:sectPr>
          <w:pgSz w:w="11900" w:h="16838" w:orient="portrait"/>
          <w:cols w:equalWidth="0" w:num="1">
            <w:col w:w="11420"/>
          </w:cols>
          <w:pgMar w:left="240" w:top="27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Directors and Officers subject to 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Higginbotham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Tanemura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Kirshenbaum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S-4-A-1</w:t>
      </w:r>
    </w:p>
    <w:p>
      <w:pPr>
        <w:sectPr>
          <w:pgSz w:w="11900" w:h="16838" w:orient="portrait"/>
          <w:cols w:equalWidth="0" w:num="1">
            <w:col w:w="11420"/>
          </w:cols>
          <w:pgMar w:left="240" w:top="27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 Provided Orally by Underwriters</w:t>
      </w:r>
    </w:p>
    <w:p>
      <w:pPr>
        <w:spacing w:after="0" w:line="135"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Underwritten Shares: 5,000,000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Public Offering Price Per Share: $18.63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420"/>
          </w:cols>
          <w:pgMar w:left="240" w:top="27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 (Selling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refer to the letter agreement, dated as of February 3, 2014 (the “Existing Lock-up Agreement”), entered into in connection with the initial public offering (the “IPO”) of the common stock of TPG Specialty Lending, Inc. (the “Company”). Capitalized terms used herein and not otherwise defined shall have the meanings set forth in the Existing Lock-up Agreement.</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the terms of the Existing Lock-up Agreement, subject to certain exceptions, we are subject to transfer restrictions in respect of certain shares of common stock of TPG Specialty Lending, Inc. held by us for the period ending 180 days after the date of the prospectus relating to the IPO (the “IPO Prospectus”) (such shares, the “September 17 Shares”). The undersigned understands that the Company proposes to enter into an underwriting agreement (the “Underwriting Agreement”) with certain underwriters, the selling stockholders named therein and TSL Advisers, LLC, providing for the public offering, pursuant to a registration statement filed with the Commission, of certain September 17 Shares (the “Secondary Offering”).</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consideration of your agreement to make the Secondary Offering, and for other good and valuable consideration, the receipt of which is hereby acknowledged, if the undersigned sells any September 17 Shares pursuant to the Underwriting Agreement, the undersigned hereby agrees that, with respect to 100% of the September 17 Shares that are not sold pursuant to the Underwriting Agreement (such shares, the “Remaining Shares”), the Lock-Up Period under the Existing Lock-up Agreement shall mean the period ending 270 days after the date of IPO Prospectus (December 15, 2014), and, with respect to 50% of the Remaining Shares, the Lock-Up Period under the Existing Lock-up Agreement shall mean the period ending 360 days after the date of the IPO Prospectus (March 15, 2015).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A-2-1</w:t>
      </w:r>
    </w:p>
    <w:p>
      <w:pPr>
        <w:sectPr>
          <w:pgSz w:w="11900" w:h="16838" w:orient="portrait"/>
          <w:cols w:equalWidth="0" w:num="1">
            <w:col w:w="11420"/>
          </w:cols>
          <w:pgMar w:left="240" w:top="274" w:right="239" w:bottom="1440" w:gutter="0" w:footer="0" w:header="0"/>
        </w:sectPr>
      </w:pPr>
    </w:p>
    <w:bookmarkStart w:id="57" w:name="page58"/>
    <w:bookmarkEnd w:id="57"/>
    <w:p>
      <w:pPr>
        <w:ind w:right="14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 of this Letter Agreement, the “Extended Lock-Up Period” shall mean the period beginning the date the undersigned is released from the Existing Lock-up Agreement with respect to any September 17 Shares sold pursuant to the Underwriting Agreement until the end of any Lock-up Period as amended by this Letter Agreement. During any Extended Lock-Up Period, with respect to the Remaining Shares, the “Representatives,” as such term is used in the Existing Lock-up Agreement, shall mean the representatives of the underwriters as named in the Underwriting Agreement and any consent required under the Existing Lock-Up Agreement shall only be required from Merrill Lynch, Pierce, Fenner &amp; Smith Incorporated.</w:t>
      </w:r>
    </w:p>
    <w:p>
      <w:pPr>
        <w:spacing w:after="0" w:line="15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All other terms of the Existing Lock-up Agreement apply to the Remaining Shares during any Extended Lock-up Period. All other terms of the Existing Lock-up Agreement remain in effect. All shares other than the September 17 Shares subject to transfer restrictions under the Existing Lock-up Agreement remain subject to the Existing Lock-up Agreement, the terms of which are not affected by this Letter Agreement with respect to those shares.</w:t>
      </w:r>
    </w:p>
    <w:p>
      <w:pPr>
        <w:spacing w:after="0" w:line="14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undersigned understands that, if (i) prior to entering into the Underwriting Agreement, the Company notifies the undersigned in writing that the Company does not intend to proceed with the Secondary Offering; (ii) the Underwriting Agreement has not been executed prior to September 17, 2014; or</w:t>
      </w:r>
    </w:p>
    <w:p>
      <w:pPr>
        <w:ind w:right="40" w:firstLine="8"/>
        <w:spacing w:after="0" w:line="254" w:lineRule="auto"/>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Underwriting Agreement (other than the provisions thereof which survive termination) shall terminate or be terminated prior to payment for and delivery of the September 17 Shares to be sold thereunder, the undersigned shall be released from, all obligations under this Letter Agreement. The undersigned acknowledges that in the event the undersigned is released from this Letter Agreement pursuant to this paragraph, all terms of the Existing Lock-up Agreement will remain in effect without regard to this Letter Agreement.</w:t>
      </w:r>
    </w:p>
    <w:p>
      <w:pPr>
        <w:spacing w:after="0" w:line="1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A-2-2</w:t>
      </w:r>
    </w:p>
    <w:p>
      <w:pPr>
        <w:sectPr>
          <w:pgSz w:w="11900" w:h="16838" w:orient="portrait"/>
          <w:cols w:equalWidth="0" w:num="1">
            <w:col w:w="11420"/>
          </w:cols>
          <w:pgMar w:left="240" w:top="274" w:right="239" w:bottom="1440" w:gutter="0" w:footer="0" w:header="0"/>
        </w:sectPr>
      </w:pPr>
    </w:p>
    <w:bookmarkStart w:id="58" w:name="page59"/>
    <w:bookmarkEnd w:id="5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 A-2-3</w:t>
      </w:r>
    </w:p>
    <w:p>
      <w:pPr>
        <w:sectPr>
          <w:pgSz w:w="11900" w:h="16838" w:orient="portrait"/>
          <w:cols w:equalWidth="0" w:num="1">
            <w:col w:w="9019"/>
          </w:cols>
          <w:pgMar w:left="1440" w:top="274" w:right="1440" w:bottom="1440" w:gutter="0" w:footer="0" w:header="0"/>
        </w:sectPr>
      </w:pPr>
    </w:p>
    <w:bookmarkStart w:id="59" w:name="page60"/>
    <w:bookmarkEnd w:id="59"/>
    <w:p>
      <w:pPr>
        <w:ind w:left="10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 (Directors and Officers)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refer to the letter agreement, dated as of February 3, 2014 (the “Existing Lock-up Agreement”), entered into in connection with the initial public offering (the “IPO”) of the common stock of TPG Specialty Lending, Inc. (the “Company”). Capitalized terms used herein and not otherwise defined shall have the meanings set forth in the Existing Lock-up Agreement.</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terms of the Existing Lock-up Agreement, subject to certain exceptions, we are subject to transfer restrictions in respect of certain shares of common stock of TPG Specialty Lending, Inc. held by us for the period ending 180 days after the date of the prospectus relating to the IPO (the “IPO Prospectus”) (such shares, the “September 17 Shares”). The undersigned understands that the Company proposes to enter into an underwriting agreement (the “Underwriting Agreement”) with certain underwriters, the selling stockholders named therein and TSL Advisers, LLC, providing for the public offering, pursuant to a registration statement filed with the Commission, of certain shares of common stock held by the selling stockholders (the “Secondary Offering”).</w:t>
      </w:r>
    </w:p>
    <w:p>
      <w:pPr>
        <w:spacing w:after="0" w:line="193"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For good and valuable consideration, the receipt of which is hereby acknowledged, the undersigned hereby agrees that, with respect to all of its September 17 Shares, the Lock-Up Period under the Existing Lock-up Agreement shall mean the period ending 90 days after the date of the prospectus supplement relating to the Secondary Offering.</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the purpose of this Letter Agreement, the “Extended Lock-Up Period” shall mean the period beginning September 17, 2014 until the end of the Lock-up Period as amended by this Letter Agreement. During the Extended Lock-Up Period, with respect to the September 17 Shares, the “Representatives,” as such term is used in the Existing Lock-up Agreement, shall mean the representatives of the underwriters as named in the Underwriting Agreement and any consent required under the Existing Lock-Up Agreement shall only be required from Merrill Lynch, Pierce, Fenner &amp; Smith Incorporated.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A-3-1</w:t>
      </w:r>
    </w:p>
    <w:p>
      <w:pPr>
        <w:sectPr>
          <w:pgSz w:w="11900" w:h="16838" w:orient="portrait"/>
          <w:cols w:equalWidth="0" w:num="1">
            <w:col w:w="11420"/>
          </w:cols>
          <w:pgMar w:left="240" w:top="274" w:right="239" w:bottom="1440" w:gutter="0" w:footer="0" w:header="0"/>
        </w:sectPr>
      </w:pPr>
    </w:p>
    <w:bookmarkStart w:id="60" w:name="page61"/>
    <w:bookmarkEnd w:id="60"/>
    <w:p>
      <w:pPr>
        <w:ind w:right="40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terms of the Existing Lock-up Agreement apply to the September 17 Shares during any Extended Lock-up Period. All other terms of the Existing Lock-up Agreement remain in effect. All shares other than the September 17 Shares subject to transfer restrictions under the Existing Lock-up Agreement remain subject to the Existing Lock-up Agreement, the terms of which are not affected by this Letter Agreement with respect to those shares.</w:t>
      </w:r>
    </w:p>
    <w:p>
      <w:pPr>
        <w:spacing w:after="0" w:line="14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understands that, if (i) prior to entering into the Underwriting Agreement, the Company notifies the undersigned in writing that it does not intend to proceed with the Secondary Offering; (ii) the Underwriting Agreement has not been executed prior to September 17, 2014; or (iii) the Underwriting Agreement (other than the provisions thereof which survive termination) shall terminate or be terminated prior to payment for and delivery of the shares to be sold thereunder, the undersigned shall be released from, all obligations under this Letter Agreement. The undersigned acknowledges that in the event the undersigned is released from this Letter Agreement pursuant to this paragraph, all terms of the Existing Lock-up Agreement will remain in effect without regard to this Letter Agreement.</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A-3-2</w:t>
      </w:r>
    </w:p>
    <w:p>
      <w:pPr>
        <w:sectPr>
          <w:pgSz w:w="11900" w:h="16838" w:orient="portrait"/>
          <w:cols w:equalWidth="0" w:num="1">
            <w:col w:w="11420"/>
          </w:cols>
          <w:pgMar w:left="240" w:top="274" w:right="239" w:bottom="1440" w:gutter="0" w:footer="0" w:header="0"/>
        </w:sectPr>
      </w:pPr>
    </w:p>
    <w:bookmarkStart w:id="61" w:name="page62"/>
    <w:bookmarkEnd w:id="6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 A-3-3</w:t>
      </w:r>
    </w:p>
    <w:p>
      <w:pPr>
        <w:sectPr>
          <w:pgSz w:w="11900" w:h="16838" w:orient="portrait"/>
          <w:cols w:equalWidth="0" w:num="1">
            <w:col w:w="9019"/>
          </w:cols>
          <w:pgMar w:left="1440" w:top="274" w:right="1440" w:bottom="1440" w:gutter="0" w:footer="0" w:header="0"/>
        </w:sectPr>
      </w:pPr>
    </w:p>
    <w:bookmarkStart w:id="62" w:name="page63"/>
    <w:bookmarkEnd w:id="62"/>
    <w:p>
      <w:pPr>
        <w:ind w:left="10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A-4</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 (Adviser)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refer to the letter agreement, dated as of March 17, 2014 (the “Existing Lock-up Agreement”), entered into in connection with the initial public offering (the “IPO”) of the common stock of TPG Specialty Lending, Inc. (the “Company”). Capitalized terms used herein and not otherwise defined shall have the meanings set forth in the Existing Lock-up Agreement.</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terms of the Existing Lock-up Agreement, subject to certain exceptions, we are subject to transfer restrictions in respect of shares of common stock of TPG Specialty Lending, Inc. held by us for the period ending 365 days after the date of the prospectus relating to the IPO (the “IPO Prospectus”) (such shares, the “Restricted Shares”). The undersigned understands that the Company proposes to enter into an underwriting agreement (the “Underwriting Agreement”) with us, certain underwriters and the selling stockholders named therein, providing for the public offering, pursuant to a registration statement filed with the Commission, of certain shares of common stock held by the selling stockholders (the “Secondary Offering”).</w:t>
      </w:r>
    </w:p>
    <w:p>
      <w:pPr>
        <w:spacing w:after="0" w:line="173"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For good and valuable consideration, the receipt of which is hereby acknowledged, the undersigned hereby agrees that, with respect to all of the Restricted Shares, the Lock-Up Period under the Existing Lock-up Agreement shall mean the period ending April 30, 2015.</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For the purpose of this Letter Agreement, the “Extended Lock-Up Period” shall mean the period beginning March 21, 2015 until the end of the Lock-up Period as amended by this Letter Agreement. During the Extended Lock-Up Period, with respect to the Restricted Shares, the “Representatives,” as such term is used in the Existing Lock-up Agreement, shall mean the representatives of the underwriters as named in the Underwriting Agreement and any consent required under the Existing Lock-Up Agreement shall only be required from Merrill Lynch, Pierce, Fenner &amp; Smith Incorporated.</w:t>
      </w:r>
    </w:p>
    <w:p>
      <w:pPr>
        <w:sectPr>
          <w:pgSz w:w="11900" w:h="16838" w:orient="portrait"/>
          <w:cols w:equalWidth="0" w:num="1">
            <w:col w:w="11420"/>
          </w:cols>
          <w:pgMar w:left="240" w:top="274" w:right="239" w:bottom="1440" w:gutter="0" w:footer="0" w:header="0"/>
        </w:sectPr>
      </w:pPr>
    </w:p>
    <w:bookmarkStart w:id="63" w:name="page64"/>
    <w:bookmarkEnd w:id="63"/>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other terms of the Existing Lock-up Agreement apply to the Restricted Shares during any Extended Lock-up Period. All other terms of the Existing Lock-up Agreement remain in effect.</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understands that, if (i) prior to entering into the Underwriting Agreement, the Company notifies the undersigned in writing that it does not intend to proceed with the Secondary Offering; (ii) the Underwriting Agreement has not been executed prior to September 17, 2014; or (iii) the Underwriting Agreement (other than the provisions thereof which survive termination) shall terminate or be terminated prior to payment for and delivery of the shares to be sold thereunder, the undersigned shall be released from, all obligations under this Letter Agreement. The undersigned acknowledges that in the event the undersigned is released from this Letter Agreement pursuant to this paragraph, all terms of the Existing Lock-up Agreement will remain in effect without regard to this Letter Agreement.</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4" w:name="page65"/>
    <w:bookmarkEnd w:id="6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TSL Advisers, LLC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lowerLetter"/>
      <w:start w:val="2"/>
    </w:lvl>
  </w:abstractNum>
  <w:abstractNum w:abstractNumId="1">
    <w:nsid w:val="3804823E"/>
    <w:multiLevelType w:val="hybridMultilevel"/>
    <w:lvl w:ilvl="0">
      <w:lvlJc w:val="left"/>
      <w:lvlText w:val="(%1)"/>
      <w:numFmt w:val="lowerLetter"/>
      <w:start w:val="5"/>
    </w:lvl>
  </w:abstractNum>
  <w:abstractNum w:abstractNumId="2">
    <w:nsid w:val="77465F01"/>
    <w:multiLevelType w:val="hybridMultilevel"/>
    <w:lvl w:ilvl="0">
      <w:lvlJc w:val="left"/>
      <w:lvlText w:val="(%1)"/>
      <w:numFmt w:val="lowerLetter"/>
      <w:start w:val="9"/>
    </w:lvl>
  </w:abstractNum>
  <w:abstractNum w:abstractNumId="3">
    <w:nsid w:val="7724C67E"/>
    <w:multiLevelType w:val="hybridMultilevel"/>
    <w:lvl w:ilvl="0">
      <w:lvlJc w:val="left"/>
      <w:lvlText w:val="(%1)"/>
      <w:numFmt w:val="lowerLetter"/>
      <w:start w:val="12"/>
    </w:lvl>
  </w:abstractNum>
  <w:abstractNum w:abstractNumId="4">
    <w:nsid w:val="5C482A97"/>
    <w:multiLevelType w:val="hybridMultilevel"/>
    <w:lvl w:ilvl="0">
      <w:lvlJc w:val="left"/>
      <w:lvlText w:val="(%1)"/>
      <w:numFmt w:val="lowerLetter"/>
      <w:start w:val="15"/>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580BD78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
    <w:nsid w:val="153EA4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2"/>
    </w:lvl>
    <w:lvl w:ilvl="1">
      <w:lvlJc w:val="left"/>
      <w:lvlText w:val="(%2)"/>
      <w:numFmt w:val="lowerLetter"/>
      <w:start w:val="1"/>
    </w:lvl>
  </w:abstractNum>
  <w:abstractNum w:abstractNumId="13">
    <w:nsid w:val="6A2342EC"/>
    <w:multiLevelType w:val="hybridMultilevel"/>
    <w:lvl w:ilvl="0">
      <w:lvlJc w:val="left"/>
      <w:lvlText w:val="(%1)"/>
      <w:numFmt w:val="lowerLetter"/>
      <w:start w:val="2"/>
    </w:lvl>
  </w:abstractNum>
  <w:abstractNum w:abstractNumId="14">
    <w:nsid w:val="2A487CB0"/>
    <w:multiLevelType w:val="hybridMultilevel"/>
    <w:lvl w:ilvl="0">
      <w:lvlJc w:val="left"/>
      <w:lvlText w:val="(%1)"/>
      <w:numFmt w:val="lowerLetter"/>
      <w:start w:val="4"/>
    </w:lvl>
  </w:abstractNum>
  <w:abstractNum w:abstractNumId="15">
    <w:nsid w:val="1D4ED43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6">
    <w:nsid w:val="725A06FB"/>
    <w:multiLevelType w:val="hybridMultilevel"/>
    <w:lvl w:ilvl="0">
      <w:lvlJc w:val="left"/>
      <w:lvlText w:val="(%1)"/>
      <w:numFmt w:val="decimal"/>
      <w:start w:val="19"/>
    </w:lvl>
    <w:lvl w:ilvl="1">
      <w:lvlJc w:val="left"/>
      <w:lvlText w:val="%2"/>
      <w:numFmt w:val="decimal"/>
      <w:start w:val="1"/>
    </w:lvl>
    <w:lvl w:ilvl="2">
      <w:lvlJc w:val="left"/>
      <w:lvlText w:val="(%3)"/>
      <w:numFmt w:val="lowerLetter"/>
      <w:start w:val="4"/>
    </w:lvl>
  </w:abstractNum>
  <w:abstractNum w:abstractNumId="17">
    <w:nsid w:val="2CD89A32"/>
    <w:multiLevelType w:val="hybridMultilevel"/>
    <w:lvl w:ilvl="0">
      <w:lvlJc w:val="left"/>
      <w:lvlText w:val="%1"/>
      <w:numFmt w:val="lowerLetter"/>
      <w:start w:val="1"/>
    </w:lvl>
    <w:lvl w:ilvl="1">
      <w:lvlJc w:val="left"/>
      <w:lvlText w:val="(%2)"/>
      <w:numFmt w:val="lowerLetter"/>
      <w:start w:val="6"/>
    </w:lvl>
  </w:abstractNum>
  <w:abstractNum w:abstractNumId="18">
    <w:nsid w:val="57E4CCAF"/>
    <w:multiLevelType w:val="hybridMultilevel"/>
    <w:lvl w:ilvl="0">
      <w:lvlJc w:val="left"/>
      <w:lvlText w:val="(%1)"/>
      <w:numFmt w:val="lowerLetter"/>
      <w:start w:val="9"/>
    </w:lvl>
    <w:lvl w:ilvl="1">
      <w:lvlJc w:val="left"/>
      <w:lvlText w:val="%2"/>
      <w:numFmt w:val="lowerLetter"/>
      <w:start w:val="1"/>
    </w:lvl>
  </w:abstractNum>
  <w:abstractNum w:abstractNumId="19">
    <w:nsid w:val="7A6D8D3C"/>
    <w:multiLevelType w:val="hybridMultilevel"/>
    <w:lvl w:ilvl="0">
      <w:lvlJc w:val="left"/>
      <w:lvlText w:val="(%1)"/>
      <w:numFmt w:val="lowerLetter"/>
      <w:start w:val="8"/>
    </w:lvl>
  </w:abstractNum>
  <w:abstractNum w:abstractNumId="20">
    <w:nsid w:val="4B588F54"/>
    <w:multiLevelType w:val="hybridMultilevel"/>
    <w:lvl w:ilvl="0">
      <w:lvlJc w:val="left"/>
      <w:lvlText w:val="(%1)"/>
      <w:numFmt w:val="lowerLetter"/>
      <w:start w:val="11"/>
    </w:lvl>
  </w:abstractNum>
  <w:abstractNum w:abstractNumId="21">
    <w:nsid w:val="542289EC"/>
    <w:multiLevelType w:val="hybridMultilevel"/>
    <w:lvl w:ilvl="0">
      <w:lvlJc w:val="left"/>
      <w:lvlText w:val="(%1)"/>
      <w:numFmt w:val="lowerLetter"/>
      <w:start w:val="18"/>
    </w:lvl>
  </w:abstractNum>
  <w:abstractNum w:abstractNumId="22">
    <w:nsid w:val="6DE91B18"/>
    <w:multiLevelType w:val="hybridMultilevel"/>
    <w:lvl w:ilvl="0">
      <w:lvlJc w:val="left"/>
      <w:lvlText w:val="%1"/>
      <w:numFmt w:val="lowerLetter"/>
      <w:start w:val="1"/>
    </w:lvl>
    <w:lvl w:ilvl="1">
      <w:lvlJc w:val="left"/>
      <w:lvlText w:val="(%2)"/>
      <w:numFmt w:val="lowerLetter"/>
      <w:start w:val="21"/>
    </w:lvl>
  </w:abstractNum>
  <w:abstractNum w:abstractNumId="23">
    <w:nsid w:val="38437FDB"/>
    <w:multiLevelType w:val="hybridMultilevel"/>
    <w:lvl w:ilvl="0">
      <w:lvlJc w:val="left"/>
      <w:lvlText w:val="(%1)"/>
      <w:numFmt w:val="lowerLetter"/>
      <w:start w:val="9"/>
    </w:lvl>
    <w:lvl w:ilvl="1">
      <w:lvlJc w:val="left"/>
      <w:lvlText w:val="%2"/>
      <w:numFmt w:val="lowerLetter"/>
      <w:start w:val="1"/>
    </w:lvl>
  </w:abstractNum>
  <w:abstractNum w:abstractNumId="24">
    <w:nsid w:val="7644A45C"/>
    <w:multiLevelType w:val="hybridMultilevel"/>
    <w:lvl w:ilvl="0">
      <w:lvlJc w:val="left"/>
      <w:lvlText w:val="(%1)"/>
      <w:numFmt w:val="lowerLetter"/>
      <w:start w:val="25"/>
    </w:lvl>
  </w:abstractNum>
  <w:abstractNum w:abstractNumId="25">
    <w:nsid w:val="32FFF902"/>
    <w:multiLevelType w:val="hybridMultilevel"/>
    <w:lvl w:ilvl="0">
      <w:lvlJc w:val="left"/>
      <w:lvlText w:val="(%1)"/>
      <w:numFmt w:val="lowerLetter"/>
      <w:start w:val="27"/>
    </w:lvl>
  </w:abstractNum>
  <w:abstractNum w:abstractNumId="26">
    <w:nsid w:val="684A481A"/>
    <w:multiLevelType w:val="hybridMultilevel"/>
    <w:lvl w:ilvl="0">
      <w:lvlJc w:val="left"/>
      <w:lvlText w:val="%1"/>
      <w:numFmt w:val="lowerRoman"/>
      <w:start w:val="1"/>
    </w:lvl>
    <w:lvl w:ilvl="1">
      <w:lvlJc w:val="left"/>
      <w:lvlText w:val="(%2)"/>
      <w:numFmt w:val="lowerLetter"/>
      <w:start w:val="30"/>
    </w:lvl>
  </w:abstractNum>
  <w:abstractNum w:abstractNumId="27">
    <w:nsid w:val="579478FE"/>
    <w:multiLevelType w:val="hybridMultilevel"/>
    <w:lvl w:ilvl="0">
      <w:lvlJc w:val="left"/>
      <w:lvlText w:val="(%1)"/>
      <w:numFmt w:val="lowerRoman"/>
      <w:start w:val="4"/>
    </w:lvl>
    <w:lvl w:ilvl="1">
      <w:lvlJc w:val="left"/>
      <w:lvlText w:val="(%2)"/>
      <w:numFmt w:val="lowerLetter"/>
      <w:start w:val="31"/>
    </w:lvl>
  </w:abstractNum>
  <w:abstractNum w:abstractNumId="28">
    <w:nsid w:val="749ABB43"/>
    <w:multiLevelType w:val="hybridMultilevel"/>
    <w:lvl w:ilvl="0">
      <w:lvlJc w:val="left"/>
      <w:lvlText w:val="%1"/>
      <w:numFmt w:val="lowerLetter"/>
      <w:start w:val="1"/>
    </w:lvl>
    <w:lvl w:ilvl="1">
      <w:lvlJc w:val="left"/>
      <w:lvlText w:val="(%2)"/>
      <w:numFmt w:val="lowerLetter"/>
      <w:start w:val="32"/>
    </w:lvl>
  </w:abstractNum>
  <w:abstractNum w:abstractNumId="29">
    <w:nsid w:val="3DC240FB"/>
    <w:multiLevelType w:val="hybridMultilevel"/>
    <w:lvl w:ilvl="0">
      <w:lvlJc w:val="left"/>
      <w:lvlText w:val="(%1)"/>
      <w:numFmt w:val="lowerLetter"/>
      <w:start w:val="61"/>
    </w:lvl>
    <w:lvl w:ilvl="1">
      <w:lvlJc w:val="left"/>
      <w:lvlText w:val="(%2)"/>
      <w:numFmt w:val="lowerLetter"/>
      <w:start w:val="33"/>
    </w:lvl>
  </w:abstractNum>
  <w:abstractNum w:abstractNumId="30">
    <w:nsid w:val="1BA026FA"/>
    <w:multiLevelType w:val="hybridMultilevel"/>
    <w:lvl w:ilvl="0">
      <w:lvlJc w:val="left"/>
      <w:lvlText w:val="(%1)"/>
      <w:numFmt w:val="lowerLetter"/>
      <w:start w:val="35"/>
    </w:lvl>
  </w:abstractNum>
  <w:abstractNum w:abstractNumId="31">
    <w:nsid w:val="79A1DE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1"/>
    </w:lvl>
  </w:abstractNum>
  <w:abstractNum w:abstractNumId="32">
    <w:nsid w:val="75C6C33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3">
    <w:nsid w:val="12E685F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34">
    <w:nsid w:val="70C6A529"/>
    <w:multiLevelType w:val="hybridMultilevel"/>
    <w:lvl w:ilvl="0">
      <w:lvlJc w:val="left"/>
      <w:lvlText w:val="(%1)"/>
      <w:numFmt w:val="lowerLetter"/>
      <w:start w:val="3"/>
    </w:lvl>
  </w:abstractNum>
  <w:abstractNum w:abstractNumId="35">
    <w:nsid w:val="520EEDD1"/>
    <w:multiLevelType w:val="hybridMultilevel"/>
    <w:lvl w:ilvl="0">
      <w:lvlJc w:val="left"/>
      <w:lvlText w:val="(%1)"/>
      <w:numFmt w:val="lowerLetter"/>
      <w:start w:val="8"/>
    </w:lvl>
  </w:abstractNum>
  <w:abstractNum w:abstractNumId="36">
    <w:nsid w:val="374A3FE6"/>
    <w:multiLevelType w:val="hybridMultilevel"/>
    <w:lvl w:ilvl="0">
      <w:lvlJc w:val="left"/>
      <w:lvlText w:val="%1"/>
      <w:numFmt w:val="lowerLetter"/>
      <w:start w:val="1"/>
    </w:lvl>
    <w:lvl w:ilvl="1">
      <w:lvlJc w:val="left"/>
      <w:lvlText w:val="(%2)"/>
      <w:numFmt w:val="lowerLetter"/>
      <w:start w:val="11"/>
    </w:lvl>
  </w:abstractNum>
  <w:abstractNum w:abstractNumId="37">
    <w:nsid w:val="4F4EF005"/>
    <w:multiLevelType w:val="hybridMultilevel"/>
    <w:lvl w:ilvl="0">
      <w:lvlJc w:val="left"/>
      <w:lvlText w:val="(%1)"/>
      <w:numFmt w:val="lowerLetter"/>
      <w:start w:val="61"/>
    </w:lvl>
    <w:lvl w:ilvl="1">
      <w:lvlJc w:val="left"/>
      <w:lvlText w:val="(%2)"/>
      <w:numFmt w:val="lowerLetter"/>
      <w:start w:val="15"/>
    </w:lvl>
  </w:abstractNum>
  <w:abstractNum w:abstractNumId="38">
    <w:nsid w:val="23F9C13C"/>
    <w:multiLevelType w:val="hybridMultilevel"/>
    <w:lvl w:ilvl="0">
      <w:lvlJc w:val="left"/>
      <w:lvlText w:val="%1"/>
      <w:numFmt w:val="decimal"/>
      <w:start w:val="1"/>
    </w:lvl>
    <w:lvl w:ilvl="1">
      <w:lvlJc w:val="left"/>
      <w:lvlText w:val="(%2)"/>
      <w:numFmt w:val="lowerLetter"/>
      <w:start w:val="16"/>
    </w:lvl>
  </w:abstractNum>
  <w:abstractNum w:abstractNumId="39">
    <w:nsid w:val="649BB77C"/>
    <w:multiLevelType w:val="hybridMultilevel"/>
    <w:lvl w:ilvl="0">
      <w:lvlJc w:val="left"/>
      <w:lvlText w:val="%1."/>
      <w:numFmt w:val="decimal"/>
      <w:start w:val="5"/>
    </w:lvl>
    <w:lvl w:ilvl="1">
      <w:lvlJc w:val="left"/>
      <w:lvlText w:val="(%2)"/>
      <w:numFmt w:val="lowerLetter"/>
      <w:start w:val="1"/>
    </w:lvl>
  </w:abstractNum>
  <w:abstractNum w:abstractNumId="40">
    <w:nsid w:val="275AC794"/>
    <w:multiLevelType w:val="hybridMultilevel"/>
    <w:lvl w:ilvl="0">
      <w:lvlJc w:val="left"/>
      <w:lvlText w:val="(%1)"/>
      <w:numFmt w:val="lowerLetter"/>
      <w:start w:val="2"/>
    </w:lvl>
  </w:abstractNum>
  <w:abstractNum w:abstractNumId="41">
    <w:nsid w:val="39386575"/>
    <w:multiLevelType w:val="hybridMultilevel"/>
    <w:lvl w:ilvl="0">
      <w:lvlJc w:val="left"/>
      <w:lvlText w:val="(%1)"/>
      <w:numFmt w:val="lowerLetter"/>
      <w:start w:val="7"/>
    </w:lvl>
  </w:abstractNum>
  <w:abstractNum w:abstractNumId="42">
    <w:nsid w:val="1CF10FD8"/>
    <w:multiLevelType w:val="hybridMultilevel"/>
    <w:lvl w:ilvl="0">
      <w:lvlJc w:val="left"/>
      <w:lvlText w:val="%1"/>
      <w:numFmt w:val="decimal"/>
      <w:start w:val="1"/>
    </w:lvl>
    <w:lvl w:ilvl="1">
      <w:lvlJc w:val="left"/>
      <w:lvlText w:val="(%2)"/>
      <w:numFmt w:val="lowerLetter"/>
      <w:start w:val="10"/>
    </w:lvl>
  </w:abstractNum>
  <w:abstractNum w:abstractNumId="43">
    <w:nsid w:val="180115BE"/>
    <w:multiLevelType w:val="hybridMultilevel"/>
    <w:lvl w:ilvl="0">
      <w:lvlJc w:val="left"/>
      <w:lvlText w:val="%1."/>
      <w:numFmt w:val="decimal"/>
      <w:start w:val="6"/>
    </w:lvl>
    <w:lvl w:ilvl="1">
      <w:lvlJc w:val="left"/>
      <w:lvlText w:val="(%2)"/>
      <w:numFmt w:val="lowerLetter"/>
      <w:start w:val="1"/>
    </w:lvl>
  </w:abstractNum>
  <w:abstractNum w:abstractNumId="44">
    <w:nsid w:val="235BA861"/>
    <w:multiLevelType w:val="hybridMultilevel"/>
    <w:lvl w:ilvl="0">
      <w:lvlJc w:val="left"/>
      <w:lvlText w:val="(%1)"/>
      <w:numFmt w:val="lowerLetter"/>
      <w:start w:val="3"/>
    </w:lvl>
  </w:abstractNum>
  <w:abstractNum w:abstractNumId="45">
    <w:nsid w:val="47398C89"/>
    <w:multiLevelType w:val="hybridMultilevel"/>
    <w:lvl w:ilvl="0">
      <w:lvlJc w:val="left"/>
      <w:lvlText w:val="(%1)"/>
      <w:numFmt w:val="lowerLetter"/>
      <w:start w:val="6"/>
    </w:lvl>
  </w:abstractNum>
  <w:abstractNum w:abstractNumId="46">
    <w:nsid w:val="354FE9F9"/>
    <w:multiLevelType w:val="hybridMultilevel"/>
    <w:lvl w:ilvl="0">
      <w:lvlJc w:val="left"/>
      <w:lvlText w:val="(%1)"/>
      <w:numFmt w:val="lowerLetter"/>
      <w:start w:val="9"/>
    </w:lvl>
  </w:abstractNum>
  <w:abstractNum w:abstractNumId="47">
    <w:nsid w:val="15B5AF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6"/>
    </w:lvl>
  </w:abstractNum>
  <w:abstractNum w:abstractNumId="48">
    <w:nsid w:val="741226BB"/>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abstractNum>
  <w:abstractNum w:abstractNumId="49">
    <w:nsid w:val="D34B6A8"/>
    <w:multiLevelType w:val="hybridMultilevel"/>
    <w:lvl w:ilvl="0">
      <w:lvlJc w:val="left"/>
      <w:lvlText w:val="%1"/>
      <w:numFmt w:val="lowerLetter"/>
      <w:start w:val="1"/>
    </w:lvl>
    <w:lvl w:ilvl="1">
      <w:lvlJc w:val="left"/>
      <w:lvlText w:val="(%2)"/>
      <w:numFmt w:val="lowerLetter"/>
      <w:start w:val="3"/>
    </w:lvl>
  </w:abstractNum>
  <w:abstractNum w:abstractNumId="50">
    <w:nsid w:val="10233C99"/>
    <w:multiLevelType w:val="hybridMultilevel"/>
    <w:lvl w:ilvl="0">
      <w:lvlJc w:val="left"/>
      <w:lvlText w:val="(%1)"/>
      <w:numFmt w:val="lowerLetter"/>
      <w:start w:val="35"/>
    </w:lvl>
    <w:lvl w:ilvl="1">
      <w:lvlJc w:val="left"/>
      <w:lvlText w:val="(%2)"/>
      <w:numFmt w:val="lowerLetter"/>
      <w:start w:val="5"/>
    </w:lvl>
  </w:abstractNum>
  <w:abstractNum w:abstractNumId="51">
    <w:nsid w:val="3F6AB60F"/>
    <w:multiLevelType w:val="hybridMultilevel"/>
    <w:lvl w:ilvl="0">
      <w:lvlJc w:val="left"/>
      <w:lvlText w:val="(%1)"/>
      <w:numFmt w:val="lowerLetter"/>
      <w:start w:val="8"/>
    </w:lvl>
  </w:abstractNum>
  <w:abstractNum w:abstractNumId="52">
    <w:nsid w:val="61574095"/>
    <w:multiLevelType w:val="hybridMultilevel"/>
    <w:lvl w:ilvl="0">
      <w:lvlJc w:val="left"/>
      <w:lvlText w:val="(%1)"/>
      <w:numFmt w:val="lowerLetter"/>
      <w:start w:val="12"/>
    </w:lvl>
  </w:abstractNum>
  <w:abstractNum w:abstractNumId="53">
    <w:nsid w:val="7E0C57B1"/>
    <w:multiLevelType w:val="hybridMultilevel"/>
    <w:lvl w:ilvl="0">
      <w:lvlJc w:val="left"/>
      <w:lvlText w:val="%1."/>
      <w:numFmt w:val="decimal"/>
      <w:start w:val="9"/>
    </w:lvl>
    <w:lvl w:ilvl="1">
      <w:lvlJc w:val="left"/>
      <w:lvlText w:val="(%2)"/>
      <w:numFmt w:val="lowerLetter"/>
      <w:start w:val="1"/>
    </w:lvl>
  </w:abstractNum>
  <w:abstractNum w:abstractNumId="54">
    <w:nsid w:val="77AE35EB"/>
    <w:multiLevelType w:val="hybridMultilevel"/>
    <w:lvl w:ilvl="0">
      <w:lvlJc w:val="left"/>
      <w:lvlText w:val="(%1)"/>
      <w:numFmt w:val="lowerLetter"/>
      <w:start w:val="2"/>
    </w:lvl>
  </w:abstractNum>
  <w:abstractNum w:abstractNumId="55">
    <w:nsid w:val="579BE4F1"/>
    <w:multiLevelType w:val="hybridMultilevel"/>
    <w:lvl w:ilvl="0">
      <w:lvlJc w:val="left"/>
      <w:lvlText w:val="(%1)"/>
      <w:numFmt w:val="lowerLetter"/>
      <w:start w:val="4"/>
    </w:lvl>
  </w:abstractNum>
  <w:abstractNum w:abstractNumId="56">
    <w:nsid w:val="310C50B3"/>
    <w:multiLevelType w:val="hybridMultilevel"/>
    <w:lvl w:ilvl="0">
      <w:lvlJc w:val="left"/>
      <w:lvlText w:val="(%1)"/>
      <w:numFmt w:val="lowerLetter"/>
      <w:start w:val="9"/>
    </w:lvl>
    <w:lvl w:ilvl="1">
      <w:lvlJc w:val="left"/>
      <w:lvlText w:val="(%2)"/>
      <w:numFmt w:val="lowerLetter"/>
      <w:start w:val="5"/>
    </w:lvl>
  </w:abstractNum>
  <w:abstractNum w:abstractNumId="57">
    <w:nsid w:val="5FF87E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58">
    <w:nsid w:val="2F305DEF"/>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59">
    <w:nsid w:val="25A70BF7"/>
    <w:multiLevelType w:val="hybridMultilevel"/>
    <w:lvl w:ilvl="0">
      <w:lvlJc w:val="left"/>
      <w:lvlText w:val="(%1)"/>
      <w:numFmt w:val="lowerLetter"/>
      <w:start w:val="61"/>
    </w:lvl>
    <w:lvl w:ilvl="1">
      <w:lvlJc w:val="left"/>
      <w:lvlText w:val="%2."/>
      <w:numFmt w:val="decimal"/>
      <w:start w:val="12"/>
    </w:lvl>
    <w:lvl w:ilvl="2">
      <w:lvlJc w:val="left"/>
      <w:lvlText w:val="(%3)"/>
      <w:numFmt w:val="lowerLetter"/>
      <w:start w:val="1"/>
    </w:lvl>
  </w:abstractNum>
  <w:abstractNum w:abstractNumId="60">
    <w:nsid w:val="1DBABF00"/>
    <w:multiLevelType w:val="hybridMultilevel"/>
    <w:lvl w:ilvl="0">
      <w:lvlJc w:val="left"/>
      <w:lvlText w:val="(%1)"/>
      <w:numFmt w:val="lowerLetter"/>
      <w:start w:val="2"/>
    </w:lvl>
  </w:abstractNum>
  <w:abstractNum w:abstractNumId="61">
    <w:nsid w:val="4AD084E9"/>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62">
    <w:nsid w:val="1F48EAA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63">
    <w:nsid w:val="1381823A"/>
    <w:multiLevelType w:val="hybridMultilevel"/>
    <w:lvl w:ilvl="0">
      <w:lvlJc w:val="left"/>
      <w:lvlText w:val="(%1)"/>
      <w:numFmt w:val="lowerLetter"/>
      <w:start w:val="61"/>
    </w:lvl>
    <w:lvl w:ilvl="1">
      <w:lvlJc w:val="left"/>
      <w:lvlText w:val="(%2)"/>
      <w:numFmt w:val="lowerLetter"/>
      <w:start w:val="3"/>
    </w:lvl>
  </w:abstractNum>
  <w:abstractNum w:abstractNumId="64">
    <w:nsid w:val="5DB70AE5"/>
    <w:multiLevelType w:val="hybridMultilevel"/>
    <w:lvl w:ilvl="0">
      <w:lvlJc w:val="left"/>
      <w:lvlText w:val="%1"/>
      <w:numFmt w:val="decimal"/>
      <w:start w:val="1"/>
    </w:lvl>
    <w:lvl w:ilvl="1">
      <w:lvlJc w:val="left"/>
      <w:lvlText w:val="(%2)"/>
      <w:numFmt w:val="lowerLetter"/>
      <w:start w:val="4"/>
    </w:lvl>
  </w:abstractNum>
  <w:abstractNum w:abstractNumId="65">
    <w:nsid w:val="100F8FCA"/>
    <w:multiLevelType w:val="hybridMultilevel"/>
    <w:lvl w:ilvl="0">
      <w:lvlJc w:val="left"/>
      <w:lvlText w:val="%1."/>
      <w:numFmt w:val="decimal"/>
      <w:start w:val="14"/>
    </w:lvl>
    <w:lvl w:ilvl="1">
      <w:lvlJc w:val="left"/>
      <w:lvlText w:val="(%2)"/>
      <w:numFmt w:val="lowerLetter"/>
      <w:start w:val="1"/>
    </w:lvl>
  </w:abstractNum>
  <w:abstractNum w:abstractNumId="66">
    <w:nsid w:val="6590700B"/>
    <w:multiLevelType w:val="hybridMultilevel"/>
    <w:lvl w:ilvl="0">
      <w:lvlJc w:val="left"/>
      <w:lvlText w:val="(%1)"/>
      <w:numFmt w:val="lowerLetter"/>
      <w:start w:val="3"/>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2019-12-08T00:00:10Z</dcterms:created>
  <dcterms:modified xsi:type="dcterms:W3CDTF">2019-12-08T00:00:10Z</dcterms:modified>
</cp:coreProperties>
</file>