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Tanemura Ronald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40"/>
        <w:spacing w:after="0" w:line="402" w:lineRule="auto"/>
        <w:rPr>
          <w:sz w:val="20"/>
          <w:szCs w:val="20"/>
          <w:color w:val="auto"/>
        </w:rPr>
      </w:pPr>
      <w:r>
        <w:rPr>
          <w:rFonts w:ascii="Arial" w:cs="Arial" w:eastAsia="Arial" w:hAnsi="Arial"/>
          <w:sz w:val="16"/>
          <w:szCs w:val="16"/>
          <w:color w:val="0000FF"/>
        </w:rPr>
        <w:t>C/O TPG SPECIALTY LENDING, INC 301 COMMERCE ST., SUITE 3300</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TPG Specialty Lending,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TSLX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560" w:type="dxa"/>
            <w:vAlign w:val="bottom"/>
            <w:gridSpan w:val="3"/>
          </w:tcPr>
          <w:p>
            <w:pPr>
              <w:ind w:left="80"/>
              <w:spacing w:after="0"/>
              <w:rPr>
                <w:sz w:val="20"/>
                <w:szCs w:val="20"/>
                <w:color w:val="auto"/>
              </w:rPr>
            </w:pPr>
            <w:r>
              <w:rPr>
                <w:rFonts w:ascii="Arial" w:cs="Arial" w:eastAsia="Arial" w:hAnsi="Arial"/>
                <w:sz w:val="18"/>
                <w:szCs w:val="18"/>
                <w:color w:val="0000FF"/>
              </w:rPr>
              <w:t>03/23/2018</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03/23/2018</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Pr>
          <w:p>
            <w:pPr>
              <w:ind w:left="220"/>
              <w:spacing w:after="0"/>
              <w:rPr>
                <w:sz w:val="20"/>
                <w:szCs w:val="20"/>
                <w:color w:val="auto"/>
              </w:rPr>
            </w:pPr>
            <w:r>
              <w:rPr>
                <w:rFonts w:ascii="Arial" w:cs="Arial" w:eastAsia="Arial" w:hAnsi="Arial"/>
                <w:sz w:val="18"/>
                <w:szCs w:val="18"/>
                <w:color w:val="0000FF"/>
                <w:w w:val="87"/>
              </w:rPr>
              <w:t>30,000</w:t>
            </w:r>
          </w:p>
        </w:tc>
        <w:tc>
          <w:tcPr>
            <w:tcW w:w="700" w:type="dxa"/>
            <w:vAlign w:val="bottom"/>
          </w:tcPr>
          <w:p>
            <w:pPr>
              <w:ind w:left="360"/>
              <w:spacing w:after="0"/>
              <w:rPr>
                <w:sz w:val="20"/>
                <w:szCs w:val="20"/>
                <w:color w:val="auto"/>
              </w:rPr>
            </w:pPr>
            <w:r>
              <w:rPr>
                <w:rFonts w:ascii="Arial" w:cs="Arial" w:eastAsia="Arial" w:hAnsi="Arial"/>
                <w:sz w:val="18"/>
                <w:szCs w:val="18"/>
                <w:color w:val="0000FF"/>
              </w:rPr>
              <w:t>A</w:t>
            </w:r>
          </w:p>
        </w:tc>
        <w:tc>
          <w:tcPr>
            <w:tcW w:w="660" w:type="dxa"/>
            <w:vAlign w:val="bottom"/>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17.45</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86,516</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firstLine="9"/>
        <w:spacing w:after="0" w:line="239" w:lineRule="auto"/>
        <w:tabs>
          <w:tab w:leader="none" w:pos="231"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Jennifer Gordon is signing on behalf of Mr. Tanemura pursuant to the authorization and designation letter dated May 20, 2015, which was previously filed with the Securities and Exchange Commission as an exhibit to a Form 4 filed by Mr. Tanemura on November 30, 2015 (SEC File No. 814-00854).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Jennifer Gordon, on behalf</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03/27/2018</w:t>
            </w:r>
          </w:p>
        </w:tc>
        <w:tc>
          <w:tcPr>
            <w:tcW w:w="0" w:type="dxa"/>
            <w:vAlign w:val="bottom"/>
          </w:tcPr>
          <w:p>
            <w:pPr>
              <w:spacing w:after="0"/>
              <w:rPr>
                <w:sz w:val="1"/>
                <w:szCs w:val="1"/>
                <w:color w:val="auto"/>
              </w:rPr>
            </w:pPr>
          </w:p>
        </w:tc>
      </w:tr>
      <w:tr>
        <w:trPr>
          <w:trHeight w:val="88"/>
        </w:trPr>
        <w:tc>
          <w:tcPr>
            <w:tcW w:w="1700" w:type="dxa"/>
            <w:vAlign w:val="bottom"/>
            <w:vMerge w:val="restart"/>
          </w:tcPr>
          <w:p>
            <w:pPr>
              <w:spacing w:after="0" w:line="196" w:lineRule="exact"/>
              <w:rPr>
                <w:sz w:val="20"/>
                <w:szCs w:val="20"/>
                <w:color w:val="auto"/>
              </w:rPr>
            </w:pPr>
            <w:r>
              <w:rPr>
                <w:rFonts w:ascii="Arial" w:cs="Arial" w:eastAsia="Arial" w:hAnsi="Arial"/>
                <w:sz w:val="18"/>
                <w:szCs w:val="18"/>
                <w:color w:val="0000FF"/>
                <w:w w:val="87"/>
              </w:rPr>
              <w:t>of Ronald Tanemura (1)</w:t>
            </w:r>
          </w:p>
        </w:tc>
        <w:tc>
          <w:tcPr>
            <w:tcW w:w="5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700" w:type="dxa"/>
            <w:vAlign w:val="bottom"/>
            <w:tcBorders>
              <w:bottom w:val="single" w:sz="8" w:color="auto"/>
            </w:tcBorders>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405"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2019-12-07T21:46:47Z</dcterms:created>
  <dcterms:modified xsi:type="dcterms:W3CDTF">2019-12-07T21:46:47Z</dcterms:modified>
</cp:coreProperties>
</file>