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15,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7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(I.R.S. Employer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814-00854</w:t>
      </w:r>
    </w:p>
    <w:p>
      <w:pPr>
        <w:spacing w:after="0" w:line="23"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27-3380000</w:t>
      </w:r>
    </w:p>
    <w:p>
      <w:pPr>
        <w:spacing w:after="0" w:line="23"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of Incorporation)</w:t>
      </w:r>
    </w:p>
    <w:p>
      <w:pPr>
        <w:spacing w:after="0" w:line="9" w:lineRule="exact"/>
        <w:rPr>
          <w:sz w:val="24"/>
          <w:szCs w:val="24"/>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580" w:space="720"/>
            <w:col w:w="2260"/>
          </w:cols>
          <w:pgMar w:left="240" w:top="522" w:right="359" w:bottom="1440" w:gutter="0" w:footer="0" w:header="0"/>
          <w:type w:val="continuous"/>
        </w:sectPr>
      </w:pPr>
    </w:p>
    <w:p>
      <w:pPr>
        <w:spacing w:after="0" w:line="11"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Fort Worth, TX</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2200"/>
        <w:spacing w:after="0"/>
        <w:rPr>
          <w:sz w:val="20"/>
          <w:szCs w:val="20"/>
          <w:color w:val="auto"/>
        </w:rPr>
      </w:pPr>
      <w:r>
        <w:rPr>
          <w:rFonts w:ascii="Arial" w:cs="Arial" w:eastAsia="Arial" w:hAnsi="Arial"/>
          <w:sz w:val="18"/>
          <w:szCs w:val="18"/>
          <w:color w:val="auto"/>
        </w:rPr>
        <w:t>76102</w:t>
      </w:r>
    </w:p>
    <w:p>
      <w:pPr>
        <w:spacing w:after="0" w:line="23"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80" w:space="720"/>
            <w:col w:w="3000"/>
          </w:cols>
          <w:pgMar w:left="240" w:top="522" w:right="359" w:bottom="1440" w:gutter="0" w:footer="0" w:header="0"/>
          <w:type w:val="continuous"/>
        </w:sectPr>
      </w:pP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(817) 871-4000</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117"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On April 15, 2011, TPG Specialty Lending, Inc. (the “Company”) entered into an Advisory Agreement (the “Advisory Agreement”) with TSL Advisers, LLC (the “Adviser”). The Adviser also serves as the Company’s administrator under the terms of a separate Administration Agreement. Under the terms of the Advisory Agreement, the Adviser will:</w:t>
      </w:r>
    </w:p>
    <w:p>
      <w:pPr>
        <w:spacing w:after="0" w:line="73" w:lineRule="exact"/>
        <w:rPr>
          <w:sz w:val="20"/>
          <w:szCs w:val="20"/>
          <w:color w:val="auto"/>
        </w:rPr>
      </w:pPr>
    </w:p>
    <w:p>
      <w:pPr>
        <w:ind w:left="660" w:right="66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determine the composition of the Company’s portfolio, the nature and timing of the changes to the Company’s portfolio and the manner of implementing such changes;</w:t>
      </w:r>
    </w:p>
    <w:p>
      <w:pPr>
        <w:spacing w:after="0" w:line="75" w:lineRule="exact"/>
        <w:rPr>
          <w:rFonts w:ascii="Arial" w:cs="Arial" w:eastAsia="Arial" w:hAnsi="Arial"/>
          <w:sz w:val="18"/>
          <w:szCs w:val="18"/>
          <w:b w:val="1"/>
          <w:bCs w:val="1"/>
          <w:color w:val="auto"/>
        </w:rPr>
      </w:pPr>
    </w:p>
    <w:p>
      <w:pPr>
        <w:ind w:left="660" w:right="56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identify, evaluate and negotiate the structure of the investments the Company makes (including performing due diligence on the Company’s prospective portfolio companies);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determine the assets the Company will originate, purchase, retain or sell;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close, monitor and administer the investments the Company makes, including the exercise of any rights in the Company’s capacity as a lender; and</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provide the Company with such other investment advice, research and related services as the Company may, from time to time, require.</w:t>
      </w:r>
    </w:p>
    <w:p>
      <w:pPr>
        <w:spacing w:after="0" w:line="129" w:lineRule="exact"/>
        <w:rPr>
          <w:sz w:val="20"/>
          <w:szCs w:val="20"/>
          <w:color w:val="auto"/>
        </w:rPr>
      </w:pPr>
    </w:p>
    <w:p>
      <w:pPr>
        <w:ind w:right="500" w:firstLine="447"/>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or other services to others so long as its services to us are not impaired.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the Advisory Agreement, we will pay the Adviser a base management fee and may also pay to it certain incentive fees.</w:t>
      </w:r>
    </w:p>
    <w:p>
      <w:pPr>
        <w:spacing w:after="0" w:line="129"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Unless earlier terminated as described below, the Advisory Agreement will remain in effect until April 15, 2013 and will remain in effect from year to year thereafter if approved annually by (i) the vote of the Company’s Board of Directors, or by the vote of a majority of its outstanding voting securities, and</w:t>
      </w: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vote of a majority of the Company’s directors who are not “interested persons” of the Company, of the Administrator or of any of their respective</w:t>
      </w:r>
    </w:p>
    <w:p>
      <w:pPr>
        <w:spacing w:after="0" w:line="3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affiliates, as defined in the Investment Company Act of 1940, as amended. The Advisory Agreement will automatically terminate in the event of assignment and may be terminated by either party without penalty upon at least 60 days’ written notice to the other party.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Advisory Agreement is filed as Exhibit 10.1 to this Form 8-K and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Advisory Agreement, dated as of April 15, 2011, between the Company and the Adviser</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6300" w:type="dxa"/>
            <w:vAlign w:val="bottom"/>
            <w:gridSpan w:val="2"/>
          </w:tcPr>
          <w:p>
            <w:pPr>
              <w:ind w:left="1920"/>
              <w:spacing w:after="0"/>
              <w:rPr>
                <w:sz w:val="20"/>
                <w:szCs w:val="20"/>
                <w:color w:val="auto"/>
              </w:rPr>
            </w:pPr>
            <w:r>
              <w:rPr>
                <w:rFonts w:ascii="Arial" w:cs="Arial" w:eastAsia="Arial" w:hAnsi="Arial"/>
                <w:sz w:val="18"/>
                <w:szCs w:val="18"/>
                <w:color w:val="auto"/>
              </w:rPr>
              <w:t>TPG SPECIALTY LENDING, INC.</w:t>
            </w:r>
          </w:p>
        </w:tc>
      </w:tr>
      <w:tr>
        <w:trPr>
          <w:trHeight w:val="230"/>
        </w:trPr>
        <w:tc>
          <w:tcPr>
            <w:tcW w:w="3440" w:type="dxa"/>
            <w:vAlign w:val="bottom"/>
          </w:tcPr>
          <w:p>
            <w:pPr>
              <w:spacing w:after="0"/>
              <w:rPr>
                <w:sz w:val="20"/>
                <w:szCs w:val="20"/>
                <w:color w:val="auto"/>
              </w:rPr>
            </w:pPr>
          </w:p>
        </w:tc>
        <w:tc>
          <w:tcPr>
            <w:tcW w:w="630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April 21, 2011</w:t>
            </w:r>
          </w:p>
        </w:tc>
        <w:tc>
          <w:tcPr>
            <w:tcW w:w="6300" w:type="dxa"/>
            <w:vAlign w:val="bottom"/>
            <w:gridSpan w:val="2"/>
          </w:tcPr>
          <w:p>
            <w:pPr>
              <w:ind w:left="1920"/>
              <w:spacing w:after="0"/>
              <w:rPr>
                <w:sz w:val="20"/>
                <w:szCs w:val="20"/>
                <w:color w:val="auto"/>
              </w:rPr>
            </w:pPr>
            <w:r>
              <w:rPr>
                <w:rFonts w:ascii="Arial" w:cs="Arial" w:eastAsia="Arial" w:hAnsi="Arial"/>
                <w:sz w:val="18"/>
                <w:szCs w:val="18"/>
                <w:color w:val="auto"/>
              </w:rPr>
              <w:t>By: /s/ Ronald Cami</w:t>
            </w:r>
          </w:p>
        </w:tc>
      </w:tr>
      <w:tr>
        <w:trPr>
          <w:trHeight w:val="195"/>
        </w:trPr>
        <w:tc>
          <w:tcPr>
            <w:tcW w:w="3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21"/>
        </w:trPr>
        <w:tc>
          <w:tcPr>
            <w:tcW w:w="3440" w:type="dxa"/>
            <w:vAlign w:val="bottom"/>
          </w:tcPr>
          <w:p>
            <w:pPr>
              <w:spacing w:after="0"/>
              <w:rPr>
                <w:sz w:val="24"/>
                <w:szCs w:val="24"/>
                <w:color w:val="auto"/>
              </w:rPr>
            </w:pPr>
          </w:p>
        </w:tc>
        <w:tc>
          <w:tcPr>
            <w:tcW w:w="6300" w:type="dxa"/>
            <w:vAlign w:val="bottom"/>
            <w:gridSpan w:val="2"/>
          </w:tcPr>
          <w:p>
            <w:pPr>
              <w:jc w:val="right"/>
              <w:ind w:right="383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580"/>
          </w:cols>
          <w:pgMar w:left="240" w:top="1260"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 ADVISERS, LLC</w:t>
      </w:r>
    </w:p>
    <w:p>
      <w:pPr>
        <w:spacing w:after="0" w:line="121"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This Agreement (the “Agreement”) is made as of April 15, 2011, by and between TPG SPECIALTY LENDING,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TSL ADVISERS, LLC, a Delaware limited liability company (the “</w:t>
      </w:r>
      <w:r>
        <w:rPr>
          <w:rFonts w:ascii="Arial" w:cs="Arial" w:eastAsia="Arial" w:hAnsi="Arial"/>
          <w:sz w:val="18"/>
          <w:szCs w:val="18"/>
          <w:u w:val="single" w:color="auto"/>
          <w:color w:val="auto"/>
        </w:rPr>
        <w:t>Adviser</w:t>
      </w:r>
      <w:r>
        <w:rPr>
          <w:rFonts w:ascii="Arial" w:cs="Arial" w:eastAsia="Arial" w:hAnsi="Arial"/>
          <w:sz w:val="18"/>
          <w:szCs w:val="18"/>
          <w:color w:val="auto"/>
        </w:rPr>
        <w:t>”).</w:t>
      </w:r>
    </w:p>
    <w:p>
      <w:pPr>
        <w:spacing w:after="0" w:line="62"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WHEREAS, the Company is a closed-end management investment company that intends to elect to be treated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Adviser is an investment adviser that is registered under the Investment Advisers Act of 1940 (the “</w:t>
      </w:r>
      <w:r>
        <w:rPr>
          <w:rFonts w:ascii="Arial" w:cs="Arial" w:eastAsia="Arial" w:hAnsi="Arial"/>
          <w:sz w:val="18"/>
          <w:szCs w:val="18"/>
          <w:u w:val="single" w:color="auto"/>
          <w:color w:val="auto"/>
        </w:rPr>
        <w:t>Advisers Act</w:t>
      </w:r>
      <w:r>
        <w:rPr>
          <w:rFonts w:ascii="Arial" w:cs="Arial" w:eastAsia="Arial" w:hAnsi="Arial"/>
          <w:sz w:val="18"/>
          <w:szCs w:val="18"/>
          <w:color w:val="auto"/>
        </w:rPr>
        <w:t>”); and</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WHEREAS, the Company desires to retain the Adviser to furnish investment advisory services to the Company on the terms and conditions hereinafter set forth, and the Adviser desires to be retained to provide such services.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parties hereby agree as follows:</w:t>
      </w:r>
    </w:p>
    <w:p>
      <w:pPr>
        <w:spacing w:after="0" w:line="11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Adviser</w:t>
      </w:r>
    </w:p>
    <w:p>
      <w:pPr>
        <w:spacing w:after="0" w:line="121" w:lineRule="exact"/>
        <w:rPr>
          <w:rFonts w:ascii="Arial" w:cs="Arial" w:eastAsia="Arial" w:hAnsi="Arial"/>
          <w:sz w:val="18"/>
          <w:szCs w:val="18"/>
          <w:b w:val="1"/>
          <w:bCs w:val="1"/>
          <w:color w:val="auto"/>
        </w:rPr>
      </w:pPr>
    </w:p>
    <w:p>
      <w:pPr>
        <w:ind w:right="120" w:firstLine="233"/>
        <w:spacing w:after="0" w:line="291" w:lineRule="auto"/>
        <w:tabs>
          <w:tab w:leader="none" w:pos="467"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hereby employs the Adviser to act as the investment adviser to the Company and to manage the investment and reinvestment of the assets of the Company, subject to the supervision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for the period and upon the terms herein set forth,</w:t>
      </w: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(i) in accordance with the investment objective, policies and restrictions that are set forth in the Company’s registration statement on Form 10 (File No. 000-54245) initially filed on January 14, 2011 (and as the same shall be amended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prior to the filing of the Company’s Registration Statement, in accordance with the investment objective, policies and restrictions that are set forth in the Company’s private placement memorandum dated April 2011; (ii) in accordance with all other applicable federal and state laws, rules and regulations, and the Company’s charter and by-laws as the same shall be amended from time to time; and (iii) in accordance with the Investment Company Act. Without limiting the generality of the foregoing, the Adviser shall, during the term and subject to the provisions of this Agreement: (i) determine the composition of the portfolio of the Company, the nature and timing of the changes therein and the manner of implementing such changes; (ii) identify/source, research, evaluate and negotiate the structure of the investments made by the Company; (iii) close and monitor the Company’s investments; (iv) determine the securities and other assets that the Company will purchase, retain, or sell; (v) use reasonable endeavors to ensure that the Company’s investments consist mainly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70" w:lineRule="auto"/>
        <w:rPr>
          <w:sz w:val="20"/>
          <w:szCs w:val="20"/>
          <w:color w:val="auto"/>
        </w:rPr>
      </w:pPr>
      <w:r>
        <w:rPr>
          <w:rFonts w:ascii="Arial" w:cs="Arial" w:eastAsia="Arial" w:hAnsi="Arial"/>
          <w:sz w:val="17"/>
          <w:szCs w:val="17"/>
          <w:color w:val="auto"/>
        </w:rPr>
        <w:t>securities or currencies (or derivative contracts relating thereto), which for the avoidance of doubt may include loans, notes and other evidences of indebtedness; (vi) perform due diligence on prospective portfolio companies; and (vii) 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In the event that the Company determines to acquire debt financing, the Adviser will arrange for such financing on the Company’s behalf, subject to the oversight and approval of the Board. If it is necessary or appropriate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70" w:lineRule="exact"/>
        <w:rPr>
          <w:sz w:val="20"/>
          <w:szCs w:val="20"/>
          <w:color w:val="auto"/>
        </w:rPr>
      </w:pPr>
    </w:p>
    <w:p>
      <w:pPr>
        <w:ind w:right="60" w:firstLine="233"/>
        <w:spacing w:after="0" w:line="277" w:lineRule="auto"/>
        <w:tabs>
          <w:tab w:leader="none" w:pos="4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 for the compensation provided herein.</w:t>
      </w:r>
    </w:p>
    <w:p>
      <w:pPr>
        <w:spacing w:after="0" w:line="62" w:lineRule="exact"/>
        <w:rPr>
          <w:rFonts w:ascii="Arial" w:cs="Arial" w:eastAsia="Arial" w:hAnsi="Arial"/>
          <w:sz w:val="18"/>
          <w:szCs w:val="18"/>
          <w:color w:val="auto"/>
        </w:rPr>
      </w:pPr>
    </w:p>
    <w:p>
      <w:pPr>
        <w:ind w:firstLine="233"/>
        <w:spacing w:after="0" w:line="255" w:lineRule="auto"/>
        <w:tabs>
          <w:tab w:leader="none" w:pos="46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Adviser is hereby authorized to enter into one or more sub-advisory agreements with other investment advisers (each, a “</w:t>
      </w:r>
      <w:r>
        <w:rPr>
          <w:rFonts w:ascii="Arial" w:cs="Arial" w:eastAsia="Arial" w:hAnsi="Arial"/>
          <w:sz w:val="18"/>
          <w:szCs w:val="18"/>
          <w:u w:val="single" w:color="auto"/>
          <w:color w:val="auto"/>
        </w:rPr>
        <w:t>Sub-Adviser</w:t>
      </w:r>
      <w:r>
        <w:rPr>
          <w:rFonts w:ascii="Arial" w:cs="Arial" w:eastAsia="Arial" w:hAnsi="Arial"/>
          <w:sz w:val="18"/>
          <w:szCs w:val="18"/>
          <w:color w:val="auto"/>
        </w:rPr>
        <w:t>”)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Company shall be responsible for any compensation payable to any Sub-Adviser. Any sub-advisory agreement entered into by the Adviser shall be in accordance with the requirements of the Investment Company Act and other applicable federal and state law.</w:t>
      </w:r>
    </w:p>
    <w:p>
      <w:pPr>
        <w:spacing w:after="0" w:line="81" w:lineRule="exact"/>
        <w:rPr>
          <w:rFonts w:ascii="Arial" w:cs="Arial" w:eastAsia="Arial" w:hAnsi="Arial"/>
          <w:sz w:val="18"/>
          <w:szCs w:val="18"/>
          <w:color w:val="auto"/>
        </w:rPr>
      </w:pPr>
    </w:p>
    <w:p>
      <w:pPr>
        <w:ind w:right="140" w:firstLine="233"/>
        <w:spacing w:after="0" w:line="277" w:lineRule="auto"/>
        <w:tabs>
          <w:tab w:leader="none" w:pos="4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spacing w:after="0" w:line="62" w:lineRule="exact"/>
        <w:rPr>
          <w:rFonts w:ascii="Arial" w:cs="Arial" w:eastAsia="Arial" w:hAnsi="Arial"/>
          <w:sz w:val="18"/>
          <w:szCs w:val="18"/>
          <w:color w:val="auto"/>
        </w:rPr>
      </w:pPr>
    </w:p>
    <w:p>
      <w:pPr>
        <w:ind w:right="380" w:firstLine="233"/>
        <w:spacing w:after="0" w:line="279" w:lineRule="auto"/>
        <w:tabs>
          <w:tab w:leader="none" w:pos="46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Adviser shall keep and preserve for the period required by the Investment Company Act any books and records relevant to the provision of its investment advisory services to the Company and shall specifically maintain all books and records in accordance with Section 31(a) of the Investment Company Act with respect to the Company’s portfolio transactions and shall render to the Board such periodic and special reports as the Board may reasonably request. The Adviser agrees that all records that it maintains for the Company are the property of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ind w:right="280"/>
        <w:spacing w:after="0" w:line="277" w:lineRule="auto"/>
        <w:rPr>
          <w:sz w:val="20"/>
          <w:szCs w:val="20"/>
          <w:color w:val="auto"/>
        </w:rPr>
      </w:pPr>
      <w:r>
        <w:rPr>
          <w:rFonts w:ascii="Arial" w:cs="Arial" w:eastAsia="Arial" w:hAnsi="Arial"/>
          <w:sz w:val="18"/>
          <w:szCs w:val="18"/>
          <w:color w:val="auto"/>
        </w:rPr>
        <w:t>Company and will surrender promptly to the Company any such records upon the Company’s request, provided that the Adviser may retain a copy of such records.</w:t>
      </w:r>
    </w:p>
    <w:p>
      <w:pPr>
        <w:spacing w:after="0" w:line="62" w:lineRule="exact"/>
        <w:rPr>
          <w:sz w:val="20"/>
          <w:szCs w:val="20"/>
          <w:color w:val="auto"/>
        </w:rPr>
      </w:pPr>
    </w:p>
    <w:p>
      <w:pPr>
        <w:ind w:right="360" w:firstLine="233"/>
        <w:spacing w:after="0" w:line="277" w:lineRule="auto"/>
        <w:tabs>
          <w:tab w:leader="none" w:pos="44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Adviser shall be primarily responsible for the execution of any trades in securities in the Company’s portfolio and the Company’s allocation of brokerage commissions.</w:t>
      </w:r>
    </w:p>
    <w:p>
      <w:pPr>
        <w:spacing w:after="0" w:line="58"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Responsibilities and Expenses Payable by the Company</w:t>
      </w:r>
    </w:p>
    <w:p>
      <w:pPr>
        <w:spacing w:after="0" w:line="121" w:lineRule="exact"/>
        <w:rPr>
          <w:rFonts w:ascii="Arial" w:cs="Arial" w:eastAsia="Arial" w:hAnsi="Arial"/>
          <w:sz w:val="18"/>
          <w:szCs w:val="18"/>
          <w:b w:val="1"/>
          <w:bCs w:val="1"/>
          <w:color w:val="auto"/>
        </w:rPr>
      </w:pPr>
    </w:p>
    <w:p>
      <w:pPr>
        <w:ind w:firstLine="233"/>
        <w:spacing w:after="0" w:line="284" w:lineRule="auto"/>
        <w:tabs>
          <w:tab w:leader="none" w:pos="470" w:val="left"/>
        </w:tabs>
        <w:numPr>
          <w:ilvl w:val="1"/>
          <w:numId w:val="7"/>
        </w:numPr>
        <w:rPr>
          <w:rFonts w:ascii="Arial" w:cs="Arial" w:eastAsia="Arial" w:hAnsi="Arial"/>
          <w:sz w:val="16"/>
          <w:szCs w:val="16"/>
          <w:color w:val="auto"/>
        </w:rPr>
      </w:pPr>
      <w:r>
        <w:rPr>
          <w:rFonts w:ascii="Arial" w:cs="Arial" w:eastAsia="Arial" w:hAnsi="Arial"/>
          <w:sz w:val="16"/>
          <w:szCs w:val="16"/>
          <w:color w:val="auto"/>
        </w:rPr>
        <w:t>Except as otherwise provided herein or in the Administration Agreement, the Adviser shall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 organizational expenses (up to an aggregate of $1,500,000, it being understood and agreed that the Adviser shall bear all organizational expenses of the Company in excess of such amount); calculating the Company’s net asset value (including the cost and expenses of any independent valuation firm); expenses, including travel expense, incurred by the Adviser or payable to third parties performing due diligence on prospective portfolio companies and, if necessary, enforcing the Company’s rights; sales and purchases of the Company’s common stock and other securities; fees paid to the Adviser under this Agreement; distributions on the Company’s shares; administration fees, if any, payable under the Administration Agreement between the Company and TSL Advisers, LLC (the “</w:t>
      </w:r>
      <w:r>
        <w:rPr>
          <w:rFonts w:ascii="Arial" w:cs="Arial" w:eastAsia="Arial" w:hAnsi="Arial"/>
          <w:sz w:val="16"/>
          <w:szCs w:val="16"/>
          <w:u w:val="single" w:color="auto"/>
          <w:color w:val="auto"/>
        </w:rPr>
        <w:t>Administrator</w:t>
      </w:r>
      <w:r>
        <w:rPr>
          <w:rFonts w:ascii="Arial" w:cs="Arial" w:eastAsia="Arial" w:hAnsi="Arial"/>
          <w:sz w:val="16"/>
          <w:szCs w:val="16"/>
          <w:color w:val="auto"/>
        </w:rPr>
        <w:t>”); debt service and other costs of borrowings or other financing arrangements; the allocated costs incurred by the Adviser in providing managerial assistance to those portfolio companies that request it; amounts payable to third parties relating to, or associated with, making or holding investments; transfer agent and custodial fees; costs of hedging; commissions and other compensation payable to brokers or dealers; registration fees; listing fees; federal, state and local taxes; independent director fees and expenses; costs of preparing and filing reports or other documents required by the Securities and Exchange Commission and other reporting and compliance costs; the costs of any reports, proxy statements or other notices to the Company’s stockholders, including printing and mailing costs, and the costs of any stockholders’ meetings, as well as the compensation of an investor relations professional responsible for the coordination and administration of the foregoing; the Company’s fidelity bond; directors and officers/errors and omissions liability insurance, and any other insurance premiums; indemnification payments; direct costs and expenses of administration, including audit and legal costs; and all other expenses reasonably incurred by the Company in connection with making investments and administering the Company’s business. Notwithstanding anything to the contrary contained herein, the Company shall reimburse the Adviser (or its affiliates) for an allocable portion of the compensation paid by the Adviser (or its affiliates) to the Company’s Chief Compliance Officer and Chief Financial Officer (based on a percentage of time such individuals devote, on an estimated basis, to the business affairs of the Company). For the avoidance of doubt, the Adviser shall be solely responsible for any placement or “finder’s” fees payable to placement agents engaged by the Company or its affiliates in connection with the offering of securities by the Company.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of the Adviser</w:t>
      </w:r>
    </w:p>
    <w:p>
      <w:pPr>
        <w:spacing w:after="0" w:line="121"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agrees to pay, and the Adviser agrees to accept, as compensation for the services provided by the Adviser hereunder, a base management fee (the “</w:t>
      </w:r>
      <w:r>
        <w:rPr>
          <w:rFonts w:ascii="Arial" w:cs="Arial" w:eastAsia="Arial" w:hAnsi="Arial"/>
          <w:sz w:val="16"/>
          <w:szCs w:val="16"/>
          <w:u w:val="single" w:color="auto"/>
          <w:color w:val="auto"/>
        </w:rPr>
        <w:t>Management Fee</w:t>
      </w:r>
      <w:r>
        <w:rPr>
          <w:rFonts w:ascii="Arial" w:cs="Arial" w:eastAsia="Arial" w:hAnsi="Arial"/>
          <w:sz w:val="16"/>
          <w:szCs w:val="16"/>
          <w:color w:val="auto"/>
        </w:rPr>
        <w:t>”) and an incentive fee (the “</w:t>
      </w:r>
      <w:r>
        <w:rPr>
          <w:rFonts w:ascii="Arial" w:cs="Arial" w:eastAsia="Arial" w:hAnsi="Arial"/>
          <w:sz w:val="16"/>
          <w:szCs w:val="16"/>
          <w:u w:val="single" w:color="auto"/>
          <w:color w:val="auto"/>
        </w:rPr>
        <w:t>Incentive Fee</w:t>
      </w:r>
      <w:r>
        <w:rPr>
          <w:rFonts w:ascii="Arial" w:cs="Arial" w:eastAsia="Arial" w:hAnsi="Arial"/>
          <w:sz w:val="16"/>
          <w:szCs w:val="16"/>
          <w:color w:val="auto"/>
        </w:rPr>
        <w:t>”) as hereinafter set forth. The Company shall make any payments due hereunder to the Adviser or to the Adviser’s designee as the Adviser may otherwise direct. To the extent permitted by applicable law, the Adviser may elect, or the Company may adopt, a deferred compensation plan pursuant to which the Adviser may elect to defer all or a portion of its fees hereunder for a specified period of time.</w:t>
      </w:r>
    </w:p>
    <w:p>
      <w:pPr>
        <w:spacing w:after="0" w:line="46" w:lineRule="exact"/>
        <w:rPr>
          <w:sz w:val="20"/>
          <w:szCs w:val="20"/>
          <w:color w:val="auto"/>
        </w:rPr>
      </w:pPr>
    </w:p>
    <w:p>
      <w:pPr>
        <w:ind w:right="220" w:firstLine="233"/>
        <w:spacing w:after="0" w:line="279" w:lineRule="auto"/>
        <w:tabs>
          <w:tab w:leader="none" w:pos="46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Management Fee shall be calculated at an annual rate of 1.5% of the Company’s gross assets. For services rendered under this Agreement, the Management Fee will be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w:t>
      </w:r>
      <w:r>
        <w:rPr>
          <w:rFonts w:ascii="Arial" w:cs="Arial" w:eastAsia="Arial" w:hAnsi="Arial"/>
          <w:sz w:val="14"/>
          <w:szCs w:val="14"/>
          <w:color w:val="auto"/>
        </w:rPr>
        <w:t>1</w:t>
      </w:r>
      <w:r>
        <w:rPr>
          <w:rFonts w:ascii="Arial" w:cs="Arial" w:eastAsia="Arial" w:hAnsi="Arial"/>
          <w:sz w:val="17"/>
          <w:szCs w:val="17"/>
          <w:color w:val="auto"/>
        </w:rPr>
        <w:t xml:space="preserve"> Management Fees for any partial month or quarter will be appropriately prorated.</w:t>
      </w:r>
    </w:p>
    <w:p>
      <w:pPr>
        <w:spacing w:after="0" w:line="63" w:lineRule="exact"/>
        <w:rPr>
          <w:rFonts w:ascii="Arial" w:cs="Arial" w:eastAsia="Arial" w:hAnsi="Arial"/>
          <w:sz w:val="17"/>
          <w:szCs w:val="17"/>
          <w:color w:val="auto"/>
        </w:rPr>
      </w:pPr>
    </w:p>
    <w:p>
      <w:pPr>
        <w:ind w:left="480" w:hanging="24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117" w:lineRule="exact"/>
        <w:rPr>
          <w:rFonts w:ascii="Arial" w:cs="Arial" w:eastAsia="Arial" w:hAnsi="Arial"/>
          <w:sz w:val="18"/>
          <w:szCs w:val="18"/>
          <w:color w:val="auto"/>
        </w:rPr>
      </w:pPr>
    </w:p>
    <w:p>
      <w:pPr>
        <w:ind w:left="900" w:hanging="446"/>
        <w:spacing w:after="0" w:line="288"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pre-Incentive Fee net investment income for the immediately preceding calendar quarter. For this purpose, 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 Pre-Incentive Fee net investment income, expressed as a rate of return on the value of the Company’s net assets at the end of the immediately preceding calendar quarter, will be compared to a “hurdle rate” of 1.5% per quarter (6% annualized). The Company’s net investment income used to calculate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1" w:lineRule="exact"/>
        <w:rPr>
          <w:sz w:val="20"/>
          <w:szCs w:val="20"/>
          <w:color w:val="auto"/>
        </w:rPr>
      </w:pPr>
    </w:p>
    <w:p>
      <w:pPr>
        <w:ind w:left="460" w:right="120" w:hanging="452"/>
        <w:spacing w:after="0" w:line="342"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For each of the first two calendar quarters of the Company’s operations, the Management Fee shall be calculated based on the Company’s gross assets at the end of such calendar quarter, and appropriately adjusted for any share issuances or repurchases during such calendar quarter.</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this part of the Incentive Fee is also included in the amount of its gross assets used to calculate the 1.5% Management Fee.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pay the Adviser an Incentive Fee with respect to the Company’s pre-Incentive Fee net investment income in each calendar quarter as follows:</w:t>
      </w:r>
    </w:p>
    <w:p>
      <w:pPr>
        <w:spacing w:after="0" w:line="62" w:lineRule="exact"/>
        <w:rPr>
          <w:sz w:val="20"/>
          <w:szCs w:val="20"/>
          <w:color w:val="auto"/>
        </w:rPr>
      </w:pPr>
    </w:p>
    <w:p>
      <w:pPr>
        <w:ind w:left="660" w:right="220" w:hanging="437"/>
        <w:spacing w:after="0" w:line="264"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With the exception of the Capital Gains Fee (as defined and discussed in greater detail below), no Incentive Fee is payable to the Adviser in any calendar quarter in which the Company’s pre-Incentive Fee net investment income does not exceed the hurdle rate of 1.5% for such quarter.</w:t>
      </w:r>
    </w:p>
    <w:p>
      <w:pPr>
        <w:spacing w:after="0" w:line="86" w:lineRule="exact"/>
        <w:rPr>
          <w:rFonts w:ascii="Arial" w:cs="Arial" w:eastAsia="Arial" w:hAnsi="Arial"/>
          <w:sz w:val="18"/>
          <w:szCs w:val="18"/>
          <w:b w:val="1"/>
          <w:bCs w:val="1"/>
          <w:color w:val="auto"/>
        </w:rPr>
      </w:pPr>
    </w:p>
    <w:p>
      <w:pPr>
        <w:jc w:val="both"/>
        <w:ind w:left="660" w:right="60" w:hanging="437"/>
        <w:spacing w:after="0" w:line="279"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Following any initial public offering (“</w:t>
      </w:r>
      <w:r>
        <w:rPr>
          <w:rFonts w:ascii="Arial" w:cs="Arial" w:eastAsia="Arial" w:hAnsi="Arial"/>
          <w:sz w:val="17"/>
          <w:szCs w:val="17"/>
          <w:u w:val="single" w:color="auto"/>
          <w:color w:val="auto"/>
        </w:rPr>
        <w:t>IPO</w:t>
      </w:r>
      <w:r>
        <w:rPr>
          <w:rFonts w:ascii="Arial" w:cs="Arial" w:eastAsia="Arial" w:hAnsi="Arial"/>
          <w:sz w:val="17"/>
          <w:szCs w:val="17"/>
          <w:color w:val="auto"/>
        </w:rPr>
        <w:t>”) of the Company’s common stock that may occur, 100% of the Company’s pre-Incentive Fee net investment income with respect to that portion of such pre-Incentive Fee net investment income, if any, that exceeds the hurdle rate is payable to the Adviser until the Adviser has received 17.5% of the total pre-Incentive Fee net investment income for that fiscal quarter. The Company refers to this portion of the Company’s Pre-Incentive Fee Net Investment Income as the “catch-up.”</w:t>
      </w:r>
    </w:p>
    <w:p>
      <w:pPr>
        <w:spacing w:after="0" w:line="76" w:lineRule="exact"/>
        <w:rPr>
          <w:rFonts w:ascii="Arial" w:cs="Arial" w:eastAsia="Arial" w:hAnsi="Arial"/>
          <w:sz w:val="17"/>
          <w:szCs w:val="17"/>
          <w:b w:val="1"/>
          <w:bCs w:val="1"/>
          <w:color w:val="auto"/>
        </w:rPr>
      </w:pPr>
    </w:p>
    <w:p>
      <w:pPr>
        <w:ind w:left="660" w:right="1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Prior to any IPO of the Company’s common stock that may occur, 100% of the Company’s pre-Incentive Fee net investment income with respect to that portion of such pre-Incentive Fee net investment income, if any, that exceeds the hurdle rate is payable to the Adviser until the Adviser has received 15% of the total pre-Incentive Fee net investment income for that fiscal quarter.</w:t>
      </w:r>
    </w:p>
    <w:p>
      <w:pPr>
        <w:spacing w:after="0" w:line="70" w:lineRule="exact"/>
        <w:rPr>
          <w:rFonts w:ascii="Arial" w:cs="Arial" w:eastAsia="Arial" w:hAnsi="Arial"/>
          <w:sz w:val="17"/>
          <w:szCs w:val="17"/>
          <w:b w:val="1"/>
          <w:bCs w:val="1"/>
          <w:color w:val="auto"/>
        </w:rPr>
      </w:pPr>
    </w:p>
    <w:p>
      <w:pPr>
        <w:ind w:left="660" w:right="360" w:hanging="437"/>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Following any IPO of the Company’s common stock that may occur, once the hurdle is reached and the catch-up is achieved, 17.5% of all remaining pre-Incentive Fee net investment income for that fiscal quarter is payable to the Adviser.</w:t>
      </w:r>
    </w:p>
    <w:p>
      <w:pPr>
        <w:spacing w:after="0" w:line="75" w:lineRule="exact"/>
        <w:rPr>
          <w:rFonts w:ascii="Arial" w:cs="Arial" w:eastAsia="Arial" w:hAnsi="Arial"/>
          <w:sz w:val="18"/>
          <w:szCs w:val="18"/>
          <w:b w:val="1"/>
          <w:bCs w:val="1"/>
          <w:color w:val="auto"/>
        </w:rPr>
      </w:pPr>
    </w:p>
    <w:p>
      <w:pPr>
        <w:ind w:left="66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Prior to any IPO of the Company’s common stock that may occur, once the hurdle is reached and the catch-up is achieved, 15% of all remaining pre-Incentive Fee net investment income for that fiscal quarter is payable to the Adviser.</w:t>
      </w:r>
    </w:p>
    <w:p>
      <w:pPr>
        <w:spacing w:after="0" w:line="75" w:lineRule="exact"/>
        <w:rPr>
          <w:rFonts w:ascii="Arial" w:cs="Arial" w:eastAsia="Arial" w:hAnsi="Arial"/>
          <w:sz w:val="18"/>
          <w:szCs w:val="18"/>
          <w:b w:val="1"/>
          <w:bCs w:val="1"/>
          <w:color w:val="auto"/>
        </w:rPr>
      </w:pPr>
    </w:p>
    <w:p>
      <w:pPr>
        <w:ind w:left="660" w:right="100" w:hanging="437"/>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These calculations will be appropriately prorated for any period of less than three months and adjusted for any share issuances or repurchases during the relevant quarter.</w:t>
      </w:r>
    </w:p>
    <w:p>
      <w:pPr>
        <w:spacing w:after="0" w:line="2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8" w:name="page9"/>
    <w:bookmarkEnd w:id="8"/>
    <w:p>
      <w:pPr>
        <w:ind w:firstLine="4"/>
        <w:spacing w:after="0" w:line="271"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Following any IPO of the Company’s common stock that may occur, the second part of the Incentive Fee (the “</w:t>
      </w:r>
      <w:r>
        <w:rPr>
          <w:rFonts w:ascii="Arial" w:cs="Arial" w:eastAsia="Arial" w:hAnsi="Arial"/>
          <w:sz w:val="17"/>
          <w:szCs w:val="17"/>
          <w:u w:val="single" w:color="auto"/>
          <w:color w:val="auto"/>
        </w:rPr>
        <w:t>Capital Gains Fee</w:t>
      </w:r>
      <w:r>
        <w:rPr>
          <w:rFonts w:ascii="Arial" w:cs="Arial" w:eastAsia="Arial" w:hAnsi="Arial"/>
          <w:sz w:val="17"/>
          <w:szCs w:val="17"/>
          <w:color w:val="auto"/>
        </w:rPr>
        <w:t>”) will be determined and payable in arrears as of the end of each fiscal year of the Company (or upon termination of this Agreement as set forth below), and will equal the Weighted Percentage (as defined below)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periods. The Weighted Percentage is intended to ensure that, for each fiscal year following an IPO of the Company’s common stock, the portion of the Company’s realized capital gains that accrued prior to an IPO will be subject to an incentive fee rate of 15% and the portion of the Company’s realized capital gains that accrued following an IPO will be subject to an incentive fee rate of 17.5%, and is determined as follows: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Percentage</w:t>
      </w:r>
      <w:r>
        <w:rPr>
          <w:rFonts w:ascii="Arial" w:cs="Arial" w:eastAsia="Arial" w:hAnsi="Arial"/>
          <w:sz w:val="18"/>
          <w:szCs w:val="18"/>
          <w:color w:val="auto"/>
        </w:rPr>
        <w:t>” means a percentage equal to the Pre-IPO Percentage plus the Post-IPO Percentage.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Percentage</w:t>
      </w:r>
      <w:r>
        <w:rPr>
          <w:rFonts w:ascii="Arial" w:cs="Arial" w:eastAsia="Arial" w:hAnsi="Arial"/>
          <w:sz w:val="18"/>
          <w:szCs w:val="18"/>
          <w:color w:val="auto"/>
        </w:rPr>
        <w:t>” means a percentage determined by multiplying 15% by a fraction, the numerator of which is the Pre-IPO Gain Amount and the denominator of which is the Total Gain Amount, rounded to the nearest one hundredth percent.</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Post-IPO Percentage</w:t>
      </w:r>
      <w:r>
        <w:rPr>
          <w:rFonts w:ascii="Arial" w:cs="Arial" w:eastAsia="Arial" w:hAnsi="Arial"/>
          <w:sz w:val="18"/>
          <w:szCs w:val="18"/>
          <w:color w:val="auto"/>
        </w:rPr>
        <w:t>” means a percentage determined by multiplying 17.5% by a fraction, the numerator of which is the Post-IPO Gain Amount and the denominator of which is the Total Gain Amount, rounded to the nearest one hundredth percent.</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Gain Amount</w:t>
      </w:r>
      <w:r>
        <w:rPr>
          <w:rFonts w:ascii="Arial" w:cs="Arial" w:eastAsia="Arial" w:hAnsi="Arial"/>
          <w:sz w:val="18"/>
          <w:szCs w:val="18"/>
          <w:color w:val="auto"/>
        </w:rPr>
        <w:t>” means, for any fiscal year, the aggregate dollar amount of the Company’s realized capital gains on a cumulative basis from the inception of the Company to the end of such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Gain Amount</w:t>
      </w:r>
      <w:r>
        <w:rPr>
          <w:rFonts w:ascii="Arial" w:cs="Arial" w:eastAsia="Arial" w:hAnsi="Arial"/>
          <w:sz w:val="18"/>
          <w:szCs w:val="18"/>
          <w:color w:val="auto"/>
        </w:rPr>
        <w:t>” means the aggregate dollar amount equal to sum of the following:</w:t>
      </w:r>
    </w:p>
    <w:p>
      <w:pPr>
        <w:spacing w:after="0" w:line="117" w:lineRule="exact"/>
        <w:rPr>
          <w:sz w:val="20"/>
          <w:szCs w:val="20"/>
          <w:color w:val="auto"/>
        </w:rPr>
      </w:pPr>
    </w:p>
    <w:p>
      <w:pPr>
        <w:ind w:left="520" w:hanging="287"/>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respect of each capital gain of the Company realized prior to the occurrence of any IPO, a dollar amount equal to 100% of such capital gain;</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following the occurrence of an IPO:</w:t>
      </w:r>
    </w:p>
    <w:p>
      <w:pPr>
        <w:spacing w:after="0" w:line="117" w:lineRule="exact"/>
        <w:rPr>
          <w:rFonts w:ascii="Arial" w:cs="Arial" w:eastAsia="Arial" w:hAnsi="Arial"/>
          <w:sz w:val="18"/>
          <w:szCs w:val="18"/>
          <w:color w:val="auto"/>
        </w:rPr>
      </w:pPr>
    </w:p>
    <w:p>
      <w:pPr>
        <w:ind w:left="460" w:right="60" w:firstLine="1"/>
        <w:spacing w:after="0" w:line="277" w:lineRule="auto"/>
        <w:tabs>
          <w:tab w:leader="none" w:pos="6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prior to the occurrence of an IPO, a dollar amount equal to the portion of such capital gain, if any, that</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1044" w:right="299" w:bottom="1440" w:gutter="0" w:footer="0" w:header="0"/>
        </w:sectPr>
      </w:pPr>
    </w:p>
    <w:bookmarkStart w:id="9" w:name="page10"/>
    <w:bookmarkEnd w:id="9"/>
    <w:p>
      <w:pPr>
        <w:ind w:left="460" w:right="20"/>
        <w:spacing w:after="0" w:line="259" w:lineRule="auto"/>
        <w:rPr>
          <w:sz w:val="20"/>
          <w:szCs w:val="20"/>
          <w:color w:val="auto"/>
        </w:rPr>
      </w:pPr>
      <w:r>
        <w:rPr>
          <w:rFonts w:ascii="Arial" w:cs="Arial" w:eastAsia="Arial" w:hAnsi="Arial"/>
          <w:sz w:val="18"/>
          <w:szCs w:val="18"/>
          <w:color w:val="auto"/>
        </w:rPr>
        <w:t>had accrued on the books of the Company as of the date of any IPO (the “</w:t>
      </w:r>
      <w:r>
        <w:rPr>
          <w:rFonts w:ascii="Arial" w:cs="Arial" w:eastAsia="Arial" w:hAnsi="Arial"/>
          <w:sz w:val="18"/>
          <w:szCs w:val="18"/>
          <w:u w:val="single" w:color="auto"/>
          <w:color w:val="auto"/>
        </w:rPr>
        <w:t>Marked Amount</w:t>
      </w:r>
      <w:r>
        <w:rPr>
          <w:rFonts w:ascii="Arial" w:cs="Arial" w:eastAsia="Arial" w:hAnsi="Arial"/>
          <w:sz w:val="18"/>
          <w:szCs w:val="18"/>
          <w:color w:val="auto"/>
        </w:rPr>
        <w:t>”); provided, however, if the Marked Amount for such capital gain exceeds the disposition proceeds realized in respect of the such capital gain, the dollar amount to be included in this paragraph (B)(I) in respect of such capital gain shall equal (x) the disposition proceeds realized in respect of such capital gain minus (y) the cost basis of such capital gain; or</w:t>
      </w:r>
    </w:p>
    <w:p>
      <w:pPr>
        <w:spacing w:after="0" w:line="79" w:lineRule="exact"/>
        <w:rPr>
          <w:sz w:val="20"/>
          <w:szCs w:val="20"/>
          <w:color w:val="auto"/>
        </w:rPr>
      </w:pPr>
    </w:p>
    <w:p>
      <w:pPr>
        <w:ind w:right="640" w:firstLine="461"/>
        <w:spacing w:after="0" w:line="375" w:lineRule="auto"/>
        <w:tabs>
          <w:tab w:leader="none" w:pos="741"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zero. “</w:t>
      </w:r>
      <w:r>
        <w:rPr>
          <w:rFonts w:ascii="Arial" w:cs="Arial" w:eastAsia="Arial" w:hAnsi="Arial"/>
          <w:sz w:val="18"/>
          <w:szCs w:val="18"/>
          <w:u w:val="single" w:color="auto"/>
          <w:color w:val="auto"/>
        </w:rPr>
        <w:t>Post-IPO Gain Amount</w:t>
      </w:r>
      <w:r>
        <w:rPr>
          <w:rFonts w:ascii="Arial" w:cs="Arial" w:eastAsia="Arial" w:hAnsi="Arial"/>
          <w:sz w:val="18"/>
          <w:szCs w:val="18"/>
          <w:color w:val="auto"/>
        </w:rPr>
        <w:t>” means the aggregate dollar amount equal to the sum of the following:</w:t>
      </w:r>
    </w:p>
    <w:p>
      <w:pPr>
        <w:spacing w:after="0" w:line="1" w:lineRule="exact"/>
        <w:rPr>
          <w:rFonts w:ascii="Arial" w:cs="Arial" w:eastAsia="Arial" w:hAnsi="Arial"/>
          <w:sz w:val="18"/>
          <w:szCs w:val="18"/>
          <w:color w:val="auto"/>
        </w:rPr>
      </w:pPr>
    </w:p>
    <w:p>
      <w:pPr>
        <w:ind w:left="520" w:hanging="287"/>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prior to the occurrence of an IPO, zero; and</w:t>
      </w:r>
    </w:p>
    <w:p>
      <w:pPr>
        <w:spacing w:after="0" w:line="117" w:lineRule="exact"/>
        <w:rPr>
          <w:rFonts w:ascii="Arial" w:cs="Arial" w:eastAsia="Arial" w:hAnsi="Arial"/>
          <w:sz w:val="18"/>
          <w:szCs w:val="18"/>
          <w:color w:val="auto"/>
        </w:rPr>
      </w:pPr>
    </w:p>
    <w:p>
      <w:pPr>
        <w:ind w:left="520" w:hanging="287"/>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following the occurrence of an IPO:</w:t>
      </w:r>
    </w:p>
    <w:p>
      <w:pPr>
        <w:spacing w:after="0" w:line="117" w:lineRule="exact"/>
        <w:rPr>
          <w:rFonts w:ascii="Arial" w:cs="Arial" w:eastAsia="Arial" w:hAnsi="Arial"/>
          <w:sz w:val="18"/>
          <w:szCs w:val="18"/>
          <w:color w:val="auto"/>
        </w:rPr>
      </w:pPr>
    </w:p>
    <w:p>
      <w:pPr>
        <w:ind w:left="460" w:right="80" w:firstLine="1"/>
        <w:spacing w:after="0" w:line="273" w:lineRule="auto"/>
        <w:tabs>
          <w:tab w:leader="none" w:pos="685"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the event that the investment giving rise to such capital gain was made by the Company prior to the occurrence of an IPO, a dollar amount equal to (x) disposition proceeds realized in respect of such capital gain minus (y) the Marked Amount in respect of such capital gain; provided, however, if the Marked Amount for such capital gain exceeds the disposition proceeds realized in respect of such capital gain, the amount to be included in this paragraph (B)(I) in respect of such capital gain shall be zero; provided, further, if the investment giving rise to such capital gain was reflected as an unrealized capital loss on the books of the Company as of the date of an IPO, the dollar amount to be included in this paragraph (B)(I) shall equal 100% of such capital gain; or</w:t>
      </w:r>
    </w:p>
    <w:p>
      <w:pPr>
        <w:spacing w:after="0" w:line="70" w:lineRule="exact"/>
        <w:rPr>
          <w:sz w:val="20"/>
          <w:szCs w:val="20"/>
          <w:color w:val="auto"/>
        </w:rPr>
      </w:pPr>
    </w:p>
    <w:p>
      <w:pPr>
        <w:ind w:left="460" w:right="440" w:firstLine="1"/>
        <w:spacing w:after="0" w:line="277" w:lineRule="auto"/>
        <w:tabs>
          <w:tab w:leader="none" w:pos="7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a dollar amount equal to 100% of such capital gain.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any IPO of the Company’s common stock that may occur, the Capital Gains Fee will equal 15%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 provided that the Capital Gains</w:t>
      </w:r>
    </w:p>
    <w:p>
      <w:pPr>
        <w:spacing w:after="0" w:line="16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10" w:name="page11"/>
    <w:bookmarkEnd w:id="10"/>
    <w:p>
      <w:pPr>
        <w:ind w:left="460"/>
        <w:spacing w:after="0" w:line="259" w:lineRule="auto"/>
        <w:rPr>
          <w:sz w:val="20"/>
          <w:szCs w:val="20"/>
          <w:color w:val="auto"/>
        </w:rPr>
      </w:pPr>
      <w:r>
        <w:rPr>
          <w:rFonts w:ascii="Arial" w:cs="Arial" w:eastAsia="Arial" w:hAnsi="Arial"/>
          <w:sz w:val="18"/>
          <w:szCs w:val="18"/>
          <w:color w:val="auto"/>
        </w:rPr>
        <w:t>Fee determined as of December 31, 2011 will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fiscal year end, the termination date shall be treated as though it were a fiscal year end for purposes of calculating and paying a Capital Gains Fee.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 (management fee + other expenses)) = 1.425%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720" w:hanging="14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720" w:hanging="14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360" w:right="372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720" w:hanging="14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720" w:hanging="14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720" w:hanging="14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0.513%</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t>Represents 6.0% annualized hurdle rate.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Represents 1.5% annualized management fee.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Excludes organizational and offering expenses.</w:t>
      </w:r>
    </w:p>
    <w:p>
      <w:pPr>
        <w:spacing w:after="0" w:line="76" w:lineRule="exact"/>
        <w:rPr>
          <w:rFonts w:ascii="Arial" w:cs="Arial" w:eastAsia="Arial" w:hAnsi="Arial"/>
          <w:sz w:val="18"/>
          <w:szCs w:val="18"/>
          <w:color w:val="auto"/>
        </w:rPr>
      </w:pPr>
    </w:p>
    <w:p>
      <w:pPr>
        <w:ind w:left="460" w:hanging="452"/>
        <w:spacing w:after="0" w:line="279"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The “catch-up” provision is intended to provide the Adviser with an Incentive Fee of 17.5% on all of the Company’s pre-Incentive Fee net investment income as if a hurdle rate did not apply when the Company’s net investment income exceeds 17.5% in any calendar quarter and is not applied once the Adviser has received 17.5% of investment income in a quarter. The “catch-up” portion of the Company’s pre-Incentive Fee Net Investment Income is the portion that exceeds the 1.5% hurdle rate but is less than or equal to 1.82% in any fiscal quarter.</w:t>
      </w:r>
    </w:p>
    <w:p>
      <w:pPr>
        <w:spacing w:after="0" w:line="2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This example assumes that an IPO of the Company’s common stock has occurred.</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hypothetical amount of pre-Incentive Fee net investment income shown is based on a percentage of total net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20" w:right="280" w:hanging="212"/>
        <w:spacing w:after="0" w:line="264" w:lineRule="auto"/>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Year 1: $10 million investment made in Company A (“</w:t>
      </w:r>
      <w:r>
        <w:rPr>
          <w:rFonts w:ascii="Arial" w:cs="Arial" w:eastAsia="Arial" w:hAnsi="Arial"/>
          <w:sz w:val="18"/>
          <w:szCs w:val="18"/>
          <w:u w:val="single" w:color="auto"/>
          <w:color w:val="auto"/>
        </w:rPr>
        <w:t>Investment A</w:t>
      </w:r>
      <w:r>
        <w:rPr>
          <w:rFonts w:ascii="Arial" w:cs="Arial" w:eastAsia="Arial" w:hAnsi="Arial"/>
          <w:sz w:val="18"/>
          <w:szCs w:val="18"/>
          <w:color w:val="auto"/>
        </w:rPr>
        <w:t>”), $10 million investment made in Company B (“</w:t>
      </w:r>
      <w:r>
        <w:rPr>
          <w:rFonts w:ascii="Arial" w:cs="Arial" w:eastAsia="Arial" w:hAnsi="Arial"/>
          <w:sz w:val="18"/>
          <w:szCs w:val="18"/>
          <w:u w:val="single" w:color="auto"/>
          <w:color w:val="auto"/>
        </w:rPr>
        <w:t>Investment B</w:t>
      </w:r>
      <w:r>
        <w:rPr>
          <w:rFonts w:ascii="Arial" w:cs="Arial" w:eastAsia="Arial" w:hAnsi="Arial"/>
          <w:sz w:val="18"/>
          <w:szCs w:val="18"/>
          <w:color w:val="auto"/>
        </w:rPr>
        <w:t>”), $10 million investment made in Company C (“</w:t>
      </w:r>
      <w:r>
        <w:rPr>
          <w:rFonts w:ascii="Arial" w:cs="Arial" w:eastAsia="Arial" w:hAnsi="Arial"/>
          <w:sz w:val="18"/>
          <w:szCs w:val="18"/>
          <w:u w:val="single" w:color="auto"/>
          <w:color w:val="auto"/>
        </w:rPr>
        <w:t>Investment C</w:t>
      </w:r>
      <w:r>
        <w:rPr>
          <w:rFonts w:ascii="Arial" w:cs="Arial" w:eastAsia="Arial" w:hAnsi="Arial"/>
          <w:sz w:val="18"/>
          <w:szCs w:val="18"/>
          <w:color w:val="auto"/>
        </w:rPr>
        <w:t>”), $10 million investment made in Company D (“</w:t>
      </w:r>
      <w:r>
        <w:rPr>
          <w:rFonts w:ascii="Arial" w:cs="Arial" w:eastAsia="Arial" w:hAnsi="Arial"/>
          <w:sz w:val="18"/>
          <w:szCs w:val="18"/>
          <w:u w:val="single" w:color="auto"/>
          <w:color w:val="auto"/>
        </w:rPr>
        <w:t>Investment D</w:t>
      </w:r>
      <w:r>
        <w:rPr>
          <w:rFonts w:ascii="Arial" w:cs="Arial" w:eastAsia="Arial" w:hAnsi="Arial"/>
          <w:sz w:val="18"/>
          <w:szCs w:val="18"/>
          <w:color w:val="auto"/>
        </w:rPr>
        <w:t>”) and $10 million investment made in Company E (“</w:t>
      </w:r>
      <w:r>
        <w:rPr>
          <w:rFonts w:ascii="Arial" w:cs="Arial" w:eastAsia="Arial" w:hAnsi="Arial"/>
          <w:sz w:val="18"/>
          <w:szCs w:val="18"/>
          <w:u w:val="single" w:color="auto"/>
          <w:color w:val="auto"/>
        </w:rPr>
        <w:t>Investment E</w:t>
      </w:r>
      <w:r>
        <w:rPr>
          <w:rFonts w:ascii="Arial" w:cs="Arial" w:eastAsia="Arial" w:hAnsi="Arial"/>
          <w:sz w:val="18"/>
          <w:szCs w:val="18"/>
          <w:color w:val="auto"/>
        </w:rPr>
        <w:t>”).</w:t>
      </w:r>
    </w:p>
    <w:p>
      <w:pPr>
        <w:spacing w:after="0" w:line="86" w:lineRule="exact"/>
        <w:rPr>
          <w:rFonts w:ascii="Arial" w:cs="Arial" w:eastAsia="Arial" w:hAnsi="Arial"/>
          <w:sz w:val="18"/>
          <w:szCs w:val="18"/>
          <w:b w:val="1"/>
          <w:bCs w:val="1"/>
          <w:color w:val="auto"/>
        </w:rPr>
      </w:pPr>
    </w:p>
    <w:p>
      <w:pPr>
        <w:ind w:left="220" w:right="120" w:hanging="212"/>
        <w:spacing w:after="0" w:line="277" w:lineRule="auto"/>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Year 2: Investment A sold for $20 million, fair market value (“</w:t>
      </w:r>
      <w:r>
        <w:rPr>
          <w:rFonts w:ascii="Arial" w:cs="Arial" w:eastAsia="Arial" w:hAnsi="Arial"/>
          <w:sz w:val="18"/>
          <w:szCs w:val="18"/>
          <w:u w:val="single" w:color="auto"/>
          <w:color w:val="auto"/>
        </w:rPr>
        <w:t>FMV</w:t>
      </w:r>
      <w:r>
        <w:rPr>
          <w:rFonts w:ascii="Arial" w:cs="Arial" w:eastAsia="Arial" w:hAnsi="Arial"/>
          <w:sz w:val="18"/>
          <w:szCs w:val="18"/>
          <w:color w:val="auto"/>
        </w:rPr>
        <w:t>”)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b w:val="1"/>
          <w:bCs w:val="1"/>
          <w:color w:val="auto"/>
        </w:rPr>
      </w:pPr>
    </w:p>
    <w:p>
      <w:pPr>
        <w:ind w:left="220" w:right="180" w:hanging="212"/>
        <w:spacing w:after="0" w:line="277" w:lineRule="auto"/>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75" w:lineRule="exact"/>
        <w:rPr>
          <w:rFonts w:ascii="Arial" w:cs="Arial" w:eastAsia="Arial" w:hAnsi="Arial"/>
          <w:sz w:val="18"/>
          <w:szCs w:val="18"/>
          <w:b w:val="1"/>
          <w:bCs w:val="1"/>
          <w:color w:val="auto"/>
        </w:rPr>
      </w:pPr>
    </w:p>
    <w:p>
      <w:pPr>
        <w:ind w:left="220" w:right="640" w:hanging="212"/>
        <w:spacing w:after="0" w:line="308" w:lineRule="auto"/>
        <w:tabs>
          <w:tab w:leader="none" w:pos="22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Year 4: $10 million investment made in Company F (“</w:t>
      </w:r>
      <w:r>
        <w:rPr>
          <w:rFonts w:ascii="Arial" w:cs="Arial" w:eastAsia="Arial" w:hAnsi="Arial"/>
          <w:sz w:val="17"/>
          <w:szCs w:val="17"/>
          <w:u w:val="single" w:color="auto"/>
          <w:color w:val="auto"/>
        </w:rPr>
        <w:t>Investment F</w:t>
      </w:r>
      <w:r>
        <w:rPr>
          <w:rFonts w:ascii="Arial" w:cs="Arial" w:eastAsia="Arial" w:hAnsi="Arial"/>
          <w:sz w:val="17"/>
          <w:szCs w:val="17"/>
          <w:color w:val="auto"/>
        </w:rPr>
        <w:t>”),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b w:val="1"/>
          <w:bCs w:val="1"/>
          <w:color w:val="auto"/>
        </w:rPr>
      </w:pPr>
    </w:p>
    <w:p>
      <w:pPr>
        <w:ind w:left="220" w:right="200" w:hanging="212"/>
        <w:spacing w:after="0" w:line="277" w:lineRule="auto"/>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Year 6: Investment B sold for $16 million, FMV of Investment E determined to be $8 million and FMV of Investment F determined to be $15 million.</w:t>
      </w:r>
    </w:p>
    <w:p>
      <w:pPr>
        <w:spacing w:after="0" w:line="142" w:lineRule="exact"/>
        <w:rPr>
          <w:rFonts w:ascii="Arial" w:cs="Arial" w:eastAsia="Arial" w:hAnsi="Arial"/>
          <w:sz w:val="17"/>
          <w:szCs w:val="17"/>
          <w:b w:val="1"/>
          <w:bCs w:val="1"/>
          <w:color w:val="auto"/>
        </w:rPr>
      </w:pPr>
    </w:p>
    <w:p>
      <w:pPr>
        <w:ind w:left="220" w:hanging="212"/>
        <w:spacing w:after="0"/>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Year 8: Investment F sold for $18 million.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16" w:right="299"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color w:val="auto"/>
        </w:rPr>
        <w:t>These assumptions are summarized in the following chart: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Cumulative</w:t>
            </w:r>
          </w:p>
        </w:tc>
        <w:tc>
          <w:tcPr>
            <w:tcW w:w="2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Cumulative</w:t>
            </w:r>
          </w:p>
        </w:tc>
        <w:tc>
          <w:tcPr>
            <w:tcW w:w="2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Realized</w:t>
            </w:r>
          </w:p>
        </w:tc>
        <w:tc>
          <w:tcPr>
            <w:tcW w:w="2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Investment</w:t>
            </w:r>
          </w:p>
        </w:tc>
        <w:tc>
          <w:tcPr>
            <w:tcW w:w="24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Investment</w:t>
            </w:r>
          </w:p>
        </w:tc>
        <w:tc>
          <w:tcPr>
            <w:tcW w:w="11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Investment</w:t>
            </w:r>
          </w:p>
        </w:tc>
        <w:tc>
          <w:tcPr>
            <w:tcW w:w="11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Investment</w:t>
            </w:r>
          </w:p>
        </w:tc>
        <w:tc>
          <w:tcPr>
            <w:tcW w:w="24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Investment</w:t>
            </w:r>
          </w:p>
        </w:tc>
        <w:tc>
          <w:tcPr>
            <w:tcW w:w="11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Investment</w:t>
            </w:r>
          </w:p>
        </w:tc>
        <w:tc>
          <w:tcPr>
            <w:tcW w:w="11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A</w:t>
            </w:r>
          </w:p>
        </w:tc>
        <w:tc>
          <w:tcPr>
            <w:tcW w:w="2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w:t>
            </w:r>
          </w:p>
        </w:tc>
        <w:tc>
          <w:tcPr>
            <w:tcW w:w="2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D</w:t>
            </w:r>
          </w:p>
        </w:tc>
        <w:tc>
          <w:tcPr>
            <w:tcW w:w="2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E</w:t>
            </w:r>
          </w:p>
        </w:tc>
        <w:tc>
          <w:tcPr>
            <w:tcW w:w="2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Losses</w:t>
            </w:r>
          </w:p>
        </w:tc>
        <w:tc>
          <w:tcPr>
            <w:tcW w:w="2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Gains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13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Year 1</w:t>
            </w:r>
          </w:p>
        </w:tc>
        <w:tc>
          <w:tcPr>
            <w:tcW w:w="9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$10 million</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$10 million</w:t>
            </w: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$10 million</w:t>
            </w: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$10 million</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$10 million</w:t>
            </w: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240"/>
              <w:spacing w:after="0" w:line="12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(cost basis)</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(cost basis)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380" w:type="dxa"/>
            <w:vAlign w:val="bottom"/>
            <w:gridSpan w:val="2"/>
          </w:tcPr>
          <w:p>
            <w:pPr>
              <w:spacing w:after="0"/>
              <w:rPr>
                <w:sz w:val="20"/>
                <w:szCs w:val="20"/>
                <w:color w:val="auto"/>
              </w:rPr>
            </w:pPr>
            <w:r>
              <w:rPr>
                <w:rFonts w:ascii="Arial" w:cs="Arial" w:eastAsia="Arial" w:hAnsi="Arial"/>
                <w:sz w:val="14"/>
                <w:szCs w:val="14"/>
                <w:color w:val="auto"/>
              </w:rPr>
              <w:t>Year 2</w:t>
            </w:r>
          </w:p>
        </w:tc>
        <w:tc>
          <w:tcPr>
            <w:tcW w:w="920" w:type="dxa"/>
            <w:vAlign w:val="bottom"/>
          </w:tcPr>
          <w:p>
            <w:pPr>
              <w:spacing w:after="0"/>
              <w:rPr>
                <w:sz w:val="20"/>
                <w:szCs w:val="20"/>
                <w:color w:val="auto"/>
              </w:rPr>
            </w:pPr>
            <w:r>
              <w:rPr>
                <w:rFonts w:ascii="Arial" w:cs="Arial" w:eastAsia="Arial" w:hAnsi="Arial"/>
                <w:sz w:val="14"/>
                <w:szCs w:val="14"/>
                <w:color w:val="auto"/>
              </w:rPr>
              <w:t>$20 million</w:t>
            </w:r>
          </w:p>
        </w:tc>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$8 million</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$12 million</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$10 million</w:t>
            </w:r>
          </w:p>
        </w:tc>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 million</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$2 million</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$10 million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(sale price)</w:t>
            </w:r>
          </w:p>
        </w:tc>
        <w:tc>
          <w:tcPr>
            <w:tcW w:w="2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FMV</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FMV</w:t>
            </w:r>
          </w:p>
        </w:tc>
        <w:tc>
          <w:tcPr>
            <w:tcW w:w="2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$14 million</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$14 million</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$2 million</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FMV at IPO</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FMV at IPO</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380" w:type="dxa"/>
            <w:vAlign w:val="bottom"/>
            <w:gridSpan w:val="2"/>
          </w:tcPr>
          <w:p>
            <w:pPr>
              <w:spacing w:after="0"/>
              <w:rPr>
                <w:sz w:val="20"/>
                <w:szCs w:val="20"/>
                <w:color w:val="auto"/>
              </w:rPr>
            </w:pPr>
            <w:r>
              <w:rPr>
                <w:rFonts w:ascii="Arial" w:cs="Arial" w:eastAsia="Arial" w:hAnsi="Arial"/>
                <w:sz w:val="14"/>
                <w:szCs w:val="14"/>
                <w:color w:val="auto"/>
              </w:rPr>
              <w:t>Year 4</w:t>
            </w: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 million</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$16 million</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$12 million</w:t>
            </w:r>
          </w:p>
        </w:tc>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$14 million</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$10 million</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$12 million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FMV</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(sale price)</w:t>
            </w:r>
          </w:p>
        </w:tc>
        <w:tc>
          <w:tcPr>
            <w:tcW w:w="2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(cost basis)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$20 million</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$12 million</w:t>
            </w:r>
          </w:p>
        </w:tc>
        <w:tc>
          <w:tcPr>
            <w:tcW w:w="114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(sale price)</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FMV</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380" w:type="dxa"/>
            <w:vAlign w:val="bottom"/>
            <w:gridSpan w:val="2"/>
          </w:tcPr>
          <w:p>
            <w:pPr>
              <w:spacing w:after="0"/>
              <w:rPr>
                <w:sz w:val="20"/>
                <w:szCs w:val="20"/>
                <w:color w:val="auto"/>
              </w:rPr>
            </w:pPr>
            <w:r>
              <w:rPr>
                <w:rFonts w:ascii="Arial" w:cs="Arial" w:eastAsia="Arial" w:hAnsi="Arial"/>
                <w:sz w:val="14"/>
                <w:szCs w:val="14"/>
                <w:color w:val="auto"/>
              </w:rPr>
              <w:t>Year 6</w:t>
            </w: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$16 million</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$8 million</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$15 million</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$2 million</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$28 million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(sale price)</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FMV</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7</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$8 million (sale</w:t>
            </w:r>
          </w:p>
        </w:tc>
        <w:tc>
          <w:tcPr>
            <w:tcW w:w="11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$17 million</w:t>
            </w:r>
          </w:p>
        </w:tc>
        <w:tc>
          <w:tcPr>
            <w:tcW w:w="114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$28 million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price)</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FMV</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380" w:type="dxa"/>
            <w:vAlign w:val="bottom"/>
            <w:gridSpan w:val="2"/>
          </w:tcPr>
          <w:p>
            <w:pPr>
              <w:spacing w:after="0"/>
              <w:rPr>
                <w:sz w:val="20"/>
                <w:szCs w:val="20"/>
                <w:color w:val="auto"/>
              </w:rPr>
            </w:pPr>
            <w:r>
              <w:rPr>
                <w:rFonts w:ascii="Arial" w:cs="Arial" w:eastAsia="Arial" w:hAnsi="Arial"/>
                <w:sz w:val="14"/>
                <w:szCs w:val="14"/>
                <w:color w:val="auto"/>
              </w:rPr>
              <w:t>Year 8</w:t>
            </w: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$18 million</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$2 million</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$36 million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(sale price)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Year 2:</w:t>
      </w:r>
    </w:p>
    <w:p>
      <w:pPr>
        <w:spacing w:after="0" w:line="130" w:lineRule="exact"/>
        <w:rPr>
          <w:rFonts w:ascii="Arial" w:cs="Arial" w:eastAsia="Arial" w:hAnsi="Arial"/>
          <w:sz w:val="18"/>
          <w:szCs w:val="18"/>
          <w:b w:val="1"/>
          <w:bCs w:val="1"/>
          <w:color w:val="auto"/>
        </w:rPr>
      </w:pPr>
    </w:p>
    <w:p>
      <w:pPr>
        <w:ind w:left="220" w:right="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Incentive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Year 3:</w:t>
      </w:r>
    </w:p>
    <w:p>
      <w:pPr>
        <w:spacing w:after="0" w:line="130" w:lineRule="exact"/>
        <w:rPr>
          <w:rFonts w:ascii="Arial" w:cs="Arial" w:eastAsia="Arial" w:hAnsi="Arial"/>
          <w:sz w:val="18"/>
          <w:szCs w:val="18"/>
          <w:b w:val="1"/>
          <w:bCs w:val="1"/>
          <w:color w:val="auto"/>
        </w:rPr>
      </w:pPr>
    </w:p>
    <w:p>
      <w:pPr>
        <w:ind w:left="220" w:right="5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Capital Gains Incentive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51" w:lineRule="exact"/>
        <w:rPr>
          <w:rFonts w:ascii="Arial" w:cs="Arial" w:eastAsia="Arial" w:hAnsi="Arial"/>
          <w:sz w:val="18"/>
          <w:szCs w:val="18"/>
          <w:b w:val="1"/>
          <w:bCs w:val="1"/>
          <w:color w:val="auto"/>
        </w:rPr>
      </w:pPr>
    </w:p>
    <w:p>
      <w:pPr>
        <w:ind w:left="22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Year 4:</w:t>
      </w:r>
    </w:p>
    <w:p>
      <w:pPr>
        <w:spacing w:after="0" w:line="130" w:lineRule="exact"/>
        <w:rPr>
          <w:rFonts w:ascii="Arial" w:cs="Arial" w:eastAsia="Arial" w:hAnsi="Arial"/>
          <w:sz w:val="18"/>
          <w:szCs w:val="18"/>
          <w:b w:val="1"/>
          <w:bCs w:val="1"/>
          <w:color w:val="auto"/>
        </w:rPr>
      </w:pPr>
    </w:p>
    <w:p>
      <w:pPr>
        <w:ind w:left="22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75" w:lineRule="exact"/>
        <w:rPr>
          <w:rFonts w:ascii="Arial" w:cs="Arial" w:eastAsia="Arial" w:hAnsi="Arial"/>
          <w:sz w:val="18"/>
          <w:szCs w:val="18"/>
          <w:b w:val="1"/>
          <w:bCs w:val="1"/>
          <w:color w:val="auto"/>
        </w:rPr>
      </w:pPr>
    </w:p>
    <w:p>
      <w:pPr>
        <w:ind w:left="22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Year 5:</w:t>
      </w:r>
    </w:p>
    <w:p>
      <w:pPr>
        <w:spacing w:after="0" w:line="130"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Capital Gains Fee = (Weighted Percentage multiplied by ($22 million cumulative realized capital gains)) less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t xml:space="preserve">$1.8 million cumulative Capital Gains Fee previously paid = $3.45 million less $1.8 million = </w:t>
      </w:r>
      <w:r>
        <w:rPr>
          <w:rFonts w:ascii="Arial" w:cs="Arial" w:eastAsia="Arial" w:hAnsi="Arial"/>
          <w:sz w:val="18"/>
          <w:szCs w:val="18"/>
          <w:b w:val="1"/>
          <w:bCs w:val="1"/>
          <w:color w:val="auto"/>
        </w:rPr>
        <w:t>$1.65 million</w:t>
      </w:r>
    </w:p>
    <w:p>
      <w:pPr>
        <w:spacing w:after="0" w:line="135"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Post-IPO Gain Amount divided by $22 million Total Gain Amount)) = </w:t>
      </w:r>
      <w:r>
        <w:rPr>
          <w:rFonts w:ascii="Arial" w:cs="Arial" w:eastAsia="Arial" w:hAnsi="Arial"/>
          <w:sz w:val="18"/>
          <w:szCs w:val="18"/>
          <w:b w:val="1"/>
          <w:bCs w:val="1"/>
          <w:color w:val="auto"/>
        </w:rPr>
        <w:t>15.68%</w:t>
      </w:r>
    </w:p>
    <w:p>
      <w:pPr>
        <w:spacing w:after="0" w:line="76" w:lineRule="exact"/>
        <w:rPr>
          <w:sz w:val="20"/>
          <w:szCs w:val="20"/>
          <w:color w:val="auto"/>
        </w:rPr>
      </w:pPr>
    </w:p>
    <w:p>
      <w:pPr>
        <w:ind w:left="440" w:hanging="177"/>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Year 6:</w:t>
      </w:r>
    </w:p>
    <w:p>
      <w:pPr>
        <w:spacing w:after="0" w:line="130" w:lineRule="exact"/>
        <w:rPr>
          <w:rFonts w:ascii="Arial" w:cs="Arial" w:eastAsia="Arial" w:hAnsi="Arial"/>
          <w:sz w:val="18"/>
          <w:szCs w:val="18"/>
          <w:b w:val="1"/>
          <w:bCs w:val="1"/>
          <w:color w:val="auto"/>
        </w:rPr>
      </w:pPr>
    </w:p>
    <w:p>
      <w:pPr>
        <w:ind w:lef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8"/>
          <w:szCs w:val="18"/>
          <w:b w:val="1"/>
          <w:bCs w:val="1"/>
          <w:color w:val="auto"/>
        </w:rPr>
        <w:t>$0.73 million</w:t>
      </w:r>
    </w:p>
    <w:p>
      <w:pPr>
        <w:spacing w:after="0" w:line="75" w:lineRule="exact"/>
        <w:rPr>
          <w:rFonts w:ascii="Arial" w:cs="Arial" w:eastAsia="Arial" w:hAnsi="Arial"/>
          <w:sz w:val="18"/>
          <w:szCs w:val="18"/>
          <w:b w:val="1"/>
          <w:bCs w:val="1"/>
          <w:color w:val="auto"/>
        </w:rPr>
      </w:pP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75" w:lineRule="exact"/>
        <w:rPr>
          <w:rFonts w:ascii="Arial" w:cs="Arial" w:eastAsia="Arial" w:hAnsi="Arial"/>
          <w:sz w:val="18"/>
          <w:szCs w:val="18"/>
          <w:b w:val="1"/>
          <w:bCs w:val="1"/>
          <w:color w:val="auto"/>
        </w:rPr>
      </w:pPr>
    </w:p>
    <w:p>
      <w:pPr>
        <w:ind w:left="440" w:hanging="177"/>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Year 7:</w:t>
      </w:r>
    </w:p>
    <w:p>
      <w:pPr>
        <w:spacing w:after="0" w:line="130" w:lineRule="exact"/>
        <w:rPr>
          <w:rFonts w:ascii="Arial" w:cs="Arial" w:eastAsia="Arial" w:hAnsi="Arial"/>
          <w:sz w:val="18"/>
          <w:szCs w:val="18"/>
          <w:b w:val="1"/>
          <w:bCs w:val="1"/>
          <w:color w:val="auto"/>
        </w:rPr>
      </w:pPr>
    </w:p>
    <w:p>
      <w:pPr>
        <w:ind w:left="44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170" w:lineRule="exact"/>
        <w:rPr>
          <w:rFonts w:ascii="Arial" w:cs="Arial" w:eastAsia="Arial" w:hAnsi="Arial"/>
          <w:sz w:val="18"/>
          <w:szCs w:val="18"/>
          <w:b w:val="1"/>
          <w:bCs w:val="1"/>
          <w:color w:val="auto"/>
        </w:rPr>
      </w:pP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75" w:lineRule="exact"/>
        <w:rPr>
          <w:rFonts w:ascii="Arial" w:cs="Arial" w:eastAsia="Arial" w:hAnsi="Arial"/>
          <w:sz w:val="18"/>
          <w:szCs w:val="18"/>
          <w:b w:val="1"/>
          <w:bCs w:val="1"/>
          <w:color w:val="auto"/>
        </w:rPr>
      </w:pPr>
    </w:p>
    <w:p>
      <w:pPr>
        <w:ind w:left="440" w:hanging="177"/>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Year 8:</w:t>
      </w:r>
    </w:p>
    <w:p>
      <w:pPr>
        <w:spacing w:after="0" w:line="130" w:lineRule="exact"/>
        <w:rPr>
          <w:rFonts w:ascii="Arial" w:cs="Arial" w:eastAsia="Arial" w:hAnsi="Arial"/>
          <w:sz w:val="18"/>
          <w:szCs w:val="18"/>
          <w:b w:val="1"/>
          <w:bCs w:val="1"/>
          <w:color w:val="auto"/>
        </w:rPr>
      </w:pPr>
    </w:p>
    <w:p>
      <w:pPr>
        <w:ind w:left="440" w:right="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7"/>
          <w:szCs w:val="17"/>
          <w:b w:val="1"/>
          <w:bCs w:val="1"/>
          <w:color w:val="auto"/>
        </w:rPr>
        <w:t>$1.39 million</w:t>
      </w:r>
    </w:p>
    <w:p>
      <w:pPr>
        <w:spacing w:after="0" w:line="14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Post-IPO Gain Amount divided by $36 million Total Gain Amount)) = </w:t>
      </w:r>
      <w:r>
        <w:rPr>
          <w:rFonts w:ascii="Arial" w:cs="Arial" w:eastAsia="Arial" w:hAnsi="Arial"/>
          <w:sz w:val="18"/>
          <w:szCs w:val="18"/>
          <w:b w:val="1"/>
          <w:bCs w:val="1"/>
          <w:color w:val="auto"/>
        </w:rPr>
        <w:t>16.39%</w:t>
      </w:r>
    </w:p>
    <w:p>
      <w:pPr>
        <w:spacing w:after="0" w:line="62" w:lineRule="exact"/>
        <w:rPr>
          <w:sz w:val="20"/>
          <w:szCs w:val="20"/>
          <w:color w:val="auto"/>
        </w:rPr>
      </w:pPr>
    </w:p>
    <w:p>
      <w:pPr>
        <w:ind w:left="-20" w:right="20" w:firstLine="233"/>
        <w:spacing w:after="0" w:line="264" w:lineRule="auto"/>
        <w:tabs>
          <w:tab w:leader="none" w:pos="4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any IPO of the Company’s common stock that may occur, the Adviser shall waive its right to receive the Management Fee in excess of the sum of (i) 0.25% of aggregate committed but undrawn capital and (ii) 0.75% of aggregate drawn capital (including capital drawn to pay Company expenses) during any period. The fee waiver shall terminate if and when the Company makes an IPO of its common stock.</w:t>
      </w:r>
    </w:p>
    <w:p>
      <w:pPr>
        <w:spacing w:after="0" w:line="73" w:lineRule="exact"/>
        <w:rPr>
          <w:rFonts w:ascii="Arial" w:cs="Arial" w:eastAsia="Arial" w:hAnsi="Arial"/>
          <w:sz w:val="18"/>
          <w:szCs w:val="18"/>
          <w:color w:val="auto"/>
        </w:rPr>
      </w:pPr>
    </w:p>
    <w:p>
      <w:pPr>
        <w:ind w:left="-20" w:right="20" w:firstLine="233"/>
        <w:spacing w:after="0" w:line="276" w:lineRule="auto"/>
        <w:tabs>
          <w:tab w:leader="none" w:pos="4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transaction, loan origination, advisory or similar fees (“</w:t>
      </w:r>
      <w:r>
        <w:rPr>
          <w:rFonts w:ascii="Arial" w:cs="Arial" w:eastAsia="Arial" w:hAnsi="Arial"/>
          <w:sz w:val="17"/>
          <w:szCs w:val="17"/>
          <w:u w:val="single" w:color="auto"/>
          <w:color w:val="auto"/>
        </w:rPr>
        <w:t>Transaction Fees</w:t>
      </w:r>
      <w:r>
        <w:rPr>
          <w:rFonts w:ascii="Arial" w:cs="Arial" w:eastAsia="Arial" w:hAnsi="Arial"/>
          <w:sz w:val="17"/>
          <w:szCs w:val="17"/>
          <w:color w:val="auto"/>
        </w:rPr>
        <w:t xml:space="preserve">”) received in connection with the Company’s activities or the Adviser’s activities as they relate to the Company shall be the property of the Company. The parties agree that any Transaction Fees paid to the members, managers, partners or employees of the Company, the Adviser or their respective affiliates in connection with the Company’s activities or the Adviser’s activities as they relate to the Company shall be promptly remitted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however, Transaction Fees received in respect of an investment opportunity in which the Company and one or more entities (including affiliates of the Adviser) participate shall be allocated to each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 xml:space="preserve">the Company and such entities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respective investments or proposed investments in such investment opportunity.</w:t>
      </w:r>
    </w:p>
    <w:p>
      <w:pPr>
        <w:spacing w:after="0" w:line="129" w:lineRule="exact"/>
        <w:rPr>
          <w:sz w:val="20"/>
          <w:szCs w:val="20"/>
          <w:color w:val="auto"/>
        </w:rPr>
      </w:pPr>
    </w:p>
    <w:p>
      <w:pPr>
        <w:ind w:firstLine="233"/>
        <w:spacing w:after="0" w:line="257" w:lineRule="auto"/>
        <w:tabs>
          <w:tab w:leader="none" w:pos="47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Company and the Adviser acknowledge and agree that the provisions of this Section 3 shall be of no force and effect unless and until this Agreement has been approved by the vote of a majority of the Company’s directors who are not parties to this Agreement or “interested persons” (as such term is defined in Section 2(a)(19) of the Investment Company Act) of any such party, in accordance with the requirements of the Investment Company Act (the “Approval Date”). For the avoidance of doubt, the Adviser shall receive no compensation with respect to services provided hereunder prior to the Approval Date.</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Adviser</w:t>
      </w:r>
    </w:p>
    <w:p>
      <w:pPr>
        <w:spacing w:after="0" w:line="121"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Adviser agrees that its activities will at all times be in compliance in all material respects with all applicable federal and state laws governing its operations and investments.</w:t>
      </w:r>
    </w:p>
    <w:p>
      <w:pPr>
        <w:spacing w:after="0" w:line="58"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Excess Brokerage Commissions</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spacing w:after="0" w:line="66"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Team</w:t>
      </w:r>
    </w:p>
    <w:p>
      <w:pPr>
        <w:spacing w:after="0" w:line="121" w:lineRule="exact"/>
        <w:rPr>
          <w:sz w:val="20"/>
          <w:szCs w:val="20"/>
          <w:color w:val="auto"/>
        </w:rPr>
      </w:pPr>
    </w:p>
    <w:p>
      <w:pPr>
        <w:ind w:right="200" w:firstLine="222"/>
        <w:spacing w:after="0" w:line="312" w:lineRule="auto"/>
        <w:rPr>
          <w:sz w:val="20"/>
          <w:szCs w:val="20"/>
          <w:color w:val="auto"/>
        </w:rPr>
      </w:pPr>
      <w:r>
        <w:rPr>
          <w:rFonts w:ascii="Arial" w:cs="Arial" w:eastAsia="Arial" w:hAnsi="Arial"/>
          <w:sz w:val="16"/>
          <w:szCs w:val="16"/>
          <w:color w:val="auto"/>
        </w:rPr>
        <w:t>The Adviser shall manage the Company’s portfolio through a team of investment professionals (the “</w:t>
      </w:r>
      <w:r>
        <w:rPr>
          <w:rFonts w:ascii="Arial" w:cs="Arial" w:eastAsia="Arial" w:hAnsi="Arial"/>
          <w:sz w:val="16"/>
          <w:szCs w:val="16"/>
          <w:u w:val="single" w:color="auto"/>
          <w:color w:val="auto"/>
        </w:rPr>
        <w:t>Investment Team</w:t>
      </w:r>
      <w:r>
        <w:rPr>
          <w:rFonts w:ascii="Arial" w:cs="Arial" w:eastAsia="Arial" w:hAnsi="Arial"/>
          <w:sz w:val="16"/>
          <w:szCs w:val="16"/>
          <w:color w:val="auto"/>
        </w:rPr>
        <w:t>”) dedicated primarily to the Company’s business, in cooperation with the Company’s Chief Executive Officer. The Investment Team shall be comprised of senior personnel of the Adviser, supported by and with access to the investment professionals, analytical capabilities and support personnel of the Company and TPG Capital, L.P.</w:t>
      </w:r>
    </w:p>
    <w:p>
      <w:pPr>
        <w:spacing w:after="0" w:line="35"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the Employment of the Adviser</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services of the Adviser to the Company are not exclusive, and the Adviser may engage in any other business or render similar or different services to others including, without limitation, the direct or indirect sponsorship or management of other investment-based accounts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5" w:name="page16"/>
    <w:bookmarkEnd w:id="15"/>
    <w:p>
      <w:pPr>
        <w:spacing w:after="0" w:line="270" w:lineRule="auto"/>
        <w:rPr>
          <w:sz w:val="20"/>
          <w:szCs w:val="20"/>
          <w:color w:val="auto"/>
        </w:rPr>
      </w:pPr>
      <w:r>
        <w:rPr>
          <w:rFonts w:ascii="Arial" w:cs="Arial" w:eastAsia="Arial" w:hAnsi="Arial"/>
          <w:sz w:val="17"/>
          <w:szCs w:val="17"/>
          <w:color w:val="auto"/>
        </w:rPr>
        <w:t>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at set forth herein.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spacing w:after="0" w:line="66"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of Dual Directors, Officers and/or Employees</w:t>
      </w:r>
    </w:p>
    <w:p>
      <w:pPr>
        <w:spacing w:after="0" w:line="121" w:lineRule="exact"/>
        <w:rPr>
          <w:sz w:val="20"/>
          <w:szCs w:val="20"/>
          <w:color w:val="auto"/>
        </w:rPr>
      </w:pPr>
    </w:p>
    <w:p>
      <w:pPr>
        <w:jc w:val="both"/>
        <w:ind w:right="80" w:firstLine="225"/>
        <w:spacing w:after="0" w:line="279" w:lineRule="auto"/>
        <w:rPr>
          <w:sz w:val="20"/>
          <w:szCs w:val="20"/>
          <w:color w:val="auto"/>
        </w:rPr>
      </w:pPr>
      <w:r>
        <w:rPr>
          <w:rFonts w:ascii="Arial" w:cs="Arial" w:eastAsia="Arial" w:hAnsi="Arial"/>
          <w:sz w:val="17"/>
          <w:szCs w:val="17"/>
          <w:color w:val="auto"/>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spacing w:after="0" w:line="59"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of Interest</w:t>
      </w:r>
    </w:p>
    <w:p>
      <w:pPr>
        <w:spacing w:after="0" w:line="121" w:lineRule="exact"/>
        <w:rPr>
          <w:sz w:val="20"/>
          <w:szCs w:val="20"/>
          <w:color w:val="auto"/>
        </w:rPr>
      </w:pPr>
    </w:p>
    <w:p>
      <w:pPr>
        <w:ind w:right="20" w:firstLine="222"/>
        <w:spacing w:after="0" w:line="286" w:lineRule="auto"/>
        <w:rPr>
          <w:sz w:val="20"/>
          <w:szCs w:val="20"/>
          <w:color w:val="auto"/>
        </w:rPr>
      </w:pPr>
      <w:r>
        <w:rPr>
          <w:rFonts w:ascii="Arial" w:cs="Arial" w:eastAsia="Arial" w:hAnsi="Arial"/>
          <w:sz w:val="16"/>
          <w:szCs w:val="16"/>
          <w:color w:val="auto"/>
        </w:rPr>
        <w:t xml:space="preserve">The Adviser agrees that it shall submit to the Board a description of any potential or actual conflict of interest that the Adviser determines to be material in any transaction or relationship between the Company and any entity controlled by it, on the one hand, and the Adviser or any of its affiliates or their respective employees, partners, members, officers or directors, on the other hand;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transaction that is (i) conducted on an arm’s length basis and generates Transaction Fees one hundred percent (100%) of which are paid or remitted to the Company in accordance with Section 3(d) or</w:t>
      </w:r>
    </w:p>
    <w:p>
      <w:pPr>
        <w:spacing w:after="0" w:line="2" w:lineRule="exact"/>
        <w:rPr>
          <w:sz w:val="20"/>
          <w:szCs w:val="20"/>
          <w:color w:val="auto"/>
        </w:rPr>
      </w:pPr>
    </w:p>
    <w:p>
      <w:pPr>
        <w:ind w:right="140" w:firstLine="8"/>
        <w:spacing w:after="0" w:line="254"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made pursuant to an exemptive order obtained by the Company or the Adviser under the Investment Company Act shall not, in either case, constitute a conflict of interest for the purposes of this Section 9. Any transaction or relationship required to be submitted to the Board pursuant to the previous sentence shall promptly be reviewed and approved or disapproved by the Board, and the Adviser shall supply the Board with all information and data reasonably requested by the Board to enable it to reach an informed decision with respect thereto.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Adviser; Indemnification</w:t>
      </w:r>
    </w:p>
    <w:p>
      <w:pPr>
        <w:spacing w:after="0" w:line="12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including without limitation the Administrator, or is or was a member of the Adviser’s Investment Review Committee (each such person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on the same general terms set forth in Article VIII of the Certificate of Incorporation, the terms of which are incorporated herein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mutandi </w:t>
      </w:r>
      <w:r>
        <w:rPr>
          <w:rFonts w:ascii="Arial" w:cs="Arial" w:eastAsia="Arial" w:hAnsi="Arial"/>
          <w:sz w:val="17"/>
          <w:szCs w:val="17"/>
          <w:color w:val="auto"/>
        </w:rPr>
        <w:t>as applied to the Indemnitees.</w:t>
      </w:r>
    </w:p>
    <w:p>
      <w:pPr>
        <w:spacing w:after="0" w:line="7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Duration and Termination of Agreement</w:t>
      </w:r>
    </w:p>
    <w:p>
      <w:pPr>
        <w:spacing w:after="0" w:line="121" w:lineRule="exact"/>
        <w:rPr>
          <w:rFonts w:ascii="Arial" w:cs="Arial" w:eastAsia="Arial" w:hAnsi="Arial"/>
          <w:sz w:val="18"/>
          <w:szCs w:val="18"/>
          <w:b w:val="1"/>
          <w:bCs w:val="1"/>
          <w:color w:val="auto"/>
        </w:rPr>
      </w:pPr>
    </w:p>
    <w:p>
      <w:pPr>
        <w:ind w:firstLine="233"/>
        <w:spacing w:after="0" w:line="273" w:lineRule="auto"/>
        <w:tabs>
          <w:tab w:leader="none" w:pos="467"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This Agreement shall become effective as of the first date above written. This Agreement may be terminated at any time, without the payment of any penalty, upon not more than 60 days’ written notice, by the vote of a majority of the outstanding voting securities of the Company or by the vote of the Company’s directors or by the Adviser. The provisions of Section 10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10 shall continue in force and effect and apply to the Adviser and its representatives as and to the extent applicable.</w:t>
      </w:r>
    </w:p>
    <w:p>
      <w:pPr>
        <w:spacing w:after="0" w:line="70" w:lineRule="exact"/>
        <w:rPr>
          <w:rFonts w:ascii="Arial" w:cs="Arial" w:eastAsia="Arial" w:hAnsi="Arial"/>
          <w:sz w:val="17"/>
          <w:szCs w:val="17"/>
          <w:color w:val="auto"/>
        </w:rPr>
      </w:pPr>
    </w:p>
    <w:p>
      <w:pPr>
        <w:ind w:right="120" w:firstLine="233"/>
        <w:spacing w:after="0" w:line="255" w:lineRule="auto"/>
        <w:tabs>
          <w:tab w:leader="none" w:pos="4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shall continue in effect for two years from the date hereof, or to the extent consistent with the requirements of the Investment Company Act, from the date of the Company’s election to be regulated as a BDC under the Investment Company Act,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7" w:name="page18"/>
    <w:bookmarkEnd w:id="17"/>
    <w:p>
      <w:pPr>
        <w:ind w:right="620" w:firstLine="233"/>
        <w:spacing w:after="0" w:line="277" w:lineRule="auto"/>
        <w:tabs>
          <w:tab w:leader="none" w:pos="4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This Agreement will automatically terminate in the event of its “assignment” (as such term is defined for purposes of Section 15(a)(4) of the Investment Company Act).</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Any notice under this Agreement shall be given in writing, addressed and delivered or mailed, postage prepaid, to the other party at its principal office.</w:t>
      </w:r>
    </w:p>
    <w:p>
      <w:pPr>
        <w:spacing w:after="0" w:line="13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121"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This Agreement may be amended by mutual consent, but the consent of the Company must be obtained in conformity with the requirements of the Investment Company Act.</w:t>
      </w:r>
    </w:p>
    <w:p>
      <w:pPr>
        <w:spacing w:after="0" w:line="5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Governing Law</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This Agreement contains the entire agreement of the parties and supersedes all prior agreements, understandings and arrangements with respect to the subject matter hereof. This Agreement shall be construed in accordance with the laws of the State of Delaware and in accordance with the applicable provisions of the Investment Company Act. In such case, to the extent the applicable laws of the State of Delaware, or any of the provisions herein, conflict with the provisions of the Investment Company Act, the latter shall control.</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18" w:name="page19"/>
    <w:bookmarkEnd w:id="18"/>
    <w:p>
      <w:pPr>
        <w:ind w:left="520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duly executed on the date above written.</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Ronald Cami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TSL ADVISERS, LLC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David C. Reintjes</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David C.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Chief Compliance Officer</w:t>
      </w:r>
    </w:p>
    <w:sectPr>
      <w:pgSz w:w="11900" w:h="16838" w:orient="portrait"/>
      <w:cols w:equalWidth="0" w:num="1">
        <w:col w:w="9979"/>
      </w:cols>
      <w:pgMar w:left="480" w:top="9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Roman"/>
      <w:start w:val="2"/>
    </w:lvl>
  </w:abstractNum>
  <w:abstractNum w:abstractNumId="3">
    <w:nsid w:val="333AB105"/>
    <w:multiLevelType w:val="hybridMultilevel"/>
    <w:lvl w:ilvl="0">
      <w:lvlJc w:val="left"/>
      <w:lvlText w:val="%1."/>
      <w:numFmt w:val="decimal"/>
      <w:start w:val="1"/>
    </w:lvl>
    <w:lvl w:ilvl="1">
      <w:lvlJc w:val="left"/>
      <w:lvlText w:val="(%2)"/>
      <w:numFmt w:val="lowerLetter"/>
      <w:start w:val="1"/>
    </w:lvl>
  </w:abstractNum>
  <w:abstractNum w:abstractNumId="4">
    <w:nsid w:val="721DA317"/>
    <w:multiLevelType w:val="hybridMultilevel"/>
    <w:lvl w:ilvl="0">
      <w:lvlJc w:val="left"/>
      <w:lvlText w:val="(%1)"/>
      <w:numFmt w:val="lowerLetter"/>
      <w:start w:val="2"/>
    </w:lvl>
  </w:abstractNum>
  <w:abstractNum w:abstractNumId="5">
    <w:nsid w:val="2443A858"/>
    <w:multiLevelType w:val="hybridMultilevel"/>
    <w:lvl w:ilvl="0">
      <w:lvlJc w:val="left"/>
      <w:lvlText w:val="%1"/>
      <w:numFmt w:val="decimal"/>
      <w:start w:val="1"/>
    </w:lvl>
    <w:lvl w:ilvl="1">
      <w:lvlJc w:val="left"/>
      <w:lvlText w:val="(%2)"/>
      <w:numFmt w:val="lowerLetter"/>
      <w:start w:val="6"/>
    </w:lvl>
  </w:abstractNum>
  <w:abstractNum w:abstractNumId="6">
    <w:nsid w:val="2D1D5AE9"/>
    <w:multiLevelType w:val="hybridMultilevel"/>
    <w:lvl w:ilvl="0">
      <w:lvlJc w:val="left"/>
      <w:lvlText w:val="%1."/>
      <w:numFmt w:val="decimal"/>
      <w:start w:val="2"/>
    </w:lvl>
    <w:lvl w:ilvl="1">
      <w:lvlJc w:val="left"/>
      <w:lvlText w:val="(%2)"/>
      <w:numFmt w:val="lowerLetter"/>
      <w:start w:val="1"/>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1)"/>
      <w:numFmt w:val="lowerLetter"/>
      <w:start w:val="1"/>
    </w:lvl>
    <w:lvl w:ilvl="1">
      <w:lvlJc w:val="left"/>
      <w:lvlText w:val="(%2)"/>
      <w:numFmt w:val="lowerRoman"/>
      <w:start w:val="1"/>
    </w:lvl>
  </w:abstractNum>
  <w:abstractNum w:abstractNumId="9">
    <w:nsid w:val="8EDBDAB"/>
    <w:multiLevelType w:val="hybridMultilevel"/>
    <w:lvl w:ilvl="0">
      <w:lvlJc w:val="left"/>
      <w:lvlText w:val="1"/>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Roman"/>
      <w:start w:val="2"/>
    </w:lvl>
  </w:abstractNum>
  <w:abstractNum w:abstractNumId="12">
    <w:nsid w:val="B03E0C6"/>
    <w:multiLevelType w:val="hybridMultilevel"/>
    <w:lvl w:ilvl="0">
      <w:lvlJc w:val="left"/>
      <w:lvlText w:val="(%1)"/>
      <w:numFmt w:val="upperLetter"/>
      <w:start w:val="1"/>
    </w:lvl>
    <w:lvl w:ilvl="1">
      <w:lvlJc w:val="left"/>
      <w:lvlText w:val="(%2)"/>
      <w:numFmt w:val="upperLetter"/>
      <w:start w:val="9"/>
    </w:lvl>
  </w:abstractNum>
  <w:abstractNum w:abstractNumId="13">
    <w:nsid w:val="189A769B"/>
    <w:multiLevelType w:val="hybridMultilevel"/>
    <w:lvl w:ilvl="0">
      <w:lvlJc w:val="left"/>
      <w:lvlText w:val="%1"/>
      <w:numFmt w:val="upperLetter"/>
      <w:start w:val="1"/>
    </w:lvl>
    <w:lvl w:ilvl="1">
      <w:lvlJc w:val="left"/>
      <w:lvlText w:val="(%2)"/>
      <w:numFmt w:val="upperLetter"/>
      <w:start w:val="35"/>
    </w:lvl>
  </w:abstractNum>
  <w:abstractNum w:abstractNumId="14">
    <w:nsid w:val="54E49EB4"/>
    <w:multiLevelType w:val="hybridMultilevel"/>
    <w:lvl w:ilvl="0">
      <w:lvlJc w:val="left"/>
      <w:lvlText w:val="(%1)"/>
      <w:numFmt w:val="upperLetter"/>
      <w:start w:val="1"/>
    </w:lvl>
    <w:lvl w:ilvl="1">
      <w:lvlJc w:val="left"/>
      <w:lvlText w:val="(%2)"/>
      <w:numFmt w:val="upperLetter"/>
      <w:start w:val="9"/>
    </w:lvl>
  </w:abstractNum>
  <w:abstractNum w:abstractNumId="15">
    <w:nsid w:val="71F32454"/>
    <w:multiLevelType w:val="hybridMultilevel"/>
    <w:lvl w:ilvl="0">
      <w:lvlJc w:val="left"/>
      <w:lvlText w:val="(%1)"/>
      <w:numFmt w:val="upperLetter"/>
      <w:start w:val="35"/>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lowerLetter"/>
      <w:start w:val="3"/>
    </w:lvl>
  </w:abstractNum>
  <w:abstractNum w:abstractNumId="25">
    <w:nsid w:val="22221A70"/>
    <w:multiLevelType w:val="hybridMultilevel"/>
    <w:lvl w:ilvl="0">
      <w:lvlJc w:val="left"/>
      <w:lvlText w:val="%1"/>
      <w:numFmt w:val="decimal"/>
      <w:start w:val="1"/>
    </w:lvl>
    <w:lvl w:ilvl="1">
      <w:lvlJc w:val="left"/>
      <w:lvlText w:val="(%2)"/>
      <w:numFmt w:val="lowerLetter"/>
      <w:start w:val="5"/>
    </w:lvl>
  </w:abstractNum>
  <w:abstractNum w:abstractNumId="26">
    <w:nsid w:val="4516DDE9"/>
    <w:multiLevelType w:val="hybridMultilevel"/>
    <w:lvl w:ilvl="0">
      <w:lvlJc w:val="left"/>
      <w:lvlText w:val="%1."/>
      <w:numFmt w:val="decimal"/>
      <w:start w:val="4"/>
    </w:lvl>
    <w:lvl w:ilvl="1">
      <w:lvlJc w:val="left"/>
      <w:lvlText w:val="%2"/>
      <w:numFmt w:val="lowerLetter"/>
      <w:start w:val="1"/>
    </w:lvl>
  </w:abstractNum>
  <w:abstractNum w:abstractNumId="27">
    <w:nsid w:val="3006C83E"/>
    <w:multiLevelType w:val="hybridMultilevel"/>
    <w:lvl w:ilvl="0">
      <w:lvlJc w:val="left"/>
      <w:lvlText w:val="%1."/>
      <w:numFmt w:val="decimal"/>
      <w:start w:val="5"/>
    </w:lvl>
  </w:abstractNum>
  <w:abstractNum w:abstractNumId="28">
    <w:nsid w:val="614FD4A1"/>
    <w:multiLevelType w:val="hybridMultilevel"/>
    <w:lvl w:ilvl="0">
      <w:lvlJc w:val="left"/>
      <w:lvlText w:val="%1."/>
      <w:numFmt w:val="decimal"/>
      <w:start w:val="6"/>
    </w:lvl>
  </w:abstractNum>
  <w:abstractNum w:abstractNumId="29">
    <w:nsid w:val="419AC241"/>
    <w:multiLevelType w:val="hybridMultilevel"/>
    <w:lvl w:ilvl="0">
      <w:lvlJc w:val="left"/>
      <w:lvlText w:val="%1."/>
      <w:numFmt w:val="decimal"/>
      <w:start w:val="7"/>
    </w:lvl>
  </w:abstractNum>
  <w:abstractNum w:abstractNumId="30">
    <w:nsid w:val="5577F8E1"/>
    <w:multiLevelType w:val="hybridMultilevel"/>
    <w:lvl w:ilvl="0">
      <w:lvlJc w:val="left"/>
      <w:lvlText w:val="%1."/>
      <w:numFmt w:val="decimal"/>
      <w:start w:val="8"/>
    </w:lvl>
  </w:abstractNum>
  <w:abstractNum w:abstractNumId="31">
    <w:nsid w:val="440BADFC"/>
    <w:multiLevelType w:val="hybridMultilevel"/>
    <w:lvl w:ilvl="0">
      <w:lvlJc w:val="left"/>
      <w:lvlText w:val="%1."/>
      <w:numFmt w:val="decimal"/>
      <w:start w:val="9"/>
    </w:lvl>
  </w:abstractNum>
  <w:abstractNum w:abstractNumId="32">
    <w:nsid w:val="5072367"/>
    <w:multiLevelType w:val="hybridMultilevel"/>
    <w:lvl w:ilvl="0">
      <w:lvlJc w:val="left"/>
      <w:lvlText w:val="(%1)"/>
      <w:numFmt w:val="lowerRoman"/>
      <w:start w:val="2"/>
    </w:lvl>
  </w:abstractNum>
  <w:abstractNum w:abstractNumId="33">
    <w:nsid w:val="3804823E"/>
    <w:multiLevelType w:val="hybridMultilevel"/>
    <w:lvl w:ilvl="0">
      <w:lvlJc w:val="left"/>
      <w:lvlText w:val="%1."/>
      <w:numFmt w:val="decimal"/>
      <w:start w:val="10"/>
    </w:lvl>
  </w:abstractNum>
  <w:abstractNum w:abstractNumId="34">
    <w:nsid w:val="77465F01"/>
    <w:multiLevelType w:val="hybridMultilevel"/>
    <w:lvl w:ilvl="0">
      <w:lvlJc w:val="left"/>
      <w:lvlText w:val="%1."/>
      <w:numFmt w:val="decimal"/>
      <w:start w:val="11"/>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3"/>
    </w:lvl>
  </w:abstractNum>
  <w:abstractNum w:abstractNumId="36">
    <w:nsid w:val="5C482A97"/>
    <w:multiLevelType w:val="hybridMultilevel"/>
    <w:lvl w:ilvl="0">
      <w:lvlJc w:val="left"/>
      <w:lvlText w:val="%1."/>
      <w:numFmt w:val="decimal"/>
      <w:start w:val="12"/>
    </w:lvl>
    <w:lvl w:ilvl="1">
      <w:lvlJc w:val="left"/>
      <w:lvlText w:val="%2"/>
      <w:numFmt w:val="lowerLetter"/>
      <w:start w:val="1"/>
    </w:lvl>
  </w:abstractNum>
  <w:abstractNum w:abstractNumId="37">
    <w:nsid w:val="2463B9EA"/>
    <w:multiLevelType w:val="hybridMultilevel"/>
    <w:lvl w:ilvl="0">
      <w:lvlJc w:val="left"/>
      <w:lvlText w:val="%1."/>
      <w:numFmt w:val="decimal"/>
      <w:start w:val="13"/>
    </w:lvl>
  </w:abstractNum>
  <w:abstractNum w:abstractNumId="38">
    <w:nsid w:val="5E884ADC"/>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2019-12-11T09:24:53Z</dcterms:created>
  <dcterms:modified xsi:type="dcterms:W3CDTF">2019-12-11T09:24:53Z</dcterms:modified>
</cp:coreProperties>
</file>