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15, 2011</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814-00854</w:t>
      </w:r>
    </w:p>
    <w:p>
      <w:pPr>
        <w:spacing w:after="0" w:line="23"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27-3380000</w:t>
      </w:r>
    </w:p>
    <w:p>
      <w:pPr>
        <w:spacing w:after="0" w:line="23"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11" w:lineRule="exact"/>
        <w:rPr>
          <w:sz w:val="20"/>
          <w:szCs w:val="20"/>
          <w:color w:val="auto"/>
        </w:rPr>
      </w:pPr>
    </w:p>
    <w:p>
      <w:pPr>
        <w:sectPr>
          <w:pgSz w:w="11900" w:h="16838" w:orient="portrait"/>
          <w:cols w:equalWidth="0" w:num="3">
            <w:col w:w="4020" w:space="720"/>
            <w:col w:w="3580" w:space="720"/>
            <w:col w:w="2260"/>
          </w:cols>
          <w:pgMar w:left="240" w:top="122" w:right="359" w:bottom="1440" w:gutter="0" w:footer="0" w:header="0"/>
          <w:type w:val="continuous"/>
        </w:sectPr>
      </w:pPr>
    </w:p>
    <w:p>
      <w:pPr>
        <w:spacing w:after="0" w:line="11" w:lineRule="exact"/>
        <w:rPr>
          <w:sz w:val="20"/>
          <w:szCs w:val="20"/>
          <w:color w:val="auto"/>
        </w:rPr>
      </w:pPr>
    </w:p>
    <w:p>
      <w:pPr>
        <w:jc w:val="center"/>
        <w:ind w:right="2160"/>
        <w:spacing w:after="0"/>
        <w:rPr>
          <w:sz w:val="20"/>
          <w:szCs w:val="20"/>
          <w:color w:val="auto"/>
        </w:rPr>
      </w:pPr>
      <w:r>
        <w:rPr>
          <w:rFonts w:ascii="Arial" w:cs="Arial" w:eastAsia="Arial" w:hAnsi="Arial"/>
          <w:sz w:val="18"/>
          <w:szCs w:val="18"/>
          <w:color w:val="auto"/>
        </w:rPr>
        <w:t>301 Commerce Street, Suite 3300</w:t>
      </w:r>
    </w:p>
    <w:p>
      <w:pPr>
        <w:spacing w:after="0" w:line="23" w:lineRule="exact"/>
        <w:rPr>
          <w:sz w:val="20"/>
          <w:szCs w:val="20"/>
          <w:color w:val="auto"/>
        </w:rPr>
      </w:pPr>
    </w:p>
    <w:p>
      <w:pPr>
        <w:jc w:val="center"/>
        <w:ind w:right="2160"/>
        <w:spacing w:after="0"/>
        <w:rPr>
          <w:sz w:val="20"/>
          <w:szCs w:val="20"/>
          <w:color w:val="auto"/>
        </w:rPr>
      </w:pPr>
      <w:r>
        <w:rPr>
          <w:rFonts w:ascii="Arial" w:cs="Arial" w:eastAsia="Arial" w:hAnsi="Arial"/>
          <w:sz w:val="18"/>
          <w:szCs w:val="18"/>
          <w:color w:val="auto"/>
        </w:rPr>
        <w:t>Fort Worth, TX</w:t>
      </w:r>
    </w:p>
    <w:p>
      <w:pPr>
        <w:spacing w:after="0" w:line="9" w:lineRule="exact"/>
        <w:rPr>
          <w:sz w:val="20"/>
          <w:szCs w:val="20"/>
          <w:color w:val="auto"/>
        </w:rPr>
      </w:pPr>
    </w:p>
    <w:p>
      <w:pPr>
        <w:jc w:val="center"/>
        <w:ind w:righ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2200"/>
        <w:spacing w:after="0"/>
        <w:rPr>
          <w:sz w:val="20"/>
          <w:szCs w:val="20"/>
          <w:color w:val="auto"/>
        </w:rPr>
      </w:pPr>
      <w:r>
        <w:rPr>
          <w:rFonts w:ascii="Arial" w:cs="Arial" w:eastAsia="Arial" w:hAnsi="Arial"/>
          <w:sz w:val="18"/>
          <w:szCs w:val="18"/>
          <w:color w:val="auto"/>
        </w:rPr>
        <w:t>76102</w:t>
      </w:r>
    </w:p>
    <w:p>
      <w:pPr>
        <w:spacing w:after="0" w:line="23"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416" w:lineRule="exact"/>
        <w:rPr>
          <w:sz w:val="20"/>
          <w:szCs w:val="20"/>
          <w:color w:val="auto"/>
        </w:rPr>
      </w:pPr>
    </w:p>
    <w:p>
      <w:pPr>
        <w:sectPr>
          <w:pgSz w:w="11900" w:h="16838" w:orient="portrait"/>
          <w:cols w:equalWidth="0" w:num="2">
            <w:col w:w="7580" w:space="720"/>
            <w:col w:w="3000"/>
          </w:cols>
          <w:pgMar w:left="240" w:top="122" w:right="359" w:bottom="1440" w:gutter="0" w:footer="0" w:header="0"/>
          <w:type w:val="continuous"/>
        </w:sectPr>
      </w:pPr>
    </w:p>
    <w:p>
      <w:pPr>
        <w:spacing w:after="0" w:line="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(817) 871-4000</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On January 14, 2011, TPG Specialty Lending, Inc. (the “Company”) filed a registration statement on Form 10 (the “Registration Statement”). The Registration Statement became automatically effective on March 15, 2011.</w:t>
      </w:r>
    </w:p>
    <w:p>
      <w:pPr>
        <w:spacing w:after="0" w:line="6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On March 15, 2011, the Company also entered into an Administration Agreement (the “Administration Agreement”) with TSL Advisers, LLC (the “Administrator”). The Administrator will also serve as the Company’s investment adviser under the terms of a separate Advisory Agreement. Under the terms of the Administration Agreement, the Administrator will provide administrative services to the Company. These services include providing office space to the Company, providing it with equipment and office services, maintaining its financial records, preparing reports to its stockholders and reports filed with the SEC and managing the payment of its expenses and the performance of administrative and professional services rendered to it by others.</w:t>
      </w:r>
    </w:p>
    <w:p>
      <w:pPr>
        <w:spacing w:after="0" w:line="50"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Administration Agreement provides that the Company will reimburse the Administrator for certain initial organization and operating costs up to an aggregate of $1.5 million. The Administrator has notified the Company that initial organization and operating costs have exceeded $1.5 million; therefore, upon effectiveness of the Administration Agreement on March 15, 2011, $1.5 million will be charged to the Company and accrued on the Company’s books and records.</w:t>
      </w:r>
    </w:p>
    <w:p>
      <w:pPr>
        <w:spacing w:after="0" w:line="79"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Unless earlier terminated as described below, the Administration Agreement will remain in effect until March 15, 2013 and will remain in effect from year to year thereafter if approved annually by (i) the vote of the Company’s Board of Directors, or by the vote of a majority of its outstanding voting securities, and (ii) the vote of a majority of the Company’s directors who are not “interested persons” of the Company, of the Administrator or of any of their respective affiliates, as defined in the Investment Company Act of 1940, as amended. The Administration Agreement will automatically terminate in the event of assignment and may be terminated by either party without penalty upon at least 60 days’ written notice to the other party. The Administration Agreement is filed as Exhibit 10.1 to this Form 8-K and incorporated by reference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information contained in Item 1.01 above regarding the Administration Agreement is incorporated by reference into this Item 8.01.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Administration Agreement, dated as of March 15, 2011, between the Company and the Administrator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TPG SPECIALTY LENDING, INC.</w:t>
            </w:r>
          </w:p>
        </w:tc>
      </w:tr>
      <w:tr>
        <w:trPr>
          <w:trHeight w:val="230"/>
        </w:trPr>
        <w:tc>
          <w:tcPr>
            <w:tcW w:w="3480" w:type="dxa"/>
            <w:vAlign w:val="bottom"/>
          </w:tcPr>
          <w:p>
            <w:pPr>
              <w:spacing w:after="0"/>
              <w:rPr>
                <w:sz w:val="20"/>
                <w:szCs w:val="20"/>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(Registrant)</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March 15, 2011</w:t>
            </w: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By: /s/ Ronald Cami</w:t>
            </w:r>
          </w:p>
        </w:tc>
      </w:tr>
      <w:tr>
        <w:trPr>
          <w:trHeight w:val="195"/>
        </w:trPr>
        <w:tc>
          <w:tcPr>
            <w:tcW w:w="3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34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21"/>
        </w:trPr>
        <w:tc>
          <w:tcPr>
            <w:tcW w:w="3480" w:type="dxa"/>
            <w:vAlign w:val="bottom"/>
          </w:tcPr>
          <w:p>
            <w:pPr>
              <w:spacing w:after="0"/>
              <w:rPr>
                <w:sz w:val="24"/>
                <w:szCs w:val="24"/>
                <w:color w:val="auto"/>
              </w:rPr>
            </w:pPr>
          </w:p>
        </w:tc>
        <w:tc>
          <w:tcPr>
            <w:tcW w:w="6260" w:type="dxa"/>
            <w:vAlign w:val="bottom"/>
            <w:gridSpan w:val="2"/>
          </w:tcPr>
          <w:p>
            <w:pPr>
              <w:jc w:val="right"/>
              <w:ind w:right="383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580"/>
          </w:cols>
          <w:pgMar w:left="240" w:top="419" w:right="10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TSL ADVISERS, LLC</w:t>
      </w:r>
    </w:p>
    <w:p>
      <w:pPr>
        <w:spacing w:after="0" w:line="121" w:lineRule="exact"/>
        <w:rPr>
          <w:sz w:val="20"/>
          <w:szCs w:val="20"/>
          <w:color w:val="auto"/>
        </w:rPr>
      </w:pPr>
    </w:p>
    <w:p>
      <w:pPr>
        <w:ind w:right="820" w:firstLine="222"/>
        <w:spacing w:after="0" w:line="277"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March 15, 2011 by and between TPG SPECIALTY LENDING,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TSL ADVISERS, LLC, a Delaware limited liability company (the “</w:t>
      </w:r>
      <w:r>
        <w:rPr>
          <w:rFonts w:ascii="Arial" w:cs="Arial" w:eastAsia="Arial" w:hAnsi="Arial"/>
          <w:sz w:val="18"/>
          <w:szCs w:val="18"/>
          <w:u w:val="single" w:color="auto"/>
          <w:color w:val="auto"/>
        </w:rPr>
        <w:t>Administrator</w:t>
      </w:r>
      <w:r>
        <w:rPr>
          <w:rFonts w:ascii="Arial" w:cs="Arial" w:eastAsia="Arial" w:hAnsi="Arial"/>
          <w:sz w:val="18"/>
          <w:szCs w:val="18"/>
          <w:color w:val="auto"/>
        </w:rPr>
        <w:t>”).</w:t>
      </w:r>
    </w:p>
    <w:p>
      <w:pPr>
        <w:spacing w:after="0" w:line="62"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WHEREAS, the Company is a closed-end management investment fund that intends to elect to be treated as a business development company (“</w:t>
      </w:r>
      <w:r>
        <w:rPr>
          <w:rFonts w:ascii="Arial" w:cs="Arial" w:eastAsia="Arial" w:hAnsi="Arial"/>
          <w:sz w:val="18"/>
          <w:szCs w:val="18"/>
          <w:u w:val="single" w:color="auto"/>
          <w:color w:val="auto"/>
        </w:rPr>
        <w:t>BDC</w:t>
      </w:r>
      <w:r>
        <w:rPr>
          <w:rFonts w:ascii="Arial" w:cs="Arial" w:eastAsia="Arial" w:hAnsi="Arial"/>
          <w:sz w:val="18"/>
          <w:szCs w:val="18"/>
          <w:color w:val="auto"/>
        </w:rPr>
        <w:t>”) under the Investment Company Act of 1940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62" w:lineRule="exact"/>
        <w:rPr>
          <w:sz w:val="20"/>
          <w:szCs w:val="20"/>
          <w:color w:val="auto"/>
        </w:rPr>
      </w:pPr>
    </w:p>
    <w:p>
      <w:pPr>
        <w:ind w:right="820" w:firstLine="222"/>
        <w:spacing w:after="0" w:line="277" w:lineRule="auto"/>
        <w:rPr>
          <w:sz w:val="20"/>
          <w:szCs w:val="20"/>
          <w:color w:val="auto"/>
        </w:rPr>
      </w:pPr>
      <w:r>
        <w:rPr>
          <w:rFonts w:ascii="Arial" w:cs="Arial" w:eastAsia="Arial" w:hAnsi="Arial"/>
          <w:sz w:val="18"/>
          <w:szCs w:val="18"/>
          <w:color w:val="auto"/>
        </w:rPr>
        <w:t>WHEREAS, the Company desires to retain the Administrator to provide administrative services to the Company in the manner and on the terms hereinafter set forth; and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Administrator is willing to provide administrative services to the Company on the terms and conditions hereafter set forth;</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NOW, THEREFORE, in consideration of the premises and the covenants hereinafter contained and for other good and valuable consideration, the receipt and adequacy of which is hereby acknowledged, the Company and the Administrator hereby agree as follows:</w:t>
      </w:r>
    </w:p>
    <w:p>
      <w:pPr>
        <w:spacing w:after="0" w:line="166"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of the Administrator</w:t>
      </w:r>
    </w:p>
    <w:p>
      <w:pPr>
        <w:spacing w:after="0" w:line="121" w:lineRule="exact"/>
        <w:rPr>
          <w:rFonts w:ascii="Arial" w:cs="Arial" w:eastAsia="Arial" w:hAnsi="Arial"/>
          <w:sz w:val="18"/>
          <w:szCs w:val="18"/>
          <w:b w:val="1"/>
          <w:bCs w:val="1"/>
          <w:color w:val="auto"/>
        </w:rPr>
      </w:pPr>
    </w:p>
    <w:p>
      <w:pPr>
        <w:ind w:firstLine="458"/>
        <w:spacing w:after="0" w:line="255" w:lineRule="auto"/>
        <w:tabs>
          <w:tab w:leader="none" w:pos="695"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Employment of Administrator.</w:t>
      </w:r>
      <w:r>
        <w:rPr>
          <w:rFonts w:ascii="Arial" w:cs="Arial" w:eastAsia="Arial" w:hAnsi="Arial"/>
          <w:sz w:val="18"/>
          <w:szCs w:val="18"/>
          <w:color w:val="auto"/>
        </w:rPr>
        <w:t xml:space="preserve"> The Company hereby employs the Administrator to act as administrator of the Company, and to furnish, or arrange for others to furnish, the administrative services, personnel and facilities described below, subject to review by and the overall control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Company in any way or otherwise be deemed agents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firstLine="458"/>
        <w:spacing w:after="0" w:line="286" w:lineRule="auto"/>
        <w:tabs>
          <w:tab w:leader="none" w:pos="705"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The Administrator shall perform (or oversee, or arrange for, the performance of) the administrative services necessary for the operation of the Company. Without limiting the generality of the foregoing, the Administrator shall provide the Company with office facilities, equipment, clerical, bookkeeping and record keeping services at such facilities and such other services as the Administrator, subject to review by the Board, shall from time to time determine to be necessary or useful to perform its obligations under this Agreement. The Administrator shall also, on behalf of the Company,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Board of its performance of obligations hereunder and furnish advice and recommendations with respect to such other aspects of the business and affairs of the Company as it shall determine to be desirable; provided that nothing herein shall be construed to require the Administrator to, and the Administrator shall not, in its capacity as Administrator pursuant to this Agreement, provide any advice or recommendation relating to the securities and other assets that the Company should purchase, retain or sell or any other investment advisory services to the Company. The Administrator shall be responsible for the financial and other records that the Company is required to maintain and shall prepare, print and disseminate reports to stockholders, and reports and other materials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The Administrator will provide on the Company’s behalf significant managerial assistance to those portfolio companies to which the Company is required to provide such assistance. In addition, the Administrator will assist the Company in determining and publishing (as necessary or appropriate) the Company’s net asset value, overseeing the preparation and filing of the Company’s tax returns, and generally overseeing the payment of the Company’s expenses and the performance of administrative and professional services rendered to the Company by others.</w:t>
      </w:r>
    </w:p>
    <w:p>
      <w:pPr>
        <w:spacing w:after="0" w:line="380" w:lineRule="exact"/>
        <w:rPr>
          <w:rFonts w:ascii="Arial" w:cs="Arial" w:eastAsia="Arial" w:hAnsi="Arial"/>
          <w:sz w:val="16"/>
          <w:szCs w:val="16"/>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Records</w:t>
      </w:r>
    </w:p>
    <w:p>
      <w:pPr>
        <w:spacing w:after="0" w:line="121"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The Administrator agrees to maintain and keep all books, accounts and other records of the Company that relate to activities performed by the Administrator hereunder and will maintain and keep such books, accounts and records in accordance with the Investment Company Act. In compliance with the requirements of Rule 31a-3 under the Investment Company Act, the Administrator agrees that all records which it maintains for the Company shall at all times remain the property of the Company, shall be readily accessible during normal business hours, and shall be promptly surrendered upon the termination of the Agreement or otherwise on written request. The Administrator further agrees that all records which it maintains for the Company pursuant to Rule 31a-1 under the Investment Company Act will be preserved for the periods prescribed by Rule 31a-2 under the Investment Company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17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parties hereto agree that each shall treat confidentially the terms and conditions of this Agreement and all information provided by each party to the other regarding its business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60"/>
        <w:spacing w:after="0" w:line="255" w:lineRule="auto"/>
        <w:rPr>
          <w:sz w:val="20"/>
          <w:szCs w:val="20"/>
          <w:color w:val="auto"/>
        </w:rPr>
      </w:pPr>
      <w:r>
        <w:rPr>
          <w:rFonts w:ascii="Arial" w:cs="Arial" w:eastAsia="Arial" w:hAnsi="Arial"/>
          <w:sz w:val="18"/>
          <w:szCs w:val="18"/>
          <w:color w:val="auto"/>
        </w:rPr>
        <w:t>operations. All confidential information provided by a party hereto, including nonpublic personal information (regulated pursuant to Regulation S-P of the SEC), shall be used by any 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spacing w:after="0" w:line="18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Allocation of Costs and Expenses</w:t>
      </w:r>
    </w:p>
    <w:p>
      <w:pPr>
        <w:spacing w:after="0" w:line="121"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In full consideration of the provision of the services of the Administrator, the Company shall reimburse the Administrator for the costs and expenses incurred by the Administrator in performing its obligations and providing personnel and facilities hereunder, it being understood and agreed that, except as otherwise provided herein or in that certain Investment Advisory Management Agreement, by and between the Company and the Adviser, as amended from time to time (the “</w:t>
      </w:r>
      <w:r>
        <w:rPr>
          <w:rFonts w:ascii="Arial" w:cs="Arial" w:eastAsia="Arial" w:hAnsi="Arial"/>
          <w:sz w:val="16"/>
          <w:szCs w:val="16"/>
          <w:u w:val="single" w:color="auto"/>
          <w:color w:val="auto"/>
        </w:rPr>
        <w:t>Advisory Agreement</w:t>
      </w:r>
      <w:r>
        <w:rPr>
          <w:rFonts w:ascii="Arial" w:cs="Arial" w:eastAsia="Arial" w:hAnsi="Arial"/>
          <w:sz w:val="16"/>
          <w:szCs w:val="16"/>
          <w:color w:val="auto"/>
        </w:rPr>
        <w:t>”), the Administrator shall be solely responsible for the compensation of its investment professionals and employees and all overhead expenses of the Administrator (including rent, office equipment and utilities). The Company will bear all costs and expenses that are incurred in its operation, administration and transactions and not specifically assumed by the Adviser pursuant to the Advisory Agreement. Costs and expenses to be borne by the Company include, but are not limited to, those relating to: organizational expenses (up to an aggregate of $1,500,000, it being understood and agreed that the Adviser shall bear all organizational expenses of the Company in excess of such amount); calculating the Company’s net asset value (including the cost and expenses of any independent valuation firm); expenses incurred by the Adviser payable to third parties, including agents, consultants or other advisors, in monitoring financial and legal affairs for the Company and in providing administrative services, monitoring the Company’s investments and performing due diligence on its prospective portfolio companies; interest payable on debt, if any, incurred to finance the Company’s investments; sales and purchases of the Company’s common stock and other securities; investment advisory and management fees; administration fees, if any, payable under this Agreement; fees payable to third parties, including agents, consultants or other advisors, relating to, or associated with, evaluating and making investments; transfer agent and custodial fees; federal and state registration fees; all costs of registration and listing the Company’s shares on any securities exchange; federal, state and local taxes; independent directors’ fees and expenses; costs of preparing and filing reports or other documents required by the SEC; costs of any reports, proxy statements or other notices to stockholders, including printing and mailing costs and the costs of any stockholders’ meetings, as well as the compensation of an investor relations professional responsible for the coordination and administration of the foregoing; the Company’s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compensation of other professionals (including employees of the Administrator) devoted to preparing the Company’s financial statements or tax returns or providing similar “back office” financial services to the Company; and all other expenses incurred by the Company or the Administrator in connection with administering the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right="140"/>
        <w:spacing w:after="0" w:line="257" w:lineRule="auto"/>
        <w:rPr>
          <w:sz w:val="20"/>
          <w:szCs w:val="20"/>
          <w:color w:val="auto"/>
        </w:rPr>
      </w:pPr>
      <w:r>
        <w:rPr>
          <w:rFonts w:ascii="Arial" w:cs="Arial" w:eastAsia="Arial" w:hAnsi="Arial"/>
          <w:sz w:val="18"/>
          <w:szCs w:val="18"/>
          <w:color w:val="auto"/>
        </w:rPr>
        <w:t>Company’s business. Notwithstanding anything to the contrary contained herein, the Company shall reimburse the Adviser (or its affiliates) for an allocable portion of the compensation paid by the Adviser (or its affiliates) to the Company’s Chief Compliance Officer and Chief Financial Officer (based on a percentage of time such individuals devote, on an estimated basis, to the business and affairs of the Company). For the avoidance of doubt, the Adviser shall be solely responsible for any placement or “finder’s” fees payable to placement agents engaged by the Company or its affiliates in connection with the offering of securities by the Company.</w:t>
      </w:r>
    </w:p>
    <w:p>
      <w:pPr>
        <w:spacing w:after="0" w:line="184"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 of the Administrator; Indemnification</w:t>
      </w:r>
    </w:p>
    <w:p>
      <w:pPr>
        <w:spacing w:after="0" w:line="121" w:lineRule="exact"/>
        <w:rPr>
          <w:sz w:val="20"/>
          <w:szCs w:val="20"/>
          <w:color w:val="auto"/>
        </w:rPr>
      </w:pPr>
    </w:p>
    <w:p>
      <w:pPr>
        <w:ind w:right="140" w:firstLine="222"/>
        <w:spacing w:after="0" w:line="290" w:lineRule="auto"/>
        <w:rPr>
          <w:sz w:val="20"/>
          <w:szCs w:val="20"/>
          <w:color w:val="auto"/>
        </w:rPr>
      </w:pPr>
      <w:r>
        <w:rPr>
          <w:rFonts w:ascii="Arial" w:cs="Arial" w:eastAsia="Arial" w:hAnsi="Arial"/>
          <w:sz w:val="16"/>
          <w:szCs w:val="16"/>
          <w:color w:val="auto"/>
        </w:rPr>
        <w:t>The Administrator (and its members, managers, officers, employees, agents, controlling persons and any other person or entity affiliated with it) shall not be liable to the Company for any action taken or omitted to be taken by the Administrator in connection with the performance of any of its duties or obligations under this Agreement or otherwise as administrator for the Company. As permitted by Article VIII of the Certificate of Incorporation,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or any other person or entity affiliated with the Administrator (each such person hereinafter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on the same general terms set forth in Article VIII of the Certificate of Incorporation, the terms of which are incorporated herein </w:t>
      </w:r>
      <w:r>
        <w:rPr>
          <w:rFonts w:ascii="Arial" w:cs="Arial" w:eastAsia="Arial" w:hAnsi="Arial"/>
          <w:sz w:val="16"/>
          <w:szCs w:val="16"/>
          <w:i w:val="1"/>
          <w:iCs w:val="1"/>
          <w:color w:val="auto"/>
        </w:rPr>
        <w:t>mutatis mutandi</w:t>
      </w:r>
      <w:r>
        <w:rPr>
          <w:rFonts w:ascii="Arial" w:cs="Arial" w:eastAsia="Arial" w:hAnsi="Arial"/>
          <w:sz w:val="16"/>
          <w:szCs w:val="16"/>
          <w:color w:val="auto"/>
        </w:rPr>
        <w:t xml:space="preserve"> as applied to the Indemnitees.</w:t>
      </w:r>
    </w:p>
    <w:p>
      <w:pPr>
        <w:spacing w:after="0" w:line="16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Activities of the Administrator</w:t>
      </w:r>
    </w:p>
    <w:p>
      <w:pPr>
        <w:spacing w:after="0" w:line="121"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services of the Administrator to the Company are not to be deemed to be exclusive, and the Administrator and each affiliate is free to render services to others. It is understood that directors, officers, employees and stockholders of the Company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Company as stockholders or otherwise.</w:t>
      </w:r>
    </w:p>
    <w:p>
      <w:pPr>
        <w:spacing w:after="0" w:line="184"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 and Termination of this Agreement</w:t>
      </w:r>
    </w:p>
    <w:p>
      <w:pPr>
        <w:spacing w:after="0" w:line="121" w:lineRule="exact"/>
        <w:rPr>
          <w:rFonts w:ascii="Arial" w:cs="Arial" w:eastAsia="Arial" w:hAnsi="Arial"/>
          <w:sz w:val="18"/>
          <w:szCs w:val="18"/>
          <w:b w:val="1"/>
          <w:bCs w:val="1"/>
          <w:color w:val="auto"/>
        </w:rPr>
      </w:pPr>
    </w:p>
    <w:p>
      <w:pPr>
        <w:ind w:firstLine="458"/>
        <w:spacing w:after="0" w:line="277" w:lineRule="auto"/>
        <w:tabs>
          <w:tab w:leader="none" w:pos="69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This Agreement shall continue in effect for two years from the date hereof, and thereafter shall continue automatically for successive annual periods, provided that such continuance is specifically approved at least annually by:</w:t>
      </w:r>
    </w:p>
    <w:p>
      <w:pPr>
        <w:spacing w:after="0" w:line="62" w:lineRule="exact"/>
        <w:rPr>
          <w:rFonts w:ascii="Arial" w:cs="Arial" w:eastAsia="Arial" w:hAnsi="Arial"/>
          <w:sz w:val="18"/>
          <w:szCs w:val="18"/>
          <w:color w:val="auto"/>
        </w:rPr>
      </w:pPr>
    </w:p>
    <w:p>
      <w:pPr>
        <w:ind w:left="900" w:hanging="217"/>
        <w:spacing w:after="0"/>
        <w:tabs>
          <w:tab w:leader="none" w:pos="90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vote of the Board, or by the vote of a majority of the outstanding voting securities of the Company; and</w:t>
      </w:r>
    </w:p>
    <w:p>
      <w:pPr>
        <w:spacing w:after="0" w:line="117" w:lineRule="exact"/>
        <w:rPr>
          <w:rFonts w:ascii="Arial" w:cs="Arial" w:eastAsia="Arial" w:hAnsi="Arial"/>
          <w:sz w:val="18"/>
          <w:szCs w:val="18"/>
          <w:color w:val="auto"/>
        </w:rPr>
      </w:pPr>
    </w:p>
    <w:p>
      <w:pPr>
        <w:ind w:right="540" w:firstLine="683"/>
        <w:spacing w:after="0" w:line="342" w:lineRule="auto"/>
        <w:tabs>
          <w:tab w:leader="none" w:pos="940" w:val="left"/>
        </w:tabs>
        <w:numPr>
          <w:ilvl w:val="2"/>
          <w:numId w:val="9"/>
        </w:numPr>
        <w:rPr>
          <w:rFonts w:ascii="Arial" w:cs="Arial" w:eastAsia="Arial" w:hAnsi="Arial"/>
          <w:sz w:val="16"/>
          <w:szCs w:val="16"/>
          <w:color w:val="auto"/>
        </w:rPr>
      </w:pPr>
      <w:r>
        <w:rPr>
          <w:rFonts w:ascii="Arial" w:cs="Arial" w:eastAsia="Arial" w:hAnsi="Arial"/>
          <w:sz w:val="16"/>
          <w:szCs w:val="16"/>
          <w:color w:val="auto"/>
        </w:rPr>
        <w:t>the vote of a majority of the Company’s directors who are not parties to this Agreement or “interested persons” (as such term is defined in Section 2(a)(19) of the Investment Company Act) of any such party, in accordance with the requirements of the Investment Company Act.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right="200" w:firstLine="458"/>
        <w:spacing w:after="0" w:line="277" w:lineRule="auto"/>
        <w:tabs>
          <w:tab w:leader="none" w:pos="7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Agreement may be terminated at any time, without the payment of any penalty, upon not more than 60 days’ written notice, by the vote of a majority of the outstanding voting securities of the Company, or by the vote of the Board or by the Administrator.</w:t>
      </w:r>
    </w:p>
    <w:p>
      <w:pPr>
        <w:spacing w:after="0" w:line="62" w:lineRule="exact"/>
        <w:rPr>
          <w:rFonts w:ascii="Arial" w:cs="Arial" w:eastAsia="Arial" w:hAnsi="Arial"/>
          <w:sz w:val="18"/>
          <w:szCs w:val="18"/>
          <w:color w:val="auto"/>
        </w:rPr>
      </w:pPr>
    </w:p>
    <w:p>
      <w:pPr>
        <w:ind w:firstLine="458"/>
        <w:spacing w:after="0" w:line="297" w:lineRule="auto"/>
        <w:tabs>
          <w:tab w:leader="none" w:pos="692"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This Agreement may not be assigned by a party without the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rights and obligations of the Company under this Agreement shall not be deemed to be assigned to a newly formed entity in the event of the merger of the Company into, or conveyance of all of the assets of the Company to, such newly formed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sole purpose of that merger or conveyance is to effect a mere change in the Company’s legal form into another limited liability entity. The provisions of Section 5 of this Agreement shall remain in full force and effect, and the Administrator shall remain entitled to the benefits thereof, notwithstanding any termination of this Agreement.</w:t>
      </w:r>
    </w:p>
    <w:p>
      <w:pPr>
        <w:spacing w:after="0" w:line="154"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of this Agreement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Agreement may be amended pursuant to a written instrument by mutual consent of the parties.</w:t>
      </w:r>
    </w:p>
    <w:p>
      <w:pPr>
        <w:spacing w:after="0" w:line="22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2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This Agreement shall be construed in accordance with the laws of the State of Delaware and the applicable provisions of the Investment Company Act, if any. In such case, to the extent the applicable laws of the State of Delaware, or any of the provisions herein, conflict with the provisions of the Investment Company Act, the latter shall control.</w:t>
      </w:r>
    </w:p>
    <w:p>
      <w:pPr>
        <w:spacing w:after="0" w:line="177"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This Agreement contains the entire agreement of the parties and supercedes all prior agreements, understandings and arrangements with respect to the subject matter hereof.</w:t>
      </w:r>
    </w:p>
    <w:p>
      <w:pPr>
        <w:spacing w:after="0" w:line="166"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Any notice under this Agreement shall be given in writing, addressed and delivered or mailed, postage prepaid, to the other party at its principal office.</w:t>
      </w: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IN WITNESS WHEREOF, the parties hereto have executed and delivered this Agreement as of the date first above written.</w:t>
      </w:r>
    </w:p>
    <w:p>
      <w:pPr>
        <w:spacing w:after="0" w:line="24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Ronald Cami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16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TSL ADVISERS, LLC</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David C. Reintjes</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David C. Reintjes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9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Chief Compliance Officer</w:t>
      </w:r>
    </w:p>
    <w:sectPr>
      <w:pgSz w:w="11900" w:h="16838" w:orient="portrait"/>
      <w:cols w:equalWidth="0" w:num="1">
        <w:col w:w="9979"/>
      </w:cols>
      <w:pgMar w:left="4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1"/>
    </w:lvl>
    <w:lvl w:ilvl="1">
      <w:lvlJc w:val="left"/>
      <w:lvlText w:val="(%2)"/>
      <w:numFmt w:val="lowerLetter"/>
      <w:start w:val="2"/>
    </w:lvl>
  </w:abstractNum>
  <w:abstractNum w:abstractNumId="3">
    <w:nsid w:val="5BD062C2"/>
    <w:multiLevelType w:val="hybridMultilevel"/>
    <w:lvl w:ilvl="0">
      <w:lvlJc w:val="left"/>
      <w:lvlText w:val="%1."/>
      <w:numFmt w:val="decimal"/>
      <w:start w:val="2"/>
    </w:lvl>
    <w:lvl w:ilvl="1">
      <w:lvlJc w:val="left"/>
      <w:lvlText w:val="%2"/>
      <w:numFmt w:val="lowerLetter"/>
      <w:start w:val="1"/>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6"/>
    </w:lvl>
  </w:abstractNum>
  <w:abstractNum w:abstractNumId="8">
    <w:nsid w:val="1190CDE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decimal"/>
      <w:start w:val="8"/>
    </w:lvl>
  </w:abstractNum>
  <w:abstractNum w:abstractNumId="11">
    <w:nsid w:val="3352255A"/>
    <w:multiLevelType w:val="hybridMultilevel"/>
    <w:lvl w:ilvl="0">
      <w:lvlJc w:val="left"/>
      <w:lvlText w:val="%1."/>
      <w:numFmt w:val="decimal"/>
      <w:start w:val="9"/>
    </w:lvl>
  </w:abstractNum>
  <w:abstractNum w:abstractNumId="12">
    <w:nsid w:val="109CF92E"/>
    <w:multiLevelType w:val="hybridMultilevel"/>
    <w:lvl w:ilvl="0">
      <w:lvlJc w:val="left"/>
      <w:lvlText w:val="%1."/>
      <w:numFmt w:val="decimal"/>
      <w:start w:val="10"/>
    </w:lvl>
  </w:abstractNum>
  <w:abstractNum w:abstractNumId="13">
    <w:nsid w:val="DED7263"/>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2019-12-11T09:45:44Z</dcterms:created>
  <dcterms:modified xsi:type="dcterms:W3CDTF">2019-12-11T09:45:44Z</dcterms:modified>
</cp:coreProperties>
</file>