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14)</w:t>
      </w:r>
    </w:p>
    <w:p>
      <w:pPr>
        <w:spacing w:after="0" w:line="18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240.13d-1(a) AND AMENDMENTS THERETO FILED PURSUANT TO 240.13d-2(a)</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Ronald Cami</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12" w:lineRule="exact"/>
        <w:rPr>
          <w:sz w:val="24"/>
          <w:szCs w:val="24"/>
          <w:color w:val="auto"/>
        </w:rPr>
      </w:pPr>
    </w:p>
    <w:p>
      <w:pPr>
        <w:ind w:right="6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other parties to whom copies are to be sent.</w:t>
      </w:r>
    </w:p>
    <w:p>
      <w:pPr>
        <w:spacing w:after="0" w:line="13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(Page 1 of 20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280" w:type="dxa"/>
            <w:vAlign w:val="bottom"/>
            <w:tcBorders>
              <w:top w:val="single" w:sz="8" w:color="808080"/>
              <w:left w:val="single" w:sz="8" w:color="808080"/>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700" w:type="dxa"/>
            <w:vAlign w:val="bottom"/>
            <w:tcBorders>
              <w:top w:val="single" w:sz="8" w:color="808080"/>
            </w:tcBorders>
          </w:tcPr>
          <w:p>
            <w:pPr>
              <w:spacing w:after="0"/>
              <w:rPr>
                <w:sz w:val="24"/>
                <w:szCs w:val="24"/>
                <w:color w:val="auto"/>
              </w:rPr>
            </w:pPr>
          </w:p>
        </w:tc>
        <w:tc>
          <w:tcPr>
            <w:tcW w:w="820" w:type="dxa"/>
            <w:vAlign w:val="bottom"/>
            <w:tcBorders>
              <w:top w:val="single" w:sz="8" w:color="808080"/>
              <w:right w:val="single" w:sz="8" w:color="808080"/>
            </w:tcBorders>
          </w:tcPr>
          <w:p>
            <w:pPr>
              <w:spacing w:after="0"/>
              <w:rPr>
                <w:sz w:val="24"/>
                <w:szCs w:val="24"/>
                <w:color w:val="auto"/>
              </w:rPr>
            </w:pP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13D</w:t>
            </w:r>
          </w:p>
        </w:tc>
        <w:tc>
          <w:tcPr>
            <w:tcW w:w="2040" w:type="dxa"/>
            <w:vAlign w:val="bottom"/>
            <w:tcBorders>
              <w:right w:val="single" w:sz="8" w:color="808080"/>
            </w:tcBorders>
          </w:tcPr>
          <w:p>
            <w:pPr>
              <w:spacing w:after="0"/>
              <w:rPr>
                <w:sz w:val="24"/>
                <w:szCs w:val="24"/>
                <w:color w:val="auto"/>
              </w:rPr>
            </w:pPr>
          </w:p>
        </w:tc>
        <w:tc>
          <w:tcPr>
            <w:tcW w:w="1340" w:type="dxa"/>
            <w:vAlign w:val="bottom"/>
            <w:tcBorders>
              <w:top w:val="single" w:sz="8" w:color="808080"/>
            </w:tcBorders>
          </w:tcPr>
          <w:p>
            <w:pPr>
              <w:spacing w:after="0"/>
              <w:rPr>
                <w:sz w:val="24"/>
                <w:szCs w:val="24"/>
                <w:color w:val="auto"/>
              </w:rPr>
            </w:pPr>
          </w:p>
        </w:tc>
        <w:tc>
          <w:tcPr>
            <w:tcW w:w="1840" w:type="dxa"/>
            <w:vAlign w:val="bottom"/>
            <w:tcBorders>
              <w:top w:val="single" w:sz="8" w:color="808080"/>
              <w:right w:val="single" w:sz="8" w:color="808080"/>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Page 2 of 20 Pages</w:t>
            </w:r>
          </w:p>
        </w:tc>
        <w:tc>
          <w:tcPr>
            <w:tcW w:w="0" w:type="dxa"/>
            <w:vAlign w:val="bottom"/>
          </w:tcPr>
          <w:p>
            <w:pPr>
              <w:spacing w:after="0"/>
              <w:rPr>
                <w:sz w:val="1"/>
                <w:szCs w:val="1"/>
                <w:color w:val="auto"/>
              </w:rPr>
            </w:pPr>
          </w:p>
        </w:tc>
      </w:tr>
      <w:tr>
        <w:trPr>
          <w:trHeight w:val="41"/>
        </w:trPr>
        <w:tc>
          <w:tcPr>
            <w:tcW w:w="46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right w:val="single" w:sz="8" w:color="808080"/>
            </w:tcBorders>
          </w:tcPr>
          <w:p>
            <w:pPr>
              <w:spacing w:after="0"/>
              <w:rPr>
                <w:sz w:val="3"/>
                <w:szCs w:val="3"/>
                <w:color w:val="auto"/>
              </w:rPr>
            </w:pPr>
          </w:p>
        </w:tc>
        <w:tc>
          <w:tcPr>
            <w:tcW w:w="2400" w:type="dxa"/>
            <w:vAlign w:val="bottom"/>
          </w:tcPr>
          <w:p>
            <w:pPr>
              <w:spacing w:after="0"/>
              <w:rPr>
                <w:sz w:val="3"/>
                <w:szCs w:val="3"/>
                <w:color w:val="auto"/>
              </w:rPr>
            </w:pPr>
          </w:p>
        </w:tc>
        <w:tc>
          <w:tcPr>
            <w:tcW w:w="2040" w:type="dxa"/>
            <w:vAlign w:val="bottom"/>
            <w:tcBorders>
              <w:right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8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480" w:type="dxa"/>
            <w:vAlign w:val="bottom"/>
            <w:tcBorders>
              <w:bottom w:val="single" w:sz="8" w:color="808080"/>
            </w:tcBorders>
            <w:gridSpan w:val="5"/>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TPG Group Holdings (SBS) Advisors, Inc.</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Pr>
          <w:p>
            <w:pPr>
              <w:spacing w:after="0"/>
              <w:rPr>
                <w:sz w:val="24"/>
                <w:szCs w:val="24"/>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w:t>
            </w:r>
          </w:p>
        </w:tc>
        <w:tc>
          <w:tcPr>
            <w:tcW w:w="1840" w:type="dxa"/>
            <w:vAlign w:val="bottom"/>
            <w:tcBorders>
              <w:right w:val="single" w:sz="8" w:color="808080"/>
            </w:tcBorders>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4"/>
        </w:trPr>
        <w:tc>
          <w:tcPr>
            <w:tcW w:w="46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(b)</w:t>
            </w:r>
          </w:p>
        </w:tc>
        <w:tc>
          <w:tcPr>
            <w:tcW w:w="1840" w:type="dxa"/>
            <w:vAlign w:val="bottom"/>
            <w:tcBorders>
              <w:right w:val="single" w:sz="8" w:color="808080"/>
            </w:tcBorders>
            <w:vMerge w:val="restart"/>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1"/>
        </w:trPr>
        <w:tc>
          <w:tcPr>
            <w:tcW w:w="460" w:type="dxa"/>
            <w:vAlign w:val="bottom"/>
            <w:tcBorders>
              <w:left w:val="single" w:sz="8" w:color="808080"/>
            </w:tcBorders>
          </w:tcPr>
          <w:p>
            <w:pPr>
              <w:spacing w:after="0"/>
              <w:rPr>
                <w:sz w:val="16"/>
                <w:szCs w:val="16"/>
                <w:color w:val="auto"/>
              </w:rPr>
            </w:pPr>
          </w:p>
        </w:tc>
        <w:tc>
          <w:tcPr>
            <w:tcW w:w="26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84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808080"/>
              <w:bottom w:val="single" w:sz="8" w:color="808080"/>
            </w:tcBorders>
          </w:tcPr>
          <w:p>
            <w:pPr>
              <w:spacing w:after="0" w:line="20" w:lineRule="exact"/>
              <w:rPr>
                <w:sz w:val="1"/>
                <w:szCs w:val="1"/>
                <w:color w:val="auto"/>
              </w:rPr>
            </w:pPr>
          </w:p>
        </w:tc>
        <w:tc>
          <w:tcPr>
            <w:tcW w:w="26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tcBorders>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400" w:type="dxa"/>
            <w:vAlign w:val="bottom"/>
            <w:tcBorders>
              <w:bottom w:val="single" w:sz="8" w:color="808080"/>
            </w:tcBorders>
          </w:tcPr>
          <w:p>
            <w:pPr>
              <w:spacing w:after="0" w:line="20" w:lineRule="exact"/>
              <w:rPr>
                <w:sz w:val="1"/>
                <w:szCs w:val="1"/>
                <w:color w:val="auto"/>
              </w:rPr>
            </w:pPr>
          </w:p>
        </w:tc>
        <w:tc>
          <w:tcPr>
            <w:tcW w:w="2040" w:type="dxa"/>
            <w:vAlign w:val="bottom"/>
            <w:tcBorders>
              <w:bottom w:val="single" w:sz="8" w:color="808080"/>
            </w:tcBorders>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18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480" w:type="dxa"/>
            <w:vAlign w:val="bottom"/>
            <w:tcBorders>
              <w:bottom w:val="single" w:sz="8" w:color="808080"/>
            </w:tcBorders>
            <w:gridSpan w:val="5"/>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480" w:type="dxa"/>
            <w:vAlign w:val="bottom"/>
            <w:tcBorders>
              <w:bottom w:val="single" w:sz="8" w:color="808080"/>
            </w:tcBorders>
            <w:gridSpan w:val="5"/>
          </w:tcPr>
          <w:p>
            <w:pPr>
              <w:spacing w:after="0"/>
              <w:rPr>
                <w:sz w:val="4"/>
                <w:szCs w:val="4"/>
                <w:color w:val="auto"/>
              </w:rPr>
            </w:pPr>
          </w:p>
        </w:tc>
        <w:tc>
          <w:tcPr>
            <w:tcW w:w="3380" w:type="dxa"/>
            <w:vAlign w:val="bottom"/>
            <w:tcBorders>
              <w:bottom w:val="single" w:sz="8" w:color="808080"/>
            </w:tcBorders>
            <w:gridSpan w:val="2"/>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w:t>
            </w:r>
          </w:p>
        </w:tc>
        <w:tc>
          <w:tcPr>
            <w:tcW w:w="3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PURSUANT TO ITEM 2(d) or 2(e)</w:t>
            </w:r>
          </w:p>
        </w:tc>
        <w:tc>
          <w:tcPr>
            <w:tcW w:w="184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60" w:type="dxa"/>
            <w:vAlign w:val="bottom"/>
            <w:tcBorders>
              <w:left w:val="single" w:sz="8" w:color="808080"/>
              <w:bottom w:val="single" w:sz="8" w:color="808080"/>
            </w:tcBorders>
          </w:tcPr>
          <w:p>
            <w:pPr>
              <w:spacing w:after="0"/>
              <w:rPr>
                <w:sz w:val="17"/>
                <w:szCs w:val="17"/>
                <w:color w:val="auto"/>
              </w:rPr>
            </w:pPr>
          </w:p>
        </w:tc>
        <w:tc>
          <w:tcPr>
            <w:tcW w:w="260" w:type="dxa"/>
            <w:vAlign w:val="bottom"/>
            <w:tcBorders>
              <w:bottom w:val="single" w:sz="8" w:color="808080"/>
              <w:right w:val="single" w:sz="8" w:color="808080"/>
            </w:tcBorders>
          </w:tcPr>
          <w:p>
            <w:pPr>
              <w:spacing w:after="0"/>
              <w:rPr>
                <w:sz w:val="17"/>
                <w:szCs w:val="17"/>
                <w:color w:val="auto"/>
              </w:rPr>
            </w:pPr>
          </w:p>
        </w:tc>
        <w:tc>
          <w:tcPr>
            <w:tcW w:w="5480" w:type="dxa"/>
            <w:vAlign w:val="bottom"/>
            <w:tcBorders>
              <w:bottom w:val="single" w:sz="8" w:color="808080"/>
            </w:tcBorders>
            <w:gridSpan w:val="5"/>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20" w:type="dxa"/>
            <w:vAlign w:val="bottom"/>
            <w:tcBorders>
              <w:bottom w:val="single" w:sz="8" w:color="808080"/>
            </w:tcBorders>
            <w:gridSpan w:val="2"/>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Times New Roman" w:cs="Times New Roman" w:eastAsia="Times New Roman" w:hAnsi="Times New Roman"/>
                <w:sz w:val="18"/>
                <w:szCs w:val="18"/>
                <w:color w:val="auto"/>
              </w:rPr>
              <w:t>7</w:t>
            </w: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right w:val="single" w:sz="8" w:color="808080"/>
            </w:tcBorders>
          </w:tcPr>
          <w:p>
            <w:pPr>
              <w:spacing w:after="0"/>
              <w:rPr>
                <w:sz w:val="24"/>
                <w:szCs w:val="24"/>
                <w:color w:val="auto"/>
              </w:rPr>
            </w:pPr>
          </w:p>
        </w:tc>
        <w:tc>
          <w:tcPr>
            <w:tcW w:w="82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4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Times New Roman" w:cs="Times New Roman" w:eastAsia="Times New Roman" w:hAnsi="Times New Roman"/>
                <w:sz w:val="18"/>
                <w:szCs w:val="18"/>
                <w:color w:val="auto"/>
              </w:rPr>
              <w:t>8</w:t>
            </w: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90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right w:val="single" w:sz="8" w:color="808080"/>
            </w:tcBorders>
          </w:tcPr>
          <w:p>
            <w:pPr>
              <w:spacing w:after="0"/>
              <w:rPr>
                <w:sz w:val="11"/>
                <w:szCs w:val="11"/>
                <w:color w:val="auto"/>
              </w:rPr>
            </w:pPr>
          </w:p>
        </w:tc>
        <w:tc>
          <w:tcPr>
            <w:tcW w:w="3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2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0" w:type="dxa"/>
            <w:vAlign w:val="bottom"/>
          </w:tcPr>
          <w:p>
            <w:pPr>
              <w:spacing w:after="0"/>
              <w:rPr>
                <w:sz w:val="14"/>
                <w:szCs w:val="14"/>
                <w:color w:val="auto"/>
              </w:rPr>
            </w:pPr>
          </w:p>
        </w:tc>
        <w:tc>
          <w:tcPr>
            <w:tcW w:w="700" w:type="dxa"/>
            <w:vAlign w:val="bottom"/>
            <w:tcBorders>
              <w:right w:val="single" w:sz="8" w:color="808080"/>
            </w:tcBorders>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right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00" w:type="dxa"/>
            <w:vAlign w:val="bottom"/>
            <w:tcBorders>
              <w:bottom w:val="single" w:sz="8" w:color="808080"/>
            </w:tcBorders>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390"/>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Pr>
          <w:p>
            <w:pPr>
              <w:spacing w:after="0"/>
              <w:rPr>
                <w:sz w:val="16"/>
                <w:szCs w:val="16"/>
                <w:color w:val="auto"/>
              </w:rPr>
            </w:pPr>
          </w:p>
        </w:tc>
        <w:tc>
          <w:tcPr>
            <w:tcW w:w="700" w:type="dxa"/>
            <w:vAlign w:val="bottom"/>
            <w:tcBorders>
              <w:right w:val="single" w:sz="8" w:color="808080"/>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rPr>
              <w:t>9</w:t>
            </w:r>
          </w:p>
        </w:tc>
        <w:tc>
          <w:tcPr>
            <w:tcW w:w="3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9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380" w:type="dxa"/>
            <w:vAlign w:val="bottom"/>
          </w:tcPr>
          <w:p>
            <w:pPr>
              <w:spacing w:after="0"/>
              <w:rPr>
                <w:sz w:val="8"/>
                <w:szCs w:val="8"/>
                <w:color w:val="auto"/>
              </w:rPr>
            </w:pPr>
          </w:p>
        </w:tc>
        <w:tc>
          <w:tcPr>
            <w:tcW w:w="700" w:type="dxa"/>
            <w:vAlign w:val="bottom"/>
            <w:tcBorders>
              <w:right w:val="single" w:sz="8" w:color="808080"/>
            </w:tcBorders>
            <w:vMerge w:val="continue"/>
          </w:tcPr>
          <w:p>
            <w:pPr>
              <w:spacing w:after="0"/>
              <w:rPr>
                <w:sz w:val="8"/>
                <w:szCs w:val="8"/>
                <w:color w:val="auto"/>
              </w:rPr>
            </w:pPr>
          </w:p>
        </w:tc>
        <w:tc>
          <w:tcPr>
            <w:tcW w:w="322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0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right w:val="single" w:sz="8" w:color="808080"/>
            </w:tcBorders>
          </w:tcPr>
          <w:p>
            <w:pPr>
              <w:spacing w:after="0"/>
              <w:rPr>
                <w:sz w:val="10"/>
                <w:szCs w:val="10"/>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4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900" w:type="dxa"/>
            <w:vAlign w:val="bottom"/>
            <w:tcBorders>
              <w:left w:val="single" w:sz="8" w:color="808080"/>
              <w:right w:val="single" w:sz="8" w:color="808080"/>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3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right w:val="single" w:sz="8" w:color="808080"/>
            </w:tcBorders>
          </w:tcPr>
          <w:p>
            <w:pPr>
              <w:spacing w:after="0"/>
              <w:rPr>
                <w:sz w:val="20"/>
                <w:szCs w:val="20"/>
                <w:color w:val="auto"/>
              </w:rPr>
            </w:pPr>
          </w:p>
        </w:tc>
        <w:tc>
          <w:tcPr>
            <w:tcW w:w="820" w:type="dxa"/>
            <w:vAlign w:val="bottom"/>
            <w:tcBorders>
              <w:bottom w:val="single" w:sz="8" w:color="808080"/>
            </w:tcBorders>
            <w:vMerge w:val="continue"/>
          </w:tcPr>
          <w:p>
            <w:pPr>
              <w:spacing w:after="0"/>
              <w:rPr>
                <w:sz w:val="20"/>
                <w:szCs w:val="20"/>
                <w:color w:val="auto"/>
              </w:rPr>
            </w:pPr>
          </w:p>
        </w:tc>
        <w:tc>
          <w:tcPr>
            <w:tcW w:w="2400" w:type="dxa"/>
            <w:vAlign w:val="bottom"/>
            <w:tcBorders>
              <w:bottom w:val="single" w:sz="8" w:color="808080"/>
            </w:tcBorders>
          </w:tcPr>
          <w:p>
            <w:pPr>
              <w:spacing w:after="0"/>
              <w:rPr>
                <w:sz w:val="20"/>
                <w:szCs w:val="20"/>
                <w:color w:val="auto"/>
              </w:rPr>
            </w:pPr>
          </w:p>
        </w:tc>
        <w:tc>
          <w:tcPr>
            <w:tcW w:w="204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w:t>
            </w: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spacing w:after="0"/>
              <w:rPr>
                <w:sz w:val="24"/>
                <w:szCs w:val="24"/>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080" w:type="dxa"/>
            <w:vAlign w:val="bottom"/>
            <w:tcBorders>
              <w:bottom w:val="single" w:sz="8" w:color="808080"/>
              <w:right w:val="single" w:sz="8" w:color="808080"/>
            </w:tcBorders>
            <w:gridSpan w:val="2"/>
          </w:tcPr>
          <w:p>
            <w:pPr>
              <w:spacing w:after="0"/>
              <w:rPr>
                <w:sz w:val="4"/>
                <w:szCs w:val="4"/>
                <w:color w:val="auto"/>
              </w:rPr>
            </w:pPr>
          </w:p>
        </w:tc>
        <w:tc>
          <w:tcPr>
            <w:tcW w:w="6600" w:type="dxa"/>
            <w:vAlign w:val="bottom"/>
            <w:tcBorders>
              <w:bottom w:val="single" w:sz="8" w:color="808080"/>
            </w:tcBorders>
            <w:gridSpan w:val="4"/>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8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3220" w:type="dxa"/>
            <w:vAlign w:val="bottom"/>
            <w:tcBorders>
              <w:bottom w:val="single" w:sz="8" w:color="808080"/>
            </w:tcBorders>
            <w:gridSpan w:val="2"/>
          </w:tcPr>
          <w:p>
            <w:pPr>
              <w:spacing w:after="0"/>
              <w:rPr>
                <w:sz w:val="4"/>
                <w:szCs w:val="4"/>
                <w:color w:val="auto"/>
              </w:rPr>
            </w:pPr>
          </w:p>
        </w:tc>
        <w:tc>
          <w:tcPr>
            <w:tcW w:w="3380" w:type="dxa"/>
            <w:vAlign w:val="bottom"/>
            <w:tcBorders>
              <w:bottom w:val="single" w:sz="8" w:color="808080"/>
            </w:tcBorders>
            <w:gridSpan w:val="2"/>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60" w:type="dxa"/>
            <w:vAlign w:val="bottom"/>
            <w:tcBorders>
              <w:left w:val="single" w:sz="8" w:color="808080"/>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Borders>
              <w:right w:val="single" w:sz="8" w:color="808080"/>
            </w:tcBorders>
          </w:tcPr>
          <w:p>
            <w:pPr>
              <w:spacing w:after="0"/>
              <w:rPr>
                <w:sz w:val="23"/>
                <w:szCs w:val="23"/>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THE AGGREGATE AMOUNT IN ROW (11) EXCLUDES</w:t>
            </w:r>
          </w:p>
        </w:tc>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CERTAIN SHARES (see</w:t>
            </w:r>
          </w:p>
        </w:tc>
        <w:tc>
          <w:tcPr>
            <w:tcW w:w="184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460" w:type="dxa"/>
            <w:vAlign w:val="bottom"/>
            <w:tcBorders>
              <w:left w:val="single" w:sz="8" w:color="808080"/>
              <w:bottom w:val="single" w:sz="8" w:color="808080"/>
            </w:tcBorders>
          </w:tcPr>
          <w:p>
            <w:pPr>
              <w:spacing w:after="0"/>
              <w:rPr>
                <w:sz w:val="20"/>
                <w:szCs w:val="20"/>
                <w:color w:val="auto"/>
              </w:rPr>
            </w:pPr>
          </w:p>
        </w:tc>
        <w:tc>
          <w:tcPr>
            <w:tcW w:w="260" w:type="dxa"/>
            <w:vAlign w:val="bottom"/>
            <w:tcBorders>
              <w:bottom w:val="single" w:sz="8" w:color="808080"/>
              <w:right w:val="single" w:sz="8" w:color="808080"/>
            </w:tcBorders>
          </w:tcPr>
          <w:p>
            <w:pPr>
              <w:spacing w:after="0"/>
              <w:rPr>
                <w:sz w:val="20"/>
                <w:szCs w:val="20"/>
                <w:color w:val="auto"/>
              </w:rPr>
            </w:pPr>
          </w:p>
        </w:tc>
        <w:tc>
          <w:tcPr>
            <w:tcW w:w="156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70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2400" w:type="dxa"/>
            <w:vAlign w:val="bottom"/>
            <w:tcBorders>
              <w:bottom w:val="single" w:sz="8" w:color="808080"/>
            </w:tcBorders>
          </w:tcPr>
          <w:p>
            <w:pPr>
              <w:spacing w:after="0"/>
              <w:rPr>
                <w:sz w:val="20"/>
                <w:szCs w:val="20"/>
                <w:color w:val="auto"/>
              </w:rPr>
            </w:pPr>
          </w:p>
        </w:tc>
        <w:tc>
          <w:tcPr>
            <w:tcW w:w="204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 (See Item 5)*</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3220" w:type="dxa"/>
            <w:vAlign w:val="bottom"/>
            <w:tcBorders>
              <w:bottom w:val="single" w:sz="8" w:color="808080"/>
            </w:tcBorders>
            <w:gridSpan w:val="2"/>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00" w:type="dxa"/>
            <w:vAlign w:val="bottom"/>
            <w:tcBorders>
              <w:bottom w:val="single" w:sz="8" w:color="808080"/>
            </w:tcBorders>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700" w:right="20" w:hanging="393"/>
        <w:spacing w:after="0" w:line="266"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assumes that there are 51,887,708 shares of Common Stock (as defined below) of TPG Specialty Lending,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outstanding as of March 26, 2014 as reported in the Prospectus filed by the Issuer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March 21, 2014.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500" w:type="dxa"/>
            <w:vAlign w:val="bottom"/>
            <w:tcBorders>
              <w:top w:val="single" w:sz="8" w:color="808080"/>
              <w:left w:val="single" w:sz="8" w:color="808080"/>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64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580" w:type="dxa"/>
            <w:vAlign w:val="bottom"/>
            <w:tcBorders>
              <w:top w:val="single" w:sz="8" w:color="808080"/>
              <w:right w:val="single" w:sz="8" w:color="808080"/>
            </w:tcBorders>
          </w:tcPr>
          <w:p>
            <w:pPr>
              <w:spacing w:after="0"/>
              <w:rPr>
                <w:sz w:val="24"/>
                <w:szCs w:val="24"/>
                <w:color w:val="auto"/>
              </w:rPr>
            </w:pPr>
          </w:p>
        </w:tc>
        <w:tc>
          <w:tcPr>
            <w:tcW w:w="266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13D</w:t>
            </w:r>
          </w:p>
        </w:tc>
        <w:tc>
          <w:tcPr>
            <w:tcW w:w="1780" w:type="dxa"/>
            <w:vAlign w:val="bottom"/>
            <w:tcBorders>
              <w:right w:val="single" w:sz="8" w:color="808080"/>
            </w:tcBorders>
          </w:tcPr>
          <w:p>
            <w:pPr>
              <w:spacing w:after="0"/>
              <w:rPr>
                <w:sz w:val="24"/>
                <w:szCs w:val="24"/>
                <w:color w:val="auto"/>
              </w:rPr>
            </w:pPr>
          </w:p>
        </w:tc>
        <w:tc>
          <w:tcPr>
            <w:tcW w:w="1420" w:type="dxa"/>
            <w:vAlign w:val="bottom"/>
            <w:tcBorders>
              <w:top w:val="single" w:sz="8" w:color="808080"/>
            </w:tcBorders>
          </w:tcPr>
          <w:p>
            <w:pPr>
              <w:spacing w:after="0"/>
              <w:rPr>
                <w:sz w:val="24"/>
                <w:szCs w:val="24"/>
                <w:color w:val="auto"/>
              </w:rPr>
            </w:pPr>
          </w:p>
        </w:tc>
        <w:tc>
          <w:tcPr>
            <w:tcW w:w="1760" w:type="dxa"/>
            <w:vAlign w:val="bottom"/>
            <w:tcBorders>
              <w:top w:val="single" w:sz="8" w:color="808080"/>
              <w:right w:val="single" w:sz="8" w:color="808080"/>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 3 of 20 Pages</w:t>
            </w: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gridSpan w:val="2"/>
          </w:tcPr>
          <w:p>
            <w:pPr>
              <w:spacing w:after="0"/>
              <w:rPr>
                <w:sz w:val="3"/>
                <w:szCs w:val="3"/>
                <w:color w:val="auto"/>
              </w:rPr>
            </w:pPr>
          </w:p>
        </w:tc>
        <w:tc>
          <w:tcPr>
            <w:tcW w:w="660" w:type="dxa"/>
            <w:vAlign w:val="bottom"/>
            <w:tcBorders>
              <w:bottom w:val="single" w:sz="8" w:color="808080"/>
              <w:right w:val="single" w:sz="8" w:color="808080"/>
            </w:tcBorders>
            <w:gridSpan w:val="2"/>
          </w:tcPr>
          <w:p>
            <w:pPr>
              <w:spacing w:after="0"/>
              <w:rPr>
                <w:sz w:val="3"/>
                <w:szCs w:val="3"/>
                <w:color w:val="auto"/>
              </w:rPr>
            </w:pPr>
          </w:p>
        </w:tc>
        <w:tc>
          <w:tcPr>
            <w:tcW w:w="2660" w:type="dxa"/>
            <w:vAlign w:val="bottom"/>
          </w:tcPr>
          <w:p>
            <w:pPr>
              <w:spacing w:after="0"/>
              <w:rPr>
                <w:sz w:val="3"/>
                <w:szCs w:val="3"/>
                <w:color w:val="auto"/>
              </w:rPr>
            </w:pPr>
          </w:p>
        </w:tc>
        <w:tc>
          <w:tcPr>
            <w:tcW w:w="1780" w:type="dxa"/>
            <w:vAlign w:val="bottom"/>
            <w:tcBorders>
              <w:right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6"/>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2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Tarrant Capital Advisors, Inc.</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6"/>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Pr>
          <w:p>
            <w:pPr>
              <w:spacing w:after="0"/>
              <w:rPr>
                <w:sz w:val="24"/>
                <w:szCs w:val="24"/>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17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7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660" w:type="dxa"/>
            <w:vAlign w:val="bottom"/>
            <w:tcBorders>
              <w:bottom w:val="single" w:sz="8" w:color="808080"/>
            </w:tcBorders>
          </w:tcPr>
          <w:p>
            <w:pPr>
              <w:spacing w:after="0" w:line="20" w:lineRule="exact"/>
              <w:rPr>
                <w:sz w:val="1"/>
                <w:szCs w:val="1"/>
                <w:color w:val="auto"/>
              </w:rPr>
            </w:pPr>
          </w:p>
        </w:tc>
        <w:tc>
          <w:tcPr>
            <w:tcW w:w="17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7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6"/>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6"/>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PURSUANT TO ITEMS 2(d) or</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6"/>
          </w:tcPr>
          <w:p>
            <w:pPr>
              <w:spacing w:after="0"/>
              <w:rPr>
                <w:sz w:val="3"/>
                <w:szCs w:val="3"/>
                <w:color w:val="auto"/>
              </w:rPr>
            </w:pPr>
          </w:p>
        </w:tc>
        <w:tc>
          <w:tcPr>
            <w:tcW w:w="178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right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40" w:type="dxa"/>
            <w:vAlign w:val="bottom"/>
            <w:tcBorders>
              <w:left w:val="single" w:sz="8" w:color="808080"/>
              <w:right w:val="single" w:sz="8" w:color="808080"/>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right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2,810,382 (See Items 3, 4 and 5)</w:t>
            </w:r>
          </w:p>
        </w:tc>
        <w:tc>
          <w:tcPr>
            <w:tcW w:w="1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BENEFICIALLY OWNED</w:t>
            </w:r>
          </w:p>
        </w:tc>
        <w:tc>
          <w:tcPr>
            <w:tcW w:w="360" w:type="dxa"/>
            <w:vAlign w:val="bottom"/>
          </w:tcPr>
          <w:p>
            <w:pPr>
              <w:spacing w:after="0"/>
              <w:rPr>
                <w:sz w:val="14"/>
                <w:szCs w:val="14"/>
                <w:color w:val="auto"/>
              </w:rPr>
            </w:pPr>
          </w:p>
        </w:tc>
        <w:tc>
          <w:tcPr>
            <w:tcW w:w="640" w:type="dxa"/>
            <w:vAlign w:val="bottom"/>
            <w:tcBorders>
              <w:right w:val="single" w:sz="8" w:color="808080"/>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40" w:type="dxa"/>
            <w:vAlign w:val="bottom"/>
            <w:tcBorders>
              <w:left w:val="single" w:sz="8" w:color="808080"/>
              <w:right w:val="single" w:sz="8" w:color="808080"/>
            </w:tcBorders>
            <w:gridSpan w:val="2"/>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right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tcBorders>
          </w:tcPr>
          <w:p>
            <w:pPr>
              <w:spacing w:after="0"/>
              <w:rPr>
                <w:sz w:val="16"/>
                <w:szCs w:val="16"/>
                <w:color w:val="auto"/>
              </w:rPr>
            </w:pPr>
          </w:p>
        </w:tc>
        <w:tc>
          <w:tcPr>
            <w:tcW w:w="1180" w:type="dxa"/>
            <w:vAlign w:val="bottom"/>
            <w:tcBorders>
              <w:right w:val="single" w:sz="8" w:color="808080"/>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16"/>
                <w:szCs w:val="16"/>
                <w:color w:val="auto"/>
              </w:rPr>
            </w:pPr>
          </w:p>
        </w:tc>
        <w:tc>
          <w:tcPr>
            <w:tcW w:w="640" w:type="dxa"/>
            <w:vAlign w:val="bottom"/>
            <w:tcBorders>
              <w:right w:val="single" w:sz="8" w:color="808080"/>
            </w:tcBorders>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6"/>
                <w:szCs w:val="16"/>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360" w:type="dxa"/>
            <w:vAlign w:val="bottom"/>
          </w:tcPr>
          <w:p>
            <w:pPr>
              <w:spacing w:after="0"/>
              <w:rPr>
                <w:sz w:val="8"/>
                <w:szCs w:val="8"/>
                <w:color w:val="auto"/>
              </w:rPr>
            </w:pPr>
          </w:p>
        </w:tc>
        <w:tc>
          <w:tcPr>
            <w:tcW w:w="640" w:type="dxa"/>
            <w:vAlign w:val="bottom"/>
            <w:tcBorders>
              <w:right w:val="single" w:sz="8" w:color="808080"/>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324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40" w:type="dxa"/>
            <w:vAlign w:val="bottom"/>
            <w:tcBorders>
              <w:left w:val="single" w:sz="8" w:color="808080"/>
              <w:right w:val="single" w:sz="8" w:color="808080"/>
            </w:tcBorders>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right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vMerge w:val="continue"/>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2,810,382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00" w:type="dxa"/>
            <w:vAlign w:val="bottom"/>
            <w:tcBorders>
              <w:bottom w:val="single" w:sz="8" w:color="808080"/>
              <w:right w:val="single" w:sz="8" w:color="808080"/>
            </w:tcBorders>
            <w:gridSpan w:val="2"/>
          </w:tcPr>
          <w:p>
            <w:pPr>
              <w:spacing w:after="0"/>
              <w:rPr>
                <w:sz w:val="4"/>
                <w:szCs w:val="4"/>
                <w:color w:val="auto"/>
              </w:rPr>
            </w:pPr>
          </w:p>
        </w:tc>
        <w:tc>
          <w:tcPr>
            <w:tcW w:w="6520" w:type="dxa"/>
            <w:vAlign w:val="bottom"/>
            <w:tcBorders>
              <w:bottom w:val="single" w:sz="8" w:color="808080"/>
            </w:tcBorders>
            <w:gridSpan w:val="5"/>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2,810,382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3"/>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IF THE AGGREGATE AMOUNT IN ROW (11) EXCLUDES</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SHARES (see</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64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 (See Item 5)*</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3"/>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55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40" w:right="20" w:hanging="511"/>
        <w:spacing w:after="0" w:line="282"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assumes that there are 51,887,708 shares of Common Stock of the Issuer outstanding as of March 26, 2014 as reported in the Prospectus filed by the Issuer with the Commission on March 21, 2014.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2520" w:type="dxa"/>
            <w:vAlign w:val="bottom"/>
            <w:tcBorders>
              <w:top w:val="single" w:sz="8" w:color="808080"/>
              <w:left w:val="single" w:sz="8" w:color="808080"/>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640" w:type="dxa"/>
            <w:vAlign w:val="bottom"/>
            <w:tcBorders>
              <w:top w:val="single" w:sz="8" w:color="808080"/>
            </w:tcBorders>
          </w:tcPr>
          <w:p>
            <w:pPr>
              <w:spacing w:after="0"/>
              <w:rPr>
                <w:sz w:val="24"/>
                <w:szCs w:val="24"/>
                <w:color w:val="auto"/>
              </w:rPr>
            </w:pPr>
          </w:p>
        </w:tc>
        <w:tc>
          <w:tcPr>
            <w:tcW w:w="640" w:type="dxa"/>
            <w:vAlign w:val="bottom"/>
            <w:tcBorders>
              <w:top w:val="single" w:sz="8" w:color="808080"/>
              <w:right w:val="single" w:sz="8" w:color="808080"/>
            </w:tcBorders>
          </w:tcPr>
          <w:p>
            <w:pPr>
              <w:spacing w:after="0"/>
              <w:rPr>
                <w:sz w:val="24"/>
                <w:szCs w:val="24"/>
                <w:color w:val="auto"/>
              </w:rPr>
            </w:pPr>
          </w:p>
        </w:tc>
        <w:tc>
          <w:tcPr>
            <w:tcW w:w="26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13D</w:t>
            </w:r>
          </w:p>
        </w:tc>
        <w:tc>
          <w:tcPr>
            <w:tcW w:w="1820" w:type="dxa"/>
            <w:vAlign w:val="bottom"/>
            <w:tcBorders>
              <w:right w:val="single" w:sz="8" w:color="808080"/>
            </w:tcBorders>
          </w:tcPr>
          <w:p>
            <w:pPr>
              <w:spacing w:after="0"/>
              <w:rPr>
                <w:sz w:val="24"/>
                <w:szCs w:val="24"/>
                <w:color w:val="auto"/>
              </w:rPr>
            </w:pPr>
          </w:p>
        </w:tc>
        <w:tc>
          <w:tcPr>
            <w:tcW w:w="1420" w:type="dxa"/>
            <w:vAlign w:val="bottom"/>
            <w:tcBorders>
              <w:top w:val="single" w:sz="8" w:color="808080"/>
            </w:tcBorders>
          </w:tcPr>
          <w:p>
            <w:pPr>
              <w:spacing w:after="0"/>
              <w:rPr>
                <w:sz w:val="24"/>
                <w:szCs w:val="24"/>
                <w:color w:val="auto"/>
              </w:rPr>
            </w:pPr>
          </w:p>
        </w:tc>
        <w:tc>
          <w:tcPr>
            <w:tcW w:w="1760" w:type="dxa"/>
            <w:vAlign w:val="bottom"/>
            <w:tcBorders>
              <w:top w:val="single" w:sz="8" w:color="808080"/>
              <w:right w:val="single" w:sz="8" w:color="808080"/>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 4 of 20 Pages</w:t>
            </w:r>
          </w:p>
        </w:tc>
        <w:tc>
          <w:tcPr>
            <w:tcW w:w="0" w:type="dxa"/>
            <w:vAlign w:val="bottom"/>
          </w:tcPr>
          <w:p>
            <w:pPr>
              <w:spacing w:after="0"/>
              <w:rPr>
                <w:sz w:val="1"/>
                <w:szCs w:val="1"/>
                <w:color w:val="auto"/>
              </w:rPr>
            </w:pPr>
          </w:p>
        </w:tc>
      </w:tr>
      <w:tr>
        <w:trPr>
          <w:trHeight w:val="41"/>
        </w:trPr>
        <w:tc>
          <w:tcPr>
            <w:tcW w:w="76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gridSpan w:val="2"/>
          </w:tcPr>
          <w:p>
            <w:pPr>
              <w:spacing w:after="0"/>
              <w:rPr>
                <w:sz w:val="3"/>
                <w:szCs w:val="3"/>
                <w:color w:val="auto"/>
              </w:rPr>
            </w:pPr>
          </w:p>
        </w:tc>
        <w:tc>
          <w:tcPr>
            <w:tcW w:w="640" w:type="dxa"/>
            <w:vAlign w:val="bottom"/>
            <w:tcBorders>
              <w:bottom w:val="single" w:sz="8" w:color="808080"/>
              <w:right w:val="single" w:sz="8" w:color="808080"/>
            </w:tcBorders>
          </w:tcPr>
          <w:p>
            <w:pPr>
              <w:spacing w:after="0"/>
              <w:rPr>
                <w:sz w:val="3"/>
                <w:szCs w:val="3"/>
                <w:color w:val="auto"/>
              </w:rPr>
            </w:pPr>
          </w:p>
        </w:tc>
        <w:tc>
          <w:tcPr>
            <w:tcW w:w="2620" w:type="dxa"/>
            <w:vAlign w:val="bottom"/>
          </w:tcPr>
          <w:p>
            <w:pPr>
              <w:spacing w:after="0"/>
              <w:rPr>
                <w:sz w:val="3"/>
                <w:szCs w:val="3"/>
                <w:color w:val="auto"/>
              </w:rPr>
            </w:pPr>
          </w:p>
        </w:tc>
        <w:tc>
          <w:tcPr>
            <w:tcW w:w="1820" w:type="dxa"/>
            <w:vAlign w:val="bottom"/>
            <w:tcBorders>
              <w:right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gridSpan w:val="5"/>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David Bonderman</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440" w:type="dxa"/>
            <w:vAlign w:val="bottom"/>
            <w:tcBorders>
              <w:bottom w:val="single" w:sz="8" w:color="808080"/>
            </w:tcBorders>
            <w:gridSpan w:val="5"/>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820" w:type="dxa"/>
            <w:vAlign w:val="bottom"/>
          </w:tcPr>
          <w:p>
            <w:pPr>
              <w:spacing w:after="0"/>
              <w:rPr>
                <w:sz w:val="24"/>
                <w:szCs w:val="24"/>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Borders>
              <w:right w:val="single" w:sz="8" w:color="808080"/>
            </w:tcBorders>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4"/>
        </w:trPr>
        <w:tc>
          <w:tcPr>
            <w:tcW w:w="76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1760" w:type="dxa"/>
            <w:vAlign w:val="bottom"/>
            <w:tcBorders>
              <w:right w:val="single" w:sz="8" w:color="808080"/>
            </w:tcBorders>
            <w:vMerge w:val="restart"/>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1"/>
        </w:trPr>
        <w:tc>
          <w:tcPr>
            <w:tcW w:w="760" w:type="dxa"/>
            <w:vAlign w:val="bottom"/>
            <w:tcBorders>
              <w:left w:val="single" w:sz="8" w:color="808080"/>
            </w:tcBorders>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7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808080"/>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262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7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808080"/>
            </w:tcBorders>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808080"/>
              <w:bottom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5440" w:type="dxa"/>
            <w:vAlign w:val="bottom"/>
            <w:tcBorders>
              <w:bottom w:val="single" w:sz="8" w:color="808080"/>
            </w:tcBorders>
            <w:gridSpan w:val="5"/>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440" w:type="dxa"/>
            <w:vAlign w:val="bottom"/>
            <w:tcBorders>
              <w:bottom w:val="single" w:sz="8" w:color="808080"/>
            </w:tcBorders>
            <w:gridSpan w:val="5"/>
          </w:tcPr>
          <w:p>
            <w:pPr>
              <w:spacing w:after="0"/>
              <w:rPr>
                <w:sz w:val="4"/>
                <w:szCs w:val="4"/>
                <w:color w:val="auto"/>
              </w:rPr>
            </w:pPr>
          </w:p>
        </w:tc>
        <w:tc>
          <w:tcPr>
            <w:tcW w:w="324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right w:val="single" w:sz="8" w:color="808080"/>
            </w:tcBorders>
          </w:tcPr>
          <w:p>
            <w:pPr>
              <w:spacing w:after="0"/>
              <w:rPr>
                <w:sz w:val="23"/>
                <w:szCs w:val="23"/>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PURSUANT TO ITEM 2(d) or</w:t>
            </w:r>
          </w:p>
        </w:tc>
        <w:tc>
          <w:tcPr>
            <w:tcW w:w="176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76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2(e)</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76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right w:val="single" w:sz="8" w:color="808080"/>
            </w:tcBorders>
          </w:tcPr>
          <w:p>
            <w:pPr>
              <w:spacing w:after="0"/>
              <w:rPr>
                <w:sz w:val="3"/>
                <w:szCs w:val="3"/>
                <w:color w:val="auto"/>
              </w:rPr>
            </w:pPr>
          </w:p>
        </w:tc>
        <w:tc>
          <w:tcPr>
            <w:tcW w:w="5440" w:type="dxa"/>
            <w:vAlign w:val="bottom"/>
            <w:tcBorders>
              <w:bottom w:val="single" w:sz="8" w:color="808080"/>
            </w:tcBorders>
            <w:gridSpan w:val="5"/>
          </w:tcPr>
          <w:p>
            <w:pPr>
              <w:spacing w:after="0"/>
              <w:rPr>
                <w:sz w:val="3"/>
                <w:szCs w:val="3"/>
                <w:color w:val="auto"/>
              </w:rPr>
            </w:pPr>
          </w:p>
        </w:tc>
        <w:tc>
          <w:tcPr>
            <w:tcW w:w="182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26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right w:val="single" w:sz="8" w:color="80808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88"/>
              </w:rPr>
              <w:t>7</w:t>
            </w: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right w:val="single" w:sz="8" w:color="808080"/>
            </w:tcBorders>
          </w:tcPr>
          <w:p>
            <w:pPr>
              <w:spacing w:after="0"/>
              <w:rPr>
                <w:sz w:val="24"/>
                <w:szCs w:val="24"/>
                <w:color w:val="auto"/>
              </w:rPr>
            </w:pPr>
          </w:p>
        </w:tc>
        <w:tc>
          <w:tcPr>
            <w:tcW w:w="64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14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80" w:type="dxa"/>
            <w:vAlign w:val="bottom"/>
          </w:tcPr>
          <w:p>
            <w:pPr>
              <w:spacing w:after="0"/>
              <w:rPr>
                <w:sz w:val="24"/>
                <w:szCs w:val="24"/>
                <w:color w:val="auto"/>
              </w:rPr>
            </w:pPr>
          </w:p>
        </w:tc>
        <w:tc>
          <w:tcPr>
            <w:tcW w:w="640" w:type="dxa"/>
            <w:vAlign w:val="bottom"/>
            <w:tcBorders>
              <w:right w:val="single" w:sz="8" w:color="80808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88"/>
              </w:rPr>
              <w:t>8</w:t>
            </w: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4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Borders>
              <w:right w:val="single" w:sz="8" w:color="808080"/>
            </w:tcBorders>
          </w:tcPr>
          <w:p>
            <w:pPr>
              <w:spacing w:after="0"/>
              <w:rPr>
                <w:sz w:val="11"/>
                <w:szCs w:val="11"/>
                <w:color w:val="auto"/>
              </w:rPr>
            </w:pP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8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BENEFICIALLY OWNED</w:t>
            </w:r>
          </w:p>
        </w:tc>
        <w:tc>
          <w:tcPr>
            <w:tcW w:w="380" w:type="dxa"/>
            <w:vAlign w:val="bottom"/>
          </w:tcPr>
          <w:p>
            <w:pPr>
              <w:spacing w:after="0"/>
              <w:rPr>
                <w:sz w:val="14"/>
                <w:szCs w:val="14"/>
                <w:color w:val="auto"/>
              </w:rPr>
            </w:pPr>
          </w:p>
        </w:tc>
        <w:tc>
          <w:tcPr>
            <w:tcW w:w="640" w:type="dxa"/>
            <w:vAlign w:val="bottom"/>
            <w:tcBorders>
              <w:right w:val="single" w:sz="8" w:color="808080"/>
            </w:tcBorders>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4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right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62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Borders>
              <w:left w:val="single" w:sz="8" w:color="808080"/>
            </w:tcBorders>
          </w:tcPr>
          <w:p>
            <w:pPr>
              <w:spacing w:after="0"/>
              <w:rPr>
                <w:sz w:val="16"/>
                <w:szCs w:val="16"/>
                <w:color w:val="auto"/>
              </w:rPr>
            </w:pPr>
          </w:p>
        </w:tc>
        <w:tc>
          <w:tcPr>
            <w:tcW w:w="1380" w:type="dxa"/>
            <w:vAlign w:val="bottom"/>
            <w:tcBorders>
              <w:right w:val="single" w:sz="8" w:color="808080"/>
            </w:tcBorders>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16"/>
                <w:szCs w:val="16"/>
                <w:color w:val="auto"/>
              </w:rPr>
            </w:pPr>
          </w:p>
        </w:tc>
        <w:tc>
          <w:tcPr>
            <w:tcW w:w="640" w:type="dxa"/>
            <w:vAlign w:val="bottom"/>
            <w:tcBorders>
              <w:right w:val="single" w:sz="8" w:color="808080"/>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88"/>
              </w:rPr>
              <w:t>9</w:t>
            </w: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14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380" w:type="dxa"/>
            <w:vAlign w:val="bottom"/>
          </w:tcPr>
          <w:p>
            <w:pPr>
              <w:spacing w:after="0"/>
              <w:rPr>
                <w:sz w:val="8"/>
                <w:szCs w:val="8"/>
                <w:color w:val="auto"/>
              </w:rPr>
            </w:pPr>
          </w:p>
        </w:tc>
        <w:tc>
          <w:tcPr>
            <w:tcW w:w="640" w:type="dxa"/>
            <w:vAlign w:val="bottom"/>
            <w:tcBorders>
              <w:right w:val="single" w:sz="8" w:color="808080"/>
            </w:tcBorders>
            <w:vMerge w:val="continue"/>
          </w:tcPr>
          <w:p>
            <w:pPr>
              <w:spacing w:after="0"/>
              <w:rPr>
                <w:sz w:val="8"/>
                <w:szCs w:val="8"/>
                <w:color w:val="auto"/>
              </w:rPr>
            </w:pPr>
          </w:p>
        </w:tc>
        <w:tc>
          <w:tcPr>
            <w:tcW w:w="3260" w:type="dxa"/>
            <w:vAlign w:val="bottom"/>
            <w:gridSpan w:val="2"/>
            <w:vMerge w:val="continue"/>
          </w:tcPr>
          <w:p>
            <w:pPr>
              <w:spacing w:after="0"/>
              <w:rPr>
                <w:sz w:val="8"/>
                <w:szCs w:val="8"/>
                <w:color w:val="auto"/>
              </w:rPr>
            </w:pPr>
          </w:p>
        </w:tc>
        <w:tc>
          <w:tcPr>
            <w:tcW w:w="1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4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808080"/>
              <w:right w:val="single" w:sz="8" w:color="808080"/>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right w:val="single" w:sz="8" w:color="808080"/>
            </w:tcBorders>
          </w:tcPr>
          <w:p>
            <w:pPr>
              <w:spacing w:after="0"/>
              <w:rPr>
                <w:sz w:val="20"/>
                <w:szCs w:val="20"/>
                <w:color w:val="auto"/>
              </w:rPr>
            </w:pPr>
          </w:p>
        </w:tc>
        <w:tc>
          <w:tcPr>
            <w:tcW w:w="640" w:type="dxa"/>
            <w:vAlign w:val="bottom"/>
            <w:tcBorders>
              <w:bottom w:val="single" w:sz="8" w:color="808080"/>
            </w:tcBorders>
            <w:vMerge w:val="continue"/>
          </w:tcPr>
          <w:p>
            <w:pPr>
              <w:spacing w:after="0"/>
              <w:rPr>
                <w:sz w:val="20"/>
                <w:szCs w:val="20"/>
                <w:color w:val="auto"/>
              </w:rPr>
            </w:pPr>
          </w:p>
        </w:tc>
        <w:tc>
          <w:tcPr>
            <w:tcW w:w="262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w:t>
            </w: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right w:val="single" w:sz="8" w:color="808080"/>
            </w:tcBorders>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1020" w:type="dxa"/>
            <w:vAlign w:val="bottom"/>
            <w:tcBorders>
              <w:bottom w:val="single" w:sz="8" w:color="808080"/>
              <w:right w:val="single" w:sz="8" w:color="808080"/>
            </w:tcBorders>
            <w:gridSpan w:val="2"/>
          </w:tcPr>
          <w:p>
            <w:pPr>
              <w:spacing w:after="0"/>
              <w:rPr>
                <w:sz w:val="4"/>
                <w:szCs w:val="4"/>
                <w:color w:val="auto"/>
              </w:rPr>
            </w:pPr>
          </w:p>
        </w:tc>
        <w:tc>
          <w:tcPr>
            <w:tcW w:w="6500" w:type="dxa"/>
            <w:vAlign w:val="bottom"/>
            <w:tcBorders>
              <w:bottom w:val="single" w:sz="8" w:color="808080"/>
            </w:tcBorders>
            <w:gridSpan w:val="4"/>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Borders>
              <w:right w:val="single" w:sz="8" w:color="808080"/>
            </w:tcBorders>
          </w:tcPr>
          <w:p>
            <w:pPr>
              <w:spacing w:after="0"/>
              <w:rPr>
                <w:sz w:val="24"/>
                <w:szCs w:val="24"/>
                <w:color w:val="auto"/>
              </w:rPr>
            </w:pPr>
          </w:p>
        </w:tc>
        <w:tc>
          <w:tcPr>
            <w:tcW w:w="86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6500" w:type="dxa"/>
            <w:vAlign w:val="bottom"/>
            <w:tcBorders>
              <w:bottom w:val="single" w:sz="8" w:color="808080"/>
            </w:tcBorders>
            <w:gridSpan w:val="4"/>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Borders>
              <w:right w:val="single" w:sz="8" w:color="808080"/>
            </w:tcBorders>
          </w:tcPr>
          <w:p>
            <w:pPr>
              <w:spacing w:after="0"/>
              <w:rPr>
                <w:sz w:val="23"/>
                <w:szCs w:val="23"/>
                <w:color w:val="auto"/>
              </w:rPr>
            </w:pPr>
          </w:p>
        </w:tc>
        <w:tc>
          <w:tcPr>
            <w:tcW w:w="8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w:t>
            </w:r>
          </w:p>
        </w:tc>
        <w:tc>
          <w:tcPr>
            <w:tcW w:w="1760" w:type="dxa"/>
            <w:vAlign w:val="bottom"/>
            <w:tcBorders>
              <w:right w:val="single" w:sz="8" w:color="808080"/>
            </w:tcBorders>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760" w:type="dxa"/>
            <w:vAlign w:val="bottom"/>
            <w:tcBorders>
              <w:left w:val="single" w:sz="8" w:color="808080"/>
              <w:bottom w:val="single" w:sz="8" w:color="808080"/>
            </w:tcBorders>
          </w:tcPr>
          <w:p>
            <w:pPr>
              <w:spacing w:after="0"/>
              <w:rPr>
                <w:sz w:val="20"/>
                <w:szCs w:val="20"/>
                <w:color w:val="auto"/>
              </w:rPr>
            </w:pPr>
          </w:p>
        </w:tc>
        <w:tc>
          <w:tcPr>
            <w:tcW w:w="220" w:type="dxa"/>
            <w:vAlign w:val="bottom"/>
            <w:tcBorders>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64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262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 (See Item 5)*</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326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60" w:type="dxa"/>
            <w:vAlign w:val="bottom"/>
            <w:tcBorders>
              <w:left w:val="single" w:sz="8" w:color="808080"/>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Borders>
              <w:right w:val="single" w:sz="8" w:color="808080"/>
            </w:tcBorders>
          </w:tcPr>
          <w:p>
            <w:pPr>
              <w:spacing w:after="0"/>
              <w:rPr>
                <w:sz w:val="24"/>
                <w:szCs w:val="24"/>
                <w:color w:val="auto"/>
              </w:rPr>
            </w:pPr>
          </w:p>
        </w:tc>
        <w:tc>
          <w:tcPr>
            <w:tcW w:w="5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62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60" w:right="20" w:hanging="5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assumes that there are 51,887,708 shares of Common Stock of the Issuer outstanding as of March 26, 2014 as reported in the Prospectus filed by the Issuer with the Commission on March 21, 2014.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2500" w:type="dxa"/>
            <w:vAlign w:val="bottom"/>
            <w:tcBorders>
              <w:top w:val="single" w:sz="8" w:color="808080"/>
              <w:left w:val="single" w:sz="8" w:color="808080"/>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640" w:type="dxa"/>
            <w:vAlign w:val="bottom"/>
            <w:tcBorders>
              <w:top w:val="single" w:sz="8" w:color="808080"/>
            </w:tcBorders>
          </w:tcPr>
          <w:p>
            <w:pPr>
              <w:spacing w:after="0"/>
              <w:rPr>
                <w:sz w:val="24"/>
                <w:szCs w:val="24"/>
                <w:color w:val="auto"/>
              </w:rPr>
            </w:pPr>
          </w:p>
        </w:tc>
        <w:tc>
          <w:tcPr>
            <w:tcW w:w="660" w:type="dxa"/>
            <w:vAlign w:val="bottom"/>
            <w:tcBorders>
              <w:top w:val="single" w:sz="8" w:color="808080"/>
              <w:right w:val="single" w:sz="8" w:color="808080"/>
            </w:tcBorders>
          </w:tcPr>
          <w:p>
            <w:pPr>
              <w:spacing w:after="0"/>
              <w:rPr>
                <w:sz w:val="24"/>
                <w:szCs w:val="24"/>
                <w:color w:val="auto"/>
              </w:rPr>
            </w:pPr>
          </w:p>
        </w:tc>
        <w:tc>
          <w:tcPr>
            <w:tcW w:w="266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13D</w:t>
            </w:r>
          </w:p>
        </w:tc>
        <w:tc>
          <w:tcPr>
            <w:tcW w:w="1780" w:type="dxa"/>
            <w:vAlign w:val="bottom"/>
            <w:tcBorders>
              <w:right w:val="single" w:sz="8" w:color="808080"/>
            </w:tcBorders>
          </w:tcPr>
          <w:p>
            <w:pPr>
              <w:spacing w:after="0"/>
              <w:rPr>
                <w:sz w:val="24"/>
                <w:szCs w:val="24"/>
                <w:color w:val="auto"/>
              </w:rPr>
            </w:pPr>
          </w:p>
        </w:tc>
        <w:tc>
          <w:tcPr>
            <w:tcW w:w="1420" w:type="dxa"/>
            <w:vAlign w:val="bottom"/>
            <w:tcBorders>
              <w:top w:val="single" w:sz="8" w:color="808080"/>
            </w:tcBorders>
          </w:tcPr>
          <w:p>
            <w:pPr>
              <w:spacing w:after="0"/>
              <w:rPr>
                <w:sz w:val="24"/>
                <w:szCs w:val="24"/>
                <w:color w:val="auto"/>
              </w:rPr>
            </w:pPr>
          </w:p>
        </w:tc>
        <w:tc>
          <w:tcPr>
            <w:tcW w:w="1760" w:type="dxa"/>
            <w:vAlign w:val="bottom"/>
            <w:tcBorders>
              <w:top w:val="single" w:sz="8" w:color="808080"/>
              <w:right w:val="single" w:sz="8" w:color="808080"/>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 5 of 20 Pages</w:t>
            </w: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gridSpan w:val="2"/>
          </w:tcPr>
          <w:p>
            <w:pPr>
              <w:spacing w:after="0"/>
              <w:rPr>
                <w:sz w:val="3"/>
                <w:szCs w:val="3"/>
                <w:color w:val="auto"/>
              </w:rPr>
            </w:pPr>
          </w:p>
        </w:tc>
        <w:tc>
          <w:tcPr>
            <w:tcW w:w="660" w:type="dxa"/>
            <w:vAlign w:val="bottom"/>
            <w:tcBorders>
              <w:bottom w:val="single" w:sz="8" w:color="808080"/>
              <w:right w:val="single" w:sz="8" w:color="808080"/>
            </w:tcBorders>
          </w:tcPr>
          <w:p>
            <w:pPr>
              <w:spacing w:after="0"/>
              <w:rPr>
                <w:sz w:val="3"/>
                <w:szCs w:val="3"/>
                <w:color w:val="auto"/>
              </w:rPr>
            </w:pPr>
          </w:p>
        </w:tc>
        <w:tc>
          <w:tcPr>
            <w:tcW w:w="2660" w:type="dxa"/>
            <w:vAlign w:val="bottom"/>
          </w:tcPr>
          <w:p>
            <w:pPr>
              <w:spacing w:after="0"/>
              <w:rPr>
                <w:sz w:val="3"/>
                <w:szCs w:val="3"/>
                <w:color w:val="auto"/>
              </w:rPr>
            </w:pPr>
          </w:p>
        </w:tc>
        <w:tc>
          <w:tcPr>
            <w:tcW w:w="1780" w:type="dxa"/>
            <w:vAlign w:val="bottom"/>
            <w:tcBorders>
              <w:right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5"/>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James G. Coulter</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Pr>
          <w:p>
            <w:pPr>
              <w:spacing w:after="0"/>
              <w:rPr>
                <w:sz w:val="24"/>
                <w:szCs w:val="24"/>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17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7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2660" w:type="dxa"/>
            <w:vAlign w:val="bottom"/>
            <w:tcBorders>
              <w:bottom w:val="single" w:sz="8" w:color="808080"/>
            </w:tcBorders>
          </w:tcPr>
          <w:p>
            <w:pPr>
              <w:spacing w:after="0" w:line="20" w:lineRule="exact"/>
              <w:rPr>
                <w:sz w:val="1"/>
                <w:szCs w:val="1"/>
                <w:color w:val="auto"/>
              </w:rPr>
            </w:pPr>
          </w:p>
        </w:tc>
        <w:tc>
          <w:tcPr>
            <w:tcW w:w="17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7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5"/>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PURSUANT TO ITEMS 2(d) or</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2(e)</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5"/>
          </w:tcPr>
          <w:p>
            <w:pPr>
              <w:spacing w:after="0"/>
              <w:rPr>
                <w:sz w:val="3"/>
                <w:szCs w:val="3"/>
                <w:color w:val="auto"/>
              </w:rPr>
            </w:pPr>
          </w:p>
        </w:tc>
        <w:tc>
          <w:tcPr>
            <w:tcW w:w="178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7</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right w:val="single" w:sz="8" w:color="808080"/>
            </w:tcBorders>
          </w:tcPr>
          <w:p>
            <w:pPr>
              <w:spacing w:after="0"/>
              <w:rPr>
                <w:sz w:val="24"/>
                <w:szCs w:val="24"/>
                <w:color w:val="auto"/>
              </w:rPr>
            </w:pPr>
          </w:p>
        </w:tc>
        <w:tc>
          <w:tcPr>
            <w:tcW w:w="66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8</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40" w:type="dxa"/>
            <w:vAlign w:val="bottom"/>
            <w:tcBorders>
              <w:left w:val="single" w:sz="8" w:color="808080"/>
              <w:right w:val="single" w:sz="8" w:color="808080"/>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right w:val="single" w:sz="8" w:color="808080"/>
            </w:tcBorders>
          </w:tcPr>
          <w:p>
            <w:pPr>
              <w:spacing w:after="0"/>
              <w:rPr>
                <w:sz w:val="11"/>
                <w:szCs w:val="11"/>
                <w:color w:val="auto"/>
              </w:rPr>
            </w:pPr>
          </w:p>
        </w:tc>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BENEFICIALLY OWNED</w:t>
            </w:r>
          </w:p>
        </w:tc>
        <w:tc>
          <w:tcPr>
            <w:tcW w:w="360" w:type="dxa"/>
            <w:vAlign w:val="bottom"/>
          </w:tcPr>
          <w:p>
            <w:pPr>
              <w:spacing w:after="0"/>
              <w:rPr>
                <w:sz w:val="14"/>
                <w:szCs w:val="14"/>
                <w:color w:val="auto"/>
              </w:rPr>
            </w:pPr>
          </w:p>
        </w:tc>
        <w:tc>
          <w:tcPr>
            <w:tcW w:w="640" w:type="dxa"/>
            <w:vAlign w:val="bottom"/>
            <w:tcBorders>
              <w:right w:val="single" w:sz="8" w:color="808080"/>
            </w:tcBorders>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40" w:type="dxa"/>
            <w:vAlign w:val="bottom"/>
            <w:tcBorders>
              <w:left w:val="single" w:sz="8" w:color="808080"/>
              <w:right w:val="single" w:sz="8" w:color="808080"/>
            </w:tcBorders>
            <w:gridSpan w:val="2"/>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right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tcBorders>
          </w:tcPr>
          <w:p>
            <w:pPr>
              <w:spacing w:after="0"/>
              <w:rPr>
                <w:sz w:val="16"/>
                <w:szCs w:val="16"/>
                <w:color w:val="auto"/>
              </w:rPr>
            </w:pPr>
          </w:p>
        </w:tc>
        <w:tc>
          <w:tcPr>
            <w:tcW w:w="1180" w:type="dxa"/>
            <w:vAlign w:val="bottom"/>
            <w:tcBorders>
              <w:right w:val="single" w:sz="8" w:color="808080"/>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16"/>
                <w:szCs w:val="16"/>
                <w:color w:val="auto"/>
              </w:rPr>
            </w:pPr>
          </w:p>
        </w:tc>
        <w:tc>
          <w:tcPr>
            <w:tcW w:w="640" w:type="dxa"/>
            <w:vAlign w:val="bottom"/>
            <w:tcBorders>
              <w:right w:val="single" w:sz="8" w:color="808080"/>
            </w:tcBorders>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9</w:t>
            </w:r>
          </w:p>
        </w:tc>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360" w:type="dxa"/>
            <w:vAlign w:val="bottom"/>
          </w:tcPr>
          <w:p>
            <w:pPr>
              <w:spacing w:after="0"/>
              <w:rPr>
                <w:sz w:val="8"/>
                <w:szCs w:val="8"/>
                <w:color w:val="auto"/>
              </w:rPr>
            </w:pPr>
          </w:p>
        </w:tc>
        <w:tc>
          <w:tcPr>
            <w:tcW w:w="640" w:type="dxa"/>
            <w:vAlign w:val="bottom"/>
            <w:tcBorders>
              <w:right w:val="single" w:sz="8" w:color="808080"/>
            </w:tcBorders>
            <w:vMerge w:val="continue"/>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40" w:type="dxa"/>
            <w:vAlign w:val="bottom"/>
            <w:tcBorders>
              <w:left w:val="single" w:sz="8" w:color="808080"/>
              <w:right w:val="single" w:sz="8" w:color="808080"/>
            </w:tcBorders>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right w:val="single" w:sz="8" w:color="808080"/>
            </w:tcBorders>
          </w:tcPr>
          <w:p>
            <w:pPr>
              <w:spacing w:after="0"/>
              <w:rPr>
                <w:sz w:val="20"/>
                <w:szCs w:val="20"/>
                <w:color w:val="auto"/>
              </w:rPr>
            </w:pPr>
          </w:p>
        </w:tc>
        <w:tc>
          <w:tcPr>
            <w:tcW w:w="660" w:type="dxa"/>
            <w:vAlign w:val="bottom"/>
            <w:tcBorders>
              <w:bottom w:val="single" w:sz="8" w:color="808080"/>
            </w:tcBorders>
            <w:vMerge w:val="continue"/>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spacing w:after="0"/>
              <w:rPr>
                <w:sz w:val="24"/>
                <w:szCs w:val="24"/>
                <w:color w:val="auto"/>
              </w:rPr>
            </w:pP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00" w:type="dxa"/>
            <w:vAlign w:val="bottom"/>
            <w:tcBorders>
              <w:bottom w:val="single" w:sz="8" w:color="808080"/>
              <w:right w:val="single" w:sz="8" w:color="808080"/>
            </w:tcBorders>
            <w:gridSpan w:val="2"/>
          </w:tcPr>
          <w:p>
            <w:pPr>
              <w:spacing w:after="0"/>
              <w:rPr>
                <w:sz w:val="4"/>
                <w:szCs w:val="4"/>
                <w:color w:val="auto"/>
              </w:rPr>
            </w:pPr>
          </w:p>
        </w:tc>
        <w:tc>
          <w:tcPr>
            <w:tcW w:w="6520" w:type="dxa"/>
            <w:vAlign w:val="bottom"/>
            <w:tcBorders>
              <w:bottom w:val="single" w:sz="8" w:color="808080"/>
            </w:tcBorders>
            <w:gridSpan w:val="4"/>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70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3,234,929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THE AGGREGATE AMOUNT IN ROW (11) EXCLUDES</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SHARES (see</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64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 (See Item 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40" w:right="20" w:hanging="511"/>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assumes that there are 51,887,708 shares of Common Stock of the Issuer outstanding as of March 26, 2014 as reported in the Prospectus filed by the Issuer with the Commission on March 21, 2014.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500" w:type="dxa"/>
            <w:vAlign w:val="bottom"/>
            <w:tcBorders>
              <w:top w:val="single" w:sz="8" w:color="808080"/>
              <w:left w:val="single" w:sz="8" w:color="808080"/>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N/A</w:t>
            </w:r>
          </w:p>
        </w:tc>
        <w:tc>
          <w:tcPr>
            <w:tcW w:w="640" w:type="dxa"/>
            <w:vAlign w:val="bottom"/>
            <w:tcBorders>
              <w:top w:val="single" w:sz="8" w:color="808080"/>
            </w:tcBorders>
          </w:tcPr>
          <w:p>
            <w:pPr>
              <w:spacing w:after="0"/>
              <w:rPr>
                <w:sz w:val="24"/>
                <w:szCs w:val="24"/>
                <w:color w:val="auto"/>
              </w:rPr>
            </w:pPr>
          </w:p>
        </w:tc>
        <w:tc>
          <w:tcPr>
            <w:tcW w:w="660" w:type="dxa"/>
            <w:vAlign w:val="bottom"/>
            <w:tcBorders>
              <w:top w:val="single" w:sz="8" w:color="808080"/>
              <w:right w:val="single" w:sz="8" w:color="808080"/>
            </w:tcBorders>
          </w:tcPr>
          <w:p>
            <w:pPr>
              <w:spacing w:after="0"/>
              <w:rPr>
                <w:sz w:val="24"/>
                <w:szCs w:val="24"/>
                <w:color w:val="auto"/>
              </w:rPr>
            </w:pPr>
          </w:p>
        </w:tc>
        <w:tc>
          <w:tcPr>
            <w:tcW w:w="266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13D</w:t>
            </w:r>
          </w:p>
        </w:tc>
        <w:tc>
          <w:tcPr>
            <w:tcW w:w="1780" w:type="dxa"/>
            <w:vAlign w:val="bottom"/>
            <w:tcBorders>
              <w:right w:val="single" w:sz="8" w:color="808080"/>
            </w:tcBorders>
          </w:tcPr>
          <w:p>
            <w:pPr>
              <w:spacing w:after="0"/>
              <w:rPr>
                <w:sz w:val="24"/>
                <w:szCs w:val="24"/>
                <w:color w:val="auto"/>
              </w:rPr>
            </w:pPr>
          </w:p>
        </w:tc>
        <w:tc>
          <w:tcPr>
            <w:tcW w:w="1420" w:type="dxa"/>
            <w:vAlign w:val="bottom"/>
            <w:tcBorders>
              <w:top w:val="single" w:sz="8" w:color="808080"/>
            </w:tcBorders>
          </w:tcPr>
          <w:p>
            <w:pPr>
              <w:spacing w:after="0"/>
              <w:rPr>
                <w:sz w:val="24"/>
                <w:szCs w:val="24"/>
                <w:color w:val="auto"/>
              </w:rPr>
            </w:pPr>
          </w:p>
        </w:tc>
        <w:tc>
          <w:tcPr>
            <w:tcW w:w="1760" w:type="dxa"/>
            <w:vAlign w:val="bottom"/>
            <w:tcBorders>
              <w:top w:val="single" w:sz="8" w:color="808080"/>
              <w:right w:val="single" w:sz="8" w:color="808080"/>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 6 of 20 Pages</w:t>
            </w: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gridSpan w:val="2"/>
          </w:tcPr>
          <w:p>
            <w:pPr>
              <w:spacing w:after="0"/>
              <w:rPr>
                <w:sz w:val="3"/>
                <w:szCs w:val="3"/>
                <w:color w:val="auto"/>
              </w:rPr>
            </w:pPr>
          </w:p>
        </w:tc>
        <w:tc>
          <w:tcPr>
            <w:tcW w:w="660" w:type="dxa"/>
            <w:vAlign w:val="bottom"/>
            <w:tcBorders>
              <w:bottom w:val="single" w:sz="8" w:color="808080"/>
              <w:right w:val="single" w:sz="8" w:color="808080"/>
            </w:tcBorders>
          </w:tcPr>
          <w:p>
            <w:pPr>
              <w:spacing w:after="0"/>
              <w:rPr>
                <w:sz w:val="3"/>
                <w:szCs w:val="3"/>
                <w:color w:val="auto"/>
              </w:rPr>
            </w:pPr>
          </w:p>
        </w:tc>
        <w:tc>
          <w:tcPr>
            <w:tcW w:w="2660" w:type="dxa"/>
            <w:vAlign w:val="bottom"/>
          </w:tcPr>
          <w:p>
            <w:pPr>
              <w:spacing w:after="0"/>
              <w:rPr>
                <w:sz w:val="3"/>
                <w:szCs w:val="3"/>
                <w:color w:val="auto"/>
              </w:rPr>
            </w:pPr>
          </w:p>
        </w:tc>
        <w:tc>
          <w:tcPr>
            <w:tcW w:w="1780" w:type="dxa"/>
            <w:vAlign w:val="bottom"/>
            <w:tcBorders>
              <w:right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5"/>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Alan Waxman</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Pr>
          <w:p>
            <w:pPr>
              <w:spacing w:after="0"/>
              <w:rPr>
                <w:sz w:val="24"/>
                <w:szCs w:val="24"/>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17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7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left w:val="single" w:sz="8" w:color="808080"/>
              <w:bottom w:val="single" w:sz="8" w:color="808080"/>
              <w:right w:val="single" w:sz="8" w:color="808080"/>
            </w:tcBorders>
          </w:tcPr>
          <w:p>
            <w:pPr>
              <w:spacing w:after="0" w:line="20" w:lineRule="exact"/>
              <w:rPr>
                <w:sz w:val="1"/>
                <w:szCs w:val="1"/>
                <w:color w:val="auto"/>
              </w:rPr>
            </w:pPr>
          </w:p>
        </w:tc>
        <w:tc>
          <w:tcPr>
            <w:tcW w:w="1540" w:type="dxa"/>
            <w:vAlign w:val="bottom"/>
            <w:tcBorders>
              <w:bottom w:val="single" w:sz="8" w:color="808080"/>
            </w:tcBorders>
            <w:gridSpan w:val="2"/>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2660" w:type="dxa"/>
            <w:vAlign w:val="bottom"/>
            <w:tcBorders>
              <w:bottom w:val="single" w:sz="8" w:color="808080"/>
            </w:tcBorders>
          </w:tcPr>
          <w:p>
            <w:pPr>
              <w:spacing w:after="0" w:line="20" w:lineRule="exact"/>
              <w:rPr>
                <w:sz w:val="1"/>
                <w:szCs w:val="1"/>
                <w:color w:val="auto"/>
              </w:rPr>
            </w:pPr>
          </w:p>
        </w:tc>
        <w:tc>
          <w:tcPr>
            <w:tcW w:w="17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7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5"/>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PURSUANT TO ITEMS 2(d) or</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2(e)</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960" w:type="dxa"/>
            <w:vAlign w:val="bottom"/>
            <w:tcBorders>
              <w:left w:val="single" w:sz="8" w:color="808080"/>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5"/>
          </w:tcPr>
          <w:p>
            <w:pPr>
              <w:spacing w:after="0"/>
              <w:rPr>
                <w:sz w:val="3"/>
                <w:szCs w:val="3"/>
                <w:color w:val="auto"/>
              </w:rPr>
            </w:pPr>
          </w:p>
        </w:tc>
        <w:tc>
          <w:tcPr>
            <w:tcW w:w="178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17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7</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right w:val="single" w:sz="8" w:color="808080"/>
            </w:tcBorders>
          </w:tcPr>
          <w:p>
            <w:pPr>
              <w:spacing w:after="0"/>
              <w:rPr>
                <w:sz w:val="24"/>
                <w:szCs w:val="24"/>
                <w:color w:val="auto"/>
              </w:rPr>
            </w:pPr>
          </w:p>
        </w:tc>
        <w:tc>
          <w:tcPr>
            <w:tcW w:w="660" w:type="dxa"/>
            <w:vAlign w:val="bottom"/>
            <w:tcBorders>
              <w:bottom w:val="single" w:sz="8" w:color="808080"/>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rPr>
              <w:t>8</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40" w:type="dxa"/>
            <w:vAlign w:val="bottom"/>
            <w:tcBorders>
              <w:left w:val="single" w:sz="8" w:color="808080"/>
              <w:right w:val="single" w:sz="8" w:color="808080"/>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right w:val="single" w:sz="8" w:color="808080"/>
            </w:tcBorders>
          </w:tcPr>
          <w:p>
            <w:pPr>
              <w:spacing w:after="0"/>
              <w:rPr>
                <w:sz w:val="11"/>
                <w:szCs w:val="11"/>
                <w:color w:val="auto"/>
              </w:rPr>
            </w:pPr>
          </w:p>
        </w:tc>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1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BENEFICIALLY OWNED</w:t>
            </w:r>
          </w:p>
        </w:tc>
        <w:tc>
          <w:tcPr>
            <w:tcW w:w="360" w:type="dxa"/>
            <w:vAlign w:val="bottom"/>
          </w:tcPr>
          <w:p>
            <w:pPr>
              <w:spacing w:after="0"/>
              <w:rPr>
                <w:sz w:val="14"/>
                <w:szCs w:val="14"/>
                <w:color w:val="auto"/>
              </w:rPr>
            </w:pPr>
          </w:p>
        </w:tc>
        <w:tc>
          <w:tcPr>
            <w:tcW w:w="640" w:type="dxa"/>
            <w:vAlign w:val="bottom"/>
            <w:tcBorders>
              <w:right w:val="single" w:sz="8" w:color="808080"/>
            </w:tcBorders>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40" w:type="dxa"/>
            <w:vAlign w:val="bottom"/>
            <w:tcBorders>
              <w:left w:val="single" w:sz="8" w:color="808080"/>
              <w:right w:val="single" w:sz="8" w:color="808080"/>
            </w:tcBorders>
            <w:gridSpan w:val="2"/>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right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960" w:type="dxa"/>
            <w:vAlign w:val="bottom"/>
            <w:tcBorders>
              <w:left w:val="single" w:sz="8" w:color="808080"/>
            </w:tcBorders>
          </w:tcPr>
          <w:p>
            <w:pPr>
              <w:spacing w:after="0"/>
              <w:rPr>
                <w:sz w:val="16"/>
                <w:szCs w:val="16"/>
                <w:color w:val="auto"/>
              </w:rPr>
            </w:pPr>
          </w:p>
        </w:tc>
        <w:tc>
          <w:tcPr>
            <w:tcW w:w="1180" w:type="dxa"/>
            <w:vAlign w:val="bottom"/>
            <w:tcBorders>
              <w:right w:val="single" w:sz="8" w:color="808080"/>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16"/>
                <w:szCs w:val="16"/>
                <w:color w:val="auto"/>
              </w:rPr>
            </w:pPr>
          </w:p>
        </w:tc>
        <w:tc>
          <w:tcPr>
            <w:tcW w:w="640" w:type="dxa"/>
            <w:vAlign w:val="bottom"/>
            <w:tcBorders>
              <w:right w:val="single" w:sz="8" w:color="808080"/>
            </w:tcBorders>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9</w:t>
            </w:r>
          </w:p>
        </w:tc>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1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360" w:type="dxa"/>
            <w:vAlign w:val="bottom"/>
          </w:tcPr>
          <w:p>
            <w:pPr>
              <w:spacing w:after="0"/>
              <w:rPr>
                <w:sz w:val="8"/>
                <w:szCs w:val="8"/>
                <w:color w:val="auto"/>
              </w:rPr>
            </w:pPr>
          </w:p>
        </w:tc>
        <w:tc>
          <w:tcPr>
            <w:tcW w:w="640" w:type="dxa"/>
            <w:vAlign w:val="bottom"/>
            <w:tcBorders>
              <w:right w:val="single" w:sz="8" w:color="808080"/>
            </w:tcBorders>
            <w:vMerge w:val="continue"/>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40" w:type="dxa"/>
            <w:vAlign w:val="bottom"/>
            <w:tcBorders>
              <w:left w:val="single" w:sz="8" w:color="808080"/>
              <w:right w:val="single" w:sz="8" w:color="808080"/>
            </w:tcBorders>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808080"/>
              <w:right w:val="single" w:sz="8" w:color="808080"/>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right w:val="single" w:sz="8" w:color="808080"/>
            </w:tcBorders>
          </w:tcPr>
          <w:p>
            <w:pPr>
              <w:spacing w:after="0"/>
              <w:rPr>
                <w:sz w:val="20"/>
                <w:szCs w:val="20"/>
                <w:color w:val="auto"/>
              </w:rPr>
            </w:pPr>
          </w:p>
        </w:tc>
        <w:tc>
          <w:tcPr>
            <w:tcW w:w="660" w:type="dxa"/>
            <w:vAlign w:val="bottom"/>
            <w:tcBorders>
              <w:bottom w:val="single" w:sz="8" w:color="808080"/>
            </w:tcBorders>
            <w:vMerge w:val="continue"/>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right w:val="single" w:sz="8" w:color="808080"/>
            </w:tcBorders>
          </w:tcPr>
          <w:p>
            <w:pPr>
              <w:spacing w:after="0"/>
              <w:rPr>
                <w:sz w:val="24"/>
                <w:szCs w:val="24"/>
                <w:color w:val="auto"/>
              </w:rPr>
            </w:pP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00" w:type="dxa"/>
            <w:vAlign w:val="bottom"/>
            <w:tcBorders>
              <w:bottom w:val="single" w:sz="8" w:color="808080"/>
              <w:right w:val="single" w:sz="8" w:color="808080"/>
            </w:tcBorders>
            <w:gridSpan w:val="2"/>
          </w:tcPr>
          <w:p>
            <w:pPr>
              <w:spacing w:after="0"/>
              <w:rPr>
                <w:sz w:val="4"/>
                <w:szCs w:val="4"/>
                <w:color w:val="auto"/>
              </w:rPr>
            </w:pPr>
          </w:p>
        </w:tc>
        <w:tc>
          <w:tcPr>
            <w:tcW w:w="6520" w:type="dxa"/>
            <w:vAlign w:val="bottom"/>
            <w:tcBorders>
              <w:bottom w:val="single" w:sz="8" w:color="808080"/>
            </w:tcBorders>
            <w:gridSpan w:val="4"/>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70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2,799,517 (See Items 3, 4 and 5)</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THE AGGREGATE AMOUNT IN ROW (11) EXCLUDES</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SHARES (see</w:t>
            </w:r>
          </w:p>
        </w:tc>
        <w:tc>
          <w:tcPr>
            <w:tcW w:w="17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tcBorders>
              <w:left w:val="single" w:sz="8" w:color="808080"/>
              <w:bottom w:val="single" w:sz="8" w:color="808080"/>
              <w:right w:val="single" w:sz="8" w:color="808080"/>
            </w:tcBorders>
          </w:tcPr>
          <w:p>
            <w:pPr>
              <w:spacing w:after="0"/>
              <w:rPr>
                <w:sz w:val="20"/>
                <w:szCs w:val="20"/>
                <w:color w:val="auto"/>
              </w:rPr>
            </w:pPr>
          </w:p>
        </w:tc>
        <w:tc>
          <w:tcPr>
            <w:tcW w:w="154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64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266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17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 (See Item 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5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60" w:type="dxa"/>
            <w:vAlign w:val="bottom"/>
            <w:tcBorders>
              <w:bottom w:val="single" w:sz="8" w:color="808080"/>
            </w:tcBorders>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40" w:right="20" w:hanging="511"/>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assumes that there are 51,887,708 shares of Common Stock of the Issuer outstanding as of March 26, 2014 as reported in the Prospectus filed by the Issuer with the Commission on March 21, 2014.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p>
      <w:pPr>
        <w:ind w:right="160"/>
        <w:spacing w:after="0" w:line="255" w:lineRule="auto"/>
        <w:rPr>
          <w:sz w:val="20"/>
          <w:szCs w:val="20"/>
          <w:color w:val="auto"/>
        </w:rPr>
      </w:pPr>
      <w:r>
        <w:rPr>
          <w:rFonts w:ascii="Times New Roman" w:cs="Times New Roman" w:eastAsia="Times New Roman" w:hAnsi="Times New Roman"/>
          <w:sz w:val="18"/>
          <w:szCs w:val="18"/>
          <w:color w:val="auto"/>
        </w:rPr>
        <w:t>This Amendment No. 14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restates in its entirety the Schedule 13D filed on June 27, 2011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as amended by Amendment No. 1 filed on August 2, 2011, Amendment No. 2 filed on December 2, 2011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Amendment No. 3 filed on December 20, 2011, Amendment No. 4 filed on February 3, 2012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Amendment No. 5 filed on February 8, 2012, Amendment No. 6 filed on March 20, 2012, Amendment No. 7 filed on June 20, 2012, Amendment No. 8 filed on September 14, 2012, Amendment No. 9 filed on December 12, 2012, Amendment No. 10 filed on February 6, 2013, Amendment No. 11 filed on September 16, 2013, Amendment No. 12 filed on January 2, 2014 and Amendment No. 13 filed on March 13, 2014 (“</w:t>
      </w:r>
      <w:r>
        <w:rPr>
          <w:rFonts w:ascii="Times New Roman" w:cs="Times New Roman" w:eastAsia="Times New Roman" w:hAnsi="Times New Roman"/>
          <w:sz w:val="18"/>
          <w:szCs w:val="18"/>
          <w:u w:val="single" w:color="auto"/>
          <w:color w:val="auto"/>
        </w:rPr>
        <w:t>Amendment No. 13</w:t>
      </w:r>
      <w:r>
        <w:rPr>
          <w:rFonts w:ascii="Times New Roman" w:cs="Times New Roman" w:eastAsia="Times New Roman" w:hAnsi="Times New Roman"/>
          <w:sz w:val="18"/>
          <w:szCs w:val="18"/>
          <w:color w:val="auto"/>
        </w:rPr>
        <w:t>”) (as amended and restated by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TPG Group Holdings (SBS) Advisors, Inc., Tarrant Capital Advisors, Inc. and Messrs. David Bonderman, James G. Coulter and Alan Waxman with respect to the common stock of the Issuer.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Issuer, a Delaware corporation. The principal executive offices of the Issuer are located at 301 Commerce Street, Suite 3300, Fort Worth, TX 76102.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This Schedule 13D is being filed jointly on behalf of TPG Group Holdings (SBS) Advisors, Inc., a Delaware corporation (“</w:t>
      </w:r>
      <w:r>
        <w:rPr>
          <w:rFonts w:ascii="Times New Roman" w:cs="Times New Roman" w:eastAsia="Times New Roman" w:hAnsi="Times New Roman"/>
          <w:sz w:val="18"/>
          <w:szCs w:val="18"/>
          <w:u w:val="single" w:color="auto"/>
          <w:color w:val="auto"/>
        </w:rPr>
        <w:t>Group Advisors</w:t>
      </w:r>
      <w:r>
        <w:rPr>
          <w:rFonts w:ascii="Times New Roman" w:cs="Times New Roman" w:eastAsia="Times New Roman" w:hAnsi="Times New Roman"/>
          <w:sz w:val="18"/>
          <w:szCs w:val="18"/>
          <w:color w:val="auto"/>
        </w:rPr>
        <w:t>”), Tarrant Capital Advisors, Inc., a Delaware corporation (“</w:t>
      </w:r>
      <w:r>
        <w:rPr>
          <w:rFonts w:ascii="Times New Roman" w:cs="Times New Roman" w:eastAsia="Times New Roman" w:hAnsi="Times New Roman"/>
          <w:sz w:val="18"/>
          <w:szCs w:val="18"/>
          <w:u w:val="single" w:color="auto"/>
          <w:color w:val="auto"/>
        </w:rPr>
        <w:t>Tarrant Capital</w:t>
      </w:r>
      <w:r>
        <w:rPr>
          <w:rFonts w:ascii="Times New Roman" w:cs="Times New Roman" w:eastAsia="Times New Roman" w:hAnsi="Times New Roman"/>
          <w:sz w:val="18"/>
          <w:szCs w:val="18"/>
          <w:color w:val="auto"/>
        </w:rPr>
        <w:t>”), David Bonderman, James G. Coulter and Alan Waxman (each, a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The business address of each Reporting Person is c/o TPG Global, LLC, 301 Commerce Street, Suite 3300, Fort Worth, TX 76102.</w:t>
      </w:r>
    </w:p>
    <w:p>
      <w:pPr>
        <w:spacing w:after="0" w:line="14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TSL Advisers, LLC, a Delaware limited liability company (“</w:t>
      </w:r>
      <w:r>
        <w:rPr>
          <w:rFonts w:ascii="Times New Roman" w:cs="Times New Roman" w:eastAsia="Times New Roman" w:hAnsi="Times New Roman"/>
          <w:sz w:val="18"/>
          <w:szCs w:val="18"/>
          <w:u w:val="single" w:color="auto"/>
          <w:color w:val="auto"/>
        </w:rPr>
        <w:t>TSL Advisers</w:t>
      </w:r>
      <w:r>
        <w:rPr>
          <w:rFonts w:ascii="Times New Roman" w:cs="Times New Roman" w:eastAsia="Times New Roman" w:hAnsi="Times New Roman"/>
          <w:sz w:val="18"/>
          <w:szCs w:val="18"/>
          <w:color w:val="auto"/>
        </w:rPr>
        <w:t>”), directly holds 2,799,517 shares of Common Stock of the Issuer (the “</w:t>
      </w:r>
      <w:r>
        <w:rPr>
          <w:rFonts w:ascii="Times New Roman" w:cs="Times New Roman" w:eastAsia="Times New Roman" w:hAnsi="Times New Roman"/>
          <w:sz w:val="18"/>
          <w:szCs w:val="18"/>
          <w:u w:val="single" w:color="auto"/>
          <w:color w:val="auto"/>
        </w:rPr>
        <w:t>TSL Shares</w:t>
      </w:r>
      <w:r>
        <w:rPr>
          <w:rFonts w:ascii="Times New Roman" w:cs="Times New Roman" w:eastAsia="Times New Roman" w:hAnsi="Times New Roman"/>
          <w:sz w:val="18"/>
          <w:szCs w:val="18"/>
          <w:color w:val="auto"/>
        </w:rPr>
        <w:t>”) reported herein. The business and affairs of TSL Advisers are managed by its board of managers, whose sole members are Messrs. Bonderman, Coulter and Waxman.</w:t>
      </w:r>
    </w:p>
    <w:p>
      <w:pPr>
        <w:spacing w:after="0" w:line="14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which is the general partner of TPG Holdings II Sub, L.P., a Delaware limited partnership (“</w:t>
      </w:r>
      <w:r>
        <w:rPr>
          <w:rFonts w:ascii="Times New Roman" w:cs="Times New Roman" w:eastAsia="Times New Roman" w:hAnsi="Times New Roman"/>
          <w:sz w:val="18"/>
          <w:szCs w:val="18"/>
          <w:u w:val="single" w:color="auto"/>
          <w:color w:val="auto"/>
        </w:rPr>
        <w:t>Holdings II Sub</w:t>
      </w:r>
      <w:r>
        <w:rPr>
          <w:rFonts w:ascii="Times New Roman" w:cs="Times New Roman" w:eastAsia="Times New Roman" w:hAnsi="Times New Roman"/>
          <w:sz w:val="18"/>
          <w:szCs w:val="18"/>
          <w:color w:val="auto"/>
        </w:rPr>
        <w:t>”), which is a member of TSL Advisers. Because of the relationship between Holdings II Sub and TSL Advisers, Group Advisors may be deemed to beneficially own the TSL Shares.</w:t>
      </w:r>
    </w:p>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Tarrant Capital is the sole stockholder of Tarrant Advisors, Inc., a Texas corporation (“</w:t>
      </w:r>
      <w:r>
        <w:rPr>
          <w:rFonts w:ascii="Times New Roman" w:cs="Times New Roman" w:eastAsia="Times New Roman" w:hAnsi="Times New Roman"/>
          <w:sz w:val="18"/>
          <w:szCs w:val="18"/>
          <w:u w:val="single" w:color="auto"/>
          <w:color w:val="auto"/>
        </w:rPr>
        <w:t>Tarrant</w:t>
      </w:r>
      <w:r>
        <w:rPr>
          <w:rFonts w:ascii="Times New Roman" w:cs="Times New Roman" w:eastAsia="Times New Roman" w:hAnsi="Times New Roman"/>
          <w:sz w:val="18"/>
          <w:szCs w:val="18"/>
          <w:color w:val="auto"/>
        </w:rPr>
        <w:t>”), which is the general partner of TSL Equity Partners, L.P., a Delaware limited partnership (“</w:t>
      </w:r>
      <w:r>
        <w:rPr>
          <w:rFonts w:ascii="Times New Roman" w:cs="Times New Roman" w:eastAsia="Times New Roman" w:hAnsi="Times New Roman"/>
          <w:sz w:val="18"/>
          <w:szCs w:val="18"/>
          <w:u w:val="single" w:color="auto"/>
          <w:color w:val="auto"/>
        </w:rPr>
        <w:t>Equity Partners</w:t>
      </w:r>
      <w:r>
        <w:rPr>
          <w:rFonts w:ascii="Times New Roman" w:cs="Times New Roman" w:eastAsia="Times New Roman" w:hAnsi="Times New Roman"/>
          <w:sz w:val="18"/>
          <w:szCs w:val="18"/>
          <w:color w:val="auto"/>
        </w:rPr>
        <w:t>”), which is a member of TSL Advisers. Because of the investment by Equity Partners in TSL Advisers, Tarrant Capital may be deemed to beneficially own 2,374,970 shares of the TSL Shares (the “</w:t>
      </w:r>
      <w:r>
        <w:rPr>
          <w:rFonts w:ascii="Times New Roman" w:cs="Times New Roman" w:eastAsia="Times New Roman" w:hAnsi="Times New Roman"/>
          <w:sz w:val="18"/>
          <w:szCs w:val="18"/>
          <w:u w:val="single" w:color="auto"/>
          <w:color w:val="auto"/>
        </w:rPr>
        <w:t>Tarrant TSL Shares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Tarrant is the general partner of TSL FOF, L.P., a Delaware limited partnership (“</w:t>
      </w:r>
      <w:r>
        <w:rPr>
          <w:rFonts w:ascii="Times New Roman" w:cs="Times New Roman" w:eastAsia="Times New Roman" w:hAnsi="Times New Roman"/>
          <w:sz w:val="18"/>
          <w:szCs w:val="18"/>
          <w:u w:val="single" w:color="auto"/>
          <w:color w:val="auto"/>
        </w:rPr>
        <w:t>TSL FOF</w:t>
      </w:r>
      <w:r>
        <w:rPr>
          <w:rFonts w:ascii="Times New Roman" w:cs="Times New Roman" w:eastAsia="Times New Roman" w:hAnsi="Times New Roman"/>
          <w:sz w:val="18"/>
          <w:szCs w:val="18"/>
          <w:color w:val="auto"/>
        </w:rPr>
        <w:t>”), which directly holds 435,346 shares of Common Stock of the Issuer (the “</w:t>
      </w:r>
      <w:r>
        <w:rPr>
          <w:rFonts w:ascii="Times New Roman" w:cs="Times New Roman" w:eastAsia="Times New Roman" w:hAnsi="Times New Roman"/>
          <w:sz w:val="18"/>
          <w:szCs w:val="18"/>
          <w:u w:val="single" w:color="auto"/>
          <w:color w:val="auto"/>
        </w:rPr>
        <w:t>Tarrant FOF Shares</w:t>
      </w:r>
      <w:r>
        <w:rPr>
          <w:rFonts w:ascii="Times New Roman" w:cs="Times New Roman" w:eastAsia="Times New Roman" w:hAnsi="Times New Roman"/>
          <w:sz w:val="18"/>
          <w:szCs w:val="18"/>
          <w:color w:val="auto"/>
        </w:rPr>
        <w:t>”) reported herein. Because of the relationship between Tarrant and TSL FOF, Tarrant Capital may be deemed to beneficially own the TSL FOF Shares. In addition, Tarrant Capital directly holds 66 shares of Common Stock of the Issuer (together with the Tarrant TSL Shares and the Tarrant FOF Shares, the “</w:t>
      </w:r>
      <w:r>
        <w:rPr>
          <w:rFonts w:ascii="Times New Roman" w:cs="Times New Roman" w:eastAsia="Times New Roman" w:hAnsi="Times New Roman"/>
          <w:sz w:val="18"/>
          <w:szCs w:val="18"/>
          <w:u w:val="single" w:color="auto"/>
          <w:color w:val="auto"/>
        </w:rPr>
        <w:t>Tarrant Shares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Messrs. Bonderman and Coulter are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4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present principal occupation of David Bonderman is President of Group Advisors and Tarrant Capital and officer, director or manager of other affiliated entities.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present principal occupation of James G. Coulter is Senior Vice President of Group Advisors, Executive Vice President of Tarrant Capital and officer, director or manager of other affiliated entities.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present principal occupation of Alan Waxman is manager of TSL Advisers, Vice President of the Issuer and officer, director or manager of other affiliated entities.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Messrs. Bonderman, Coulter and Waxman and the individuals referred to on Schedule I and Schedule II hereto is a United States citizen.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among the Reporting Persons relating to the joint filing of this Schedule 13D is attached as Exhibit 1 hereto.</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 dated as of April 15, 2011 (the “</w:t>
      </w:r>
      <w:r>
        <w:rPr>
          <w:rFonts w:ascii="Times New Roman" w:cs="Times New Roman" w:eastAsia="Times New Roman" w:hAnsi="Times New Roman"/>
          <w:sz w:val="18"/>
          <w:szCs w:val="18"/>
          <w:u w:val="single" w:color="auto"/>
          <w:color w:val="auto"/>
        </w:rPr>
        <w:t>Original Subscription Agreement</w:t>
      </w:r>
      <w:r>
        <w:rPr>
          <w:rFonts w:ascii="Times New Roman" w:cs="Times New Roman" w:eastAsia="Times New Roman" w:hAnsi="Times New Roman"/>
          <w:sz w:val="18"/>
          <w:szCs w:val="18"/>
          <w:color w:val="auto"/>
        </w:rPr>
        <w:t>”), as amended by the Amendment to the Subscription Agreement, dated as of January 31, 2012 (the “</w:t>
      </w:r>
      <w:r>
        <w:rPr>
          <w:rFonts w:ascii="Times New Roman" w:cs="Times New Roman" w:eastAsia="Times New Roman" w:hAnsi="Times New Roman"/>
          <w:sz w:val="18"/>
          <w:szCs w:val="18"/>
          <w:u w:val="single" w:color="auto"/>
          <w:color w:val="auto"/>
        </w:rPr>
        <w:t>Amendment to the Subscription Agreement</w:t>
      </w:r>
      <w:r>
        <w:rPr>
          <w:rFonts w:ascii="Times New Roman" w:cs="Times New Roman" w:eastAsia="Times New Roman" w:hAnsi="Times New Roman"/>
          <w:sz w:val="18"/>
          <w:szCs w:val="18"/>
          <w:color w:val="auto"/>
        </w:rPr>
        <w:t>” and, together with the Original Subscription Agreement,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Times New Roman" w:cs="Times New Roman" w:eastAsia="Times New Roman" w:hAnsi="Times New Roman"/>
          <w:sz w:val="18"/>
          <w:szCs w:val="18"/>
          <w:u w:val="single" w:color="auto"/>
          <w:color w:val="auto"/>
        </w:rPr>
        <w:t>April 15, 2011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Times New Roman" w:cs="Times New Roman" w:eastAsia="Times New Roman" w:hAnsi="Times New Roman"/>
          <w:sz w:val="18"/>
          <w:szCs w:val="18"/>
          <w:u w:val="single" w:color="auto"/>
          <w:color w:val="auto"/>
        </w:rPr>
        <w:t>August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2011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8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8" w:name="page9"/>
    <w:bookmarkEnd w:id="8"/>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 dated as of December 2, 2011 (the “</w:t>
      </w:r>
      <w:r>
        <w:rPr>
          <w:rFonts w:ascii="Times New Roman" w:cs="Times New Roman" w:eastAsia="Times New Roman" w:hAnsi="Times New Roman"/>
          <w:sz w:val="18"/>
          <w:szCs w:val="18"/>
          <w:u w:val="single" w:color="auto"/>
          <w:color w:val="auto"/>
        </w:rPr>
        <w:t>TSL FOF Subscription Agreement</w:t>
      </w:r>
      <w:r>
        <w:rPr>
          <w:rFonts w:ascii="Times New Roman" w:cs="Times New Roman" w:eastAsia="Times New Roman" w:hAnsi="Times New Roman"/>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Times New Roman" w:cs="Times New Roman" w:eastAsia="Times New Roman" w:hAnsi="Times New Roman"/>
          <w:sz w:val="18"/>
          <w:szCs w:val="18"/>
          <w:u w:val="single" w:color="auto"/>
          <w:color w:val="auto"/>
        </w:rPr>
        <w:t>December 2, 2011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Subscription Agreement, on December 16, 2011, the Issuer delivered a capital drawdown notice to TSL Advisers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additional TSL Shares for a cash purchase price of $981.57 per share in a private placement, for an aggregate purchase price of $562,438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December 16, 2011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representations and warranties from the Issuer and TSL Advisers with respect to the qualifications and ability of each to enter into and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The December 16, 2011 TSL Advisers Purchase Price was funded by equity contributions from Equity Partners and Holdings II.</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Times New Roman" w:cs="Times New Roman" w:eastAsia="Times New Roman" w:hAnsi="Times New Roman"/>
          <w:sz w:val="18"/>
          <w:szCs w:val="18"/>
          <w:u w:val="single" w:color="auto"/>
          <w:color w:val="auto"/>
        </w:rPr>
        <w:t>December 16, 2011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Times New Roman" w:cs="Times New Roman" w:eastAsia="Times New Roman" w:hAnsi="Times New Roman"/>
          <w:sz w:val="18"/>
          <w:szCs w:val="18"/>
          <w:u w:val="single" w:color="auto"/>
          <w:color w:val="auto"/>
        </w:rPr>
        <w:t>February 1, 2012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43"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Times New Roman" w:cs="Times New Roman" w:eastAsia="Times New Roman" w:hAnsi="Times New Roman"/>
          <w:sz w:val="17"/>
          <w:szCs w:val="17"/>
          <w:u w:val="single" w:color="auto"/>
          <w:color w:val="auto"/>
        </w:rPr>
        <w:t>February 8, 2012 TSL Advisers Purchase Price</w:t>
      </w:r>
      <w:r>
        <w:rPr>
          <w:rFonts w:ascii="Times New Roman" w:cs="Times New Roman" w:eastAsia="Times New Roman" w:hAnsi="Times New Roman"/>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4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Times New Roman" w:cs="Times New Roman" w:eastAsia="Times New Roman" w:hAnsi="Times New Roman"/>
          <w:sz w:val="18"/>
          <w:szCs w:val="18"/>
          <w:u w:val="single" w:color="auto"/>
          <w:color w:val="auto"/>
        </w:rPr>
        <w:t>February 8, 2012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Times New Roman" w:cs="Times New Roman" w:eastAsia="Times New Roman" w:hAnsi="Times New Roman"/>
          <w:sz w:val="18"/>
          <w:szCs w:val="18"/>
          <w:u w:val="single" w:color="auto"/>
          <w:color w:val="auto"/>
        </w:rPr>
        <w:t>March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2012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 w:name="page10"/>
    <w:bookmarkEnd w:id="9"/>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Times New Roman" w:cs="Times New Roman" w:eastAsia="Times New Roman" w:hAnsi="Times New Roman"/>
          <w:sz w:val="18"/>
          <w:szCs w:val="18"/>
          <w:u w:val="single" w:color="auto"/>
          <w:color w:val="auto"/>
        </w:rPr>
        <w:t>March 16, 2012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Issuer’s dividend reinvestment plan (the “</w:t>
      </w:r>
      <w:r>
        <w:rPr>
          <w:rFonts w:ascii="Times New Roman" w:cs="Times New Roman" w:eastAsia="Times New Roman" w:hAnsi="Times New Roman"/>
          <w:sz w:val="18"/>
          <w:szCs w:val="18"/>
          <w:u w:val="single" w:color="auto"/>
          <w:color w:val="auto"/>
        </w:rPr>
        <w:t>DRIP</w:t>
      </w:r>
      <w:r>
        <w:rPr>
          <w:rFonts w:ascii="Times New Roman" w:cs="Times New Roman" w:eastAsia="Times New Roman" w:hAnsi="Times New Roman"/>
          <w:sz w:val="18"/>
          <w:szCs w:val="18"/>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4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Times New Roman" w:cs="Times New Roman" w:eastAsia="Times New Roman" w:hAnsi="Times New Roman"/>
          <w:sz w:val="18"/>
          <w:szCs w:val="18"/>
          <w:u w:val="single" w:color="auto"/>
          <w:color w:val="auto"/>
        </w:rPr>
        <w:t>May 16, 2012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Times New Roman" w:cs="Times New Roman" w:eastAsia="Times New Roman" w:hAnsi="Times New Roman"/>
          <w:sz w:val="18"/>
          <w:szCs w:val="18"/>
          <w:u w:val="single" w:color="auto"/>
          <w:color w:val="auto"/>
        </w:rPr>
        <w:t>June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2012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4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Times New Roman" w:cs="Times New Roman" w:eastAsia="Times New Roman" w:hAnsi="Times New Roman"/>
          <w:sz w:val="18"/>
          <w:szCs w:val="18"/>
          <w:u w:val="single" w:color="auto"/>
          <w:color w:val="auto"/>
        </w:rPr>
        <w:t>June 18, 2012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15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Times New Roman" w:cs="Times New Roman" w:eastAsia="Times New Roman" w:hAnsi="Times New Roman"/>
          <w:sz w:val="18"/>
          <w:szCs w:val="18"/>
          <w:u w:val="single" w:color="auto"/>
          <w:color w:val="auto"/>
        </w:rPr>
        <w:t>September 13, 2012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was funded by equity contributions from Equity Partners.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TSL FOF Subscription Agreement, on September 13, 2012, the Issuer delivered a capital drawdown notice to TSL FOF relating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TSL FOF Shares for a cash purchase price of $1,017.06 per share in a private placement, for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$141,372 (the “</w:t>
      </w:r>
      <w:r>
        <w:rPr>
          <w:rFonts w:ascii="Times New Roman" w:cs="Times New Roman" w:eastAsia="Times New Roman" w:hAnsi="Times New Roman"/>
          <w:sz w:val="18"/>
          <w:szCs w:val="18"/>
          <w:u w:val="single" w:color="auto"/>
          <w:color w:val="auto"/>
        </w:rPr>
        <w:t>September 13, 2012 TSL FOF Purchase Price</w:t>
      </w:r>
      <w:r>
        <w:rPr>
          <w:rFonts w:ascii="Times New Roman" w:cs="Times New Roman" w:eastAsia="Times New Roman" w:hAnsi="Times New Roman"/>
          <w:sz w:val="18"/>
          <w:szCs w:val="18"/>
          <w:color w:val="auto"/>
        </w:rPr>
        <w:t>”). The TSL FOF Subscription Agreement sets forth the terms and conditions of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and contains customary representations and warranties from the Issuer and TSL FOF with respect to the qualifications and ability of each to 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and complete the private placement. The September 13, 2012 TSL FOF Purchase Price was funded by equity contributions from TSL FOF.</w:t>
      </w:r>
    </w:p>
    <w:p>
      <w:pPr>
        <w:spacing w:after="0" w:line="16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 on December 10, 2012, the Issuer delivered a capital drawdown notice to TSL Advisers relating to the issuance of additional TSL Shares for a cash purchase price of $1,008.26 per share in a private placement, for an aggregate purchase price of $6,962,019 (the “</w:t>
      </w:r>
      <w:r>
        <w:rPr>
          <w:rFonts w:ascii="Times New Roman" w:cs="Times New Roman" w:eastAsia="Times New Roman" w:hAnsi="Times New Roman"/>
          <w:sz w:val="18"/>
          <w:szCs w:val="18"/>
          <w:u w:val="single" w:color="auto"/>
          <w:color w:val="auto"/>
        </w:rPr>
        <w:t>December 10, 2012 TSL Advisers Purchase Price</w:t>
      </w:r>
      <w:r>
        <w:rPr>
          <w:rFonts w:ascii="Times New Roman" w:cs="Times New Roman" w:eastAsia="Times New Roman" w:hAnsi="Times New Roman"/>
          <w:sz w:val="18"/>
          <w:szCs w:val="18"/>
          <w:color w:val="auto"/>
        </w:rPr>
        <w:t>”). The Subscription Agreement sets forth the terms and conditions of the private placement,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contains customary representations and warranties from the Issuer and TSL Advisers with respect to the qualifications and ability of each to enter into and complete the private placement. The December 10, 2012 TSL Advisers Purchase Price was funded by equity contributions from Equity Partners and Holdings II Sub.</w:t>
      </w:r>
    </w:p>
    <w:p>
      <w:pPr>
        <w:spacing w:after="0" w:line="1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December 10, 2012, the Issuer delivered a capital drawdown notice to TSL FOF relating to the issuance of additional TSL FOF Shares for a cash purchase price of $1,008.58 per share in a private placement, for an aggregate purchase price of $1,168,949 (the “</w:t>
      </w:r>
      <w:r>
        <w:rPr>
          <w:rFonts w:ascii="Times New Roman" w:cs="Times New Roman" w:eastAsia="Times New Roman" w:hAnsi="Times New Roman"/>
          <w:sz w:val="18"/>
          <w:szCs w:val="18"/>
          <w:u w:val="single" w:color="auto"/>
          <w:color w:val="auto"/>
        </w:rPr>
        <w:t>December 10, 2012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10, 2012 TSL FOF Purchase Price was funded by equity contributions from TSL FOF.</w:t>
      </w:r>
    </w:p>
    <w:p>
      <w:pPr>
        <w:spacing w:after="0" w:line="15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February 6, 2013, the Issuer delivered a capital drawdown notice to TSL Advisers relating to the issuance of additional TSL Shares for a cash purchase price of $1,021.87 per share in a private placement, for an aggregate purchase price of $863,476 (the “</w:t>
      </w:r>
      <w:r>
        <w:rPr>
          <w:rFonts w:ascii="Times New Roman" w:cs="Times New Roman" w:eastAsia="Times New Roman" w:hAnsi="Times New Roman"/>
          <w:sz w:val="18"/>
          <w:szCs w:val="18"/>
          <w:u w:val="single" w:color="auto"/>
          <w:color w:val="auto"/>
        </w:rPr>
        <w:t>February 6, 2013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6, 2013 TSL Advisers Purchase Price was funded by equity contributions from Equity Partners.</w:t>
      </w:r>
    </w:p>
    <w:p>
      <w:pPr>
        <w:spacing w:after="0" w:line="14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February 6, 2013, the Issuer delivered a capital drawdown notice to TSL FOF relating to the issuance of additional TSL FOF Shares for a cash purchase price of $1,025.99 per share in a private placement, for an aggregate purchase price of $131,327 (the “</w:t>
      </w:r>
      <w:r>
        <w:rPr>
          <w:rFonts w:ascii="Times New Roman" w:cs="Times New Roman" w:eastAsia="Times New Roman" w:hAnsi="Times New Roman"/>
          <w:sz w:val="18"/>
          <w:szCs w:val="18"/>
          <w:u w:val="single" w:color="auto"/>
          <w:color w:val="auto"/>
        </w:rPr>
        <w:t>February 6, 2013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6, 2013 TSL FOF Purchase Price was funded by equity contributions from TSL FOF.</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on September 13, 2013, the Issuer delivered a capital drawdown notice to TSL Advisers relating to the issuance of additional TSL Shares for a cash purchase price of $1,019.36 per share in a private placement, for an aggregate purchase price of $1,671,751 (the “</w:t>
      </w:r>
      <w:r>
        <w:rPr>
          <w:rFonts w:ascii="Times New Roman" w:cs="Times New Roman" w:eastAsia="Times New Roman" w:hAnsi="Times New Roman"/>
          <w:sz w:val="18"/>
          <w:szCs w:val="18"/>
          <w:u w:val="single" w:color="auto"/>
          <w:color w:val="auto"/>
        </w:rPr>
        <w:t>September 13, 2013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2013 TSL Advisers Purchase Price was funded by equity contributions from Equity Partners.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TSL FOF Subscription Agreement, on September 13, 2013, the Issuer delivered a capital drawdown notice to TSL FOF relating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TSL FOF Shares for a cash purchase price of $1021.90 per share in a private placement, for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$280,000 (the “</w:t>
      </w:r>
      <w:r>
        <w:rPr>
          <w:rFonts w:ascii="Times New Roman" w:cs="Times New Roman" w:eastAsia="Times New Roman" w:hAnsi="Times New Roman"/>
          <w:sz w:val="18"/>
          <w:szCs w:val="18"/>
          <w:u w:val="single" w:color="auto"/>
          <w:color w:val="auto"/>
        </w:rPr>
        <w:t>September 13, 2013 TSL FOF Purchase Price</w:t>
      </w:r>
      <w:r>
        <w:rPr>
          <w:rFonts w:ascii="Times New Roman" w:cs="Times New Roman" w:eastAsia="Times New Roman" w:hAnsi="Times New Roman"/>
          <w:sz w:val="18"/>
          <w:szCs w:val="18"/>
          <w:color w:val="auto"/>
        </w:rPr>
        <w:t>”). The TSL FOF Subscription Agreement sets forth the terms and conditions of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and contains customary representations and warranties from the Issuer and TSL FOF with respect to the qualifications and ability of each to 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and complete the private placement. The September 13, 2013 TSL FOF Purchase Price was funded by equity contributions from TSL FOF.</w:t>
      </w:r>
    </w:p>
    <w:p>
      <w:pPr>
        <w:spacing w:after="0" w:line="16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a forward stock split of the issued and outstanding shares of Common Stock of the Issuer by way of a stock dividend, on December 5, 2013, the Issuer distributed to each of its stockholders 65.676 shares of Common Stock for each share of Common Stock held by such stockholder.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Subscription Agreement, on December 31, 2013, the Issuer delivered a capital drawdown notice to TSL Advisers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additional TSL Shares for a cash purchase price of $15.35 per share in a private placement, for an aggregate purchase price of $4,346,552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December 31, 2013 TSL Advisers Purchase Price</w:t>
      </w:r>
      <w:r>
        <w:rPr>
          <w:rFonts w:ascii="Times New Roman" w:cs="Times New Roman" w:eastAsia="Times New Roman" w:hAnsi="Times New Roman"/>
          <w:sz w:val="18"/>
          <w:szCs w:val="18"/>
          <w:color w:val="auto"/>
        </w:rPr>
        <w:t>”). The Subscription Agreement sets forth the terms and conditions of the private placement, and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representations and warranties from the Issuer and TSL Advisers with respect to the qualifications and ability of each to enter into and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The December 31, 2013 TSL Advisers Purchase Price was funded by equity contributions from Equity Partners.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 w:name="page12"/>
    <w:bookmarkEnd w:id="11"/>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TSL FOF Subscription Agreement, on December 31, 2013, the Issuer delivered a capital drawdown notice to TSL FOF relating to the issuance of additional TSL FOF Shares for a cash purchase price of $15.35 per share in a private placement, for an aggregate purchase price of $728,000 (the “</w:t>
      </w:r>
      <w:r>
        <w:rPr>
          <w:rFonts w:ascii="Times New Roman" w:cs="Times New Roman" w:eastAsia="Times New Roman" w:hAnsi="Times New Roman"/>
          <w:sz w:val="18"/>
          <w:szCs w:val="18"/>
          <w:u w:val="single" w:color="auto"/>
          <w:color w:val="auto"/>
        </w:rPr>
        <w:t>December 31, 2013 TSL FOF Purchase Price</w:t>
      </w:r>
      <w:r>
        <w:rPr>
          <w:rFonts w:ascii="Times New Roman" w:cs="Times New Roman" w:eastAsia="Times New Roman" w:hAnsi="Times New Roman"/>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31, 2013 TSL FOF Purchase Price was funded by equity contributions from TSL FOF.</w:t>
      </w:r>
    </w:p>
    <w:p>
      <w:pPr>
        <w:spacing w:after="0" w:line="14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Pursuant to the Private Placement Agreement, dated as of March 20, 2014 (the “</w:t>
      </w:r>
      <w:r>
        <w:rPr>
          <w:rFonts w:ascii="Times New Roman" w:cs="Times New Roman" w:eastAsia="Times New Roman" w:hAnsi="Times New Roman"/>
          <w:sz w:val="18"/>
          <w:szCs w:val="18"/>
          <w:u w:val="single" w:color="auto"/>
          <w:color w:val="auto"/>
        </w:rPr>
        <w:t>Private Placement Agreement</w:t>
      </w:r>
      <w:r>
        <w:rPr>
          <w:rFonts w:ascii="Times New Roman" w:cs="Times New Roman" w:eastAsia="Times New Roman" w:hAnsi="Times New Roman"/>
          <w:sz w:val="18"/>
          <w:szCs w:val="18"/>
          <w:color w:val="auto"/>
        </w:rPr>
        <w:t>”), by and between the Issuer and TSL Advisers, TSL Advisers agreed to purchase 194,897 shares of Common Stock at a purchase price of $16.00 per share in a private placement, for an aggregate purchase price of $3,118,352 (the “</w:t>
      </w:r>
      <w:r>
        <w:rPr>
          <w:rFonts w:ascii="Times New Roman" w:cs="Times New Roman" w:eastAsia="Times New Roman" w:hAnsi="Times New Roman"/>
          <w:sz w:val="18"/>
          <w:szCs w:val="18"/>
          <w:u w:val="single" w:color="auto"/>
          <w:color w:val="auto"/>
        </w:rPr>
        <w:t>March 26, 2014 Purchase Price</w:t>
      </w:r>
      <w:r>
        <w:rPr>
          <w:rFonts w:ascii="Times New Roman" w:cs="Times New Roman" w:eastAsia="Times New Roman" w:hAnsi="Times New Roman"/>
          <w:sz w:val="18"/>
          <w:szCs w:val="18"/>
          <w:color w:val="auto"/>
        </w:rPr>
        <w:t>”), which purchase closed concurrently with the completion of the Offering (as defined below) on March 26, 2014. The Private Placement Agreement sets forth the terms and conditions of the private placement, and contains customary representations and warranties from the Issuer and TSL Advisers with respect to the qualifications and ability of each to enter into and complete the private placement. The March 26, 2014 Purchase Price was funded by equity contributions from Equity Partners and Holdings II Sub.</w:t>
      </w:r>
    </w:p>
    <w:p>
      <w:pPr>
        <w:spacing w:after="0" w:line="16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References to and descriptions of the Subscription Agreement, the TSL FOF Subscription Agreement and the Private Placement Agreement set forth above in this Item 3 do not purport to be complete and are qualified in their entirety by reference to the full text of the Original Subscription Agreement, the Amendment to the Subscription Agreement, the TSL FOF Subscription Agreement and the form of Private Placement Agreement which are attached as Exhibit 2, Exhibit 3, Exhibit 5 and Exhibit 7, respectively, hereto and incorporated herein by this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hereby incorporated herein by this reference.</w:t>
      </w:r>
    </w:p>
    <w:p>
      <w:pPr>
        <w:spacing w:after="0" w:line="19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14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p>
      <w:pPr>
        <w:ind w:right="40"/>
        <w:spacing w:after="0" w:line="261" w:lineRule="auto"/>
        <w:rPr>
          <w:sz w:val="20"/>
          <w:szCs w:val="20"/>
          <w:color w:val="auto"/>
        </w:rPr>
      </w:pPr>
      <w:r>
        <w:rPr>
          <w:rFonts w:ascii="Times New Roman" w:cs="Times New Roman" w:eastAsia="Times New Roman" w:hAnsi="Times New Roman"/>
          <w:sz w:val="18"/>
          <w:szCs w:val="18"/>
          <w:color w:val="auto"/>
        </w:rPr>
        <w:t>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14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TSL Advisers entered into a purchase agreement with Goldman, Sachs &amp; Co. as agent for TSL Advisers, dated as of March 11, 2014 (the “</w:t>
      </w:r>
      <w:r>
        <w:rPr>
          <w:rFonts w:ascii="Times New Roman" w:cs="Times New Roman" w:eastAsia="Times New Roman" w:hAnsi="Times New Roman"/>
          <w:sz w:val="18"/>
          <w:szCs w:val="18"/>
          <w:u w:val="single" w:color="auto"/>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which Goldman, Sachs &amp; Co. will buy up to $25,000,000 in the aggregate of the Common Stock of the Issuer during the period beginning after four full calendar weeks after the closing of the Offering (as defined below) and ending on the earlier of the date on which all the capital committed to the 10b5-1 Plan has been exhausted or December 31, 2014, subject to certain conditions.</w:t>
      </w:r>
    </w:p>
    <w:p>
      <w:pPr>
        <w:spacing w:after="0" w:line="15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10b5-1 Plan will require Goldman, Sachs &amp; Co. to purchase for TSL Advisers shares of Common Stock of the Issuer (i) through the date the Issuer announces its earnings for the second quarter of 2014, when the market price per share is below the initial public offering price per share and, (ii) from and after that date, when the market price per share is below the Issuer’s most recently reported net asset value per share (including any updates, corrections or adjustments publicly announced by the Issuer to any previously announced net asset value per share). The purchase of shares by Goldman, Sachs &amp; Co. pursuant to the 10b5-1 Plan is intended to satisfy the conditions of Rules 10b5-1 and 10b-18 under the Act.</w:t>
      </w:r>
    </w:p>
    <w:p>
      <w:pPr>
        <w:spacing w:after="0" w:line="14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March 20, 2014, the Issuer and TSL Advisers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J.P. Morgan Securities LLC, Merrill Lynch, Pierce, Fenner &amp; Smith Incorporated, Goldman, Sachs &amp; Co., Citigroup Global Markets Inc., Wells Fargo Securities, LLC and Barclays Capital Inc. acting as representatives of the underwriters named in Schedule I thereto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providing for the offer and sale by the Issuer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and purchase by the Underwriters, of 7,000,000 shares of Common Stock at a price to the public of $16.00 per share. Pursuant to the Underwriting Agreement, the Issuer granted the Underwriters a 30-day option to purchase up to an aggregate of 1,050,000 additional shares of Common Stock on the same terms. On March 26, 2014, the Offering closed.</w:t>
      </w:r>
    </w:p>
    <w:p>
      <w:pPr>
        <w:spacing w:after="0" w:line="147" w:lineRule="exact"/>
        <w:rPr>
          <w:sz w:val="20"/>
          <w:szCs w:val="20"/>
          <w:color w:val="auto"/>
        </w:rPr>
      </w:pPr>
    </w:p>
    <w:p>
      <w:pPr>
        <w:jc w:val="both"/>
        <w:ind w:right="80" w:firstLine="648"/>
        <w:spacing w:after="0" w:line="276" w:lineRule="auto"/>
        <w:rPr>
          <w:sz w:val="20"/>
          <w:szCs w:val="20"/>
          <w:color w:val="auto"/>
        </w:rPr>
      </w:pPr>
      <w:r>
        <w:rPr>
          <w:rFonts w:ascii="Times New Roman" w:cs="Times New Roman" w:eastAsia="Times New Roman" w:hAnsi="Times New Roman"/>
          <w:sz w:val="17"/>
          <w:szCs w:val="17"/>
          <w:color w:val="auto"/>
        </w:rPr>
        <w:t>Each of TSL FOF and TSL Advisers, certain other stockholders and each director and officer of the Issuer agreed with the Underwriters, pursuant to a lock-up agreement (each, a “</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not to, subject to certain exceptions and extensions, during certain lock-up periods as described below,</w:t>
      </w:r>
    </w:p>
    <w:p>
      <w:pPr>
        <w:spacing w:after="0" w:line="1" w:lineRule="exact"/>
        <w:rPr>
          <w:sz w:val="20"/>
          <w:szCs w:val="20"/>
          <w:color w:val="auto"/>
        </w:rPr>
      </w:pPr>
    </w:p>
    <w:p>
      <w:pPr>
        <w:ind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securities convertible into or exchangeable or exercisable for any shares of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w:t>
      </w:r>
    </w:p>
    <w:p>
      <w:pPr>
        <w:spacing w:after="0" w:line="2"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make any demand for or exercise any right with respect to the registration of any shares of Common Stock or any security convertible into or exercisable or exchangeable for Common Stock. The lock-ups will apply to all shares of Common Stock acquired prior to the date of the Offering, as well as any shares acquired in the concurrent private placement, but will not apply to any shares acquired in open market transactions or acquired from the Issuer under the dividend reinvestment plan after the completion of the Offering, subject to certain exceptions. Any shares of Common Stock purchased by TSL Advisers pursuant to the 10b5-1 Plan will be subject to the lock-up agreement between TSL Advisers and the Underwriters.</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case of TSL Advisers, the lock-up period is the period ending 365 days after March 20, 2014. In the case of TSL FOF and the directors, executive officers and the other existing stockholders of the Issuer, the lock-up period is 180 days after March 20, 2014 for all shares of Common Stock held by those stockholders and 270 days after March 20, 2014 for 50% of the shares of Common Stock held by those stockholders. Each lock-up period is subject to extension in certain circumstances.</w:t>
      </w:r>
    </w:p>
    <w:p>
      <w:pPr>
        <w:spacing w:after="0" w:line="14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References to and descriptions of the 10b5-1 Plan, the Underwriting Agreement and the Lock-Up Agreements set forth above in this Item 4 do not purport to be complete and are qualified in their entirety by reference to the full text of the 10b5-1 Plan, the Underwriting Agreement, the form of Lock-Up Agreement for TSL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13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right="340"/>
        <w:spacing w:after="0" w:line="282" w:lineRule="auto"/>
        <w:rPr>
          <w:sz w:val="20"/>
          <w:szCs w:val="20"/>
          <w:color w:val="auto"/>
        </w:rPr>
      </w:pPr>
      <w:r>
        <w:rPr>
          <w:rFonts w:ascii="Times New Roman" w:cs="Times New Roman" w:eastAsia="Times New Roman" w:hAnsi="Times New Roman"/>
          <w:sz w:val="18"/>
          <w:szCs w:val="18"/>
          <w:color w:val="auto"/>
        </w:rPr>
        <w:t>Advisers, and the form of Lock-Up Agreement for TSL FOF, the directors, executive officers and the other existing stockholders of the Issuer attached as Exhibit 6, Exhibit 8, Exhibit 9 and Exhibit 10, respectively, hereto and incorporated herein by reference.</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on each of the cover pages of this Schedule 13D and the information set forth or incorporated in Items 2, 3, 4, and 6 are hereby incorporated herein by reference.</w:t>
      </w:r>
    </w:p>
    <w:p>
      <w:pPr>
        <w:spacing w:after="0" w:line="12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(a)-(b) The following disclosure assumes that there are a total of 51,887,708 shares of Common Stock of the Issuer outstanding as of March 26, 2014 as reported in the Prospectus filed by the Issuer on March 21, 2014. Pursuant to Rule 13d-3 of the Act, (i) through TSL Advisers and Tarrant, Messrs. Bonderman and Coulter may be deemed to beneficially own 3,234,929 shares of Common Stock, which constitute approximately 6.2% of outstanding Common Stock; (ii) through TSL Advisers, Mr. Waxman may be deemed to beneficially own 2,799,517 shares of Common Stock, which constitute approximately 5.4% of the outstanding Common Stock; (iii) through TSL Advisers, Group Advisors may be deemed to beneficially own 2,799,517 shares of Common Stock, which constitute approximately 5.4% of the outstanding Common Stock; and (iv) through Tarrant, Tarrant Capital may be deemed to beneficially own 2,810,382 shares of Common Stock, which constitute approximately 5.4% of the outstanding Common Stock.</w:t>
      </w:r>
    </w:p>
    <w:p>
      <w:pPr>
        <w:spacing w:after="0" w:line="147" w:lineRule="exact"/>
        <w:rPr>
          <w:sz w:val="20"/>
          <w:szCs w:val="20"/>
          <w:color w:val="auto"/>
        </w:rPr>
      </w:pPr>
    </w:p>
    <w:p>
      <w:pPr>
        <w:ind w:right="320" w:firstLine="820"/>
        <w:spacing w:after="0" w:line="282" w:lineRule="auto"/>
        <w:tabs>
          <w:tab w:leader="none" w:pos="10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21" w:lineRule="exact"/>
        <w:rPr>
          <w:rFonts w:ascii="Times New Roman" w:cs="Times New Roman" w:eastAsia="Times New Roman" w:hAnsi="Times New Roman"/>
          <w:sz w:val="18"/>
          <w:szCs w:val="18"/>
          <w:color w:val="auto"/>
        </w:rPr>
      </w:pPr>
    </w:p>
    <w:p>
      <w:pPr>
        <w:ind w:right="620" w:firstLine="820"/>
        <w:spacing w:after="0" w:line="282" w:lineRule="auto"/>
        <w:tabs>
          <w:tab w:leader="none" w:pos="10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21" w:lineRule="exact"/>
        <w:rPr>
          <w:rFonts w:ascii="Times New Roman" w:cs="Times New Roman" w:eastAsia="Times New Roman" w:hAnsi="Times New Roman"/>
          <w:sz w:val="18"/>
          <w:szCs w:val="18"/>
          <w:color w:val="auto"/>
        </w:rPr>
      </w:pPr>
    </w:p>
    <w:p>
      <w:pPr>
        <w:ind w:left="1060" w:hanging="240"/>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Items 2, 3, 4, and 5 is hereby incorporated herein by reference.</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14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3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14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175" w:lineRule="exact"/>
        <w:rPr>
          <w:sz w:val="20"/>
          <w:szCs w:val="20"/>
          <w:color w:val="auto"/>
        </w:rPr>
      </w:pPr>
    </w:p>
    <w:p>
      <w:pPr>
        <w:ind w:left="340" w:right="16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9" w:lineRule="exact"/>
        <w:rPr>
          <w:rFonts w:ascii="Times New Roman" w:cs="Times New Roman" w:eastAsia="Times New Roman" w:hAnsi="Times New Roman"/>
          <w:sz w:val="18"/>
          <w:szCs w:val="18"/>
          <w:color w:val="auto"/>
        </w:rPr>
      </w:pPr>
    </w:p>
    <w:p>
      <w:pPr>
        <w:ind w:left="340" w:right="58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 dated as of April 15, 2011, between TPG Specialty Lending, Inc. and TSL Advisers, LLC (previously filed with the Original Schedule 13D).</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Subscription Agreement, dated as of January 31, 2012, between TPG Specialty Lending, Inc. and TSL Advisers, LLC (previously filed with Amendment No. 4).</w:t>
      </w:r>
    </w:p>
    <w:p>
      <w:pPr>
        <w:spacing w:after="0" w:line="121" w:lineRule="exact"/>
        <w:rPr>
          <w:rFonts w:ascii="Times New Roman" w:cs="Times New Roman" w:eastAsia="Times New Roman" w:hAnsi="Times New Roman"/>
          <w:sz w:val="18"/>
          <w:szCs w:val="18"/>
          <w:color w:val="auto"/>
        </w:rPr>
      </w:pPr>
    </w:p>
    <w:p>
      <w:pPr>
        <w:ind w:left="340" w:right="58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Tender, dated as of March 13, 2011, between TPG Specialty Lending, Inc. and Tarrant Advisors, Inc. (previously filed with the Original Schedule 13D).</w:t>
      </w:r>
    </w:p>
    <w:p>
      <w:pPr>
        <w:spacing w:after="0" w:line="13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 dated as of December 2, 2011 between TPG Specialty Lending, Inc., TSL FOF, L.P. and TSL Advisers, LLC (previously filed with Amendment No. 2).</w:t>
      </w:r>
    </w:p>
    <w:p>
      <w:pPr>
        <w:spacing w:after="0" w:line="121"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 dated as of March 11, 2014 between TSL Advisers, LLC and Goldman, Sachs &amp; Co. (previously filed with Amendment No. 13).</w:t>
      </w:r>
    </w:p>
    <w:p>
      <w:pPr>
        <w:spacing w:after="0" w:line="12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Private Placement Agreement by and among TPG Specialty Lending, Inc., TSL Advisers, LLC and certain other stockholders of TPG Specialty Lending, Inc. (previously filed with the Commission as Exhibit (d)(3) to Form N-2/A filed by TPG Specialty Lending, Inc. on March 12, 2014).</w:t>
      </w:r>
    </w:p>
    <w:p>
      <w:pPr>
        <w:spacing w:after="0" w:line="149" w:lineRule="exact"/>
        <w:rPr>
          <w:rFonts w:ascii="Times New Roman" w:cs="Times New Roman" w:eastAsia="Times New Roman" w:hAnsi="Times New Roman"/>
          <w:sz w:val="18"/>
          <w:szCs w:val="18"/>
          <w:color w:val="auto"/>
        </w:rPr>
      </w:pPr>
    </w:p>
    <w:p>
      <w:pPr>
        <w:ind w:left="340" w:hanging="332"/>
        <w:spacing w:after="0" w:line="24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Underwriting Agreement by and among TPG Specialty Lending, Inc., TSL Advisers, LLC and J.P. Morgan Securities LLC, Merrill Lynch, Pierce, Fenner &amp; Smith Incorporated, Goldman, Sachs &amp; Co., Citigroup Global Markets Inc., Wells Fargo Securities, LLC and Barclays Capital Inc., as representatives of the several underwriters named in Schedule I thereto (previously filed with the Commission as Exhibit (h) to Form N-2/A filed by TPG Specialty Lending, Inc. on March 17, 2014).</w:t>
      </w:r>
    </w:p>
    <w:p>
      <w:pPr>
        <w:spacing w:after="0" w:line="140" w:lineRule="exact"/>
        <w:rPr>
          <w:rFonts w:ascii="Times New Roman" w:cs="Times New Roman" w:eastAsia="Times New Roman" w:hAnsi="Times New Roman"/>
          <w:sz w:val="18"/>
          <w:szCs w:val="18"/>
          <w:color w:val="auto"/>
        </w:rPr>
      </w:pPr>
    </w:p>
    <w:p>
      <w:pPr>
        <w:ind w:left="340" w:right="80" w:hanging="332"/>
        <w:spacing w:after="0" w:line="24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by and among TSL Advisers, LLC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A-2 to Exhibit (h) to Form N-2/A filed by TPG Specialty Lending, Inc. on March 17, 2014).</w:t>
      </w:r>
    </w:p>
    <w:p>
      <w:pPr>
        <w:spacing w:after="0" w:line="140" w:lineRule="exact"/>
        <w:rPr>
          <w:rFonts w:ascii="Times New Roman" w:cs="Times New Roman" w:eastAsia="Times New Roman" w:hAnsi="Times New Roman"/>
          <w:sz w:val="18"/>
          <w:szCs w:val="18"/>
          <w:color w:val="auto"/>
        </w:rPr>
      </w:pPr>
    </w:p>
    <w:p>
      <w:pPr>
        <w:ind w:left="340" w:right="120" w:hanging="332"/>
        <w:spacing w:after="0" w:line="264"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Lock-Up Agreement by and among TSL FOF, L.P., certain stockholders and the directors and officers of TPG Specialty Lending, Inc.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A-1 to Exhibit (h) to Form N-2/A filed by TPG Specialty Lending, Inc. on March 17, 2014).</w:t>
      </w:r>
    </w:p>
    <w:p>
      <w:pPr>
        <w:spacing w:after="0" w:line="1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Page 15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657"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2014</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TPG Group Holdings (SBS)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-7620</wp:posOffset>
            </wp:positionV>
            <wp:extent cx="1057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Tarrant Capital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-7620</wp:posOffset>
            </wp:positionV>
            <wp:extent cx="1057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David Bonderman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-7620</wp:posOffset>
            </wp:positionV>
            <wp:extent cx="1057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Ronald Cami on behalf of David Bonderman (1)</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James G. Coulter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-7620</wp:posOffset>
            </wp:positionV>
            <wp:extent cx="1057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Ronald Cami on behalf of James G. Coulter (2)</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Alan Waxman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-7620</wp:posOffset>
            </wp:positionV>
            <wp:extent cx="1057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16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16" w:name="page17"/>
    <w:bookmarkEnd w:id="16"/>
    <w:p>
      <w:pPr>
        <w:ind w:left="332" w:right="80" w:hanging="332"/>
        <w:spacing w:after="0" w:line="26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121" w:lineRule="exact"/>
        <w:rPr>
          <w:rFonts w:ascii="Times New Roman" w:cs="Times New Roman" w:eastAsia="Times New Roman" w:hAnsi="Times New Roman"/>
          <w:sz w:val="14"/>
          <w:szCs w:val="14"/>
          <w:color w:val="auto"/>
        </w:rPr>
      </w:pPr>
    </w:p>
    <w:p>
      <w:pPr>
        <w:ind w:left="332" w:right="280" w:hanging="332"/>
        <w:spacing w:after="0" w:line="26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pacing w:after="0" w:line="134" w:lineRule="exact"/>
        <w:rPr>
          <w:rFonts w:ascii="Times New Roman" w:cs="Times New Roman" w:eastAsia="Times New Roman" w:hAnsi="Times New Roman"/>
          <w:sz w:val="14"/>
          <w:szCs w:val="14"/>
          <w:color w:val="auto"/>
        </w:rPr>
      </w:pPr>
    </w:p>
    <w:p>
      <w:pPr>
        <w:ind w:left="332" w:hanging="332"/>
        <w:spacing w:after="0" w:line="26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Ronald Cami is signing on behalf of Mr. Waxman pursuant to the authorization and designation letter dated March 10, 2014, which was previously filed with the Securities and Exchange Commission as an exhibit to a Schedule 13D filed by Mr. Waxman on March 13, 2014 (SEC File No. 005-86304).</w:t>
      </w:r>
    </w:p>
    <w:p>
      <w:pPr>
        <w:spacing w:after="0" w:line="166"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18"/>
          <w:szCs w:val="18"/>
          <w:color w:val="auto"/>
        </w:rPr>
        <w:t>Page 17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657" w:right="619" w:bottom="1440" w:gutter="0" w:footer="0" w:header="0"/>
        </w:sectPr>
      </w:pPr>
    </w:p>
    <w:bookmarkStart w:id="17" w:name="page18"/>
    <w:bookmarkEnd w:id="17"/>
    <w:p>
      <w:pPr>
        <w:jc w:val="cente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addresses are c/o TPG Global, LLC, 301 Commerce Street, Suite 3300, Fort Worth, TX 76102.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2"/>
        </w:trPr>
        <w:tc>
          <w:tcPr>
            <w:tcW w:w="34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Bonderman</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3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 Coulter</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Viola</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Treasurer and Director</w:t>
            </w:r>
          </w:p>
        </w:tc>
      </w:tr>
      <w:tr>
        <w:trPr>
          <w:trHeight w:val="216"/>
        </w:trPr>
        <w:tc>
          <w:tcPr>
            <w:tcW w:w="3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Cami</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Secretary and Director</w:t>
            </w:r>
          </w:p>
        </w:tc>
      </w:tr>
      <w:tr>
        <w:trPr>
          <w:trHeight w:val="216"/>
        </w:trPr>
        <w:tc>
          <w:tcPr>
            <w:tcW w:w="3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 Reintjes</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Compliance Officer and Assistant Secretary</w:t>
            </w:r>
          </w:p>
        </w:tc>
      </w:tr>
      <w:tr>
        <w:trPr>
          <w:trHeight w:val="216"/>
        </w:trPr>
        <w:tc>
          <w:tcPr>
            <w:tcW w:w="3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D. Bode</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Treasurer</w:t>
            </w:r>
          </w:p>
        </w:tc>
      </w:tr>
      <w:tr>
        <w:trPr>
          <w:trHeight w:val="234"/>
        </w:trPr>
        <w:tc>
          <w:tcPr>
            <w:tcW w:w="34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A. Willmann</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Treasurer</w:t>
            </w:r>
          </w:p>
        </w:tc>
      </w:tr>
      <w:tr>
        <w:trPr>
          <w:trHeight w:val="432"/>
        </w:trPr>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Page 18 of 20 Pages</w:t>
            </w:r>
          </w:p>
        </w:tc>
      </w:tr>
    </w:tbl>
    <w:p>
      <w:pPr>
        <w:sectPr>
          <w:pgSz w:w="11900" w:h="16838" w:orient="portrait"/>
          <w:cols w:equalWidth="0" w:num="1">
            <w:col w:w="11420"/>
          </w:cols>
          <w:pgMar w:left="240" w:top="657" w:right="239" w:bottom="1440" w:gutter="0" w:footer="0" w:header="0"/>
        </w:sectPr>
      </w:pPr>
    </w:p>
    <w:bookmarkStart w:id="18" w:name="page19"/>
    <w:bookmarkEnd w:id="18"/>
    <w:p>
      <w:pPr>
        <w:jc w:val="cente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addresses are c/o TPG Global, LLC, 301 Commerce Street, Suite 3300, Fort Worth, TX 76102.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2"/>
        </w:trPr>
        <w:tc>
          <w:tcPr>
            <w:tcW w:w="3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Bonderman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 Coulter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Viola</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 Treasurer and Director</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Cami</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 Secretary and Director</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 Banyasz</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D. Bode</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 and Assistant Treasurer</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W. Boyce</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R. Burns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Cohen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J. Coslet</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D. Dattels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Kelvin L. Davis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 M. Duyk</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Gates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Gilbertson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Gleser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Asiff Hirji</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Hobart</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Ransom Langford</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MacDougall</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Marren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McMillan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McGlashan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Paolillo</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P. Schifter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Smith</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Sisitsky</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Taylor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Trujillo</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Jerome C. Vascellaro</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Waxman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Weaver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 Weingart</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A. Wheeler</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Williams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 H. Wright</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 Reintjes</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Chief Compliance Officer and Assistant Secretary</w:t>
            </w:r>
          </w:p>
        </w:tc>
      </w:tr>
      <w:tr>
        <w:trPr>
          <w:trHeight w:val="234"/>
        </w:trPr>
        <w:tc>
          <w:tcPr>
            <w:tcW w:w="3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A. Willmann</w:t>
            </w:r>
          </w:p>
        </w:tc>
        <w:tc>
          <w:tcPr>
            <w:tcW w:w="80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Assistant Treasurer</w:t>
            </w:r>
          </w:p>
        </w:tc>
      </w:tr>
      <w:tr>
        <w:trPr>
          <w:trHeight w:val="918"/>
        </w:trPr>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color w:val="auto"/>
              </w:rPr>
              <w:t>Page 19 of 20 Pages</w:t>
            </w:r>
          </w:p>
        </w:tc>
      </w:tr>
    </w:tbl>
    <w:p>
      <w:pPr>
        <w:sectPr>
          <w:pgSz w:w="11900" w:h="16838" w:orient="portrait"/>
          <w:cols w:equalWidth="0" w:num="1">
            <w:col w:w="11420"/>
          </w:cols>
          <w:pgMar w:left="240" w:top="657" w:right="239" w:bottom="1440" w:gutter="0" w:footer="0" w:header="0"/>
        </w:sectPr>
      </w:pPr>
    </w:p>
    <w:bookmarkStart w:id="19" w:name="page20"/>
    <w:bookmarkEnd w:id="19"/>
    <w:p>
      <w:pPr>
        <w:jc w:val="center"/>
        <w:ind w:right="-351"/>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3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b w:val="1"/>
          <w:bCs w:val="1"/>
          <w:color w:val="auto"/>
        </w:rPr>
        <w:t>Exhibit</w:t>
      </w:r>
    </w:p>
    <w:p>
      <w:pPr>
        <w:sectPr>
          <w:pgSz w:w="11900" w:h="16838" w:orient="portrait"/>
          <w:cols w:equalWidth="0" w:num="1">
            <w:col w:w="11072"/>
          </w:cols>
          <w:pgMar w:left="248" w:top="657" w:right="579" w:bottom="1440" w:gutter="0" w:footer="0" w:header="0"/>
        </w:sectPr>
      </w:pPr>
    </w:p>
    <w:p>
      <w:pPr>
        <w:spacing w:after="0" w:line="3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Exhibits</w:t>
      </w:r>
    </w:p>
    <w:p>
      <w:pPr>
        <w:spacing w:after="0" w:line="20" w:lineRule="exact"/>
        <w:rPr>
          <w:sz w:val="20"/>
          <w:szCs w:val="20"/>
          <w:color w:val="auto"/>
        </w:rPr>
      </w:pPr>
    </w:p>
    <w:p>
      <w:pPr>
        <w:sectPr>
          <w:pgSz w:w="11900" w:h="16838" w:orient="portrait"/>
          <w:cols w:equalWidth="0" w:num="2">
            <w:col w:w="872" w:space="720"/>
            <w:col w:w="9480"/>
          </w:cols>
          <w:pgMar w:left="248" w:top="657" w:right="579" w:bottom="1440" w:gutter="0" w:footer="0" w:header="0"/>
          <w:type w:val="continuous"/>
        </w:sectPr>
      </w:pPr>
    </w:p>
    <w:p>
      <w:pPr>
        <w:ind w:left="1132" w:right="60" w:hanging="1132"/>
        <w:spacing w:after="0" w:line="247"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39" w:lineRule="exact"/>
        <w:rPr>
          <w:rFonts w:ascii="Times New Roman" w:cs="Times New Roman" w:eastAsia="Times New Roman" w:hAnsi="Times New Roman"/>
          <w:sz w:val="18"/>
          <w:szCs w:val="18"/>
          <w:color w:val="auto"/>
        </w:rPr>
      </w:pPr>
    </w:p>
    <w:p>
      <w:pPr>
        <w:ind w:left="1132" w:right="40" w:hanging="1132"/>
        <w:spacing w:after="0" w:line="266"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 dated as of April 15, 2011, between TPG Specialty Lending, Inc. and TSL Advisers, LLC (previously filed with the Original Schedule 13D).</w:t>
      </w:r>
    </w:p>
    <w:p>
      <w:pPr>
        <w:spacing w:after="0" w:line="135" w:lineRule="exact"/>
        <w:rPr>
          <w:rFonts w:ascii="Times New Roman" w:cs="Times New Roman" w:eastAsia="Times New Roman" w:hAnsi="Times New Roman"/>
          <w:sz w:val="18"/>
          <w:szCs w:val="18"/>
          <w:color w:val="auto"/>
        </w:rPr>
      </w:pPr>
    </w:p>
    <w:p>
      <w:pPr>
        <w:ind w:left="1132" w:right="60" w:hanging="1132"/>
        <w:spacing w:after="0" w:line="266"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Subscription Agreement, dated as of January 31, 2012, between TPG Specialty Lending, Inc. and TSL Advisers, LLC (previously filed with Amendment No. 4).</w:t>
      </w:r>
    </w:p>
    <w:p>
      <w:pPr>
        <w:spacing w:after="0" w:line="121" w:lineRule="exact"/>
        <w:rPr>
          <w:rFonts w:ascii="Times New Roman" w:cs="Times New Roman" w:eastAsia="Times New Roman" w:hAnsi="Times New Roman"/>
          <w:sz w:val="18"/>
          <w:szCs w:val="18"/>
          <w:color w:val="auto"/>
        </w:rPr>
      </w:pPr>
    </w:p>
    <w:p>
      <w:pPr>
        <w:ind w:left="1132" w:right="40" w:hanging="1132"/>
        <w:spacing w:after="0" w:line="266"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Tender, dated as of March 13, 2011, between TPG Specialty Lending, Inc. and Tarrant Advisors, Inc. (previously filed with the Original Schedule 13D).</w:t>
      </w:r>
    </w:p>
    <w:p>
      <w:pPr>
        <w:spacing w:after="0" w:line="121" w:lineRule="exact"/>
        <w:rPr>
          <w:rFonts w:ascii="Times New Roman" w:cs="Times New Roman" w:eastAsia="Times New Roman" w:hAnsi="Times New Roman"/>
          <w:sz w:val="18"/>
          <w:szCs w:val="18"/>
          <w:color w:val="auto"/>
        </w:rPr>
      </w:pPr>
    </w:p>
    <w:p>
      <w:pPr>
        <w:ind w:left="1132" w:right="280" w:hanging="1132"/>
        <w:spacing w:after="0" w:line="266"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 dated as of December 2, 2011 between TPG Specialty Lending, Inc., TSL FOF, L.P. and TSL Advisers, LLC (previously filed with Amendment No. 2).</w:t>
      </w:r>
    </w:p>
    <w:p>
      <w:pPr>
        <w:spacing w:after="0" w:line="135" w:lineRule="exact"/>
        <w:rPr>
          <w:rFonts w:ascii="Times New Roman" w:cs="Times New Roman" w:eastAsia="Times New Roman" w:hAnsi="Times New Roman"/>
          <w:sz w:val="18"/>
          <w:szCs w:val="18"/>
          <w:color w:val="auto"/>
        </w:rPr>
      </w:pPr>
    </w:p>
    <w:p>
      <w:pPr>
        <w:ind w:left="1132" w:right="640" w:hanging="1132"/>
        <w:spacing w:after="0" w:line="266"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 dated as of March 11, 2014 between TSL Advisers, LLC and Goldman, Sachs &amp; Co. (previously filed with Amendment No. 13).</w:t>
      </w:r>
    </w:p>
    <w:p>
      <w:pPr>
        <w:spacing w:after="0" w:line="121" w:lineRule="exact"/>
        <w:rPr>
          <w:rFonts w:ascii="Times New Roman" w:cs="Times New Roman" w:eastAsia="Times New Roman" w:hAnsi="Times New Roman"/>
          <w:sz w:val="18"/>
          <w:szCs w:val="18"/>
          <w:color w:val="auto"/>
        </w:rPr>
      </w:pPr>
    </w:p>
    <w:p>
      <w:pPr>
        <w:ind w:left="1132" w:right="60" w:hanging="1132"/>
        <w:spacing w:after="0" w:line="250"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Private Placement Agreement by and among TPG Specialty Lending, Inc., TSL Advisers, LLC and certain other stockholders of TPG Specialty Lending, Inc. (previously filed with the Commission as Exhibit (d)(3) to Form N-2/A filed by TPG Specialty Lending, Inc. on March 12, 2014).</w:t>
      </w:r>
    </w:p>
    <w:p>
      <w:pPr>
        <w:spacing w:after="0" w:line="136" w:lineRule="exact"/>
        <w:rPr>
          <w:rFonts w:ascii="Times New Roman" w:cs="Times New Roman" w:eastAsia="Times New Roman" w:hAnsi="Times New Roman"/>
          <w:sz w:val="18"/>
          <w:szCs w:val="18"/>
          <w:color w:val="auto"/>
        </w:rPr>
      </w:pPr>
    </w:p>
    <w:p>
      <w:pPr>
        <w:ind w:left="1132" w:right="20" w:hanging="1132"/>
        <w:spacing w:after="0" w:line="245"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Underwriting Agreement by and among TPG Specialty Lending, Inc., TSL Advisers, LLC and J.P. Morgan Securities LLC, Merrill Lynch, Pierce, Fenner &amp; Smith Incorporated, Goldman, Sachs &amp; Co., Citigroup Global Markets Inc., Wells Fargo Securities, LLC and Barclays Capital Inc., as representatives of the several underwriters named in Schedule I thereto (previously filed with the Commission as Exhibit (h) to Form N-2/A filed by TPG Specialty Lending, Inc. on March 17, 2014).</w:t>
      </w:r>
    </w:p>
    <w:p>
      <w:pPr>
        <w:spacing w:after="0" w:line="154" w:lineRule="exact"/>
        <w:rPr>
          <w:rFonts w:ascii="Times New Roman" w:cs="Times New Roman" w:eastAsia="Times New Roman" w:hAnsi="Times New Roman"/>
          <w:sz w:val="18"/>
          <w:szCs w:val="18"/>
          <w:color w:val="auto"/>
        </w:rPr>
      </w:pPr>
    </w:p>
    <w:p>
      <w:pPr>
        <w:ind w:left="1132" w:right="40" w:hanging="1132"/>
        <w:spacing w:after="0" w:line="245"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by and among TSL Advisers, LLC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A-2 to Exhibit (h) to Form N-2/A filed by TPG Specialty Lending, Inc. on March 17, 2014).</w:t>
      </w:r>
    </w:p>
    <w:p>
      <w:pPr>
        <w:spacing w:after="0" w:line="140" w:lineRule="exact"/>
        <w:rPr>
          <w:rFonts w:ascii="Times New Roman" w:cs="Times New Roman" w:eastAsia="Times New Roman" w:hAnsi="Times New Roman"/>
          <w:sz w:val="18"/>
          <w:szCs w:val="18"/>
          <w:color w:val="auto"/>
        </w:rPr>
      </w:pPr>
    </w:p>
    <w:p>
      <w:pPr>
        <w:ind w:left="1132" w:hanging="1132"/>
        <w:spacing w:after="0" w:line="242" w:lineRule="auto"/>
        <w:tabs>
          <w:tab w:leader="none" w:pos="11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by and among TSL FOF, L.P., certain stockholders and the directors and officers of TPG Specialty Lending, Inc. and J.P. Morgan Securities LLC, Merrill Lynch, Pierce, Fenner &amp; Smith Incorporated, Goldman, Sachs &amp; Co., Citigroup Global Markets Inc., Wells Fargo Securities, LLC and Barclays Capital Inc., as representatives of the several underwriters named in Schedule I to the Underwriting Agreement (previously filed with the Commission as Exhibit A-1 to Exhibit (h) to Form N-2/A filed by TPG Specialty Lending, Inc. on March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-4775200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Page 20 of 20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72"/>
          </w:cols>
          <w:pgMar w:left="248" w:top="657" w:right="579" w:bottom="1440" w:gutter="0" w:footer="0" w:header="0"/>
          <w:type w:val="continuous"/>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2019-12-08T00:31:15Z</dcterms:created>
  <dcterms:modified xsi:type="dcterms:W3CDTF">2019-12-08T00:31:15Z</dcterms:modified>
</cp:coreProperties>
</file>