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4878ddef14a.htm"/>
        <w:bookmarkStart w:id="1" w:name="ksd114878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z w:val="24"/>
        </w:rPr>
      </w:pPr>
      <w:r>
        <w:rPr>
          <w:rFonts w:ascii="Times New Roman" w:hAnsi="Times New Roman"/>
          <w:b/>
          <w:sz w:val="24"/>
        </w:rPr>
        <w:t>14a-101)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12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120" w:after="0"/>
        <w:jc w:val="center"/>
        <w:rPr>
          <w:rFonts w:ascii="Times New Roman" w:hAnsi="Times New Roman"/>
          <w:b/>
          <w:sz w:val="36"/>
        </w:rPr>
      </w:pPr>
      <w:r>
        <w:rPr>
          <w:rFonts w:ascii="Times New Roman" w:hAnsi="Times New Roman"/>
          <w:b/>
          <w:sz w:val="36"/>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8108" w:type="dxa"/>
        <w:jc w:val="left"/>
        <w:tblInd w:w="0" w:type="dxa"/>
        <w:tblLayout w:type="fixed"/>
        <w:tblCellMar>
          <w:top w:w="0" w:type="dxa"/>
          <w:left w:w="0" w:type="dxa"/>
          <w:bottom w:w="0" w:type="dxa"/>
          <w:right w:w="0" w:type="dxa"/>
        </w:tblCellMar>
      </w:tblPr>
      <w:tblGrid>
        <w:gridCol w:w="245"/>
        <w:gridCol w:w="120"/>
        <w:gridCol w:w="2116"/>
        <w:gridCol w:w="2116"/>
        <w:gridCol w:w="3511"/>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3"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3"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367790" cy="4311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7790" cy="4311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April 9,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invite you to attend the 2026 Annual Meeting of Stockholders of Sixth Street Specialty Lending, Inc. to be held on May 21, 2026, at 9:30 a.m., Eastern Time, at the offices of Simpson Thacher &amp; Bartlett LLP, 425 Lexington Avenue, 30th Floor, 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that you received by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will also receive separate proxy materials for a Special Meeting of Stockholders, which will be held at the same place and on the same date stated above, but not at the same time. Please be certain to use each proxy card that you receive from us to vote separately for the matters to be discussed at each meeting. </w:t>
      </w:r>
    </w:p>
    <w:p>
      <w:pPr>
        <w:pStyle w:val="TextBody"/>
        <w:bidi w:val="0"/>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bidi w:val="0"/>
        <w:spacing w:before="0" w:after="0"/>
        <w:jc w:val="left"/>
        <w:rPr/>
      </w:pPr>
      <w:r>
        <w:rPr/>
        <w:t> </w:t>
      </w:r>
    </w:p>
    <w:tbl>
      <w:tblPr>
        <w:tblW w:w="2435" w:type="dxa"/>
        <w:jc w:val="left"/>
        <w:tblInd w:w="0" w:type="dxa"/>
        <w:tblLayout w:type="fixed"/>
        <w:tblCellMar>
          <w:top w:w="0" w:type="dxa"/>
          <w:left w:w="0" w:type="dxa"/>
          <w:bottom w:w="0" w:type="dxa"/>
          <w:right w:w="0" w:type="dxa"/>
        </w:tblCellMar>
      </w:tblPr>
      <w:tblGrid>
        <w:gridCol w:w="2435"/>
      </w:tblGrid>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Sincerely,</w:t>
            </w:r>
          </w:p>
        </w:tc>
      </w:tr>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bottom w:val="single" w:sz="6" w:space="0" w:color="000000"/>
            </w:tcBorders>
            <w:tcMar>
              <w:bottom w:w="28" w:type="dxa"/>
            </w:tcMar>
            <w:vAlign w:val="center"/>
          </w:tcPr>
          <w:p>
            <w:pPr>
              <w:pStyle w:val="TableContents"/>
              <w:bidi w:val="0"/>
              <w:spacing w:before="0" w:after="283"/>
              <w:jc w:val="left"/>
              <w:rPr/>
            </w:pPr>
            <w:r>
              <w:rPr/>
              <w:t>/s/ Robert (“Bo”) Stanley</w:t>
            </w:r>
          </w:p>
        </w:tc>
      </w:tr>
      <w:tr>
        <w:trPr/>
        <w:tc>
          <w:tcPr>
            <w:tcW w:w="2435" w:type="dxa"/>
            <w:tcBorders/>
            <w:vAlign w:val="center"/>
          </w:tcPr>
          <w:p>
            <w:pPr>
              <w:pStyle w:val="TableContents"/>
              <w:bidi w:val="0"/>
              <w:spacing w:before="0" w:after="283"/>
              <w:jc w:val="left"/>
              <w:rPr/>
            </w:pPr>
            <w:r>
              <w:rPr/>
              <w:t>Robert (“Bo”) Stanley</w:t>
            </w:r>
          </w:p>
        </w:tc>
      </w:tr>
      <w:tr>
        <w:trPr/>
        <w:tc>
          <w:tcPr>
            <w:tcW w:w="2435" w:type="dxa"/>
            <w:tcBorders/>
            <w:vAlign w:val="center"/>
          </w:tcPr>
          <w:p>
            <w:pPr>
              <w:pStyle w:val="TableContents"/>
              <w:bidi w:val="0"/>
              <w:spacing w:before="0" w:after="283"/>
              <w:jc w:val="left"/>
              <w:rPr>
                <w:i/>
              </w:rPr>
            </w:pPr>
            <w:r>
              <w:rPr>
                <w:i/>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9,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 for the Annual Meeting of Stockholders to Be Held on May 21, 2026. </w:t>
      </w:r>
    </w:p>
    <w:p>
      <w:pPr>
        <w:pStyle w:val="TextBody"/>
        <w:bidi w:val="0"/>
        <w:spacing w:before="120" w:after="0"/>
        <w:jc w:val="left"/>
        <w:rPr>
          <w:rFonts w:ascii="Times New Roman" w:hAnsi="Times New Roman"/>
          <w:sz w:val="20"/>
        </w:rPr>
      </w:pPr>
      <w:r>
        <w:rPr>
          <w:rFonts w:ascii="Times New Roman" w:hAnsi="Times New Roman"/>
          <w:sz w:val="20"/>
        </w:rPr>
        <w:t xml:space="preserve">Our proxy statement and annual report on Form 10-K for the year ended December 31, 2025 are available online at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applicable to the </w:t>
      </w:r>
      <w:r>
        <w:rPr>
          <w:rFonts w:ascii="Times New Roman" w:hAnsi="Times New Roman"/>
          <w:b/>
          <w:sz w:val="20"/>
        </w:rPr>
        <w:t xml:space="preserve">Annual </w:t>
      </w:r>
      <w:r>
        <w:rPr>
          <w:rFonts w:ascii="Times New Roman" w:hAnsi="Times New Roman"/>
          <w:sz w:val="20"/>
        </w:rPr>
        <w:t xml:space="preserve">Meeting of Stockholders may be found in the proxy statement and accompanying proxy card: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attending the meeting and voting in person.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367790" cy="4311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67790" cy="4311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the 2026 Annual Meeting of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the 2026 Annual Meeting of Stockholders of Sixth Street Specialty Lending, Inc. will be held at the offices of Simpson Thacher &amp; Bartlett LLP, 425 Lexington Avenue, 30th Floor, New York, NY 10017 on May 21, 2026, at 9:30 a.m., Eastern Time. The 2026 Annual Meeting of Stockholders is being held for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1.  To elect three Class III directors, each to serve for a three-year term and until a successor has been duly elected and qualified or until the director’s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2. To ratify the selection of KPMG LLP as the Company’s independent registered public accounting firm for the fiscal year ending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3. To transact such other business as may properly come before the 2026 Annual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Only stockholders of record at the close of business on March 31, 2026, are entitled to notice of and to vote at the 2026 Annual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 </w:t>
      </w:r>
    </w:p>
    <w:p>
      <w:pPr>
        <w:pStyle w:val="TextBody"/>
        <w:bidi w:val="0"/>
        <w:spacing w:before="240" w:after="0"/>
        <w:jc w:val="left"/>
        <w:rPr>
          <w:rFonts w:ascii="Times New Roman" w:hAnsi="Times New Roman"/>
          <w:sz w:val="20"/>
        </w:rPr>
      </w:pPr>
      <w:r>
        <w:rPr>
          <w:rFonts w:ascii="Times New Roman" w:hAnsi="Times New Roman"/>
          <w:sz w:val="20"/>
        </w:rPr>
        <w:t xml:space="preserve">Your vote is extremely important to us. Whether or not you plan to attend the 2026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w:t>
      </w:r>
    </w:p>
    <w:p>
      <w:pPr>
        <w:pStyle w:val="TextBody"/>
        <w:bidi w:val="0"/>
        <w:spacing w:before="240" w:after="0"/>
        <w:jc w:val="left"/>
        <w:rPr>
          <w:rFonts w:ascii="Times New Roman" w:hAnsi="Times New Roman"/>
          <w:sz w:val="20"/>
        </w:rPr>
      </w:pPr>
      <w:r>
        <w:rPr>
          <w:rFonts w:ascii="Times New Roman" w:hAnsi="Times New Roman"/>
          <w:sz w:val="20"/>
        </w:rPr>
        <w:t>Further, from time to time, we may repurchase shares of our common stock and are notifying you of this ability as required by applicable securities law. See “</w:t>
      </w:r>
      <w:r>
        <w:rPr>
          <w:rFonts w:ascii="Times New Roman" w:hAnsi="Times New Roman"/>
          <w:sz w:val="20"/>
          <w:u w:val="single"/>
        </w:rPr>
        <w:t>Stock Repurchases</w:t>
      </w:r>
      <w:r>
        <w:rPr>
          <w:rFonts w:ascii="Times New Roman" w:hAnsi="Times New Roman"/>
          <w:sz w:val="20"/>
        </w:rPr>
        <w:t xml:space="preserve">” in the proxy statement. </w:t>
      </w:r>
    </w:p>
    <w:p>
      <w:pPr>
        <w:pStyle w:val="TextBody"/>
        <w:bidi w:val="0"/>
        <w:spacing w:before="0" w:after="0"/>
        <w:jc w:val="left"/>
        <w:rPr/>
      </w:pPr>
      <w:r>
        <w:rPr/>
        <w:t> </w:t>
      </w:r>
    </w:p>
    <w:tbl>
      <w:tblPr>
        <w:tblW w:w="3875" w:type="dxa"/>
        <w:jc w:val="left"/>
        <w:tblInd w:w="0" w:type="dxa"/>
        <w:tblLayout w:type="fixed"/>
        <w:tblCellMar>
          <w:top w:w="0" w:type="dxa"/>
          <w:left w:w="0" w:type="dxa"/>
          <w:bottom w:w="0" w:type="dxa"/>
          <w:right w:w="0" w:type="dxa"/>
        </w:tblCellMar>
      </w:tblPr>
      <w:tblGrid>
        <w:gridCol w:w="3875"/>
      </w:tblGrid>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By Order of the Board of Directors,</w:t>
            </w:r>
          </w:p>
        </w:tc>
      </w:tr>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bottom w:val="single" w:sz="6" w:space="0" w:color="000000"/>
            </w:tcBorders>
            <w:tcMar>
              <w:bottom w:w="28" w:type="dxa"/>
            </w:tcMar>
            <w:vAlign w:val="center"/>
          </w:tcPr>
          <w:p>
            <w:pPr>
              <w:pStyle w:val="TableContents"/>
              <w:bidi w:val="0"/>
              <w:spacing w:before="0" w:after="283"/>
              <w:jc w:val="left"/>
              <w:rPr/>
            </w:pPr>
            <w:r>
              <w:rPr/>
              <w:t>/s/ Anton Brett</w:t>
            </w:r>
          </w:p>
        </w:tc>
      </w:tr>
      <w:tr>
        <w:trPr/>
        <w:tc>
          <w:tcPr>
            <w:tcW w:w="3875" w:type="dxa"/>
            <w:tcBorders/>
            <w:vAlign w:val="center"/>
          </w:tcPr>
          <w:p>
            <w:pPr>
              <w:pStyle w:val="TableContents"/>
              <w:bidi w:val="0"/>
              <w:spacing w:before="0" w:after="283"/>
              <w:jc w:val="left"/>
              <w:rPr/>
            </w:pPr>
            <w:r>
              <w:rPr/>
              <w:t>Anton Brett</w:t>
            </w:r>
          </w:p>
        </w:tc>
      </w:tr>
      <w:tr>
        <w:trPr/>
        <w:tc>
          <w:tcPr>
            <w:tcW w:w="3875" w:type="dxa"/>
            <w:tcBorders/>
            <w:vAlign w:val="center"/>
          </w:tcPr>
          <w:p>
            <w:pPr>
              <w:pStyle w:val="TableContents"/>
              <w:bidi w:val="0"/>
              <w:spacing w:before="0" w:after="283"/>
              <w:jc w:val="left"/>
              <w:rPr>
                <w:i/>
              </w:rPr>
            </w:pPr>
            <w:r>
              <w:rPr>
                <w:i/>
              </w:rPr>
              <w:t>Chief Compliance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9, 2026 </w:t>
      </w:r>
    </w:p>
    <w:p>
      <w:pPr>
        <w:pStyle w:val="TextBody"/>
        <w:bidi w:val="0"/>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CARD AS SOON AS POSSIBLE, WHETHER OR NOT YOU PLAN TO ATTEND THE MEETING. EVEN IF YOU VOTE YOUR SHARES PRIOR TO THE MEETING, YOU STILL MAY ATTEND THE MEETING AND VOTE YOUR SHARES IN PERSON.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445"/>
        <w:gridCol w:w="120"/>
        <w:gridCol w:w="96"/>
        <w:gridCol w:w="419"/>
        <w:gridCol w:w="75"/>
      </w:tblGrid>
      <w:tr>
        <w:trPr/>
        <w:tc>
          <w:tcPr>
            <w:tcW w:w="7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1">
              <w:r>
                <w:rPr>
                  <w:rStyle w:val="InternetLink"/>
                  <w:rFonts w:ascii="Times New Roman" w:hAnsi="Times New Roman"/>
                  <w:sz w:val="20"/>
                </w:rPr>
                <w:t>Proxy Statement for the 2026 Annual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2">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3">
              <w:r>
                <w:rPr>
                  <w:rStyle w:val="InternetLink"/>
                  <w:rFonts w:ascii="Times New Roman" w:hAnsi="Times New Roman"/>
                  <w:sz w:val="20"/>
                </w:rPr>
                <w:t>Proposal No.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4">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5">
              <w:r>
                <w:rPr>
                  <w:rStyle w:val="InternetLink"/>
                  <w:rFonts w:ascii="Times New Roman" w:hAnsi="Times New Roman"/>
                  <w:sz w:val="20"/>
                </w:rPr>
                <w:t>Proposal No. 2 Ratification of Selection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6">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7">
              <w:r>
                <w:rPr>
                  <w:rStyle w:val="InternetLink"/>
                  <w:rFonts w:ascii="Times New Roman" w:hAnsi="Times New Roman"/>
                  <w:sz w:val="20"/>
                </w:rPr>
                <w:t>Other Business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8">
              <w:r>
                <w:rPr>
                  <w:rStyle w:val="InternetLink"/>
                  <w:rFonts w:ascii="Times New Roman" w:hAnsi="Times New Roman"/>
                  <w:sz w:val="20"/>
                </w:rPr>
                <w:t>Stock Repurchases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9">
              <w:r>
                <w:rPr>
                  <w:rStyle w:val="InternetLink"/>
                  <w:rFonts w:ascii="Times New Roman" w:hAnsi="Times New Roman"/>
                  <w:sz w:val="20"/>
                </w:rPr>
                <w:t>Stockholder Proposals and Nominations for the 2027 Annual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10">
              <w:r>
                <w:rPr>
                  <w:rStyle w:val="InternetLink"/>
                  <w:rFonts w:ascii="Times New Roman" w:hAnsi="Times New Roman"/>
                  <w:sz w:val="20"/>
                </w:rPr>
                <w:t>Annual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11">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pPr>
            <w:hyperlink w:anchor="toc114878_12">
              <w:r>
                <w:rPr>
                  <w:rStyle w:val="InternetLink"/>
                  <w:rFonts w:ascii="Times New Roman" w:hAnsi="Times New Roman"/>
                  <w:sz w:val="20"/>
                </w:rPr>
                <w:t>Privacy Principles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367790" cy="4311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67790" cy="4311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bookmarkStart w:id="3" w:name="toc114878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2026 </w:t>
      </w:r>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the 2026 Annual Meeting of Stockholders (the “Meeting”) to be held at the offices of Simpson Thacher &amp; Bartlett LLP, 425 Lexington Avenue, 30th Floor, New York, NY 10017 on May 21, 2026, at 9:30 a.m., Eastern Time. Only holders of record of our common stock at the close of business on March 31, 2026, which is the record date, will be entitled to vote at the Meeting. At the close of business on the record date, we had 95,019,600 shares of common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It is anticipated that the Notice of Internet Availability of Proxy Materials will first be sent to Stockholders on or about April 9, 2026. This proxy statement, including the accompanying form of proxy card (collectively, the “Proxy Statement”), and the Company’s Annual Report for the fiscal year ended December 31, 2025 will first be made available to stockholders on or about April 9, 2026. The Annual Report and Proxy Statement can both be accessed online at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Times New Roman" w:hAnsi="Times New Roman"/>
          <w:b/>
          <w:sz w:val="20"/>
        </w:rPr>
        <w:t xml:space="preserve">FOR </w:t>
      </w:r>
      <w:r>
        <w:rPr>
          <w:rFonts w:ascii="Times New Roman" w:hAnsi="Times New Roman"/>
          <w:sz w:val="20"/>
        </w:rPr>
        <w:t>the election of the Class III director candidates nominated by the Board and (2) </w:t>
      </w:r>
      <w:r>
        <w:rPr>
          <w:rFonts w:ascii="Times New Roman" w:hAnsi="Times New Roman"/>
          <w:b/>
          <w:sz w:val="20"/>
        </w:rPr>
        <w:t xml:space="preserve">FOR </w:t>
      </w:r>
      <w:r>
        <w:rPr>
          <w:rFonts w:ascii="Times New Roman" w:hAnsi="Times New Roman"/>
          <w:sz w:val="20"/>
        </w:rPr>
        <w:t xml:space="preserve">the ratification of the selection of KPMG LLP as the Company’s independent registered public accounting firm for the fiscal year ending December 31, 2026. Should any matter not described above be properly presented at the Meeting, the named proxies will vote in accordance with their judgment as permitted.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2026 Annual Meeting of Stockholders is being held for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1. To elect three Class III directors, each to serve for a three-year term and until a successor has been duly elected and qualified or until the director’s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 To ratify the selection of KPMG LLP as the Company’s independent registered public accounting firm for the fiscal year ending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3. To transact such other business as may properly come before the 2026 Annual Meeting of Stockholders or any postponement or adjournment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Proposals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w:t>
      </w:r>
    </w:p>
    <w:p>
      <w:pPr>
        <w:pStyle w:val="TextBody"/>
        <w:bidi w:val="0"/>
        <w:spacing w:before="240" w:after="0"/>
        <w:jc w:val="left"/>
        <w:rPr>
          <w:rFonts w:ascii="Times New Roman" w:hAnsi="Times New Roman"/>
          <w:sz w:val="20"/>
        </w:rPr>
      </w:pPr>
      <w:r>
        <w:rPr>
          <w:rFonts w:ascii="Times New Roman" w:hAnsi="Times New Roman"/>
          <w:sz w:val="20"/>
        </w:rPr>
        <w:t xml:space="preserve">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majority of shares represented at the meeting and voting on the proposal will determine the outcome of the ratification of the independent registered public accounting firm. For this proposal, “abstain” votes, if any, though counted for purposes of establishing a quorum, will have no effect on the outcome of the vote. At the Meeting, brokers will have discretionary authority to vote shares on the ratification of the appointment of the independent registered public accounting firm, which is the only routine proposal to be presented at the Meeting. If brokers exercise this discretionary voting authority with respect to the ratification of the appointment of the independent registered public accounting firm, such shares will be considered present at the Meeting for quorum purposes and broker non-votes will occur as to the other proposal presented at the Meeting, which is considered non-routine. </w:t>
      </w:r>
    </w:p>
    <w:p>
      <w:pPr>
        <w:pStyle w:val="TextBody"/>
        <w:bidi w:val="0"/>
        <w:spacing w:before="240" w:after="0"/>
        <w:jc w:val="left"/>
        <w:rPr>
          <w:rFonts w:ascii="Times New Roman" w:hAnsi="Times New Roman"/>
          <w:sz w:val="20"/>
        </w:rPr>
      </w:pPr>
      <w:r>
        <w:rPr>
          <w:rFonts w:ascii="Times New Roman" w:hAnsi="Times New Roman"/>
          <w:sz w:val="20"/>
        </w:rPr>
        <w:t xml:space="preserve">The inspector of elections appointed for the Meeting will separately tabulate affirmative votes, “against” votes or “withhold” votes, as applicable, “abstain” votes and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Broadridge Investor Communication Solutions, Inc. to assist with the distribution and collection of proxies for a fee of approximately $75,000, plus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electronic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with sufficient time in advance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Anton Brett, Sixth Street Specialty Lending, Inc., 2100 McKinney Avenue, Suite 1500, Dallas, TX 75201, or by email at </w:t>
      </w:r>
      <w:r>
        <w:rPr>
          <w:rFonts w:ascii="Times New Roman" w:hAnsi="Times New Roman"/>
          <w:sz w:val="20"/>
          <w:u w:val="single"/>
        </w:rPr>
        <w:t>abrett@sixthstreet.com</w:t>
      </w:r>
      <w:r>
        <w:rPr>
          <w:rFonts w:ascii="Times New Roman" w:hAnsi="Times New Roman"/>
          <w:sz w:val="20"/>
        </w:rPr>
        <w:t xml:space="preserve">. You can call us by dialing 469-621-2033. You can access our proxy materials online at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bidi w:val="0"/>
        <w:spacing w:before="120" w:after="0"/>
        <w:jc w:val="left"/>
        <w:rPr>
          <w:rFonts w:ascii="Times New Roman" w:hAnsi="Times New Roman"/>
          <w:sz w:val="20"/>
        </w:rPr>
      </w:pPr>
      <w:r>
        <w:rPr>
          <w:rFonts w:ascii="Times New Roman" w:hAnsi="Times New Roman"/>
          <w:sz w:val="20"/>
        </w:rPr>
        <w:t xml:space="preserve">The Meeting will be conducted in-person at the offices of Simpson Thacher &amp; Bartlett LLP, 425 Lexington Avenue, 30th Floor, New York, NY 10017. Stockholders as of the close of business on March 31, 2026, the record date, are entitled to participate in and vote at the Meeting. If you have a question pertaining to the business of the Meeting, please submit it in accordance with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Meeting, you will need the 16-digit control number included on your proxy card, your voting instruction form, or the Notice of Internet Availability of Proxy Materials previously mailed or made available to stockholders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In-person admission to the Meeting will be on a first-come, first-served basis. Please bring proof of your common stock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of Stockholders will begin promptly at 9:30 a.m., Eastern Time, and the Special Meeting of Stockholders will begin promptly at 10:00 a.m., Eastern Time. Participants should allow plenty of time to check in prior to the start of the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can vote in person at the Meeting. If you hold your shares in “street name”, you must obtain a proxy from the record holder to vote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List </w:t>
      </w:r>
    </w:p>
    <w:p>
      <w:pPr>
        <w:pStyle w:val="TextBody"/>
        <w:bidi w:val="0"/>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at the Meeting for any purpose germane to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14878_2"/>
      <w:bookmarkEnd w:id="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2026,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is based on 95,019,600 shares of common stock outstanding as of March 31, 2026.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bidi w:val="0"/>
        <w:spacing w:before="0" w:after="0"/>
        <w:jc w:val="left"/>
        <w:rPr/>
      </w:pPr>
      <w:r>
        <w:rPr/>
        <w:t> </w:t>
      </w:r>
    </w:p>
    <w:tbl>
      <w:tblPr>
        <w:tblW w:w="8255" w:type="dxa"/>
        <w:jc w:val="left"/>
        <w:tblInd w:w="0" w:type="dxa"/>
        <w:tblLayout w:type="fixed"/>
        <w:tblCellMar>
          <w:top w:w="0" w:type="dxa"/>
          <w:left w:w="0" w:type="dxa"/>
          <w:bottom w:w="0" w:type="dxa"/>
          <w:right w:w="0" w:type="dxa"/>
        </w:tblCellMar>
      </w:tblPr>
      <w:tblGrid>
        <w:gridCol w:w="4475"/>
        <w:gridCol w:w="120"/>
        <w:gridCol w:w="92"/>
        <w:gridCol w:w="1503"/>
        <w:gridCol w:w="60"/>
        <w:gridCol w:w="120"/>
        <w:gridCol w:w="191"/>
        <w:gridCol w:w="1404"/>
        <w:gridCol w:w="290"/>
      </w:tblGrid>
      <w:tr>
        <w:trPr/>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Individual or Identity of Group</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Beneficially</w:t>
            </w:r>
            <w:r>
              <w:rPr/>
              <w:br/>
            </w:r>
            <w:r>
              <w:rPr>
                <w:b/>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Percent of</w:t>
            </w:r>
            <w:r>
              <w:rPr/>
              <w:br/>
            </w:r>
            <w:r>
              <w:rPr>
                <w:b/>
              </w:rPr>
              <w:t>Common Stock</w:t>
            </w:r>
            <w:r>
              <w:rPr/>
              <w:br/>
            </w:r>
            <w:r>
              <w:rPr>
                <w:b/>
              </w:rPr>
              <w:t>Beneficially</w:t>
            </w:r>
            <w:r>
              <w:rPr/>
              <w:br/>
            </w:r>
            <w:r>
              <w:rPr>
                <w:b/>
              </w:rPr>
              <w:t>Owned</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Joshua Easterly(1)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65,790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Fishman (Director Nominee)(2)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36,366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(“Bo”) Stanley (Director Nominee)(3)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31,418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Stiepleman(4)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24,907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Hurley Doddy (Director Nominee)</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27,119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D. Hershey</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25,621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85,516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Named Executive Officers Who Are Not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Simmonds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6,772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Graf</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7,385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 Brett</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Officers as a Group (18 persons)(5)(6)</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3,640,068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3.83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380" w:type="dxa"/>
        <w:jc w:val="left"/>
        <w:tblInd w:w="0" w:type="dxa"/>
        <w:tblLayout w:type="fixed"/>
        <w:tblCellMar>
          <w:top w:w="0" w:type="dxa"/>
          <w:left w:w="0" w:type="dxa"/>
          <w:bottom w:w="0" w:type="dxa"/>
          <w:right w:w="0" w:type="dxa"/>
        </w:tblCellMar>
      </w:tblPr>
      <w:tblGrid>
        <w:gridCol w:w="155"/>
        <w:gridCol w:w="2225"/>
      </w:tblGrid>
      <w:tr>
        <w:trPr/>
        <w:tc>
          <w:tcPr>
            <w:tcW w:w="155"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0.1%.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 On February 19, 2026, pursuant to the Third Amended and Restated Bylaws of the Company, Joshua Easterly informed the Company of his intention to retire from the Board, effective as of the close of business on May 21, 2026. Accordingly, Mr. Easterly will not run for re-election to the Board at the Meeting. Mr. Easterly’s decision was not a result of any disagreement with the Company on any matter relating to the Company’s operations, policies or practices.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Advisers, LLC (the “Adviser”) holds 2,714,226 shares of common stock (the “Sixth Street Specialty Lending Advisers Shares”). The Adviser is managed by Sixth Street Specialty Lending Advisers Holdings, LLC, a Delaware limited liability company, the sole member of the Adviser. Sixth Street Specialty Lending Advisers Holdings, LLC is managed by TSSP Holdco Management, LLC, which is managed by a board of directors, which is currently comprised of Alan Waxman. Mr. Waxman is the CEO of TSSP Holdco Management, LLC. Mr. Waxman disclaims beneficial ownership of the Sixth Street Specialty Lending Advisers Shares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14878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consists of eleven members. The Board is divided into three classes, with the members of each class each serving staggered, three-year terms. The terms of our Class III directors will expire at the Meeting; the terms of our Class I directors will expire at the 2027 annual meeting of stockholders; and the terms of our Class II directors will expire at the 2028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Michael Fishman, Robert (“Bo”) Stanley and Hurley Doddy, each to serve until their successor is duly elected and qualified at the annual meeting of stockholders held in 2029 or until their earlier death, resignation or removal. Messrs. Fishman, Stanley and Doddy are currently directors of TSLX. </w:t>
      </w:r>
    </w:p>
    <w:p>
      <w:pPr>
        <w:pStyle w:val="TextBody"/>
        <w:bidi w:val="0"/>
        <w:spacing w:before="240" w:after="0"/>
        <w:jc w:val="left"/>
        <w:rPr>
          <w:rFonts w:ascii="Times New Roman" w:hAnsi="Times New Roman"/>
          <w:sz w:val="20"/>
        </w:rPr>
      </w:pPr>
      <w:r>
        <w:rPr>
          <w:rFonts w:ascii="Times New Roman" w:hAnsi="Times New Roman"/>
          <w:sz w:val="20"/>
        </w:rPr>
        <w:t xml:space="preserve">Messrs. Fishman, Stanley and Doddy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Messrs. Fishman, Stanley and Doddy will be unable or unwilling to 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determined that Mr. Doddy is not an “interested person” of the Company, of the Adviser, or of any of their respective affiliates as defined in Section 2(a)(19) of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recommends that stockholders vote “FOR” the Company’s nominees for Class III Director. </w:t>
      </w:r>
    </w:p>
    <w:p>
      <w:pPr>
        <w:pStyle w:val="TextBody"/>
        <w:bidi w:val="0"/>
        <w:spacing w:before="120" w:after="0"/>
        <w:jc w:val="left"/>
        <w:rPr>
          <w:rFonts w:ascii="Times New Roman" w:hAnsi="Times New Roman"/>
          <w:b/>
          <w:i/>
          <w:sz w:val="20"/>
        </w:rPr>
      </w:pPr>
      <w:r>
        <w:rPr>
          <w:rFonts w:ascii="Times New Roman" w:hAnsi="Times New Roman"/>
          <w:b/>
          <w:i/>
          <w:sz w:val="20"/>
        </w:rPr>
        <w:t xml:space="preserve">Nominees for Election as Class III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97"/>
        <w:gridCol w:w="60"/>
        <w:gridCol w:w="2012"/>
        <w:gridCol w:w="60"/>
        <w:gridCol w:w="1985"/>
        <w:gridCol w:w="60"/>
        <w:gridCol w:w="2085"/>
        <w:gridCol w:w="120"/>
        <w:gridCol w:w="1280"/>
        <w:gridCol w:w="60"/>
        <w:gridCol w:w="1386"/>
      </w:tblGrid>
      <w:tr>
        <w:trPr/>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0"/>
              <w:jc w:val="left"/>
              <w:rPr>
                <w:rFonts w:ascii="Times New Roman" w:hAnsi="Times New Roman"/>
                <w:b/>
                <w:sz w:val="15"/>
              </w:rPr>
            </w:pPr>
            <w:r>
              <w:rPr>
                <w:rFonts w:ascii="Times New Roman" w:hAnsi="Times New Roman"/>
                <w:b/>
                <w:sz w:val="15"/>
              </w:rPr>
              <w:t>Name, Address(1)</w:t>
            </w:r>
          </w:p>
          <w:p>
            <w:pPr>
              <w:pStyle w:val="TableContents"/>
              <w:pBdr>
                <w:bottom w:val="single" w:sz="8" w:space="1" w:color="000000"/>
              </w:pBdr>
              <w:bidi w:val="0"/>
              <w:spacing w:before="0" w:after="20"/>
              <w:jc w:val="left"/>
              <w:rPr>
                <w:rFonts w:ascii="Times New Roman" w:hAnsi="Times New Roman"/>
                <w:b/>
                <w:sz w:val="15"/>
              </w:rPr>
            </w:pPr>
            <w:r>
              <w:rPr>
                <w:rFonts w:ascii="Times New Roman" w:hAnsi="Times New Roman"/>
                <w:b/>
                <w:sz w:val="15"/>
              </w:rPr>
              <w:t>and Birth Year</w:t>
            </w:r>
          </w:p>
        </w:tc>
        <w:tc>
          <w:tcPr>
            <w:tcW w:w="60" w:type="dxa"/>
            <w:tcBorders/>
            <w:vAlign w:val="center"/>
          </w:tcPr>
          <w:p>
            <w:pPr>
              <w:pStyle w:val="TableContents"/>
              <w:bidi w:val="0"/>
              <w:spacing w:before="0" w:after="283"/>
              <w:jc w:val="left"/>
              <w:rPr/>
            </w:pPr>
            <w:r>
              <w:rPr/>
              <w:t> </w:t>
            </w:r>
          </w:p>
        </w:tc>
        <w:tc>
          <w:tcPr>
            <w:tcW w:w="20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5"/>
              </w:rPr>
            </w:pPr>
            <w:r>
              <w:rPr>
                <w:rFonts w:ascii="Times New Roman" w:hAnsi="Times New Roman"/>
                <w:b/>
                <w:sz w:val="15"/>
              </w:rPr>
              <w:t>Position(s) Held</w:t>
              <w:br/>
              <w:t>with Fund</w:t>
            </w:r>
          </w:p>
        </w:tc>
        <w:tc>
          <w:tcPr>
            <w:tcW w:w="60" w:type="dxa"/>
            <w:tcBorders/>
            <w:vAlign w:val="center"/>
          </w:tcPr>
          <w:p>
            <w:pPr>
              <w:pStyle w:val="TableContents"/>
              <w:bidi w:val="0"/>
              <w:spacing w:before="0" w:after="283"/>
              <w:jc w:val="left"/>
              <w:rPr/>
            </w:pPr>
            <w:r>
              <w:rPr/>
              <w:t> </w:t>
            </w:r>
          </w:p>
        </w:tc>
        <w:tc>
          <w:tcPr>
            <w:tcW w:w="19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Term of Office and</w:t>
            </w:r>
          </w:p>
          <w:p>
            <w:pPr>
              <w:pStyle w:val="TableContents"/>
              <w:bidi w:val="0"/>
              <w:spacing w:before="0" w:after="0"/>
              <w:jc w:val="center"/>
              <w:rPr>
                <w:rFonts w:ascii="Times New Roman" w:hAnsi="Times New Roman"/>
                <w:b/>
                <w:sz w:val="15"/>
              </w:rPr>
            </w:pPr>
            <w:r>
              <w:rPr>
                <w:rFonts w:ascii="Times New Roman" w:hAnsi="Times New Roman"/>
                <w:b/>
                <w:sz w:val="15"/>
              </w:rPr>
              <w:t>Length Time</w:t>
            </w:r>
          </w:p>
          <w:p>
            <w:pPr>
              <w:pStyle w:val="TableContents"/>
              <w:bidi w:val="0"/>
              <w:spacing w:before="0" w:after="20"/>
              <w:jc w:val="center"/>
              <w:rPr>
                <w:rFonts w:ascii="Times New Roman" w:hAnsi="Times New Roman"/>
                <w:b/>
                <w:sz w:val="15"/>
              </w:rPr>
            </w:pPr>
            <w:r>
              <w:rPr>
                <w:rFonts w:ascii="Times New Roman" w:hAnsi="Times New Roman"/>
                <w:b/>
                <w:sz w:val="15"/>
              </w:rPr>
              <w:t>Served</w:t>
            </w:r>
          </w:p>
        </w:tc>
        <w:tc>
          <w:tcPr>
            <w:tcW w:w="60" w:type="dxa"/>
            <w:tcBorders/>
            <w:vAlign w:val="center"/>
          </w:tcPr>
          <w:p>
            <w:pPr>
              <w:pStyle w:val="TableContents"/>
              <w:bidi w:val="0"/>
              <w:spacing w:before="0" w:after="283"/>
              <w:jc w:val="left"/>
              <w:rPr/>
            </w:pPr>
            <w:r>
              <w:rPr/>
              <w:t> </w:t>
            </w:r>
          </w:p>
        </w:tc>
        <w:tc>
          <w:tcPr>
            <w:tcW w:w="20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Principal Occupations</w:t>
            </w:r>
          </w:p>
          <w:p>
            <w:pPr>
              <w:pStyle w:val="TableContents"/>
              <w:bidi w:val="0"/>
              <w:spacing w:before="0" w:after="20"/>
              <w:jc w:val="center"/>
              <w:rPr>
                <w:rFonts w:ascii="Times New Roman" w:hAnsi="Times New Roman"/>
                <w:b/>
                <w:sz w:val="15"/>
              </w:rPr>
            </w:pPr>
            <w:r>
              <w:rPr>
                <w:rFonts w:ascii="Times New Roman" w:hAnsi="Times New Roman"/>
                <w:b/>
                <w:sz w:val="15"/>
              </w:rPr>
              <w:t>During Past Five Years</w:t>
            </w:r>
          </w:p>
        </w:tc>
        <w:tc>
          <w:tcPr>
            <w:tcW w:w="12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Portfolios in</w:t>
            </w:r>
            <w:r>
              <w:rPr/>
              <w:br/>
            </w:r>
            <w:r>
              <w:rPr>
                <w:b/>
              </w:rPr>
              <w:t>Fund</w:t>
            </w:r>
            <w:r>
              <w:rPr/>
              <w:br/>
            </w:r>
            <w:r>
              <w:rPr>
                <w:b/>
              </w:rPr>
              <w:t>Complex**</w:t>
            </w:r>
            <w:r>
              <w:rPr/>
              <w:br/>
            </w:r>
            <w:r>
              <w:rPr>
                <w:b/>
              </w:rPr>
              <w:t>Overseen by</w:t>
            </w:r>
            <w:r>
              <w:rPr/>
              <w:br/>
            </w:r>
            <w:r>
              <w:rPr>
                <w:b/>
              </w:rPr>
              <w:t>Director</w:t>
            </w:r>
          </w:p>
        </w:tc>
        <w:tc>
          <w:tcPr>
            <w:tcW w:w="60" w:type="dxa"/>
            <w:tcBorders/>
            <w:vAlign w:val="center"/>
          </w:tcPr>
          <w:p>
            <w:pPr>
              <w:pStyle w:val="TableContents"/>
              <w:bidi w:val="0"/>
              <w:spacing w:before="0" w:after="283"/>
              <w:jc w:val="left"/>
              <w:rPr/>
            </w:pPr>
            <w:r>
              <w:rPr/>
              <w:t> </w:t>
            </w:r>
          </w:p>
        </w:tc>
        <w:tc>
          <w:tcPr>
            <w:tcW w:w="138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Other</w:t>
            </w:r>
          </w:p>
          <w:p>
            <w:pPr>
              <w:pStyle w:val="TableContents"/>
              <w:bidi w:val="0"/>
              <w:spacing w:before="0" w:after="0"/>
              <w:jc w:val="center"/>
              <w:rPr>
                <w:rFonts w:ascii="Times New Roman" w:hAnsi="Times New Roman"/>
                <w:b/>
                <w:sz w:val="15"/>
              </w:rPr>
            </w:pPr>
            <w:r>
              <w:rPr>
                <w:rFonts w:ascii="Times New Roman" w:hAnsi="Times New Roman"/>
                <w:b/>
                <w:sz w:val="15"/>
              </w:rPr>
              <w:t>Directorships</w:t>
            </w:r>
          </w:p>
          <w:p>
            <w:pPr>
              <w:pStyle w:val="TableContents"/>
              <w:bidi w:val="0"/>
              <w:spacing w:before="0" w:after="20"/>
              <w:jc w:val="center"/>
              <w:rPr>
                <w:rFonts w:ascii="Times New Roman" w:hAnsi="Times New Roman"/>
                <w:b/>
                <w:sz w:val="15"/>
              </w:rPr>
            </w:pPr>
            <w:r>
              <w:rPr>
                <w:rFonts w:ascii="Times New Roman" w:hAnsi="Times New Roman"/>
                <w:b/>
                <w:sz w:val="15"/>
              </w:rPr>
              <w:t>Held by Director</w:t>
            </w:r>
          </w:p>
        </w:tc>
      </w:tr>
      <w:tr>
        <w:trPr/>
        <w:tc>
          <w:tcPr>
            <w:tcW w:w="10205" w:type="dxa"/>
            <w:gridSpan w:val="11"/>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Nominees to serve as Class III Directors until the 2029 Annual Meeting of Stockholders</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rPr>
            </w:pPr>
            <w:r>
              <w:rPr>
                <w:b/>
              </w:rPr>
              <w:t>NON-INTERESTED DIRECTOR</w:t>
            </w:r>
          </w:p>
        </w:tc>
      </w:tr>
      <w:tr>
        <w:trPr/>
        <w:tc>
          <w:tcPr>
            <w:tcW w:w="1097"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Hurley Doddy</w:t>
            </w:r>
          </w:p>
          <w:p>
            <w:pPr>
              <w:pStyle w:val="TableContents"/>
              <w:bidi w:val="0"/>
              <w:spacing w:before="0" w:after="20"/>
              <w:jc w:val="left"/>
              <w:rPr>
                <w:rFonts w:ascii="Times New Roman" w:hAnsi="Times New Roman"/>
                <w:sz w:val="17"/>
              </w:rPr>
            </w:pPr>
            <w:r>
              <w:rPr>
                <w:rFonts w:ascii="Times New Roman" w:hAnsi="Times New Roman"/>
                <w:sz w:val="17"/>
              </w:rPr>
              <w:t>Birth year: 1963</w:t>
            </w:r>
          </w:p>
        </w:tc>
        <w:tc>
          <w:tcPr>
            <w:tcW w:w="60"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left"/>
              <w:rPr/>
            </w:pPr>
            <w:r>
              <w:rPr/>
              <w:t>Director and Member of Audit Committee, Compensation Committee and Nominating and Corporate Governance Committee</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Director since 2019 (term expires in 2026)</w:t>
            </w:r>
          </w:p>
        </w:tc>
        <w:tc>
          <w:tcPr>
            <w:tcW w:w="60"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Managing Director, Founding Partner and Chief Executive Officer of Emerging Capital Partners</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Trustee, Sixth Street Lending Partners (since 2022)</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sz w:val="18"/>
              </w:rPr>
            </w:pPr>
            <w:r>
              <w:rPr>
                <w:b/>
                <w:sz w:val="18"/>
              </w:rPr>
              <w:t>INTERESTED DIRECTORS</w:t>
            </w:r>
          </w:p>
        </w:tc>
      </w:tr>
      <w:tr>
        <w:trPr/>
        <w:tc>
          <w:tcPr>
            <w:tcW w:w="1097"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Michael Fishman*</w:t>
            </w:r>
          </w:p>
          <w:p>
            <w:pPr>
              <w:pStyle w:val="TableContents"/>
              <w:bidi w:val="0"/>
              <w:spacing w:before="0" w:after="20"/>
              <w:jc w:val="left"/>
              <w:rPr>
                <w:rFonts w:ascii="Times New Roman" w:hAnsi="Times New Roman"/>
                <w:sz w:val="17"/>
              </w:rPr>
            </w:pPr>
            <w:r>
              <w:rPr>
                <w:rFonts w:ascii="Times New Roman" w:hAnsi="Times New Roman"/>
                <w:sz w:val="17"/>
              </w:rPr>
              <w:t>Birth year: 1963</w:t>
            </w:r>
          </w:p>
        </w:tc>
        <w:tc>
          <w:tcPr>
            <w:tcW w:w="60"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left"/>
              <w:rPr/>
            </w:pPr>
            <w:r>
              <w:rPr/>
              <w:t>Director and Vice President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Director since 2011 (term expires in 2026); Vice President since 2017 (indefinite term)</w:t>
            </w:r>
          </w:p>
        </w:tc>
        <w:tc>
          <w:tcPr>
            <w:tcW w:w="60"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Vice President of TSLX; Partner, Sixth Street Partners, LLC (“Sixth Street”)</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None</w:t>
            </w:r>
          </w:p>
        </w:tc>
      </w:tr>
      <w:tr>
        <w:trPr/>
        <w:tc>
          <w:tcPr>
            <w:tcW w:w="1097" w:type="dxa"/>
            <w:tcBorders/>
            <w:vAlign w:val="center"/>
          </w:tcPr>
          <w:p>
            <w:pPr>
              <w:pStyle w:val="TableContents"/>
              <w:bidi w:val="0"/>
              <w:spacing w:before="0" w:after="283"/>
              <w:jc w:val="left"/>
              <w:rPr>
                <w:sz w:val="4"/>
                <w:szCs w:val="4"/>
              </w:rPr>
            </w:pPr>
            <w:r>
              <w:rPr>
                <w:sz w:val="4"/>
                <w:szCs w:val="4"/>
              </w:rPr>
            </w:r>
          </w:p>
        </w:tc>
        <w:tc>
          <w:tcPr>
            <w:tcW w:w="2072"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214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46"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Robert (“Bo”) Stanley*</w:t>
            </w:r>
          </w:p>
          <w:p>
            <w:pPr>
              <w:pStyle w:val="TableContents"/>
              <w:bidi w:val="0"/>
              <w:spacing w:before="0" w:after="20"/>
              <w:jc w:val="left"/>
              <w:rPr>
                <w:rFonts w:ascii="Times New Roman" w:hAnsi="Times New Roman"/>
                <w:sz w:val="17"/>
              </w:rPr>
            </w:pPr>
            <w:r>
              <w:rPr>
                <w:rFonts w:ascii="Times New Roman" w:hAnsi="Times New Roman"/>
                <w:sz w:val="17"/>
              </w:rPr>
              <w:t>Birth year: 1974</w:t>
            </w:r>
          </w:p>
        </w:tc>
        <w:tc>
          <w:tcPr>
            <w:tcW w:w="60"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left"/>
              <w:rPr/>
            </w:pPr>
            <w:r>
              <w:rPr/>
              <w:t>Director and Chief Executive Officer and Member of Risk Management Committee</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Director since 2025 (term expires in 2026); Chief Executive Officer since 2026 (indefinite term); President (2016 to 2026)</w:t>
            </w:r>
          </w:p>
        </w:tc>
        <w:tc>
          <w:tcPr>
            <w:tcW w:w="60"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Co-Head of Sixth Street Direct Lending and Co-Head of Sixth Street Growth; Partner, Sixth Street.</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386" w:type="dxa"/>
            <w:tcBorders/>
            <w:vAlign w:val="center"/>
          </w:tcPr>
          <w:p>
            <w:pPr>
              <w:pStyle w:val="TableContents"/>
              <w:bidi w:val="0"/>
              <w:spacing w:before="0" w:after="283"/>
              <w:jc w:val="left"/>
              <w:rPr/>
            </w:pPr>
            <w:r>
              <w:rPr/>
              <w:t>Trustee, Sixth Street Lending Partners (since 2025)</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the persons listed above is c/o Sixth Street Specialty Lending, Inc., 2100 McKinney Avenue, Suite 1500, Dallas, TX 75201.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Messrs. Fishman and Stanely are “interested persons” as defined in the 1940 Act, because they are officers of the Adviser and certain of its affiliates. </w:t>
            </w:r>
          </w:p>
        </w:tc>
      </w:tr>
    </w:tbl>
    <w:tbl>
      <w:tblPr>
        <w:tblW w:w="7195" w:type="dxa"/>
        <w:jc w:val="left"/>
        <w:tblInd w:w="0" w:type="dxa"/>
        <w:tblLayout w:type="fixed"/>
        <w:tblCellMar>
          <w:top w:w="0" w:type="dxa"/>
          <w:left w:w="0" w:type="dxa"/>
          <w:bottom w:w="0" w:type="dxa"/>
          <w:right w:w="0" w:type="dxa"/>
        </w:tblCellMar>
      </w:tblPr>
      <w:tblGrid>
        <w:gridCol w:w="275"/>
        <w:gridCol w:w="6920"/>
      </w:tblGrid>
      <w:tr>
        <w:trPr/>
        <w:tc>
          <w:tcPr>
            <w:tcW w:w="275"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“Fund Complex” means two or more registered investment companies that: </w:t>
            </w:r>
          </w:p>
        </w:tc>
      </w:tr>
    </w:tbl>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left"/>
              <w:rPr/>
            </w:pPr>
            <w:r>
              <w:rPr/>
              <w:t>(a)</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 themselves out to investors as related companies for purposes of investment and investor services; or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 common investment adviser or have an investment adviser that is an affiliated person of the investment adviser of any of the other registered investment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79"/>
        <w:gridCol w:w="60"/>
        <w:gridCol w:w="1830"/>
        <w:gridCol w:w="60"/>
        <w:gridCol w:w="1287"/>
        <w:gridCol w:w="60"/>
        <w:gridCol w:w="2654"/>
        <w:gridCol w:w="60"/>
        <w:gridCol w:w="1280"/>
        <w:gridCol w:w="60"/>
        <w:gridCol w:w="1775"/>
      </w:tblGrid>
      <w:tr>
        <w:trPr/>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0"/>
              <w:jc w:val="left"/>
              <w:rPr>
                <w:rFonts w:ascii="Times New Roman" w:hAnsi="Times New Roman"/>
                <w:b/>
                <w:sz w:val="15"/>
              </w:rPr>
            </w:pPr>
            <w:r>
              <w:rPr>
                <w:rFonts w:ascii="Times New Roman" w:hAnsi="Times New Roman"/>
                <w:b/>
                <w:sz w:val="15"/>
              </w:rPr>
              <w:t>Name, Address(1)</w:t>
            </w:r>
          </w:p>
          <w:p>
            <w:pPr>
              <w:pStyle w:val="TableContents"/>
              <w:pBdr>
                <w:bottom w:val="single" w:sz="8" w:space="1" w:color="000000"/>
              </w:pBdr>
              <w:bidi w:val="0"/>
              <w:spacing w:before="0" w:after="20"/>
              <w:jc w:val="left"/>
              <w:rPr>
                <w:rFonts w:ascii="Times New Roman" w:hAnsi="Times New Roman"/>
                <w:b/>
                <w:sz w:val="15"/>
              </w:rPr>
            </w:pPr>
            <w:r>
              <w:rPr>
                <w:rFonts w:ascii="Times New Roman" w:hAnsi="Times New Roman"/>
                <w:b/>
                <w:sz w:val="15"/>
              </w:rPr>
              <w:t>and Birth Year</w:t>
            </w:r>
          </w:p>
        </w:tc>
        <w:tc>
          <w:tcPr>
            <w:tcW w:w="60" w:type="dxa"/>
            <w:tcBorders/>
            <w:vAlign w:val="center"/>
          </w:tcPr>
          <w:p>
            <w:pPr>
              <w:pStyle w:val="TableContents"/>
              <w:bidi w:val="0"/>
              <w:spacing w:before="0" w:after="283"/>
              <w:jc w:val="left"/>
              <w:rPr/>
            </w:pPr>
            <w:r>
              <w:rPr/>
              <w:t> </w:t>
            </w:r>
          </w:p>
        </w:tc>
        <w:tc>
          <w:tcPr>
            <w:tcW w:w="18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Position(s) Held</w:t>
            </w:r>
          </w:p>
          <w:p>
            <w:pPr>
              <w:pStyle w:val="TableContents"/>
              <w:bidi w:val="0"/>
              <w:spacing w:before="0" w:after="20"/>
              <w:jc w:val="center"/>
              <w:rPr>
                <w:rFonts w:ascii="Times New Roman" w:hAnsi="Times New Roman"/>
                <w:b/>
                <w:sz w:val="15"/>
              </w:rPr>
            </w:pPr>
            <w:r>
              <w:rPr>
                <w:rFonts w:ascii="Times New Roman" w:hAnsi="Times New Roman"/>
                <w:b/>
                <w:sz w:val="15"/>
              </w:rPr>
              <w:t>with Fund</w:t>
            </w:r>
          </w:p>
        </w:tc>
        <w:tc>
          <w:tcPr>
            <w:tcW w:w="60" w:type="dxa"/>
            <w:tcBorders/>
            <w:vAlign w:val="center"/>
          </w:tcPr>
          <w:p>
            <w:pPr>
              <w:pStyle w:val="TableContents"/>
              <w:bidi w:val="0"/>
              <w:spacing w:before="0" w:after="283"/>
              <w:jc w:val="left"/>
              <w:rPr/>
            </w:pPr>
            <w:r>
              <w:rPr/>
              <w:t> </w:t>
            </w:r>
          </w:p>
        </w:tc>
        <w:tc>
          <w:tcPr>
            <w:tcW w:w="128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Term of Office</w:t>
            </w:r>
          </w:p>
          <w:p>
            <w:pPr>
              <w:pStyle w:val="TableContents"/>
              <w:bidi w:val="0"/>
              <w:spacing w:before="0" w:after="0"/>
              <w:jc w:val="center"/>
              <w:rPr>
                <w:rFonts w:ascii="Times New Roman" w:hAnsi="Times New Roman"/>
                <w:b/>
                <w:sz w:val="15"/>
              </w:rPr>
            </w:pPr>
            <w:r>
              <w:rPr>
                <w:rFonts w:ascii="Times New Roman" w:hAnsi="Times New Roman"/>
                <w:b/>
                <w:sz w:val="15"/>
              </w:rPr>
              <w:t>and Length</w:t>
            </w:r>
          </w:p>
          <w:p>
            <w:pPr>
              <w:pStyle w:val="TableContents"/>
              <w:bidi w:val="0"/>
              <w:spacing w:before="0" w:after="20"/>
              <w:jc w:val="center"/>
              <w:rPr>
                <w:rFonts w:ascii="Times New Roman" w:hAnsi="Times New Roman"/>
                <w:b/>
                <w:sz w:val="15"/>
              </w:rPr>
            </w:pPr>
            <w:r>
              <w:rPr>
                <w:rFonts w:ascii="Times New Roman" w:hAnsi="Times New Roman"/>
                <w:b/>
                <w:sz w:val="15"/>
              </w:rPr>
              <w:t>Time Served</w:t>
            </w:r>
          </w:p>
        </w:tc>
        <w:tc>
          <w:tcPr>
            <w:tcW w:w="60" w:type="dxa"/>
            <w:tcBorders/>
            <w:vAlign w:val="center"/>
          </w:tcPr>
          <w:p>
            <w:pPr>
              <w:pStyle w:val="TableContents"/>
              <w:bidi w:val="0"/>
              <w:spacing w:before="0" w:after="283"/>
              <w:jc w:val="left"/>
              <w:rPr/>
            </w:pPr>
            <w:r>
              <w:rPr/>
              <w:t> </w:t>
            </w:r>
          </w:p>
        </w:tc>
        <w:tc>
          <w:tcPr>
            <w:tcW w:w="265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Principal Occupations</w:t>
            </w:r>
          </w:p>
          <w:p>
            <w:pPr>
              <w:pStyle w:val="TableContents"/>
              <w:bidi w:val="0"/>
              <w:spacing w:before="0" w:after="20"/>
              <w:jc w:val="center"/>
              <w:rPr>
                <w:rFonts w:ascii="Times New Roman" w:hAnsi="Times New Roman"/>
                <w:b/>
                <w:sz w:val="15"/>
              </w:rPr>
            </w:pPr>
            <w:r>
              <w:rPr>
                <w:rFonts w:ascii="Times New Roman" w:hAnsi="Times New Roman"/>
                <w:b/>
                <w:sz w:val="15"/>
              </w:rPr>
              <w:t>During Past Five Years</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Portfolios in</w:t>
            </w:r>
            <w:r>
              <w:rPr/>
              <w:br/>
            </w:r>
            <w:r>
              <w:rPr>
                <w:b/>
              </w:rPr>
              <w:t>Fund</w:t>
            </w:r>
            <w:r>
              <w:rPr/>
              <w:br/>
            </w:r>
            <w:r>
              <w:rPr>
                <w:b/>
              </w:rPr>
              <w:t>Complex**</w:t>
            </w:r>
            <w:r>
              <w:rPr/>
              <w:br/>
            </w:r>
            <w:r>
              <w:rPr>
                <w:b/>
              </w:rPr>
              <w:t>Overseen by</w:t>
            </w:r>
            <w:r>
              <w:rPr/>
              <w:br/>
            </w:r>
            <w:r>
              <w:rPr>
                <w:b/>
              </w:rPr>
              <w:t>Director</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Other</w:t>
            </w:r>
          </w:p>
          <w:p>
            <w:pPr>
              <w:pStyle w:val="TableContents"/>
              <w:bidi w:val="0"/>
              <w:spacing w:before="0" w:after="0"/>
              <w:jc w:val="center"/>
              <w:rPr>
                <w:rFonts w:ascii="Times New Roman" w:hAnsi="Times New Roman"/>
                <w:b/>
                <w:sz w:val="15"/>
              </w:rPr>
            </w:pPr>
            <w:r>
              <w:rPr>
                <w:rFonts w:ascii="Times New Roman" w:hAnsi="Times New Roman"/>
                <w:b/>
                <w:sz w:val="15"/>
              </w:rPr>
              <w:t>Directorships</w:t>
            </w:r>
          </w:p>
          <w:p>
            <w:pPr>
              <w:pStyle w:val="TableContents"/>
              <w:bidi w:val="0"/>
              <w:spacing w:before="0" w:after="20"/>
              <w:jc w:val="center"/>
              <w:rPr>
                <w:rFonts w:ascii="Times New Roman" w:hAnsi="Times New Roman"/>
                <w:b/>
                <w:sz w:val="15"/>
              </w:rPr>
            </w:pPr>
            <w:r>
              <w:rPr>
                <w:rFonts w:ascii="Times New Roman" w:hAnsi="Times New Roman"/>
                <w:b/>
                <w:sz w:val="15"/>
              </w:rPr>
              <w:t>Held by Director</w:t>
            </w:r>
          </w:p>
        </w:tc>
      </w:tr>
      <w:tr>
        <w:trPr/>
        <w:tc>
          <w:tcPr>
            <w:tcW w:w="10205" w:type="dxa"/>
            <w:gridSpan w:val="11"/>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The following table provides information concerning the remaining Directors of the Company:</w:t>
            </w:r>
          </w:p>
          <w:p>
            <w:pPr>
              <w:pStyle w:val="TableContents"/>
              <w:bidi w:val="0"/>
              <w:spacing w:before="0" w:after="20"/>
              <w:jc w:val="left"/>
              <w:rPr>
                <w:rFonts w:ascii="Times New Roman" w:hAnsi="Times New Roman"/>
                <w:b/>
                <w:sz w:val="18"/>
              </w:rPr>
            </w:pPr>
            <w:r>
              <w:rPr>
                <w:rFonts w:ascii="Times New Roman" w:hAnsi="Times New Roman"/>
                <w:b/>
                <w:sz w:val="18"/>
              </w:rPr>
              <w:t>Class I Directors, Serving until the 2027 Annual Meeting of Stockholders</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rPr>
            </w:pPr>
            <w:r>
              <w:rPr>
                <w:b/>
              </w:rPr>
              <w:t>NON-INTERESTED DIRECTORS</w:t>
            </w:r>
          </w:p>
        </w:tc>
      </w:tr>
      <w:tr>
        <w:trPr/>
        <w:tc>
          <w:tcPr>
            <w:tcW w:w="1079"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Richard Higginbotham</w:t>
            </w:r>
          </w:p>
          <w:p>
            <w:pPr>
              <w:pStyle w:val="TableContents"/>
              <w:bidi w:val="0"/>
              <w:spacing w:before="0" w:after="20"/>
              <w:jc w:val="left"/>
              <w:rPr>
                <w:rFonts w:ascii="Times New Roman" w:hAnsi="Times New Roman"/>
                <w:sz w:val="17"/>
              </w:rPr>
            </w:pPr>
            <w:r>
              <w:rPr>
                <w:rFonts w:ascii="Times New Roman" w:hAnsi="Times New Roman"/>
                <w:sz w:val="17"/>
              </w:rPr>
              <w:t>Birth year: 1947</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left"/>
              <w:rPr/>
            </w:pPr>
            <w:r>
              <w:rPr/>
              <w:t>Director and Member of Audit Committee, Compensation Committee and Chair of Nominating and Corporate Governance Committee</w:t>
            </w:r>
          </w:p>
        </w:tc>
        <w:tc>
          <w:tcPr>
            <w:tcW w:w="60"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pPr>
            <w:r>
              <w:rPr/>
              <w:t>Director since 2011 (term expires in 2027)</w:t>
            </w:r>
          </w:p>
        </w:tc>
        <w:tc>
          <w:tcPr>
            <w:tcW w:w="60" w:type="dxa"/>
            <w:tcBorders/>
            <w:vAlign w:val="center"/>
          </w:tcPr>
          <w:p>
            <w:pPr>
              <w:pStyle w:val="TableContents"/>
              <w:bidi w:val="0"/>
              <w:spacing w:before="0" w:after="283"/>
              <w:jc w:val="left"/>
              <w:rPr/>
            </w:pPr>
            <w:r>
              <w:rPr/>
              <w:t> </w:t>
            </w:r>
          </w:p>
        </w:tc>
        <w:tc>
          <w:tcPr>
            <w:tcW w:w="2654" w:type="dxa"/>
            <w:tcBorders/>
            <w:vAlign w:val="center"/>
          </w:tcPr>
          <w:p>
            <w:pPr>
              <w:pStyle w:val="TableContents"/>
              <w:bidi w:val="0"/>
              <w:spacing w:before="0" w:after="283"/>
              <w:jc w:val="left"/>
              <w:rPr/>
            </w:pPr>
            <w:r>
              <w:rPr/>
              <w:t>Retired; formerly, Director, Healthcare Finance Group LLC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Trustee, Sixth Street Lending Partners (since 2022)</w:t>
            </w:r>
          </w:p>
        </w:tc>
      </w:tr>
      <w:tr>
        <w:trPr/>
        <w:tc>
          <w:tcPr>
            <w:tcW w:w="1079" w:type="dxa"/>
            <w:tcBorders/>
            <w:vAlign w:val="center"/>
          </w:tcPr>
          <w:p>
            <w:pPr>
              <w:pStyle w:val="TableContents"/>
              <w:bidi w:val="0"/>
              <w:spacing w:before="0" w:after="283"/>
              <w:jc w:val="left"/>
              <w:rPr>
                <w:sz w:val="4"/>
                <w:szCs w:val="4"/>
              </w:rPr>
            </w:pPr>
            <w:r>
              <w:rPr>
                <w:sz w:val="4"/>
                <w:szCs w:val="4"/>
              </w:rPr>
            </w:r>
          </w:p>
        </w:tc>
        <w:tc>
          <w:tcPr>
            <w:tcW w:w="1890"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c>
          <w:tcPr>
            <w:tcW w:w="2714"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Ronald Tanemura</w:t>
            </w:r>
          </w:p>
          <w:p>
            <w:pPr>
              <w:pStyle w:val="TableContents"/>
              <w:bidi w:val="0"/>
              <w:spacing w:before="0" w:after="20"/>
              <w:jc w:val="left"/>
              <w:rPr>
                <w:rFonts w:ascii="Times New Roman" w:hAnsi="Times New Roman"/>
                <w:sz w:val="17"/>
              </w:rPr>
            </w:pPr>
            <w:r>
              <w:rPr>
                <w:rFonts w:ascii="Times New Roman" w:hAnsi="Times New Roman"/>
                <w:sz w:val="17"/>
              </w:rPr>
              <w:t>Birth year: 1963</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left"/>
              <w:rPr/>
            </w:pPr>
            <w:r>
              <w:rPr/>
              <w:t>Director and Member of Audit Committee, Compensation Committee, Nominating and Corporate Governance Committee and Risk Management Committee</w:t>
            </w:r>
          </w:p>
        </w:tc>
        <w:tc>
          <w:tcPr>
            <w:tcW w:w="60"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pPr>
            <w:r>
              <w:rPr/>
              <w:t>Director since 2011 (term expires in 2027)</w:t>
            </w:r>
          </w:p>
        </w:tc>
        <w:tc>
          <w:tcPr>
            <w:tcW w:w="60" w:type="dxa"/>
            <w:tcBorders/>
            <w:vAlign w:val="center"/>
          </w:tcPr>
          <w:p>
            <w:pPr>
              <w:pStyle w:val="TableContents"/>
              <w:bidi w:val="0"/>
              <w:spacing w:before="0" w:after="283"/>
              <w:jc w:val="left"/>
              <w:rPr/>
            </w:pPr>
            <w:r>
              <w:rPr/>
              <w:t> </w:t>
            </w:r>
          </w:p>
        </w:tc>
        <w:tc>
          <w:tcPr>
            <w:tcW w:w="2654" w:type="dxa"/>
            <w:tcBorders/>
            <w:vAlign w:val="center"/>
          </w:tcPr>
          <w:p>
            <w:pPr>
              <w:pStyle w:val="TableContents"/>
              <w:bidi w:val="0"/>
              <w:spacing w:before="0" w:after="283"/>
              <w:jc w:val="left"/>
              <w:rPr/>
            </w:pPr>
            <w:r>
              <w:rPr/>
              <w:t>Director, post-reorganization Lehman Brothers Holdings Inc. since 2012. From 2012 to 2019, non-executive director of ICE Clear Credit in Chicago and, from 2009 to 2019, non-executive director of ICE Clear Europe in London, both wholly owned subsidiaries of Intercontinental Exchange, Inc.</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Trustee, Sixth Street Lending Partners (since 2022); Director, Talcott Resolution Life Insurance Company (since 2021); Director, Lehman Brothers Holdings Inc. (since 2012)</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sz w:val="18"/>
              </w:rPr>
            </w:pPr>
            <w:r>
              <w:rPr>
                <w:b/>
                <w:sz w:val="18"/>
              </w:rPr>
              <w:t>INTERESTED DIRECTOR</w:t>
            </w:r>
          </w:p>
        </w:tc>
      </w:tr>
      <w:tr>
        <w:trPr/>
        <w:tc>
          <w:tcPr>
            <w:tcW w:w="1079"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David Stiepleman*</w:t>
            </w:r>
          </w:p>
          <w:p>
            <w:pPr>
              <w:pStyle w:val="TableContents"/>
              <w:bidi w:val="0"/>
              <w:spacing w:before="0" w:after="20"/>
              <w:jc w:val="left"/>
              <w:rPr>
                <w:rFonts w:ascii="Times New Roman" w:hAnsi="Times New Roman"/>
                <w:sz w:val="17"/>
              </w:rPr>
            </w:pPr>
            <w:r>
              <w:rPr>
                <w:rFonts w:ascii="Times New Roman" w:hAnsi="Times New Roman"/>
                <w:sz w:val="17"/>
              </w:rPr>
              <w:t>Birth year: 1971</w:t>
            </w:r>
          </w:p>
        </w:tc>
        <w:tc>
          <w:tcPr>
            <w:tcW w:w="60"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left"/>
              <w:rPr/>
            </w:pPr>
            <w:r>
              <w:rPr/>
              <w:t>Director and Vice President</w:t>
            </w:r>
          </w:p>
        </w:tc>
        <w:tc>
          <w:tcPr>
            <w:tcW w:w="60"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left"/>
              <w:rPr/>
            </w:pPr>
            <w:r>
              <w:rPr/>
              <w:t>Director since 2019 (term expires in 2027); Vice President since 2011 (indefinite term)</w:t>
            </w:r>
          </w:p>
        </w:tc>
        <w:tc>
          <w:tcPr>
            <w:tcW w:w="60" w:type="dxa"/>
            <w:tcBorders/>
            <w:vAlign w:val="center"/>
          </w:tcPr>
          <w:p>
            <w:pPr>
              <w:pStyle w:val="TableContents"/>
              <w:bidi w:val="0"/>
              <w:spacing w:before="0" w:after="283"/>
              <w:jc w:val="left"/>
              <w:rPr/>
            </w:pPr>
            <w:r>
              <w:rPr/>
              <w:t> </w:t>
            </w:r>
          </w:p>
        </w:tc>
        <w:tc>
          <w:tcPr>
            <w:tcW w:w="2654" w:type="dxa"/>
            <w:tcBorders/>
            <w:vAlign w:val="center"/>
          </w:tcPr>
          <w:p>
            <w:pPr>
              <w:pStyle w:val="TableContents"/>
              <w:bidi w:val="0"/>
              <w:spacing w:before="0" w:after="283"/>
              <w:jc w:val="left"/>
              <w:rPr/>
            </w:pPr>
            <w:r>
              <w:rPr/>
              <w:t>Vice President, TSLX; Co-Founding Partner and Co-President of Sixth Street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Trustee, Sixth Street Lending Partners (since 2022)</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the persons listed above is c/o Sixth Street Specialty Lending, Inc., 2100 McKinney Avenue, Suite 1500, Dallas, TX 75201.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Stiepleman is an “interested person” as defined in the 1940 Act, because he is an officer of the Adviser and certain of its affiliates. </w:t>
            </w:r>
          </w:p>
        </w:tc>
      </w:tr>
    </w:tbl>
    <w:tbl>
      <w:tblPr>
        <w:tblW w:w="7195" w:type="dxa"/>
        <w:jc w:val="left"/>
        <w:tblInd w:w="0" w:type="dxa"/>
        <w:tblLayout w:type="fixed"/>
        <w:tblCellMar>
          <w:top w:w="0" w:type="dxa"/>
          <w:left w:w="0" w:type="dxa"/>
          <w:bottom w:w="0" w:type="dxa"/>
          <w:right w:w="0" w:type="dxa"/>
        </w:tblCellMar>
      </w:tblPr>
      <w:tblGrid>
        <w:gridCol w:w="275"/>
        <w:gridCol w:w="6920"/>
      </w:tblGrid>
      <w:tr>
        <w:trPr/>
        <w:tc>
          <w:tcPr>
            <w:tcW w:w="275"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“Fund Complex” means two or more registered investment companies that: </w:t>
            </w:r>
          </w:p>
        </w:tc>
      </w:tr>
    </w:tbl>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left"/>
              <w:rPr/>
            </w:pPr>
            <w:r>
              <w:rPr/>
              <w:t>(a)</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 themselves out to investors as related companies for purposes of investment and investor services; or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 common investment adviser or have an investment adviser that is an affiliated person of the investment adviser of any of the other registered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074"/>
        <w:gridCol w:w="60"/>
        <w:gridCol w:w="1926"/>
        <w:gridCol w:w="60"/>
        <w:gridCol w:w="1323"/>
        <w:gridCol w:w="60"/>
        <w:gridCol w:w="1995"/>
        <w:gridCol w:w="60"/>
        <w:gridCol w:w="1280"/>
        <w:gridCol w:w="60"/>
        <w:gridCol w:w="2307"/>
      </w:tblGrid>
      <w:tr>
        <w:trPr/>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0"/>
              <w:jc w:val="left"/>
              <w:rPr>
                <w:rFonts w:ascii="Times New Roman" w:hAnsi="Times New Roman"/>
                <w:b/>
                <w:sz w:val="15"/>
              </w:rPr>
            </w:pPr>
            <w:r>
              <w:rPr>
                <w:rFonts w:ascii="Times New Roman" w:hAnsi="Times New Roman"/>
                <w:b/>
                <w:sz w:val="15"/>
              </w:rPr>
              <w:t>Name, Address(1)</w:t>
            </w:r>
          </w:p>
          <w:p>
            <w:pPr>
              <w:pStyle w:val="TableContents"/>
              <w:pBdr>
                <w:bottom w:val="single" w:sz="8" w:space="1" w:color="000000"/>
              </w:pBdr>
              <w:bidi w:val="0"/>
              <w:spacing w:before="0" w:after="20"/>
              <w:jc w:val="left"/>
              <w:rPr>
                <w:rFonts w:ascii="Times New Roman" w:hAnsi="Times New Roman"/>
                <w:b/>
                <w:sz w:val="15"/>
              </w:rPr>
            </w:pPr>
            <w:r>
              <w:rPr>
                <w:rFonts w:ascii="Times New Roman" w:hAnsi="Times New Roman"/>
                <w:b/>
                <w:sz w:val="15"/>
              </w:rPr>
              <w:t>and Birth Year</w:t>
            </w:r>
          </w:p>
        </w:tc>
        <w:tc>
          <w:tcPr>
            <w:tcW w:w="60" w:type="dxa"/>
            <w:tcBorders/>
            <w:vAlign w:val="center"/>
          </w:tcPr>
          <w:p>
            <w:pPr>
              <w:pStyle w:val="TableContents"/>
              <w:bidi w:val="0"/>
              <w:spacing w:before="0" w:after="283"/>
              <w:jc w:val="left"/>
              <w:rPr/>
            </w:pPr>
            <w:r>
              <w:rPr/>
              <w:t> </w:t>
            </w:r>
          </w:p>
        </w:tc>
        <w:tc>
          <w:tcPr>
            <w:tcW w:w="19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5"/>
              </w:rPr>
            </w:pPr>
            <w:r>
              <w:rPr>
                <w:rFonts w:ascii="Times New Roman" w:hAnsi="Times New Roman"/>
                <w:b/>
                <w:sz w:val="15"/>
              </w:rPr>
              <w:t>Position(s) Held</w:t>
              <w:br/>
              <w:t>with Fund</w:t>
            </w:r>
          </w:p>
        </w:tc>
        <w:tc>
          <w:tcPr>
            <w:tcW w:w="60" w:type="dxa"/>
            <w:tcBorders/>
            <w:vAlign w:val="center"/>
          </w:tcPr>
          <w:p>
            <w:pPr>
              <w:pStyle w:val="TableContents"/>
              <w:bidi w:val="0"/>
              <w:spacing w:before="0" w:after="283"/>
              <w:jc w:val="left"/>
              <w:rPr/>
            </w:pPr>
            <w:r>
              <w:rPr/>
              <w:t> </w:t>
            </w:r>
          </w:p>
        </w:tc>
        <w:tc>
          <w:tcPr>
            <w:tcW w:w="132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Term of Office</w:t>
            </w:r>
          </w:p>
          <w:p>
            <w:pPr>
              <w:pStyle w:val="TableContents"/>
              <w:bidi w:val="0"/>
              <w:spacing w:before="0" w:after="0"/>
              <w:jc w:val="center"/>
              <w:rPr>
                <w:rFonts w:ascii="Times New Roman" w:hAnsi="Times New Roman"/>
                <w:b/>
                <w:sz w:val="15"/>
              </w:rPr>
            </w:pPr>
            <w:r>
              <w:rPr>
                <w:rFonts w:ascii="Times New Roman" w:hAnsi="Times New Roman"/>
                <w:b/>
                <w:sz w:val="15"/>
              </w:rPr>
              <w:t>and Length</w:t>
            </w:r>
          </w:p>
          <w:p>
            <w:pPr>
              <w:pStyle w:val="TableContents"/>
              <w:bidi w:val="0"/>
              <w:spacing w:before="0" w:after="20"/>
              <w:jc w:val="center"/>
              <w:rPr>
                <w:rFonts w:ascii="Times New Roman" w:hAnsi="Times New Roman"/>
                <w:b/>
                <w:sz w:val="15"/>
              </w:rPr>
            </w:pPr>
            <w:r>
              <w:rPr>
                <w:rFonts w:ascii="Times New Roman" w:hAnsi="Times New Roman"/>
                <w:b/>
                <w:sz w:val="15"/>
              </w:rPr>
              <w:t>Time Served</w:t>
            </w:r>
          </w:p>
        </w:tc>
        <w:tc>
          <w:tcPr>
            <w:tcW w:w="60" w:type="dxa"/>
            <w:tcBorders/>
            <w:vAlign w:val="center"/>
          </w:tcPr>
          <w:p>
            <w:pPr>
              <w:pStyle w:val="TableContents"/>
              <w:bidi w:val="0"/>
              <w:spacing w:before="0" w:after="283"/>
              <w:jc w:val="left"/>
              <w:rPr/>
            </w:pPr>
            <w:r>
              <w:rPr/>
              <w:t> </w:t>
            </w:r>
          </w:p>
        </w:tc>
        <w:tc>
          <w:tcPr>
            <w:tcW w:w="19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Principal Occupations</w:t>
            </w:r>
          </w:p>
          <w:p>
            <w:pPr>
              <w:pStyle w:val="TableContents"/>
              <w:bidi w:val="0"/>
              <w:spacing w:before="0" w:after="20"/>
              <w:jc w:val="center"/>
              <w:rPr>
                <w:rFonts w:ascii="Times New Roman" w:hAnsi="Times New Roman"/>
                <w:b/>
                <w:sz w:val="15"/>
              </w:rPr>
            </w:pPr>
            <w:r>
              <w:rPr>
                <w:rFonts w:ascii="Times New Roman" w:hAnsi="Times New Roman"/>
                <w:b/>
                <w:sz w:val="15"/>
              </w:rPr>
              <w:t>During Past Five Years</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Portfolios in</w:t>
            </w:r>
            <w:r>
              <w:rPr/>
              <w:br/>
            </w:r>
            <w:r>
              <w:rPr>
                <w:b/>
              </w:rPr>
              <w:t>Fund</w:t>
            </w:r>
            <w:r>
              <w:rPr/>
              <w:br/>
            </w:r>
            <w:r>
              <w:rPr>
                <w:b/>
              </w:rPr>
              <w:t>Complex**</w:t>
            </w:r>
            <w:r>
              <w:rPr/>
              <w:br/>
            </w:r>
            <w:r>
              <w:rPr>
                <w:b/>
              </w:rPr>
              <w:t>Overseen by</w:t>
            </w:r>
            <w:r>
              <w:rPr/>
              <w:br/>
            </w:r>
            <w:r>
              <w:rPr>
                <w:b/>
              </w:rPr>
              <w:t>Director</w:t>
            </w:r>
          </w:p>
        </w:tc>
        <w:tc>
          <w:tcPr>
            <w:tcW w:w="60" w:type="dxa"/>
            <w:tcBorders/>
            <w:vAlign w:val="center"/>
          </w:tcPr>
          <w:p>
            <w:pPr>
              <w:pStyle w:val="TableContents"/>
              <w:bidi w:val="0"/>
              <w:spacing w:before="0" w:after="283"/>
              <w:jc w:val="left"/>
              <w:rPr/>
            </w:pPr>
            <w:r>
              <w:rPr/>
              <w:t> </w:t>
            </w:r>
          </w:p>
        </w:tc>
        <w:tc>
          <w:tcPr>
            <w:tcW w:w="230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5"/>
              </w:rPr>
            </w:pPr>
            <w:r>
              <w:rPr>
                <w:rFonts w:ascii="Times New Roman" w:hAnsi="Times New Roman"/>
                <w:b/>
                <w:sz w:val="15"/>
              </w:rPr>
              <w:t>Other</w:t>
            </w:r>
          </w:p>
          <w:p>
            <w:pPr>
              <w:pStyle w:val="TableContents"/>
              <w:bidi w:val="0"/>
              <w:spacing w:before="0" w:after="0"/>
              <w:jc w:val="center"/>
              <w:rPr>
                <w:rFonts w:ascii="Times New Roman" w:hAnsi="Times New Roman"/>
                <w:b/>
                <w:sz w:val="15"/>
              </w:rPr>
            </w:pPr>
            <w:r>
              <w:rPr>
                <w:rFonts w:ascii="Times New Roman" w:hAnsi="Times New Roman"/>
                <w:b/>
                <w:sz w:val="15"/>
              </w:rPr>
              <w:t>Directorships</w:t>
            </w:r>
          </w:p>
          <w:p>
            <w:pPr>
              <w:pStyle w:val="TableContents"/>
              <w:bidi w:val="0"/>
              <w:spacing w:before="0" w:after="20"/>
              <w:jc w:val="center"/>
              <w:rPr>
                <w:rFonts w:ascii="Times New Roman" w:hAnsi="Times New Roman"/>
                <w:b/>
                <w:sz w:val="15"/>
              </w:rPr>
            </w:pPr>
            <w:r>
              <w:rPr>
                <w:rFonts w:ascii="Times New Roman" w:hAnsi="Times New Roman"/>
                <w:b/>
                <w:sz w:val="15"/>
              </w:rPr>
              <w:t>Held by Director</w:t>
            </w:r>
          </w:p>
        </w:tc>
      </w:tr>
      <w:tr>
        <w:trPr/>
        <w:tc>
          <w:tcPr>
            <w:tcW w:w="10205" w:type="dxa"/>
            <w:gridSpan w:val="11"/>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The following table provides information concerning the remaining Directors of the Company:</w:t>
            </w:r>
          </w:p>
          <w:p>
            <w:pPr>
              <w:pStyle w:val="TableContents"/>
              <w:bidi w:val="0"/>
              <w:spacing w:before="0" w:after="20"/>
              <w:jc w:val="left"/>
              <w:rPr>
                <w:rFonts w:ascii="Times New Roman" w:hAnsi="Times New Roman"/>
                <w:b/>
                <w:sz w:val="18"/>
              </w:rPr>
            </w:pPr>
            <w:r>
              <w:rPr>
                <w:rFonts w:ascii="Times New Roman" w:hAnsi="Times New Roman"/>
                <w:b/>
                <w:sz w:val="18"/>
              </w:rPr>
              <w:t>Class II Directors, Serving until the 2028 Annual Meeting of Stockholders</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rPr>
            </w:pPr>
            <w:r>
              <w:rPr>
                <w:b/>
              </w:rPr>
              <w:t>NON-INTERESTED DIRECTOR</w:t>
            </w:r>
          </w:p>
        </w:tc>
      </w:tr>
      <w:tr>
        <w:trPr/>
        <w:tc>
          <w:tcPr>
            <w:tcW w:w="107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Judy Slotkin</w:t>
            </w:r>
          </w:p>
          <w:p>
            <w:pPr>
              <w:pStyle w:val="TableContents"/>
              <w:bidi w:val="0"/>
              <w:spacing w:before="0" w:after="20"/>
              <w:jc w:val="left"/>
              <w:rPr>
                <w:rFonts w:ascii="Times New Roman" w:hAnsi="Times New Roman"/>
                <w:sz w:val="17"/>
              </w:rPr>
            </w:pPr>
            <w:r>
              <w:rPr>
                <w:rFonts w:ascii="Times New Roman" w:hAnsi="Times New Roman"/>
                <w:sz w:val="17"/>
              </w:rPr>
              <w:t>Birth year: 1953</w:t>
            </w:r>
          </w:p>
        </w:tc>
        <w:tc>
          <w:tcPr>
            <w:tcW w:w="60"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Director and Member of Compensation Committee, Nominating and Corporate Governance Committee and Chair of Audit Committee</w:t>
            </w:r>
          </w:p>
        </w:tc>
        <w:tc>
          <w:tcPr>
            <w:tcW w:w="6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Director since 2019 (term expires in 2028)</w:t>
            </w:r>
          </w:p>
        </w:tc>
        <w:tc>
          <w:tcPr>
            <w:tcW w:w="60"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left"/>
              <w:rPr/>
            </w:pPr>
            <w:r>
              <w:rPr/>
              <w:t>Retired since 2015; formerly, Managing Director, Bank of America</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Trustee, Sixth Street Lending Partners (since 2022)</w:t>
            </w:r>
          </w:p>
        </w:tc>
      </w:tr>
      <w:tr>
        <w:trPr/>
        <w:tc>
          <w:tcPr>
            <w:tcW w:w="1074" w:type="dxa"/>
            <w:tcBorders/>
            <w:vAlign w:val="center"/>
          </w:tcPr>
          <w:p>
            <w:pPr>
              <w:pStyle w:val="TableContents"/>
              <w:bidi w:val="0"/>
              <w:spacing w:before="0" w:after="283"/>
              <w:jc w:val="left"/>
              <w:rPr>
                <w:sz w:val="4"/>
                <w:szCs w:val="4"/>
              </w:rPr>
            </w:pPr>
            <w:r>
              <w:rPr>
                <w:sz w:val="4"/>
                <w:szCs w:val="4"/>
              </w:rPr>
            </w:r>
          </w:p>
        </w:tc>
        <w:tc>
          <w:tcPr>
            <w:tcW w:w="1986" w:type="dxa"/>
            <w:gridSpan w:val="2"/>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367" w:type="dxa"/>
            <w:gridSpan w:val="2"/>
            <w:tcBorders/>
            <w:vAlign w:val="center"/>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P. Emery Covington</w:t>
            </w:r>
          </w:p>
          <w:p>
            <w:pPr>
              <w:pStyle w:val="TableContents"/>
              <w:bidi w:val="0"/>
              <w:spacing w:before="0" w:after="20"/>
              <w:jc w:val="left"/>
              <w:rPr>
                <w:rFonts w:ascii="Times New Roman" w:hAnsi="Times New Roman"/>
                <w:sz w:val="17"/>
              </w:rPr>
            </w:pPr>
            <w:r>
              <w:rPr>
                <w:rFonts w:ascii="Times New Roman" w:hAnsi="Times New Roman"/>
                <w:sz w:val="17"/>
              </w:rPr>
              <w:t>Birth year: 1952</w:t>
            </w:r>
          </w:p>
        </w:tc>
        <w:tc>
          <w:tcPr>
            <w:tcW w:w="60"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Director and Member of Audit Committee, Compensation Committee and Nominating and Corporate Governance Committee</w:t>
            </w:r>
          </w:p>
        </w:tc>
        <w:tc>
          <w:tcPr>
            <w:tcW w:w="6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Director since 2023 (term expires in 2028)</w:t>
            </w:r>
          </w:p>
        </w:tc>
        <w:tc>
          <w:tcPr>
            <w:tcW w:w="60"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left"/>
              <w:rPr/>
            </w:pPr>
            <w:r>
              <w:rPr/>
              <w:t>Retired; formerly, Executive Vice President and Head of Commercial Credit Risk, Truist Bank (formerly SunTrust Bank)</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None</w:t>
            </w:r>
          </w:p>
        </w:tc>
      </w:tr>
      <w:tr>
        <w:trPr/>
        <w:tc>
          <w:tcPr>
            <w:tcW w:w="1074" w:type="dxa"/>
            <w:tcBorders/>
            <w:vAlign w:val="center"/>
          </w:tcPr>
          <w:p>
            <w:pPr>
              <w:pStyle w:val="TableContents"/>
              <w:bidi w:val="0"/>
              <w:spacing w:before="0" w:after="283"/>
              <w:jc w:val="left"/>
              <w:rPr>
                <w:sz w:val="4"/>
                <w:szCs w:val="4"/>
              </w:rPr>
            </w:pPr>
            <w:r>
              <w:rPr>
                <w:sz w:val="4"/>
                <w:szCs w:val="4"/>
              </w:rPr>
            </w:r>
          </w:p>
        </w:tc>
        <w:tc>
          <w:tcPr>
            <w:tcW w:w="1986" w:type="dxa"/>
            <w:gridSpan w:val="2"/>
            <w:tcBorders/>
            <w:vAlign w:val="center"/>
          </w:tcPr>
          <w:p>
            <w:pPr>
              <w:pStyle w:val="TableContents"/>
              <w:bidi w:val="0"/>
              <w:spacing w:before="0" w:after="283"/>
              <w:jc w:val="left"/>
              <w:rPr>
                <w:sz w:val="4"/>
                <w:szCs w:val="4"/>
              </w:rPr>
            </w:pPr>
            <w:r>
              <w:rPr>
                <w:sz w:val="4"/>
                <w:szCs w:val="4"/>
              </w:rPr>
            </w:r>
          </w:p>
        </w:tc>
        <w:tc>
          <w:tcPr>
            <w:tcW w:w="1383"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367" w:type="dxa"/>
            <w:gridSpan w:val="2"/>
            <w:tcBorders/>
            <w:vAlign w:val="center"/>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John D. Hershey</w:t>
            </w:r>
          </w:p>
          <w:p>
            <w:pPr>
              <w:pStyle w:val="TableContents"/>
              <w:bidi w:val="0"/>
              <w:spacing w:before="0" w:after="20"/>
              <w:jc w:val="left"/>
              <w:rPr>
                <w:rFonts w:ascii="Times New Roman" w:hAnsi="Times New Roman"/>
                <w:sz w:val="17"/>
              </w:rPr>
            </w:pPr>
            <w:r>
              <w:rPr>
                <w:rFonts w:ascii="Times New Roman" w:hAnsi="Times New Roman"/>
                <w:sz w:val="17"/>
              </w:rPr>
              <w:t>Birth year: 1962</w:t>
            </w:r>
          </w:p>
        </w:tc>
        <w:tc>
          <w:tcPr>
            <w:tcW w:w="60"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Director and Member of Audit Committee, Compensation Committee and Nominating and Corporate Governance Committee</w:t>
            </w:r>
          </w:p>
        </w:tc>
        <w:tc>
          <w:tcPr>
            <w:tcW w:w="6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Director since 2025 (term expires in 2028)</w:t>
            </w:r>
          </w:p>
        </w:tc>
        <w:tc>
          <w:tcPr>
            <w:tcW w:w="60"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left"/>
              <w:rPr/>
            </w:pPr>
            <w:r>
              <w:rPr/>
              <w:t>From 2008 to 2023, Director of Investments at Organ State Treasury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Director, Talcott Financial Group Investments LLC (since 2023); Trustee, Sixth Street Lending Partners (since 2025); Blackstone Private Equity Strategies Fund L.P. (since 2024); and Blackstone Infrastructure Strategies L.P. (since 2024)</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vAlign w:val="center"/>
          </w:tcPr>
          <w:p>
            <w:pPr>
              <w:pStyle w:val="TableContents"/>
              <w:bidi w:val="0"/>
              <w:spacing w:before="0" w:after="283"/>
              <w:jc w:val="center"/>
              <w:rPr>
                <w:b/>
              </w:rPr>
            </w:pPr>
            <w:r>
              <w:rPr>
                <w:b/>
              </w:rPr>
              <w:t>INTERESTED DIRECTORS</w:t>
            </w:r>
          </w:p>
        </w:tc>
      </w:tr>
      <w:tr>
        <w:trPr/>
        <w:tc>
          <w:tcPr>
            <w:tcW w:w="107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Jennifer Gordon*</w:t>
            </w:r>
          </w:p>
          <w:p>
            <w:pPr>
              <w:pStyle w:val="TableContents"/>
              <w:bidi w:val="0"/>
              <w:spacing w:before="0" w:after="20"/>
              <w:jc w:val="left"/>
              <w:rPr>
                <w:rFonts w:ascii="Times New Roman" w:hAnsi="Times New Roman"/>
                <w:sz w:val="17"/>
              </w:rPr>
            </w:pPr>
            <w:r>
              <w:rPr>
                <w:rFonts w:ascii="Times New Roman" w:hAnsi="Times New Roman"/>
                <w:sz w:val="17"/>
              </w:rPr>
              <w:t>Birth year: 1975</w:t>
            </w:r>
          </w:p>
        </w:tc>
        <w:tc>
          <w:tcPr>
            <w:tcW w:w="60"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Director and Vice President</w:t>
            </w:r>
          </w:p>
        </w:tc>
        <w:tc>
          <w:tcPr>
            <w:tcW w:w="60"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left"/>
              <w:rPr/>
            </w:pPr>
            <w:r>
              <w:rPr/>
              <w:t>Director since 2019 (term expires in 2028); Vice President since 2015 (indefinite term)</w:t>
            </w:r>
          </w:p>
        </w:tc>
        <w:tc>
          <w:tcPr>
            <w:tcW w:w="60"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left"/>
              <w:rPr/>
            </w:pPr>
            <w:r>
              <w:rPr/>
              <w:t>Vice President of TSLX; Partner and Chief Compliance Officer of Sixth Street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Trustee, Sixth Street Lending Partners (since 2022)</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the persons listed above is c/o Sixth Street Specialty Lending, Inc., 2100 McKinney Avenue, Suite 1500, Dallas, TX 75201.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Gordon is an “interested person” as defined in the 1940 Act, because she is an officer of the Adviser and certain of its affiliates. </w:t>
            </w:r>
          </w:p>
        </w:tc>
      </w:tr>
    </w:tbl>
    <w:tbl>
      <w:tblPr>
        <w:tblW w:w="7195" w:type="dxa"/>
        <w:jc w:val="left"/>
        <w:tblInd w:w="0" w:type="dxa"/>
        <w:tblLayout w:type="fixed"/>
        <w:tblCellMar>
          <w:top w:w="0" w:type="dxa"/>
          <w:left w:w="0" w:type="dxa"/>
          <w:bottom w:w="0" w:type="dxa"/>
          <w:right w:w="0" w:type="dxa"/>
        </w:tblCellMar>
      </w:tblPr>
      <w:tblGrid>
        <w:gridCol w:w="275"/>
        <w:gridCol w:w="6920"/>
      </w:tblGrid>
      <w:tr>
        <w:trPr/>
        <w:tc>
          <w:tcPr>
            <w:tcW w:w="275"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“Fund Complex” means two or more registered investment companies that: </w:t>
            </w:r>
          </w:p>
        </w:tc>
      </w:tr>
    </w:tbl>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left"/>
              <w:rPr/>
            </w:pPr>
            <w:r>
              <w:rPr/>
              <w:t>(a)</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 themselves out to investors as related companies for purposes of investment and investor services; or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 common investment adviser or have an investment adviser that is an affiliated person of the investment adviser of any of the other registered investment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Biographical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brief biographies of Messrs. Fishman, Stanley and Doddy and of all other members of the Board who will continue in office. On February 19, 2026, Joshua Easterly informed the Company of his intention to retire from the Board, effective as of the close of business on May 21, 2026. Accordingly, Mr. Easterly will not run for re-election to the Board at the Meeting.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Incumbent Class III Directors: Term Expiring 2026 </w:t>
      </w:r>
    </w:p>
    <w:p>
      <w:pPr>
        <w:pStyle w:val="TextBody"/>
        <w:bidi w:val="0"/>
        <w:spacing w:before="120" w:after="0"/>
        <w:jc w:val="left"/>
        <w:rPr>
          <w:rFonts w:ascii="Times New Roman" w:hAnsi="Times New Roman"/>
          <w:sz w:val="20"/>
        </w:rPr>
      </w:pPr>
      <w:r>
        <w:rPr>
          <w:rFonts w:ascii="Times New Roman" w:hAnsi="Times New Roman"/>
          <w:b/>
          <w:sz w:val="20"/>
        </w:rPr>
        <w:t xml:space="preserve">Hurley Doddy </w:t>
      </w:r>
      <w:r>
        <w:rPr>
          <w:rFonts w:ascii="Times New Roman" w:hAnsi="Times New Roman"/>
          <w:sz w:val="20"/>
        </w:rPr>
        <w:t xml:space="preserve">was elected a director of TSLX in January 2019. Mr. Doddy is a Managing Director, Founding Partner and Chief Executive 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He also currently serves on the board of Sixth Street Lending Partners.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 Mr. Doddy’s career in finance began at Salomon Brothers in 1984, lasting over 14 years with assignments in New York, Tokyo, and Sao Paulo where he gained a wealth of experience in bond trading, hedge management, fixed income &amp; equity derivatives, and emerging markets investing. </w:t>
      </w:r>
    </w:p>
    <w:p>
      <w:pPr>
        <w:pStyle w:val="TextBody"/>
        <w:bidi w:val="0"/>
        <w:spacing w:before="240" w:after="0"/>
        <w:jc w:val="left"/>
        <w:rPr>
          <w:rFonts w:ascii="Times New Roman" w:hAnsi="Times New Roman"/>
          <w:sz w:val="20"/>
        </w:rPr>
      </w:pPr>
      <w:r>
        <w:rPr>
          <w:rFonts w:ascii="Times New Roman" w:hAnsi="Times New Roman"/>
          <w:b/>
          <w:sz w:val="20"/>
        </w:rPr>
        <w:t xml:space="preserve">Michael Fishman </w:t>
      </w:r>
      <w:r>
        <w:rPr>
          <w:rFonts w:ascii="Times New Roman" w:hAnsi="Times New Roman"/>
          <w:sz w:val="20"/>
        </w:rPr>
        <w:t xml:space="preserve">was elected a director of TSLX in April 2011. From April 2011 to December 2013, he served as Chief Executive Officer, and from December 2013 to December 2017, he served as Co-Chief Executive Officer with Joshua Easterly. Mr. Fishman is a Vice President of TSLX and is a Sixth Street Partner. He has been an executive in corporate lending for more than 30 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 </w:t>
      </w:r>
    </w:p>
    <w:p>
      <w:pPr>
        <w:pStyle w:val="TextBody"/>
        <w:bidi w:val="0"/>
        <w:spacing w:before="240" w:after="0"/>
        <w:jc w:val="left"/>
        <w:rPr>
          <w:rFonts w:ascii="Times New Roman" w:hAnsi="Times New Roman"/>
          <w:sz w:val="20"/>
        </w:rPr>
      </w:pPr>
      <w:r>
        <w:rPr>
          <w:rFonts w:ascii="Times New Roman" w:hAnsi="Times New Roman"/>
          <w:b/>
          <w:sz w:val="20"/>
        </w:rPr>
        <w:t>Robert (“Bo”) Stanley</w:t>
      </w:r>
      <w:r>
        <w:rPr>
          <w:rFonts w:ascii="Times New Roman" w:hAnsi="Times New Roman"/>
          <w:sz w:val="20"/>
        </w:rPr>
        <w:t xml:space="preserve"> was appointed Chief Executive Officer and a director of TSLX in November 2025. Prior to becoming sole Chief Executive Officer on December 31, 2025, Mr. Stanley served as Co-Chief Executive Officer of TSLX from November 2025 until December 31, 2025, along with Joshua Easterly. Mr. Stanley also serves as Chief Executive Officer of Sixth Street Lending Partners and is a Partner of Sixth Street, Co-Head of Sixth Street Direct Lending and Co-Head of Sixth Street Growth.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ranging from $15 to $500 million. During this time, Mr. Stanley sourced and closed transactions representing $1.2 billion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lines and $850 million of new financings. From 2000 to 2006, Mr. Stanley served in multiple credit focused roles including Vice President responsible for loan underwriting activities as well as multiple underwriting and portfolio management support positions. He holds a B.S. in Business Administration with a concentration in Finance from the University of Maine.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Incumbent Class I Directors: Term Expiring 2027 </w:t>
      </w:r>
    </w:p>
    <w:p>
      <w:pPr>
        <w:pStyle w:val="TextBody"/>
        <w:bidi w:val="0"/>
        <w:spacing w:before="120" w:after="0"/>
        <w:jc w:val="left"/>
        <w:rPr>
          <w:rFonts w:ascii="Times New Roman" w:hAnsi="Times New Roman"/>
          <w:sz w:val="20"/>
        </w:rPr>
      </w:pPr>
      <w:r>
        <w:rPr>
          <w:rFonts w:ascii="Times New Roman" w:hAnsi="Times New Roman"/>
          <w:b/>
          <w:sz w:val="20"/>
        </w:rPr>
        <w:t xml:space="preserve">Richard Higginbotham </w:t>
      </w:r>
      <w:r>
        <w:rPr>
          <w:rFonts w:ascii="Times New Roman" w:hAnsi="Times New Roman"/>
          <w:sz w:val="20"/>
        </w:rPr>
        <w:t xml:space="preserve">was elected a director of TSLX in March 2011. From September 2010, he was a director of Healthcare Finance Group 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He also currently serves on the board of Sixth Street Lending Partners. Mr. Higginbotham holds a B.A. in Political Science from Brown University. Mr. Higginbotham’s depth of experience in senior executive positions in the financial sector provides the Board with valuable experience, insight and perspective in the credit sector. </w:t>
      </w:r>
    </w:p>
    <w:p>
      <w:pPr>
        <w:pStyle w:val="TextBody"/>
        <w:bidi w:val="0"/>
        <w:spacing w:before="240" w:after="0"/>
        <w:jc w:val="left"/>
        <w:rPr>
          <w:rFonts w:ascii="Times New Roman" w:hAnsi="Times New Roman"/>
          <w:sz w:val="20"/>
        </w:rPr>
      </w:pPr>
      <w:r>
        <w:rPr>
          <w:rFonts w:ascii="Times New Roman" w:hAnsi="Times New Roman"/>
          <w:b/>
          <w:sz w:val="20"/>
        </w:rPr>
        <w:t xml:space="preserve">David Stiepleman </w:t>
      </w:r>
      <w:r>
        <w:rPr>
          <w:rFonts w:ascii="Times New Roman" w:hAnsi="Times New Roman"/>
          <w:sz w:val="20"/>
        </w:rPr>
        <w:t xml:space="preserve">was elected a director of TSLX in September 2019. Mr. Stiepleman is a Vice President of TSLX. He is a Co-Founder, Partner and Co-President of Sixth Street. Mr. Stiepleman has been a cross-border corporate lawyer, senior executive and business builder for over 25 years, starting and running businesses, and representing clients, in the U.S., Europe and Asia. Mr. Stiepleman currently serves on the board of Sixth Street Lending Partners and is a strategic advisor to Westbound Equity Partners. He also serves on the Advisory Council for Mt. Tamalpais College,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 </w:t>
      </w:r>
    </w:p>
    <w:p>
      <w:pPr>
        <w:pStyle w:val="TextBody"/>
        <w:bidi w:val="0"/>
        <w:spacing w:before="240" w:after="0"/>
        <w:jc w:val="left"/>
        <w:rPr>
          <w:rFonts w:ascii="Times New Roman" w:hAnsi="Times New Roman"/>
          <w:sz w:val="20"/>
        </w:rPr>
      </w:pPr>
      <w:r>
        <w:rPr>
          <w:rFonts w:ascii="Times New Roman" w:hAnsi="Times New Roman"/>
          <w:b/>
          <w:sz w:val="20"/>
        </w:rPr>
        <w:t xml:space="preserve">Ronald Tanemura </w:t>
      </w:r>
      <w:r>
        <w:rPr>
          <w:rFonts w:ascii="Times New Roman" w:hAnsi="Times New Roman"/>
          <w:sz w:val="20"/>
        </w:rPr>
        <w:t xml:space="preserve">was elected a director of TSLX in March 2011 and currently serves on the boards of Sixth Street Lending Partners and of Talcott Resolution Life Insurance Company and certain affiliates. From 2012 to 2025, he served as a director of post-reorganization Lehman Brothers Holdings Inc.; from 2012 to 2019, he was a non-executive director of ICE Clear Credit in Chicago; and from 2009 to 2019, he served as a non-executive director of ICE Clear Europe in London, both wholly owned subsidiaries of Intercontinental Exchange, Inc. Earlier in his career, Mr. Tanemura was an Advisory Director and Partner at Goldman, Sachs &amp; Co. from 2000 to 2006, where he was Global Co-Head of Credit Derivatives and a member of the Fixed Income, Currency and Commodities Risk Committee and the Firmwide Credit Policy Committee. Prior to that, he led a variety of fixed income businesses during his tenure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Incumbent Class II Directors: Term Expiring 2028 </w:t>
      </w:r>
    </w:p>
    <w:p>
      <w:pPr>
        <w:pStyle w:val="TextBody"/>
        <w:bidi w:val="0"/>
        <w:spacing w:before="120" w:after="0"/>
        <w:jc w:val="left"/>
        <w:rPr>
          <w:rFonts w:ascii="Times New Roman" w:hAnsi="Times New Roman"/>
          <w:sz w:val="20"/>
        </w:rPr>
      </w:pPr>
      <w:r>
        <w:rPr>
          <w:rFonts w:ascii="Times New Roman" w:hAnsi="Times New Roman"/>
          <w:b/>
          <w:sz w:val="20"/>
        </w:rPr>
        <w:t xml:space="preserve">Jennifer Gordon </w:t>
      </w:r>
      <w:r>
        <w:rPr>
          <w:rFonts w:ascii="Times New Roman" w:hAnsi="Times New Roman"/>
          <w:sz w:val="20"/>
        </w:rPr>
        <w:t xml:space="preserve">was elected a director of TSLX in January 2019. Ms. Gordon is a Vice President of TSLX and is a Partner and Chief Compliance Officer of Sixth Street. She also currently serves on the board of Sixth Street Lending Partners.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Judy Slotkin </w:t>
      </w:r>
      <w:r>
        <w:rPr>
          <w:rFonts w:ascii="Times New Roman" w:hAnsi="Times New Roman"/>
          <w:sz w:val="20"/>
        </w:rPr>
        <w:t xml:space="preserve">was elected a director of TSLX in September 2019. Ms. Slotkin retired as a Managing Director from Bank of America in 2015, 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Public Finance. Ms. Slotkin holds a B.S. in Accounting from Fairleigh Dickinson University and an M.B.A. in Finance from Fordham University. She currently serves on the board and as chair of the audit committee of Sixth Street Lending Partners and she previously served as director, chair of the nominating and corporate governance committee and member of the audit committee for Siga Technologies, Inc. and as director and chair of the audit committee for Nephros, Inc. Ms. Slotkin’s numerous management positions and broad experiences within financial institutions provide the Board and, specifically, the Audit Committee, which she chairs, with valuable knowledge and insight in the financial services sector. </w:t>
      </w:r>
    </w:p>
    <w:p>
      <w:pPr>
        <w:pStyle w:val="TextBody"/>
        <w:bidi w:val="0"/>
        <w:spacing w:before="240" w:after="0"/>
        <w:jc w:val="left"/>
        <w:rPr>
          <w:rFonts w:ascii="Times New Roman" w:hAnsi="Times New Roman"/>
          <w:sz w:val="20"/>
        </w:rPr>
      </w:pPr>
      <w:r>
        <w:rPr>
          <w:rFonts w:ascii="Times New Roman" w:hAnsi="Times New Roman"/>
          <w:b/>
          <w:sz w:val="20"/>
        </w:rPr>
        <w:t xml:space="preserve">P. Emery Covington </w:t>
      </w:r>
      <w:r>
        <w:rPr>
          <w:rFonts w:ascii="Times New Roman" w:hAnsi="Times New Roman"/>
          <w:sz w:val="20"/>
        </w:rPr>
        <w:t xml:space="preserve">was appointed a director in July 2023. Ms. Covington retired as an Executive Vice President and Head of Commercial Credit Risk at Truist Bank (formerly SunTrust Bank), leading a credit execution team from 2009 through 2020 spanning a diversified exposure of businesses across the SunTrust footprint. She also served as a member of the Senior Credit Committee. Prior to joining SunTrust, Ms. Covington was a Managing Director at NewStar Financial from 2004, creating the Portfolio Management platform. Prior to joining NewStar Financial, Ms. Covington served in various leadership and credit-oriented roles at Fleet Boston Financial Group over a period of 24 years, most recently as Executive Vice President. Ms. Covington began her career as part of the Corporate Bank loan officer and management training program at Chemical Bank. Ms. Covington holds an A.B. in English (cum laude with Honors) from Smith College. She previously served on the Board of Risk Management Associates, including as Chair of the Professional Development Council and the Specialized Lending Council, and on the Board of the Women and Infants Foundation Board in Providence, Rhode Island. Ms. Covington’s numerous management positions and broad experiences within financial institutions provide the Board with valuable knowledge and insight in the financial services sector. </w:t>
      </w:r>
    </w:p>
    <w:p>
      <w:pPr>
        <w:pStyle w:val="TextBody"/>
        <w:bidi w:val="0"/>
        <w:spacing w:before="240" w:after="0"/>
        <w:jc w:val="left"/>
        <w:rPr>
          <w:rFonts w:ascii="Times New Roman" w:hAnsi="Times New Roman"/>
          <w:sz w:val="20"/>
        </w:rPr>
      </w:pPr>
      <w:r>
        <w:rPr>
          <w:rFonts w:ascii="Times New Roman" w:hAnsi="Times New Roman"/>
          <w:b/>
          <w:sz w:val="20"/>
        </w:rPr>
        <w:t xml:space="preserve">John D. Hershey </w:t>
      </w:r>
      <w:r>
        <w:rPr>
          <w:rFonts w:ascii="Times New Roman" w:hAnsi="Times New Roman"/>
          <w:sz w:val="20"/>
        </w:rPr>
        <w:t xml:space="preserve">was appointed a director in June 2025. Mr. Hershey previously worked from 2008 to 2023 at the Oregon State Treasury, most recently as Director of Investments, where he helped manage investment portfolios across all asset classes. Prior to that role, Mr. Hershey was the Director of Alternative Investments, with overall responsibility for private equity, real estate, real assets, hedge fund, private credit, and opportunity portfolios. Previously, Mr. Hershey was a managing director at an early-stage venture firm and a managing director at Banc of America Securities. Mr. Hershey has a BA in Economics from the University of California, Davis and an MBA from the University of Chicago. He served from 2018-2023 as a board member of the Institutional Limited Partners Association (ILPA), and Vice Chair from 2020-2022. He currently is a member of the board of trustees of Sixth Street Lending Partners and the Oregon Health &amp; Science University Foundation and is a member of the board of directors of Talcott Financial Group Investments, Blackstone Private Equity Strategies Fund L.P. and Blackstone Infrastructure Strategies L.P. Mr. Hershey’s extensive experience across diverse financial sectors provides the Board with valuable industry-specific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Equity Owned by Directors and Nominees in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dollar range of equity securities of the Company beneficially owned by each director or director nominee as of March 31, 2026. The Company is not part of a “family of investment companies,” as that term is defined in the 1940 Act. </w:t>
      </w:r>
    </w:p>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3440"/>
        <w:gridCol w:w="120"/>
        <w:gridCol w:w="201"/>
        <w:gridCol w:w="3494"/>
        <w:gridCol w:w="75"/>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 Range of our Common Stock</w:t>
              <w:br/>
              <w:t>Beneficially Owned (1) (2)</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4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Fishman (Director Nominee)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94"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$10,001—$50,000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(“Bo”) Stanley (Director Nominee)</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94"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Stiepleman</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4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Hurley Doddy (Director Nominee)</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D. Hershey</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94"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94"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494"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494"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030" w:type="dxa"/>
        <w:jc w:val="left"/>
        <w:tblInd w:w="0" w:type="dxa"/>
        <w:tblLayout w:type="fixed"/>
        <w:tblCellMar>
          <w:top w:w="0" w:type="dxa"/>
          <w:left w:w="0" w:type="dxa"/>
          <w:bottom w:w="0" w:type="dxa"/>
          <w:right w:w="0" w:type="dxa"/>
        </w:tblCellMar>
      </w:tblPr>
      <w:tblGrid>
        <w:gridCol w:w="305"/>
        <w:gridCol w:w="9725"/>
      </w:tblGrid>
      <w:tr>
        <w:trPr/>
        <w:tc>
          <w:tcPr>
            <w:tcW w:w="305" w:type="dxa"/>
            <w:tcBorders/>
            <w:vAlign w:val="center"/>
          </w:tcPr>
          <w:p>
            <w:pPr>
              <w:pStyle w:val="TableContents"/>
              <w:bidi w:val="0"/>
              <w:spacing w:before="0" w:after="283"/>
              <w:jc w:val="left"/>
              <w:rPr/>
            </w:pPr>
            <w:r>
              <w:rPr/>
              <w:t>(1)</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ranges used in the above table are $1—$10,000, $10,001—$50,000, $50,001—$100,000, or over $100,000.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Dollar ranges were determined using the number of shares that are beneficially owned as of March 31, 2026, multiplied by the closing sale price of the Company’s common stock as reported on the New York Stock Exchange (“NYSE”) as of March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Litigation Involving Directors and Nominees Adverse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Regarding Executive Officers Who Are Not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8"/>
        <w:gridCol w:w="60"/>
        <w:gridCol w:w="2506"/>
        <w:gridCol w:w="60"/>
        <w:gridCol w:w="876"/>
        <w:gridCol w:w="60"/>
        <w:gridCol w:w="5695"/>
      </w:tblGrid>
      <w:tr>
        <w:trPr/>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95" w:type="dxa"/>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Name, Address(1)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Birth Year    </w:t>
            </w:r>
          </w:p>
        </w:tc>
        <w:tc>
          <w:tcPr>
            <w:tcW w:w="60" w:type="dxa"/>
            <w:tcBorders/>
            <w:vAlign w:val="center"/>
          </w:tcPr>
          <w:p>
            <w:pPr>
              <w:pStyle w:val="TableContents"/>
              <w:bidi w:val="0"/>
              <w:spacing w:before="0" w:after="283"/>
              <w:jc w:val="left"/>
              <w:rPr/>
            </w:pPr>
            <w:r>
              <w:rPr/>
              <w:t> </w:t>
            </w:r>
          </w:p>
        </w:tc>
        <w:tc>
          <w:tcPr>
            <w:tcW w:w="25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 Held with Fund</w:t>
            </w:r>
          </w:p>
        </w:tc>
        <w:tc>
          <w:tcPr>
            <w:tcW w:w="60" w:type="dxa"/>
            <w:tcBorders/>
            <w:vAlign w:val="center"/>
          </w:tcPr>
          <w:p>
            <w:pPr>
              <w:pStyle w:val="TableContents"/>
              <w:bidi w:val="0"/>
              <w:spacing w:before="0" w:after="283"/>
              <w:jc w:val="left"/>
              <w:rPr/>
            </w:pPr>
            <w:r>
              <w:rPr/>
              <w:t> </w:t>
            </w:r>
          </w:p>
        </w:tc>
        <w:tc>
          <w:tcPr>
            <w:tcW w:w="876"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Term of Office</w:t>
            </w:r>
          </w:p>
          <w:p>
            <w:pPr>
              <w:pStyle w:val="TableContents"/>
              <w:bidi w:val="0"/>
              <w:spacing w:before="0" w:after="0"/>
              <w:jc w:val="center"/>
              <w:rPr>
                <w:rFonts w:ascii="Times New Roman" w:hAnsi="Times New Roman"/>
                <w:b/>
                <w:sz w:val="16"/>
              </w:rPr>
            </w:pPr>
            <w:r>
              <w:rPr>
                <w:rFonts w:ascii="Times New Roman" w:hAnsi="Times New Roman"/>
                <w:b/>
                <w:sz w:val="16"/>
              </w:rPr>
              <w:t>and Length Time</w:t>
            </w:r>
          </w:p>
          <w:p>
            <w:pPr>
              <w:pStyle w:val="TableContents"/>
              <w:bidi w:val="0"/>
              <w:spacing w:before="0" w:after="20"/>
              <w:jc w:val="center"/>
              <w:rPr>
                <w:rFonts w:ascii="Times New Roman" w:hAnsi="Times New Roman"/>
                <w:b/>
                <w:sz w:val="16"/>
              </w:rPr>
            </w:pPr>
            <w:r>
              <w:rPr>
                <w:rFonts w:ascii="Times New Roman" w:hAnsi="Times New Roman"/>
                <w:b/>
                <w:sz w:val="16"/>
              </w:rPr>
              <w:t>Served</w:t>
            </w:r>
          </w:p>
        </w:tc>
        <w:tc>
          <w:tcPr>
            <w:tcW w:w="60" w:type="dxa"/>
            <w:tcBorders/>
            <w:vAlign w:val="center"/>
          </w:tcPr>
          <w:p>
            <w:pPr>
              <w:pStyle w:val="TableContents"/>
              <w:bidi w:val="0"/>
              <w:spacing w:before="0" w:after="283"/>
              <w:jc w:val="left"/>
              <w:rPr/>
            </w:pPr>
            <w:r>
              <w:rPr/>
              <w:t> </w:t>
            </w:r>
          </w:p>
        </w:tc>
        <w:tc>
          <w:tcPr>
            <w:tcW w:w="5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 Past Five Years</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Executive Officers and Certain Other Officers Who Are Not Directors</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Anton Brett</w:t>
            </w:r>
          </w:p>
          <w:p>
            <w:pPr>
              <w:pStyle w:val="TableContents"/>
              <w:bidi w:val="0"/>
              <w:spacing w:before="0" w:after="20"/>
              <w:jc w:val="left"/>
              <w:rPr>
                <w:rFonts w:ascii="Times New Roman" w:hAnsi="Times New Roman"/>
                <w:sz w:val="18"/>
              </w:rPr>
            </w:pPr>
            <w:r>
              <w:rPr>
                <w:rFonts w:ascii="Times New Roman" w:hAnsi="Times New Roman"/>
                <w:sz w:val="18"/>
              </w:rPr>
              <w:t>Birth year: 1987</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Chief Compliance Officer and Secretary</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2022</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Chief Compliance Officer and Secretary of TSLX; Managing Director, Sixth Street. Prior to joining Sixth Street, from 2017 to 2020, Senior Associate at Scopia Capital Management, LP.</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Ross Bruck</w:t>
            </w:r>
          </w:p>
          <w:p>
            <w:pPr>
              <w:pStyle w:val="TableContents"/>
              <w:bidi w:val="0"/>
              <w:spacing w:before="0" w:after="20"/>
              <w:jc w:val="left"/>
              <w:rPr>
                <w:rFonts w:ascii="Times New Roman" w:hAnsi="Times New Roman"/>
                <w:sz w:val="18"/>
              </w:rPr>
            </w:pPr>
            <w:r>
              <w:rPr>
                <w:rFonts w:ascii="Times New Roman" w:hAnsi="Times New Roman"/>
                <w:sz w:val="18"/>
              </w:rPr>
              <w:t>Birth year: 1991</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2026</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Managing Director, Sixth Street and Head of Investment Strategy for Direct Lending</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Michael Graf</w:t>
            </w:r>
          </w:p>
          <w:p>
            <w:pPr>
              <w:pStyle w:val="TableContents"/>
              <w:bidi w:val="0"/>
              <w:spacing w:before="0" w:after="20"/>
              <w:jc w:val="left"/>
              <w:rPr>
                <w:rFonts w:ascii="Times New Roman" w:hAnsi="Times New Roman"/>
                <w:sz w:val="18"/>
              </w:rPr>
            </w:pPr>
            <w:r>
              <w:rPr>
                <w:rFonts w:ascii="Times New Roman" w:hAnsi="Times New Roman"/>
                <w:sz w:val="18"/>
              </w:rPr>
              <w:t>Birth year: 1982</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Deputy Chief Financial Officer and Principal Accounting Officer</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2015</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Deputy Chief Financial Officer of TSLX; Managing Director, Sixth Street.</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Craig Hamrah</w:t>
            </w:r>
          </w:p>
          <w:p>
            <w:pPr>
              <w:pStyle w:val="TableContents"/>
              <w:bidi w:val="0"/>
              <w:spacing w:before="0" w:after="20"/>
              <w:jc w:val="left"/>
              <w:rPr>
                <w:rFonts w:ascii="Times New Roman" w:hAnsi="Times New Roman"/>
                <w:sz w:val="18"/>
              </w:rPr>
            </w:pPr>
            <w:r>
              <w:rPr>
                <w:rFonts w:ascii="Times New Roman" w:hAnsi="Times New Roman"/>
                <w:sz w:val="18"/>
              </w:rPr>
              <w:t>Birth year: 1968</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2016</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Vice President of TSLX; Senior Credit Underwriter of the Adviser; Partner, Sixth Street.</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Joshua Peck</w:t>
            </w:r>
          </w:p>
          <w:p>
            <w:pPr>
              <w:pStyle w:val="TableContents"/>
              <w:bidi w:val="0"/>
              <w:spacing w:before="0" w:after="20"/>
              <w:jc w:val="left"/>
              <w:rPr>
                <w:rFonts w:ascii="Times New Roman" w:hAnsi="Times New Roman"/>
                <w:sz w:val="18"/>
              </w:rPr>
            </w:pPr>
            <w:r>
              <w:rPr>
                <w:rFonts w:ascii="Times New Roman" w:hAnsi="Times New Roman"/>
                <w:sz w:val="18"/>
              </w:rPr>
              <w:t>Birth year: 1978</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2022</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Vice President of TSLX; Partner and General Counsel, Sixth Street.</w:t>
            </w:r>
          </w:p>
        </w:tc>
      </w:tr>
      <w:tr>
        <w:trPr/>
        <w:tc>
          <w:tcPr>
            <w:tcW w:w="948" w:type="dxa"/>
            <w:tcBorders/>
            <w:vAlign w:val="center"/>
          </w:tcPr>
          <w:p>
            <w:pPr>
              <w:pStyle w:val="TableContents"/>
              <w:bidi w:val="0"/>
              <w:spacing w:before="0" w:after="283"/>
              <w:jc w:val="left"/>
              <w:rPr>
                <w:sz w:val="4"/>
                <w:szCs w:val="4"/>
              </w:rPr>
            </w:pPr>
            <w:r>
              <w:rPr>
                <w:sz w:val="4"/>
                <w:szCs w:val="4"/>
              </w:rPr>
            </w:r>
          </w:p>
        </w:tc>
        <w:tc>
          <w:tcPr>
            <w:tcW w:w="2566" w:type="dxa"/>
            <w:gridSpan w:val="2"/>
            <w:tcBorders/>
            <w:vAlign w:val="center"/>
          </w:tcPr>
          <w:p>
            <w:pPr>
              <w:pStyle w:val="TableContents"/>
              <w:bidi w:val="0"/>
              <w:spacing w:before="0" w:after="283"/>
              <w:jc w:val="left"/>
              <w:rPr>
                <w:sz w:val="4"/>
                <w:szCs w:val="4"/>
              </w:rPr>
            </w:pPr>
            <w:r>
              <w:rPr>
                <w:sz w:val="4"/>
                <w:szCs w:val="4"/>
              </w:rPr>
            </w:r>
          </w:p>
        </w:tc>
        <w:tc>
          <w:tcPr>
            <w:tcW w:w="936" w:type="dxa"/>
            <w:gridSpan w:val="2"/>
            <w:tcBorders/>
            <w:vAlign w:val="center"/>
          </w:tcPr>
          <w:p>
            <w:pPr>
              <w:pStyle w:val="TableContents"/>
              <w:bidi w:val="0"/>
              <w:spacing w:before="0" w:after="283"/>
              <w:jc w:val="left"/>
              <w:rPr>
                <w:sz w:val="4"/>
                <w:szCs w:val="4"/>
              </w:rPr>
            </w:pPr>
            <w:r>
              <w:rPr>
                <w:sz w:val="4"/>
                <w:szCs w:val="4"/>
              </w:rPr>
            </w:r>
          </w:p>
        </w:tc>
        <w:tc>
          <w:tcPr>
            <w:tcW w:w="5755" w:type="dxa"/>
            <w:gridSpan w:val="2"/>
            <w:tcBorders/>
            <w:vAlign w:val="center"/>
          </w:tcPr>
          <w:p>
            <w:pPr>
              <w:pStyle w:val="TableContents"/>
              <w:bidi w:val="0"/>
              <w:spacing w:before="0" w:after="283"/>
              <w:jc w:val="left"/>
              <w:rPr>
                <w:sz w:val="4"/>
                <w:szCs w:val="4"/>
              </w:rPr>
            </w:pPr>
            <w:r>
              <w:rPr>
                <w:sz w:val="4"/>
                <w:szCs w:val="4"/>
              </w:rPr>
            </w:r>
          </w:p>
        </w:tc>
      </w:tr>
      <w:tr>
        <w:trPr/>
        <w:tc>
          <w:tcPr>
            <w:tcW w:w="94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Steven Pluss</w:t>
            </w:r>
          </w:p>
          <w:p>
            <w:pPr>
              <w:pStyle w:val="TableContents"/>
              <w:bidi w:val="0"/>
              <w:spacing w:before="0" w:after="20"/>
              <w:jc w:val="left"/>
              <w:rPr>
                <w:rFonts w:ascii="Times New Roman" w:hAnsi="Times New Roman"/>
                <w:sz w:val="18"/>
              </w:rPr>
            </w:pPr>
            <w:r>
              <w:rPr>
                <w:rFonts w:ascii="Times New Roman" w:hAnsi="Times New Roman"/>
                <w:sz w:val="18"/>
              </w:rPr>
              <w:t>Birth year: 1962</w:t>
            </w:r>
          </w:p>
        </w:tc>
        <w:tc>
          <w:tcPr>
            <w:tcW w:w="60"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2014</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695" w:type="dxa"/>
            <w:tcBorders/>
            <w:vAlign w:val="center"/>
          </w:tcPr>
          <w:p>
            <w:pPr>
              <w:pStyle w:val="TableContents"/>
              <w:bidi w:val="0"/>
              <w:spacing w:before="0" w:after="283"/>
              <w:jc w:val="left"/>
              <w:rPr/>
            </w:pPr>
            <w:r>
              <w:rPr/>
              <w:t>Vice President of TSLX; Co-Founding Partner and Chief Risk Officer (since 2013), Sixth Street.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46"/>
        <w:gridCol w:w="60"/>
        <w:gridCol w:w="1748"/>
        <w:gridCol w:w="60"/>
        <w:gridCol w:w="1071"/>
        <w:gridCol w:w="60"/>
        <w:gridCol w:w="5860"/>
      </w:tblGrid>
      <w:tr>
        <w:trPr/>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0" w:type="dxa"/>
            <w:tcBorders/>
            <w:vAlign w:val="center"/>
          </w:tcPr>
          <w:p>
            <w:pPr>
              <w:pStyle w:val="TableContents"/>
              <w:bidi w:val="0"/>
              <w:spacing w:before="0" w:after="283"/>
              <w:jc w:val="left"/>
              <w:rPr>
                <w:sz w:val="4"/>
                <w:szCs w:val="4"/>
              </w:rPr>
            </w:pPr>
            <w:r>
              <w:rPr>
                <w:sz w:val="4"/>
                <w:szCs w:val="4"/>
              </w:rPr>
            </w:r>
          </w:p>
        </w:tc>
      </w:tr>
      <w:tr>
        <w:trPr/>
        <w:tc>
          <w:tcPr>
            <w:tcW w:w="1346"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Name, Address(1)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Birth Year    </w:t>
            </w:r>
          </w:p>
        </w:tc>
        <w:tc>
          <w:tcPr>
            <w:tcW w:w="60" w:type="dxa"/>
            <w:tcBorders/>
            <w:vAlign w:val="center"/>
          </w:tcPr>
          <w:p>
            <w:pPr>
              <w:pStyle w:val="TableContents"/>
              <w:bidi w:val="0"/>
              <w:spacing w:before="0" w:after="283"/>
              <w:jc w:val="left"/>
              <w:rPr/>
            </w:pPr>
            <w:r>
              <w:rPr/>
              <w:t> </w:t>
            </w:r>
          </w:p>
        </w:tc>
        <w:tc>
          <w:tcPr>
            <w:tcW w:w="17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 Held with Fund</w:t>
            </w:r>
          </w:p>
        </w:tc>
        <w:tc>
          <w:tcPr>
            <w:tcW w:w="60" w:type="dxa"/>
            <w:tcBorders/>
            <w:vAlign w:val="center"/>
          </w:tcPr>
          <w:p>
            <w:pPr>
              <w:pStyle w:val="TableContents"/>
              <w:bidi w:val="0"/>
              <w:spacing w:before="0" w:after="283"/>
              <w:jc w:val="left"/>
              <w:rPr/>
            </w:pPr>
            <w:r>
              <w:rPr/>
              <w:t> </w:t>
            </w:r>
          </w:p>
        </w:tc>
        <w:tc>
          <w:tcPr>
            <w:tcW w:w="107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Term of Office</w:t>
            </w:r>
          </w:p>
          <w:p>
            <w:pPr>
              <w:pStyle w:val="TableContents"/>
              <w:bidi w:val="0"/>
              <w:spacing w:before="0" w:after="0"/>
              <w:jc w:val="center"/>
              <w:rPr>
                <w:rFonts w:ascii="Times New Roman" w:hAnsi="Times New Roman"/>
                <w:b/>
                <w:sz w:val="16"/>
              </w:rPr>
            </w:pPr>
            <w:r>
              <w:rPr>
                <w:rFonts w:ascii="Times New Roman" w:hAnsi="Times New Roman"/>
                <w:b/>
                <w:sz w:val="16"/>
              </w:rPr>
              <w:t>and Length Time</w:t>
            </w:r>
          </w:p>
          <w:p>
            <w:pPr>
              <w:pStyle w:val="TableContents"/>
              <w:bidi w:val="0"/>
              <w:spacing w:before="0" w:after="20"/>
              <w:jc w:val="center"/>
              <w:rPr>
                <w:rFonts w:ascii="Times New Roman" w:hAnsi="Times New Roman"/>
                <w:b/>
                <w:sz w:val="16"/>
              </w:rPr>
            </w:pPr>
            <w:r>
              <w:rPr>
                <w:rFonts w:ascii="Times New Roman" w:hAnsi="Times New Roman"/>
                <w:b/>
                <w:sz w:val="16"/>
              </w:rPr>
              <w:t>Served</w:t>
            </w:r>
          </w:p>
        </w:tc>
        <w:tc>
          <w:tcPr>
            <w:tcW w:w="60" w:type="dxa"/>
            <w:tcBorders/>
            <w:vAlign w:val="center"/>
          </w:tcPr>
          <w:p>
            <w:pPr>
              <w:pStyle w:val="TableContents"/>
              <w:bidi w:val="0"/>
              <w:spacing w:before="0" w:after="283"/>
              <w:jc w:val="left"/>
              <w:rPr/>
            </w:pPr>
            <w:r>
              <w:rPr/>
              <w:t> </w:t>
            </w:r>
          </w:p>
        </w:tc>
        <w:tc>
          <w:tcPr>
            <w:tcW w:w="5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 Past Five Years</w:t>
            </w:r>
          </w:p>
        </w:tc>
      </w:tr>
      <w:tr>
        <w:trPr/>
        <w:tc>
          <w:tcPr>
            <w:tcW w:w="1346" w:type="dxa"/>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1131" w:type="dxa"/>
            <w:gridSpan w:val="2"/>
            <w:tcBorders/>
            <w:vAlign w:val="center"/>
          </w:tcPr>
          <w:p>
            <w:pPr>
              <w:pStyle w:val="TableContents"/>
              <w:bidi w:val="0"/>
              <w:spacing w:before="0" w:after="283"/>
              <w:jc w:val="left"/>
              <w:rPr>
                <w:sz w:val="4"/>
                <w:szCs w:val="4"/>
              </w:rPr>
            </w:pPr>
            <w:r>
              <w:rPr>
                <w:sz w:val="4"/>
                <w:szCs w:val="4"/>
              </w:rPr>
            </w:r>
          </w:p>
        </w:tc>
        <w:tc>
          <w:tcPr>
            <w:tcW w:w="5920" w:type="dxa"/>
            <w:gridSpan w:val="2"/>
            <w:tcBorders/>
            <w:vAlign w:val="center"/>
          </w:tcPr>
          <w:p>
            <w:pPr>
              <w:pStyle w:val="TableContents"/>
              <w:bidi w:val="0"/>
              <w:spacing w:before="0" w:after="283"/>
              <w:jc w:val="left"/>
              <w:rPr>
                <w:sz w:val="4"/>
                <w:szCs w:val="4"/>
              </w:rPr>
            </w:pPr>
            <w:r>
              <w:rPr>
                <w:sz w:val="4"/>
                <w:szCs w:val="4"/>
              </w:rPr>
            </w:r>
          </w:p>
        </w:tc>
      </w:tr>
      <w:tr>
        <w:trPr/>
        <w:tc>
          <w:tcPr>
            <w:tcW w:w="13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Ian Simmonds</w:t>
            </w:r>
          </w:p>
          <w:p>
            <w:pPr>
              <w:pStyle w:val="TableContents"/>
              <w:bidi w:val="0"/>
              <w:spacing w:before="0" w:after="20"/>
              <w:jc w:val="left"/>
              <w:rPr>
                <w:rFonts w:ascii="Times New Roman" w:hAnsi="Times New Roman"/>
                <w:sz w:val="18"/>
              </w:rPr>
            </w:pPr>
            <w:r>
              <w:rPr>
                <w:rFonts w:ascii="Times New Roman" w:hAnsi="Times New Roman"/>
                <w:sz w:val="18"/>
              </w:rPr>
              <w:t>Birth year: 1971</w:t>
            </w:r>
          </w:p>
        </w:tc>
        <w:tc>
          <w:tcPr>
            <w:tcW w:w="60"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Chief Financial Officer</w:t>
            </w:r>
          </w:p>
        </w:tc>
        <w:tc>
          <w:tcPr>
            <w:tcW w:w="6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2015</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860" w:type="dxa"/>
            <w:tcBorders/>
            <w:vAlign w:val="center"/>
          </w:tcPr>
          <w:p>
            <w:pPr>
              <w:pStyle w:val="TableContents"/>
              <w:bidi w:val="0"/>
              <w:spacing w:before="0" w:after="283"/>
              <w:jc w:val="left"/>
              <w:rPr/>
            </w:pPr>
            <w:r>
              <w:rPr/>
              <w:t>Chief Financial Officer of TSLX; Partner, Sixth Street.</w:t>
            </w:r>
          </w:p>
        </w:tc>
      </w:tr>
      <w:tr>
        <w:trPr/>
        <w:tc>
          <w:tcPr>
            <w:tcW w:w="1346" w:type="dxa"/>
            <w:tcBorders/>
            <w:vAlign w:val="center"/>
          </w:tcPr>
          <w:p>
            <w:pPr>
              <w:pStyle w:val="TableContents"/>
              <w:bidi w:val="0"/>
              <w:spacing w:before="0" w:after="283"/>
              <w:jc w:val="left"/>
              <w:rPr>
                <w:sz w:val="4"/>
                <w:szCs w:val="4"/>
              </w:rPr>
            </w:pPr>
            <w:r>
              <w:rPr>
                <w:sz w:val="4"/>
                <w:szCs w:val="4"/>
              </w:rPr>
            </w:r>
          </w:p>
        </w:tc>
        <w:tc>
          <w:tcPr>
            <w:tcW w:w="1808" w:type="dxa"/>
            <w:gridSpan w:val="2"/>
            <w:tcBorders/>
            <w:vAlign w:val="center"/>
          </w:tcPr>
          <w:p>
            <w:pPr>
              <w:pStyle w:val="TableContents"/>
              <w:bidi w:val="0"/>
              <w:spacing w:before="0" w:after="283"/>
              <w:jc w:val="left"/>
              <w:rPr>
                <w:sz w:val="4"/>
                <w:szCs w:val="4"/>
              </w:rPr>
            </w:pPr>
            <w:r>
              <w:rPr>
                <w:sz w:val="4"/>
                <w:szCs w:val="4"/>
              </w:rPr>
            </w:r>
          </w:p>
        </w:tc>
        <w:tc>
          <w:tcPr>
            <w:tcW w:w="1131" w:type="dxa"/>
            <w:gridSpan w:val="2"/>
            <w:tcBorders/>
            <w:vAlign w:val="center"/>
          </w:tcPr>
          <w:p>
            <w:pPr>
              <w:pStyle w:val="TableContents"/>
              <w:bidi w:val="0"/>
              <w:spacing w:before="0" w:after="283"/>
              <w:jc w:val="left"/>
              <w:rPr>
                <w:sz w:val="4"/>
                <w:szCs w:val="4"/>
              </w:rPr>
            </w:pPr>
            <w:r>
              <w:rPr>
                <w:sz w:val="4"/>
                <w:szCs w:val="4"/>
              </w:rPr>
            </w:r>
          </w:p>
        </w:tc>
        <w:tc>
          <w:tcPr>
            <w:tcW w:w="5920" w:type="dxa"/>
            <w:gridSpan w:val="2"/>
            <w:tcBorders/>
            <w:vAlign w:val="center"/>
          </w:tcPr>
          <w:p>
            <w:pPr>
              <w:pStyle w:val="TableContents"/>
              <w:bidi w:val="0"/>
              <w:spacing w:before="0" w:after="283"/>
              <w:jc w:val="left"/>
              <w:rPr>
                <w:sz w:val="4"/>
                <w:szCs w:val="4"/>
              </w:rPr>
            </w:pPr>
            <w:r>
              <w:rPr>
                <w:sz w:val="4"/>
                <w:szCs w:val="4"/>
              </w:rPr>
            </w:r>
          </w:p>
        </w:tc>
      </w:tr>
      <w:tr>
        <w:trPr/>
        <w:tc>
          <w:tcPr>
            <w:tcW w:w="134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Alan Waxman</w:t>
            </w:r>
          </w:p>
          <w:p>
            <w:pPr>
              <w:pStyle w:val="TableContents"/>
              <w:bidi w:val="0"/>
              <w:spacing w:before="0" w:after="20"/>
              <w:jc w:val="left"/>
              <w:rPr>
                <w:rFonts w:ascii="Times New Roman" w:hAnsi="Times New Roman"/>
                <w:sz w:val="18"/>
              </w:rPr>
            </w:pPr>
            <w:r>
              <w:rPr>
                <w:rFonts w:ascii="Times New Roman" w:hAnsi="Times New Roman"/>
                <w:sz w:val="18"/>
              </w:rPr>
              <w:t>Birth year: 1974</w:t>
            </w:r>
          </w:p>
        </w:tc>
        <w:tc>
          <w:tcPr>
            <w:tcW w:w="60" w:type="dxa"/>
            <w:tcBorders/>
            <w:vAlign w:val="center"/>
          </w:tcPr>
          <w:p>
            <w:pPr>
              <w:pStyle w:val="TableContents"/>
              <w:bidi w:val="0"/>
              <w:spacing w:before="0" w:after="283"/>
              <w:jc w:val="left"/>
              <w:rPr/>
            </w:pPr>
            <w:r>
              <w:rPr/>
              <w:t> </w:t>
            </w:r>
          </w:p>
        </w:tc>
        <w:tc>
          <w:tcPr>
            <w:tcW w:w="1748" w:type="dxa"/>
            <w:tcBorders/>
            <w:vAlign w:val="center"/>
          </w:tcPr>
          <w:p>
            <w:pPr>
              <w:pStyle w:val="TableContents"/>
              <w:bidi w:val="0"/>
              <w:spacing w:before="0" w:after="283"/>
              <w:jc w:val="left"/>
              <w:rPr/>
            </w:pPr>
            <w:r>
              <w:rPr/>
              <w:t>Vice President</w:t>
            </w:r>
          </w:p>
        </w:tc>
        <w:tc>
          <w:tcPr>
            <w:tcW w:w="60"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0"/>
              <w:jc w:val="center"/>
              <w:rPr>
                <w:rFonts w:ascii="Times New Roman" w:hAnsi="Times New Roman"/>
                <w:sz w:val="18"/>
              </w:rPr>
            </w:pPr>
            <w:r>
              <w:rPr>
                <w:rFonts w:ascii="Times New Roman" w:hAnsi="Times New Roman"/>
                <w:sz w:val="18"/>
              </w:rPr>
              <w:t>Since 2011</w:t>
            </w:r>
          </w:p>
          <w:p>
            <w:pPr>
              <w:pStyle w:val="TableContents"/>
              <w:bidi w:val="0"/>
              <w:spacing w:before="0" w:after="20"/>
              <w:jc w:val="center"/>
              <w:rPr>
                <w:rFonts w:ascii="Times New Roman" w:hAnsi="Times New Roman"/>
                <w:sz w:val="18"/>
              </w:rPr>
            </w:pPr>
            <w:r>
              <w:rPr>
                <w:rFonts w:ascii="Times New Roman" w:hAnsi="Times New Roman"/>
                <w:sz w:val="18"/>
              </w:rPr>
              <w:t>(indefinite term)</w:t>
            </w:r>
          </w:p>
        </w:tc>
        <w:tc>
          <w:tcPr>
            <w:tcW w:w="60" w:type="dxa"/>
            <w:tcBorders/>
            <w:vAlign w:val="center"/>
          </w:tcPr>
          <w:p>
            <w:pPr>
              <w:pStyle w:val="TableContents"/>
              <w:bidi w:val="0"/>
              <w:spacing w:before="0" w:after="283"/>
              <w:jc w:val="left"/>
              <w:rPr/>
            </w:pPr>
            <w:r>
              <w:rPr/>
              <w:t> </w:t>
            </w:r>
          </w:p>
        </w:tc>
        <w:tc>
          <w:tcPr>
            <w:tcW w:w="5860" w:type="dxa"/>
            <w:tcBorders/>
            <w:vAlign w:val="center"/>
          </w:tcPr>
          <w:p>
            <w:pPr>
              <w:pStyle w:val="TableContents"/>
              <w:bidi w:val="0"/>
              <w:spacing w:before="0" w:after="283"/>
              <w:jc w:val="left"/>
              <w:rPr/>
            </w:pPr>
            <w:r>
              <w:rPr/>
              <w:t>Vice President of TSLX; Co-Founding Partner and Chief Executive Officer, Sixth Street.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the persons listed above is c/o Sixth Street Specialty Lending, Inc., 2100 McKinney Avenue, Suite 1500, Dallas, TX 75201.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Anton Brett </w:t>
      </w:r>
      <w:r>
        <w:rPr>
          <w:rFonts w:ascii="Times New Roman" w:hAnsi="Times New Roman"/>
          <w:sz w:val="20"/>
        </w:rPr>
        <w:t xml:space="preserve">is the Chief Compliance Officer and Secretary of TSLX and a Managing Director of Sixth Street. Prior to joining Sixth Street, from 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 </w:t>
      </w:r>
    </w:p>
    <w:p>
      <w:pPr>
        <w:pStyle w:val="TextBody"/>
        <w:bidi w:val="0"/>
        <w:spacing w:before="240" w:after="0"/>
        <w:jc w:val="left"/>
        <w:rPr>
          <w:rFonts w:ascii="Times New Roman" w:hAnsi="Times New Roman"/>
          <w:sz w:val="20"/>
        </w:rPr>
      </w:pPr>
      <w:r>
        <w:rPr>
          <w:rFonts w:ascii="Times New Roman" w:hAnsi="Times New Roman"/>
          <w:b/>
          <w:sz w:val="20"/>
        </w:rPr>
        <w:t>Ross Bruck</w:t>
      </w:r>
      <w:r>
        <w:rPr>
          <w:rFonts w:ascii="Times New Roman" w:hAnsi="Times New Roman"/>
          <w:sz w:val="20"/>
        </w:rPr>
        <w:t xml:space="preserve"> is a Vice President of TSLX and a Managing Director of Sixth Street. Since joining Sixth Street in 2014, Mr. Bruck has worked across several of Sixth Street’s investing platforms, including US Specialty Lending, Europe Specialty Lending and Energy, Renewables &amp; Infrastructure. Mr. Bruck has sourced, executed and managed investments across leveraged credit, structured credit, structured equity and control equity across a number of industry verticals. Prior to joining Sixth Street, Mr. Bruck worked in the M&amp;A and Strategic Advisory Group of Rothschild &amp; Co. Mr. Bruck received a B.A. in Financial Economics from Columbia University. </w:t>
      </w:r>
    </w:p>
    <w:p>
      <w:pPr>
        <w:pStyle w:val="TextBody"/>
        <w:bidi w:val="0"/>
        <w:spacing w:before="240" w:after="0"/>
        <w:jc w:val="left"/>
        <w:rPr>
          <w:rFonts w:ascii="Times New Roman" w:hAnsi="Times New Roman"/>
          <w:sz w:val="20"/>
        </w:rPr>
      </w:pPr>
      <w:r>
        <w:rPr>
          <w:rFonts w:ascii="Times New Roman" w:hAnsi="Times New Roman"/>
          <w:b/>
          <w:sz w:val="20"/>
        </w:rPr>
        <w:t xml:space="preserve">Michael Graf </w:t>
      </w:r>
      <w:r>
        <w:rPr>
          <w:rFonts w:ascii="Times New Roman" w:hAnsi="Times New Roman"/>
          <w:sz w:val="20"/>
        </w:rPr>
        <w:t xml:space="preserve">is a Managing Director and Deputy Chief Financial Officer of TSLX. From 2010 to 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 </w:t>
      </w:r>
    </w:p>
    <w:p>
      <w:pPr>
        <w:pStyle w:val="TextBody"/>
        <w:bidi w:val="0"/>
        <w:spacing w:before="240" w:after="0"/>
        <w:jc w:val="left"/>
        <w:rPr>
          <w:rFonts w:ascii="Times New Roman" w:hAnsi="Times New Roman"/>
          <w:sz w:val="20"/>
        </w:rPr>
      </w:pPr>
      <w:r>
        <w:rPr>
          <w:rFonts w:ascii="Times New Roman" w:hAnsi="Times New Roman"/>
          <w:b/>
          <w:sz w:val="20"/>
        </w:rPr>
        <w:t xml:space="preserve">Craig Hamrah </w:t>
      </w:r>
      <w:r>
        <w:rPr>
          <w:rFonts w:ascii="Times New Roman" w:hAnsi="Times New Roman"/>
          <w:sz w:val="20"/>
        </w:rPr>
        <w:t xml:space="preserve">is a Vice President of TSLX and a Partner of Sixth Street, where he leads all underwriting across Sixth Street’s Direct Lending platform. Mr. Hamrah was 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 </w:t>
      </w:r>
    </w:p>
    <w:p>
      <w:pPr>
        <w:pStyle w:val="TextBody"/>
        <w:bidi w:val="0"/>
        <w:spacing w:before="240" w:after="0"/>
        <w:jc w:val="left"/>
        <w:rPr>
          <w:rFonts w:ascii="Times New Roman" w:hAnsi="Times New Roman"/>
          <w:sz w:val="20"/>
        </w:rPr>
      </w:pPr>
      <w:r>
        <w:rPr>
          <w:rFonts w:ascii="Times New Roman" w:hAnsi="Times New Roman"/>
          <w:b/>
          <w:sz w:val="20"/>
        </w:rPr>
        <w:t xml:space="preserve">Joshua Peck </w:t>
      </w:r>
      <w:r>
        <w:rPr>
          <w:rFonts w:ascii="Times New Roman" w:hAnsi="Times New Roman"/>
          <w:sz w:val="20"/>
        </w:rPr>
        <w:t xml:space="preserve">is a Vice President of TSLX and a Partner and General Counsel of Sixth Street. Prior to joining Sixth Street in 2015, Mr. Peck was 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more than 100 years. He also serves on the Advisory Council of the Law Firm Antiracism Alliance, which brings together law firms and legal services organizations to identify and dismantle structural and systemic racism in the law. Licensed only in New York. Registered In-House Counsel in California. </w:t>
      </w:r>
    </w:p>
    <w:p>
      <w:pPr>
        <w:pStyle w:val="TextBody"/>
        <w:bidi w:val="0"/>
        <w:spacing w:before="240" w:after="0"/>
        <w:jc w:val="left"/>
        <w:rPr>
          <w:rFonts w:ascii="Times New Roman" w:hAnsi="Times New Roman"/>
          <w:sz w:val="20"/>
        </w:rPr>
      </w:pPr>
      <w:r>
        <w:rPr>
          <w:rFonts w:ascii="Times New Roman" w:hAnsi="Times New Roman"/>
          <w:b/>
          <w:sz w:val="20"/>
        </w:rPr>
        <w:t xml:space="preserve">Steven Pluss </w:t>
      </w:r>
      <w:r>
        <w:rPr>
          <w:rFonts w:ascii="Times New Roman" w:hAnsi="Times New Roman"/>
          <w:sz w:val="20"/>
        </w:rPr>
        <w:t xml:space="preserve">is a Vice President of TSLX. He is a Co-Founder and Partner of Sixth Street and has also been the Chief Risk Officer since 2013, as well as the Chief Financial Officer from 2013 to 2016. Prior to joining Sixth Street, Mr. Pluss was a Managing Director and co-head of the Goldman Sachs Specialty Lending Group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 </w:t>
      </w:r>
    </w:p>
    <w:p>
      <w:pPr>
        <w:pStyle w:val="TextBody"/>
        <w:bidi w:val="0"/>
        <w:spacing w:before="240" w:after="0"/>
        <w:jc w:val="left"/>
        <w:rPr>
          <w:rFonts w:ascii="Times New Roman" w:hAnsi="Times New Roman"/>
          <w:sz w:val="20"/>
        </w:rPr>
      </w:pPr>
      <w:r>
        <w:rPr>
          <w:rFonts w:ascii="Times New Roman" w:hAnsi="Times New Roman"/>
          <w:b/>
          <w:sz w:val="20"/>
        </w:rPr>
        <w:t xml:space="preserve">Ian Simmonds </w:t>
      </w:r>
      <w:r>
        <w:rPr>
          <w:rFonts w:ascii="Times New Roman" w:hAnsi="Times New Roman"/>
          <w:sz w:val="20"/>
        </w:rPr>
        <w:t xml:space="preserve">is the Chief Financial Officer of TSLX and a Partner of Sixth Street. He is also the Chief Financial Officer of Sixth Street Lending Partners and Co-CEO of the Sixth Street Broker Dealer. From 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at Bankers Trust Australia from 1995 to 2000 (acquired by Principal in 1999), and at KPMG from 1989 to 1995. Mr. Simmonds holds a Bachelor of Commerce from the University of New South Wales, a Master of Applied Finance from Macquarie University, and an M.B.A. from the Wharton School of the University of Pennsylvania. He is a Chartered Accountant. </w:t>
      </w:r>
    </w:p>
    <w:p>
      <w:pPr>
        <w:pStyle w:val="TextBody"/>
        <w:bidi w:val="0"/>
        <w:spacing w:before="240" w:after="0"/>
        <w:jc w:val="left"/>
        <w:rPr>
          <w:rFonts w:ascii="Times New Roman" w:hAnsi="Times New Roman"/>
          <w:sz w:val="20"/>
        </w:rPr>
      </w:pPr>
      <w:r>
        <w:rPr>
          <w:rFonts w:ascii="Times New Roman" w:hAnsi="Times New Roman"/>
          <w:b/>
          <w:sz w:val="20"/>
        </w:rPr>
        <w:t xml:space="preserve">Alan Waxman </w:t>
      </w:r>
      <w:r>
        <w:rPr>
          <w:rFonts w:ascii="Times New Roman" w:hAnsi="Times New Roman"/>
          <w:sz w:val="20"/>
        </w:rPr>
        <w:t xml:space="preserve">is a Vice President of TSLX and is a Co-Founder, Partner, Chief Executive Officer and Co-Chief Investment Officer of Sixth Street. Prior to 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Westbound Equity Partners. He and other Sixth Street team members began advising Westbound Equity Partners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14878_4"/>
      <w:bookmarkEnd w:id="6"/>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Our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Board currently consists of eleven members, and, following Mr. Easterly’s retirement at the close of business on May 21, 2026, will consist of ten members. Pursuant to our bylaws, the Board may increase or decrease the number of directors to no fewer than four and no greater than ten. The Board is divided into three classes, with the members of each class each serving staggered, three-year terms. The terms of our Class I directors will expire at the 2027 annual meeting of stockholders; the terms of our Class II directors will expire at the 2028 annual meeting of stockholders and the terms of our Class III directors will expire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transactions and relationships between each director, or any of his or her family members, and us, the Adviser, or of any of our or its respective affiliates, the Board has determined that Messrs. Doddy, Higginbotham, Hershey and Tanemura and Mses. Slotkin and Covington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Interested Directors </w:t>
      </w:r>
    </w:p>
    <w:p>
      <w:pPr>
        <w:pStyle w:val="TextBody"/>
        <w:bidi w:val="0"/>
        <w:spacing w:before="120" w:after="0"/>
        <w:jc w:val="left"/>
        <w:rPr>
          <w:rFonts w:ascii="Times New Roman" w:hAnsi="Times New Roman"/>
          <w:sz w:val="20"/>
        </w:rPr>
      </w:pPr>
      <w:r>
        <w:rPr>
          <w:rFonts w:ascii="Times New Roman" w:hAnsi="Times New Roman"/>
          <w:sz w:val="20"/>
        </w:rPr>
        <w:t xml:space="preserve">Messrs. Stanley, Fishman, Stiepleman and Ms. Gordon are considered “interested persons” (as defined in the 1940 Act) of the Company since all of them are employed by the Adviser. See “Proposal No. 1 Election of Directors – Biographical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and Attendance </w:t>
      </w:r>
    </w:p>
    <w:p>
      <w:pPr>
        <w:pStyle w:val="TextBody"/>
        <w:bidi w:val="0"/>
        <w:spacing w:before="120" w:after="0"/>
        <w:jc w:val="left"/>
        <w:rPr>
          <w:rFonts w:ascii="Times New Roman" w:hAnsi="Times New Roman"/>
          <w:sz w:val="20"/>
        </w:rPr>
      </w:pPr>
      <w:r>
        <w:rPr>
          <w:rFonts w:ascii="Times New Roman" w:hAnsi="Times New Roman"/>
          <w:sz w:val="20"/>
        </w:rPr>
        <w:t xml:space="preserve">Our Board met four times in 2025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Attendance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Our policy is to encourage our directors to attend each annual meeting of stockholders; however, attendance is not required. No director attended last year’s annual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Leadership Structure and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monitors and performs an oversight role with respect to our business and affairs, including with respect to investment practices and performance, compliance with regulatory requirements, cybersecurity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expenses and performance of service providers to us. Among other things, our Board approves the appointment of our Adviser and our officers, reviews and monitors the services and activities performed by our investment adviser and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 </w:t>
      </w:r>
    </w:p>
    <w:p>
      <w:pPr>
        <w:pStyle w:val="TextBody"/>
        <w:bidi w:val="0"/>
        <w:spacing w:before="240" w:after="0"/>
        <w:jc w:val="left"/>
        <w:rPr>
          <w:rFonts w:ascii="Times New Roman" w:hAnsi="Times New Roman"/>
          <w:sz w:val="20"/>
        </w:rPr>
      </w:pPr>
      <w:r>
        <w:rPr>
          <w:rFonts w:ascii="Times New Roman" w:hAnsi="Times New Roman"/>
          <w:sz w:val="20"/>
        </w:rPr>
        <w:t xml:space="preserve">Presently, Mr. Easterly serves as the chairman of our Board. We believe that Mr. Easterly’s familiarity with our investment platform and extensive knowledge of the financial services industry qualifies him to serve as the chairman of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 of the Audit Committee or her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performs its risk oversight function primarily through (i) its standing committees, which report to the entire Board and (ii) active monitoring by our Chief Compliance Officer in accordance with its compliance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 </w:t>
      </w:r>
    </w:p>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compliance policies and procedures and certain of our service providers since the last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changes to these policies and procedures or recommended changes;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compliance matter that has occurred about which the Board would reasonably need to know to oversee our compliance activities and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Chief Compliance Officer meets separately in executive session with the Independent Directors periodically, typically every quarter, but in no event less than once each year.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and we are limited in our ability to enter into transactions with our affiliates, including investing in any portfolio company in which one of our affiliates currently has an investment.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Oversight of our investment activities extends to oversight of the risk management processes employed by the Adviser as part of its day-to-day management of our investment activities. The Board reviews risk management processes at both regular and special board meetings throughout the year, consulting with appropriate representatives of the Adviser as necessary and periodically requesting the production of risk management reports or presentations. The goal of the Board’s risk oversight function is to ensure that the risks associated with our investment activities are accurately identified, thoroughly investigated and responsibly addressed. Investors should note, however, that the Board’s oversight function cannot eliminate all risks or ensure that particular events do not adversely affect the value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Board’s role in risk oversight must be evaluated on a case-by-case basis and that its existing role in risk oversight is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Specialty Lending, Inc., 2100 McKinney Avenue, Suite 1500, Dallas, TX 75201. Such communications should specify the intended recipient or recipients. All such communications, other than unsolicited commercial solicitations, will be forwarded to the appropriate director, or directors, for review. </w:t>
      </w:r>
    </w:p>
    <w:p>
      <w:pPr>
        <w:pStyle w:val="TextBody"/>
        <w:bidi w:val="0"/>
        <w:spacing w:before="240" w:after="0"/>
        <w:jc w:val="left"/>
        <w:rPr>
          <w:rFonts w:ascii="Times New Roman" w:hAnsi="Times New Roman"/>
          <w:sz w:val="20"/>
        </w:rPr>
      </w:pPr>
      <w:r>
        <w:rPr>
          <w:rFonts w:ascii="Times New Roman" w:hAnsi="Times New Roman"/>
          <w:sz w:val="20"/>
        </w:rPr>
        <w:t xml:space="preserve">In addition, information on how to report issues related to financial statement disclosures, accounting, internal accounting controls or auditing matters to our Board or the Independent Directors via email is available on our website at </w:t>
      </w:r>
      <w:r>
        <w:rPr>
          <w:rFonts w:ascii="Times New Roman" w:hAnsi="Times New Roman"/>
          <w:sz w:val="20"/>
          <w:u w:val="single"/>
        </w:rPr>
        <w:t>https://sixthstreetspecialtylending.gcs-web.com/corporate-governance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four standing committees: the Audit Committee, the Nominating and Corporate Governance Committee, the Compensation Committee and the Risk Management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 </w:t>
      </w:r>
    </w:p>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and integrity of our financial statements;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system of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reporting process, including the valuation of investments, the review of the independence and performance of, as well as communicate openly with, our independent registered public accounting firm;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legal and regulatory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sole authority to approve the engagement, and review the performance of,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Board has designated Ms. Slotkin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Messrs. Doddy, Higginbotham, Tanemura, Hershey and Mses. Slotkin and Covington are members of the Audit Committee and Ms. Slotkin serves as Chair. Our Board has determined that the service of Mr. Hershey on the audit committees of more than three public companies does not impair his ability to effectively serve on the Audit Committee, given Mr. Hershey’s extensive experience, his proficiency in accounting, and his knowledge of the Company. The Audit Committee held eight meetings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researching and nominating directors for election by our stockholders;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nominees to fill vacancies on the Board or a committee of the Board;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a set of corporate governance principles; and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Board and our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considers nominees to the Board recommended by a stockholder, if that stockholder complies with the advance notice provisions of our bylaws,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Nominating and Corporate Governance Committee are Messrs. Doddy, Higginbotham, Hershey, and Tanemura and Mses. Slotkin and Covington,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two meetings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operates pursuant to the Compensation Committee Charter. The Compensation Committee Charter sets forth the responsibilities of the Compensation Committee. The Compensation Committee is responsible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on an annual basis, the Company’s Investment Advisory and Management Agreement entered into by and between the Adviser and the Company (as amended, the “Investment Advisory Agreement”), and recommend to the Board whether such Investment Advisory Agreement should be renewed for an additional annual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on an annual basis, the Company’s Administration Agreement entered into by and between the Company and the Adviser (as amended, the “Administration Agreement”), and recommend to the Board whether such Administration Agreement should be renewed for an additional annual period;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and make recommendations to the Board regarding Director compensation;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 such other duties and responsibilities as may be assigned to the Compensation Committee by the Board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“—Compensation and Insider Participation—Compensation of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the Compensation Committee are Messrs. Doddy, Higginbotham, Hershey, and Tanemura and Mses. Slotkin and Covington, each of whom is independent for purposes of the NYSE corporate governance rules. Ms. Slotkin serves as Chairman. The Compensation Committee held one meeting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Management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 </w:t>
      </w:r>
    </w:p>
    <w:p>
      <w:pPr>
        <w:pStyle w:val="TextBody"/>
        <w:bidi w:val="0"/>
        <w:spacing w:before="240" w:after="0"/>
        <w:jc w:val="left"/>
        <w:rPr>
          <w:rFonts w:ascii="Times New Roman" w:hAnsi="Times New Roman"/>
          <w:sz w:val="20"/>
        </w:rPr>
      </w:pPr>
      <w:r>
        <w:rPr>
          <w:rFonts w:ascii="Times New Roman" w:hAnsi="Times New Roman"/>
          <w:sz w:val="20"/>
        </w:rPr>
        <w:t xml:space="preserve">The voting members of the Risk Management Committee are Messrs. Stanley, Easterly and Tanemura, and the non-voting members of the committee are Messrs. Simmonds and Pluss. Mr. Tanemura is independent for purposes of the NYSE corporate governance rules. Mr. Easterly serves as Chairman. The Risk Management Committee held four meetings in 2025, which were held jointly with a meeting of the full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 Charters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corporate governance section on our website, which contains copies of the charters for the committees of our Board. The corporate governance section may be found at </w:t>
      </w:r>
      <w:r>
        <w:rPr>
          <w:rFonts w:ascii="Times New Roman" w:hAnsi="Times New Roman"/>
          <w:sz w:val="20"/>
          <w:u w:val="single"/>
        </w:rPr>
        <w:t>http://www.sixthstreetspecialtylending.com</w:t>
      </w:r>
      <w:r>
        <w:rPr>
          <w:rFonts w:ascii="Times New Roman" w:hAnsi="Times New Roman"/>
          <w:sz w:val="20"/>
        </w:rPr>
        <w:t xml:space="preserve"> in the “Investor Resources” section of our website. The corporate governance section contains the following documents: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Charter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Corporate Governance Committee Charter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Charter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Management Committee Charter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an insider trading policy governing the purchase, sale and other dispositions of the Company’s securities by directors, officers and employees of the Company and the Company’s investment adviser that is designed to promote compliance with insider trading laws, rules and regulations, as well as applicable listing standards. In addition, with regard to the Company’s trading in its own securities, it is the Company’s policy to comply with all applicable insider trading laws, rules and regulations as well as applicable listing standards. </w:t>
      </w:r>
    </w:p>
    <w:p>
      <w:pPr>
        <w:pStyle w:val="TextBody"/>
        <w:bidi w:val="0"/>
        <w:spacing w:before="360" w:after="0"/>
        <w:jc w:val="left"/>
        <w:rPr>
          <w:rFonts w:ascii="Times New Roman" w:hAnsi="Times New Roman"/>
          <w:b/>
          <w:sz w:val="20"/>
        </w:rPr>
      </w:pPr>
      <w:r>
        <w:rPr>
          <w:rFonts w:ascii="Times New Roman" w:hAnsi="Times New Roman"/>
          <w:b/>
          <w:sz w:val="20"/>
        </w:rPr>
        <w:t xml:space="preserve">Policy on Hedging and Speculative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w:t>
      </w:r>
    </w:p>
    <w:p>
      <w:pPr>
        <w:pStyle w:val="TextBody"/>
        <w:bidi w:val="0"/>
        <w:spacing w:before="120" w:after="0"/>
        <w:jc w:val="left"/>
        <w:rPr>
          <w:rFonts w:ascii="Times New Roman" w:hAnsi="Times New Roman"/>
          <w:sz w:val="20"/>
        </w:rPr>
      </w:pPr>
      <w:r>
        <w:rPr>
          <w:rFonts w:ascii="Times New Roman" w:hAnsi="Times New Roman"/>
          <w:sz w:val="20"/>
        </w:rPr>
        <w:t>pre-cleared</w:t>
      </w:r>
    </w:p>
    <w:p>
      <w:pPr>
        <w:pStyle w:val="TextBody"/>
        <w:bidi w:val="0"/>
        <w:spacing w:before="120" w:after="0"/>
        <w:jc w:val="left"/>
        <w:rPr>
          <w:rFonts w:ascii="Times New Roman" w:hAnsi="Times New Roman"/>
          <w:sz w:val="20"/>
        </w:rPr>
      </w:pPr>
      <w:r>
        <w:rPr>
          <w:rFonts w:ascii="Times New Roman" w:hAnsi="Times New Roman"/>
          <w:sz w:val="20"/>
        </w:rPr>
        <w:t xml:space="preserve">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Nomination for election as a director may be made by, or at the direction of, the Nominating and Corporate Governance Committee or by stockholders in compliance with the procedures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Anton Brett,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evaluating director nominees, the Nominating and Corporate Governance Committee considers, among others, the following factors: </w:t>
      </w:r>
    </w:p>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appropriate size and composition of our Board;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person is an “interested person” of TSLX as defined in Section 2(a)(19) of the 1940 Act;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needs of TSLX with respect to the particular talents and experience of its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knowledge, skills and experience of nominees in light of prevailing business conditions and the knowledge, skills and experience already possessed by other members of the Board;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character and integrity;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familiarity with national and international business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with accounting rules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desire to balance the considerable benefit of continuity with the periodic injection of the fresh perspective provided by new members; and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laws, rules, regulations, and listing standards.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Committee’s goal is to assemble a board that brings to TSLX a variety of perspectives and skills derived from high-quality business and professional experience.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w:t>
      </w:r>
      <w:r>
        <w:rPr>
          <w:rFonts w:ascii="Times New Roman" w:hAnsi="Times New Roman"/>
          <w:sz w:val="20"/>
          <w:u w:val="single"/>
        </w:rPr>
        <w:t>http://www.sixthstreetspecialtylending.com</w:t>
      </w:r>
      <w:r>
        <w:rPr>
          <w:rFonts w:ascii="Times New Roman" w:hAnsi="Times New Roman"/>
          <w:sz w:val="20"/>
        </w:rPr>
        <w:t xml:space="preserve"> in the “Investor Resources” section. We intend to disclose any substantive amendments to or waivers of required provisions of the SOX Code of Business Conduct and Ethics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and Insider Participation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Independent Directors </w:t>
      </w:r>
    </w:p>
    <w:p>
      <w:pPr>
        <w:pStyle w:val="TextBody"/>
        <w:bidi w:val="0"/>
        <w:spacing w:before="120" w:after="0"/>
        <w:jc w:val="left"/>
        <w:rPr>
          <w:rFonts w:ascii="Times New Roman" w:hAnsi="Times New Roman"/>
          <w:sz w:val="20"/>
        </w:rPr>
      </w:pPr>
      <w:r>
        <w:rPr>
          <w:rFonts w:ascii="Times New Roman" w:hAnsi="Times New Roman"/>
          <w:sz w:val="20"/>
        </w:rPr>
        <w:t xml:space="preserve">We pay each Independent Director the following amounts for serving as a director: </w:t>
      </w:r>
    </w:p>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$125,000 annual retainer;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$2,500 for each meeting of the Board attended;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$1,500 for each monthly telephonic update meeting attended;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$1,000 for each committee meeting of ours attended;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additional fee of $15,000 per year for the chairman of the Audit Committee and $10,000 per year for the chairman of the Nominating and Corporate Governance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December 31, 2025, we also reimbursed directors for certain out-of-pocket expenses each Independent Director incurred in connection with the fulfillment of his or her duties as an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total compensation earned by or paid to each of our Independent Directors during the fiscal year ended December 31, 2025. </w:t>
      </w:r>
    </w:p>
    <w:p>
      <w:pPr>
        <w:pStyle w:val="TextBody"/>
        <w:bidi w:val="0"/>
        <w:spacing w:before="0" w:after="0"/>
        <w:jc w:val="left"/>
        <w:rPr/>
      </w:pPr>
      <w:r>
        <w:rPr/>
        <w:t> </w:t>
      </w:r>
    </w:p>
    <w:tbl>
      <w:tblPr>
        <w:tblW w:w="4805" w:type="dxa"/>
        <w:jc w:val="left"/>
        <w:tblInd w:w="0" w:type="dxa"/>
        <w:tblLayout w:type="fixed"/>
        <w:tblCellMar>
          <w:top w:w="0" w:type="dxa"/>
          <w:left w:w="0" w:type="dxa"/>
          <w:bottom w:w="0" w:type="dxa"/>
          <w:right w:w="0" w:type="dxa"/>
        </w:tblCellMar>
      </w:tblPr>
      <w:tblGrid>
        <w:gridCol w:w="1910"/>
        <w:gridCol w:w="120"/>
        <w:gridCol w:w="235"/>
        <w:gridCol w:w="1345"/>
        <w:gridCol w:w="60"/>
        <w:gridCol w:w="120"/>
        <w:gridCol w:w="140"/>
        <w:gridCol w:w="800"/>
        <w:gridCol w:w="7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5" w:type="dxa"/>
            <w:tcBorders/>
            <w:shd w:fill="CCEEFF" w:val="clear"/>
            <w:vAlign w:val="center"/>
          </w:tcPr>
          <w:p>
            <w:pPr>
              <w:pStyle w:val="TableContents"/>
              <w:bidi w:val="0"/>
              <w:spacing w:before="0" w:after="283"/>
              <w:jc w:val="right"/>
              <w:rPr/>
            </w:pPr>
            <w:r>
              <w:rPr/>
              <w:t>157,000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157,000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345" w:type="dxa"/>
            <w:tcBorders/>
            <w:vAlign w:val="center"/>
          </w:tcPr>
          <w:p>
            <w:pPr>
              <w:pStyle w:val="TableContents"/>
              <w:bidi w:val="0"/>
              <w:spacing w:before="0" w:after="283"/>
              <w:jc w:val="right"/>
              <w:rPr/>
            </w:pPr>
            <w:r>
              <w:rPr/>
              <w:t>169,500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169,500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D. Hershey</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5" w:type="dxa"/>
            <w:tcBorders/>
            <w:shd w:fill="CCEEFF" w:val="clear"/>
            <w:vAlign w:val="center"/>
          </w:tcPr>
          <w:p>
            <w:pPr>
              <w:pStyle w:val="TableContents"/>
              <w:bidi w:val="0"/>
              <w:spacing w:before="0" w:after="283"/>
              <w:jc w:val="right"/>
              <w:rPr/>
            </w:pPr>
            <w:r>
              <w:rPr/>
              <w:t>48,250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48,250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345" w:type="dxa"/>
            <w:tcBorders/>
            <w:vAlign w:val="center"/>
          </w:tcPr>
          <w:p>
            <w:pPr>
              <w:pStyle w:val="TableContents"/>
              <w:bidi w:val="0"/>
              <w:spacing w:before="0" w:after="283"/>
              <w:jc w:val="right"/>
              <w:rPr/>
            </w:pPr>
            <w:r>
              <w:rPr/>
              <w:t>174,500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174,500</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5" w:type="dxa"/>
            <w:tcBorders/>
            <w:shd w:fill="CCEEFF" w:val="clear"/>
            <w:vAlign w:val="center"/>
          </w:tcPr>
          <w:p>
            <w:pPr>
              <w:pStyle w:val="TableContents"/>
              <w:bidi w:val="0"/>
              <w:spacing w:before="0" w:after="283"/>
              <w:jc w:val="right"/>
              <w:rPr/>
            </w:pPr>
            <w:r>
              <w:rPr/>
              <w:t>159,500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159,500</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345" w:type="dxa"/>
            <w:tcBorders/>
            <w:vAlign w:val="center"/>
          </w:tcPr>
          <w:p>
            <w:pPr>
              <w:pStyle w:val="TableContents"/>
              <w:bidi w:val="0"/>
              <w:spacing w:before="0" w:after="283"/>
              <w:jc w:val="right"/>
              <w:rPr/>
            </w:pPr>
            <w:r>
              <w:rPr/>
              <w:t>159,500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159,500</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 </w:t>
      </w:r>
    </w:p>
    <w:p>
      <w:pPr>
        <w:pStyle w:val="TextBody"/>
        <w:bidi w:val="0"/>
        <w:spacing w:before="240" w:after="0"/>
        <w:jc w:val="left"/>
        <w:rPr>
          <w:rFonts w:ascii="Times New Roman" w:hAnsi="Times New Roman"/>
          <w:sz w:val="20"/>
        </w:rPr>
      </w:pPr>
      <w:r>
        <w:rPr>
          <w:rFonts w:ascii="Times New Roman" w:hAnsi="Times New Roman"/>
          <w:sz w:val="20"/>
        </w:rPr>
        <w:t xml:space="preserve">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Compensation Committee was composed of Messrs. Doddy, Higginbotham, Hershey and Tanemura and Mses. Slotkin and Covington, none of whom were officers or employees of the Company during the fiscal year ended December 31, 2025. None of our executive officers has served on the board of directors or compensation committee of any other entity that has or has had one or more executive officers who served as a member of our Board of Directors or our Compensation Committee during the fiscal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equity compensation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Policies and Practices Related to the Timing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grant options, and accordingly, we have no policy, program, practice, or plan pertaining to the timing of stock option grants with respect to the release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Furthermore, given that we do not directly compensate our executive officers, we also have not timed the release of material </w:t>
      </w:r>
    </w:p>
    <w:p>
      <w:pPr>
        <w:pStyle w:val="TextBody"/>
        <w:bidi w:val="0"/>
        <w:spacing w:before="120" w:after="0"/>
        <w:jc w:val="left"/>
        <w:rPr>
          <w:rFonts w:ascii="Times New Roman" w:hAnsi="Times New Roman"/>
          <w:sz w:val="20"/>
        </w:rPr>
      </w:pPr>
      <w:r>
        <w:rPr>
          <w:rFonts w:ascii="Times New Roman" w:hAnsi="Times New Roman"/>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for the purpose of affecting the value of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Our Investment Adviser and Administrator </w:t>
      </w:r>
    </w:p>
    <w:p>
      <w:pPr>
        <w:pStyle w:val="TextBody"/>
        <w:bidi w:val="0"/>
        <w:spacing w:before="120" w:after="0"/>
        <w:jc w:val="left"/>
        <w:rPr>
          <w:rFonts w:ascii="Times New Roman" w:hAnsi="Times New Roman"/>
          <w:sz w:val="20"/>
        </w:rPr>
      </w:pPr>
      <w:r>
        <w:rPr>
          <w:rFonts w:ascii="Times New Roman" w:hAnsi="Times New Roman"/>
          <w:sz w:val="20"/>
        </w:rPr>
        <w:t xml:space="preserve">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the </w:t>
      </w:r>
    </w:p>
    <w:p>
      <w:pPr>
        <w:pStyle w:val="TextBody"/>
        <w:bidi w:val="0"/>
        <w:spacing w:before="120" w:after="0"/>
        <w:jc w:val="left"/>
        <w:rPr>
          <w:rFonts w:ascii="Times New Roman" w:hAnsi="Times New Roman"/>
          <w:sz w:val="20"/>
        </w:rPr>
      </w:pPr>
      <w:r>
        <w:rPr>
          <w:rFonts w:ascii="Times New Roman" w:hAnsi="Times New Roman"/>
          <w:sz w:val="20"/>
        </w:rPr>
        <w:t>Co-Head</w:t>
      </w:r>
    </w:p>
    <w:p>
      <w:pPr>
        <w:pStyle w:val="TextBody"/>
        <w:bidi w:val="0"/>
        <w:spacing w:before="120" w:after="0"/>
        <w:jc w:val="left"/>
        <w:rPr>
          <w:rFonts w:ascii="Times New Roman" w:hAnsi="Times New Roman"/>
          <w:sz w:val="20"/>
        </w:rPr>
      </w:pPr>
      <w:r>
        <w:rPr>
          <w:rFonts w:ascii="Times New Roman" w:hAnsi="Times New Roman"/>
          <w:sz w:val="20"/>
        </w:rPr>
        <w:t xml:space="preserve">of Direct Lending and </w:t>
      </w:r>
    </w:p>
    <w:p>
      <w:pPr>
        <w:pStyle w:val="TextBody"/>
        <w:bidi w:val="0"/>
        <w:spacing w:before="120" w:after="0"/>
        <w:jc w:val="left"/>
        <w:rPr>
          <w:rFonts w:ascii="Times New Roman" w:hAnsi="Times New Roman"/>
          <w:sz w:val="20"/>
        </w:rPr>
      </w:pPr>
      <w:r>
        <w:rPr>
          <w:rFonts w:ascii="Times New Roman" w:hAnsi="Times New Roman"/>
          <w:sz w:val="20"/>
        </w:rPr>
        <w:t>Co-Head</w:t>
      </w:r>
    </w:p>
    <w:p>
      <w:pPr>
        <w:pStyle w:val="TextBody"/>
        <w:bidi w:val="0"/>
        <w:spacing w:before="120" w:after="0"/>
        <w:jc w:val="left"/>
        <w:rPr>
          <w:rFonts w:ascii="Times New Roman" w:hAnsi="Times New Roman"/>
          <w:sz w:val="20"/>
        </w:rPr>
      </w:pPr>
      <w:r>
        <w:rPr>
          <w:rFonts w:ascii="Times New Roman" w:hAnsi="Times New Roman"/>
          <w:sz w:val="20"/>
        </w:rPr>
        <w:t xml:space="preserve">of Growth Robert “Bo” Stanley, </w:t>
      </w:r>
    </w:p>
    <w:p>
      <w:pPr>
        <w:pStyle w:val="TextBody"/>
        <w:bidi w:val="0"/>
        <w:spacing w:before="120" w:after="0"/>
        <w:jc w:val="left"/>
        <w:rPr>
          <w:rFonts w:ascii="Times New Roman" w:hAnsi="Times New Roman"/>
          <w:sz w:val="20"/>
        </w:rPr>
      </w:pPr>
      <w:r>
        <w:rPr>
          <w:rFonts w:ascii="Times New Roman" w:hAnsi="Times New Roman"/>
          <w:sz w:val="20"/>
        </w:rPr>
        <w:t>Co-Head</w:t>
      </w:r>
    </w:p>
    <w:p>
      <w:pPr>
        <w:pStyle w:val="TextBody"/>
        <w:bidi w:val="0"/>
        <w:spacing w:before="120" w:after="0"/>
        <w:jc w:val="left"/>
        <w:rPr>
          <w:rFonts w:ascii="Times New Roman" w:hAnsi="Times New Roman"/>
          <w:sz w:val="20"/>
        </w:rPr>
      </w:pPr>
      <w:r>
        <w:rPr>
          <w:rFonts w:ascii="Times New Roman" w:hAnsi="Times New Roman"/>
          <w:sz w:val="20"/>
        </w:rPr>
        <w:t xml:space="preserve">of Direct Lending Michael Griffin and our Adviser’s </w:t>
      </w:r>
    </w:p>
    <w:p>
      <w:pPr>
        <w:pStyle w:val="TextBody"/>
        <w:bidi w:val="0"/>
        <w:spacing w:before="120" w:after="0"/>
        <w:jc w:val="left"/>
        <w:rPr>
          <w:rFonts w:ascii="Times New Roman" w:hAnsi="Times New Roman"/>
          <w:sz w:val="20"/>
        </w:rPr>
      </w:pPr>
      <w:r>
        <w:rPr>
          <w:rFonts w:ascii="Times New Roman" w:hAnsi="Times New Roman"/>
          <w:sz w:val="20"/>
        </w:rPr>
        <w:t>Co-Founding</w:t>
      </w:r>
    </w:p>
    <w:p>
      <w:pPr>
        <w:pStyle w:val="TextBody"/>
        <w:bidi w:val="0"/>
        <w:spacing w:before="120" w:after="0"/>
        <w:jc w:val="left"/>
        <w:rPr>
          <w:rFonts w:ascii="Times New Roman" w:hAnsi="Times New Roman"/>
          <w:sz w:val="20"/>
        </w:rPr>
      </w:pPr>
      <w:r>
        <w:rPr>
          <w:rFonts w:ascii="Times New Roman" w:hAnsi="Times New Roman"/>
          <w:sz w:val="20"/>
        </w:rPr>
        <w:t xml:space="preserve">Partner, Chief Executive Officer and </w:t>
      </w:r>
    </w:p>
    <w:p>
      <w:pPr>
        <w:pStyle w:val="TextBody"/>
        <w:bidi w:val="0"/>
        <w:spacing w:before="120" w:after="0"/>
        <w:jc w:val="left"/>
        <w:rPr>
          <w:rFonts w:ascii="Times New Roman" w:hAnsi="Times New Roman"/>
          <w:sz w:val="20"/>
        </w:rPr>
      </w:pPr>
      <w:r>
        <w:rPr>
          <w:rFonts w:ascii="Times New Roman" w:hAnsi="Times New Roman"/>
          <w:sz w:val="20"/>
        </w:rPr>
        <w:t>Co-Chief</w:t>
      </w:r>
    </w:p>
    <w:p>
      <w:pPr>
        <w:pStyle w:val="TextBody"/>
        <w:bidi w:val="0"/>
        <w:spacing w:before="120" w:after="0"/>
        <w:jc w:val="left"/>
        <w:rPr>
          <w:rFonts w:ascii="Times New Roman" w:hAnsi="Times New Roman"/>
          <w:sz w:val="20"/>
        </w:rPr>
      </w:pPr>
      <w:r>
        <w:rPr>
          <w:rFonts w:ascii="Times New Roman" w:hAnsi="Times New Roman"/>
          <w:sz w:val="20"/>
        </w:rPr>
        <w:t xml:space="preserve">Investment Officer Alan Waxman, all of whom have substantial experience in credit origination, underwriting and asset management. Our investment decisions are made by an investment review committee (the “Investment Review Committee”), which includes senior personnel of our Adviser and Sixth Street. </w:t>
      </w:r>
    </w:p>
    <w:p>
      <w:pPr>
        <w:pStyle w:val="TextBody"/>
        <w:bidi w:val="0"/>
        <w:spacing w:before="240" w:after="0"/>
        <w:jc w:val="left"/>
        <w:rPr>
          <w:rFonts w:ascii="Times New Roman" w:hAnsi="Times New Roman"/>
          <w:sz w:val="20"/>
        </w:rPr>
      </w:pPr>
      <w:r>
        <w:rPr>
          <w:rFonts w:ascii="Times New Roman" w:hAnsi="Times New Roman"/>
          <w:sz w:val="20"/>
        </w:rPr>
        <w:t xml:space="preserve">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 </w:t>
      </w:r>
    </w:p>
    <w:p>
      <w:pPr>
        <w:pStyle w:val="TextBody"/>
        <w:bidi w:val="0"/>
        <w:spacing w:before="240" w:after="0"/>
        <w:jc w:val="left"/>
        <w:rPr>
          <w:rFonts w:ascii="Times New Roman" w:hAnsi="Times New Roman"/>
          <w:sz w:val="20"/>
        </w:rPr>
      </w:pPr>
      <w:r>
        <w:rPr>
          <w:rFonts w:ascii="Times New Roman" w:hAnsi="Times New Roman"/>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0"/>
        <w:jc w:val="left"/>
        <w:rPr>
          <w:rFonts w:ascii="Times New Roman" w:hAnsi="Times New Roman"/>
          <w:sz w:val="20"/>
        </w:rPr>
      </w:pPr>
      <w:r>
        <w:rPr>
          <w:rFonts w:ascii="Times New Roman" w:hAnsi="Times New Roman"/>
          <w:sz w:val="20"/>
        </w:rPr>
        <w:t xml:space="preserve">The Adviser’s address is 2100 McKinney Avenue, Suite 1500, Dallas, TX 75201.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Related Persons </w:t>
      </w:r>
    </w:p>
    <w:p>
      <w:pPr>
        <w:pStyle w:val="TextBody"/>
        <w:bidi w:val="0"/>
        <w:spacing w:before="120" w:after="0"/>
        <w:jc w:val="left"/>
        <w:rPr>
          <w:rFonts w:ascii="Times New Roman" w:hAnsi="Times New Roman"/>
          <w:i/>
          <w:sz w:val="20"/>
        </w:rPr>
      </w:pPr>
      <w:r>
        <w:rPr>
          <w:rFonts w:ascii="Times New Roman" w:hAnsi="Times New Roman"/>
          <w:i/>
          <w:sz w:val="20"/>
        </w:rPr>
        <w:t xml:space="preserve">Relationship with Sixth Street </w:t>
      </w:r>
    </w:p>
    <w:p>
      <w:pPr>
        <w:pStyle w:val="TextBody"/>
        <w:bidi w:val="0"/>
        <w:spacing w:before="120" w:after="0"/>
        <w:jc w:val="left"/>
        <w:rPr>
          <w:rFonts w:ascii="Times New Roman" w:hAnsi="Times New Roman"/>
          <w:sz w:val="20"/>
        </w:rPr>
      </w:pPr>
      <w:r>
        <w:rPr>
          <w:rFonts w:ascii="Times New Roman" w:hAnsi="Times New Roman"/>
          <w:sz w:val="20"/>
        </w:rPr>
        <w:t xml:space="preserve">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 </w:t>
      </w:r>
    </w:p>
    <w:p>
      <w:pPr>
        <w:pStyle w:val="TextBody"/>
        <w:bidi w:val="0"/>
        <w:spacing w:before="240" w:after="0"/>
        <w:jc w:val="left"/>
        <w:rPr>
          <w:rFonts w:ascii="Times New Roman" w:hAnsi="Times New Roman"/>
          <w:sz w:val="20"/>
        </w:rPr>
      </w:pPr>
      <w:r>
        <w:rPr>
          <w:rFonts w:ascii="Times New Roman" w:hAnsi="Times New Roman"/>
          <w:sz w:val="20"/>
        </w:rPr>
        <w:t xml:space="preserve">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Sixth Street manages another BDC targeting loan originations of larger size than the originations that we target. The Adviser held 2,714,226 shares, or 2.9%, of our common stock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Allocations of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below, the SEC granted us a new exemptive order in August 2022, pursuant to which Sixth Street must generally make us aware of all investment opportunities that fall within certain criteria established by our Board from time to time pursuant to the terms of the order, which we refer to as the “Board Established Criteria”. Our Adviser will ultimately determine whether an investment opportunity is appropriate for us in view of our investment objectives, positions, policies, strategies and restrictions, as well as regulatory requirements and other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the Adviser will determine whether it would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opportunity to be appropriate, it will determine an appropriate size for our investment. The size of any investment opportunity allocated to us may also be reduced to the extent the investment would be appropriate for investment by other investment funds affiliated with Sixth Street, even if the investment falls within our Board Established Criteria. The decision to allocate an opportunity as between us and other Sixth Street vehicles will take into account various factors that Sixth Street and our Adviser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pursue investment opportunities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We will typically not be able to participate under the exemptive order in investments that fall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bidi w:val="0"/>
        <w:spacing w:before="240" w:after="0"/>
        <w:jc w:val="left"/>
        <w:rPr>
          <w:rFonts w:ascii="Times New Roman" w:hAnsi="Times New Roman"/>
          <w:sz w:val="20"/>
        </w:rPr>
      </w:pPr>
      <w:r>
        <w:rPr>
          <w:rFonts w:ascii="Times New Roman" w:hAnsi="Times New Roman"/>
          <w:sz w:val="20"/>
        </w:rPr>
        <w:t xml:space="preserve">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 </w:t>
      </w:r>
    </w:p>
    <w:p>
      <w:pPr>
        <w:pStyle w:val="TextBody"/>
        <w:bidi w:val="0"/>
        <w:spacing w:before="240" w:after="0"/>
        <w:jc w:val="left"/>
        <w:rPr>
          <w:rFonts w:ascii="Times New Roman" w:hAnsi="Times New Roman"/>
          <w:sz w:val="20"/>
        </w:rPr>
      </w:pPr>
      <w:r>
        <w:rPr>
          <w:rFonts w:ascii="Times New Roman" w:hAnsi="Times New Roman"/>
          <w:sz w:val="20"/>
        </w:rPr>
        <w:t xml:space="preserve">The Adviser believes this allocation system is fair and equitable, and consistent with its fiduciary duty to us. In particular, we have disclosed to investors that Sixth Street must make us aware of all investment opportunities that fall within our Board Established Criteria. In addition, we have disclosed how allocation determinations are made among Sixth Street vehicles in connection with such opportunities, including those circumstances in which the Adviser may be required to offer them to these affiliated vehicles. </w:t>
      </w:r>
    </w:p>
    <w:p>
      <w:pPr>
        <w:pStyle w:val="TextBody"/>
        <w:bidi w:val="0"/>
        <w:spacing w:before="360" w:after="0"/>
        <w:jc w:val="left"/>
        <w:rPr>
          <w:rFonts w:ascii="Times New Roman" w:hAnsi="Times New Roman"/>
          <w:i/>
          <w:sz w:val="20"/>
        </w:rPr>
      </w:pPr>
      <w:r>
        <w:rPr>
          <w:rFonts w:ascii="Times New Roman" w:hAnsi="Times New Roman"/>
          <w:i/>
          <w:sz w:val="20"/>
        </w:rPr>
        <w:t xml:space="preserve">Exemptive Order </w:t>
      </w:r>
    </w:p>
    <w:p>
      <w:pPr>
        <w:pStyle w:val="TextBody"/>
        <w:bidi w:val="0"/>
        <w:spacing w:before="120" w:after="0"/>
        <w:jc w:val="left"/>
        <w:rPr>
          <w:rFonts w:ascii="Times New Roman" w:hAnsi="Times New Roman"/>
          <w:sz w:val="20"/>
        </w:rPr>
      </w:pPr>
      <w:r>
        <w:rPr>
          <w:rFonts w:ascii="Times New Roman" w:hAnsi="Times New Roman"/>
          <w:sz w:val="20"/>
        </w:rPr>
        <w:t xml:space="preserve">Under the 1940 Act, we are prohibited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 </w:t>
      </w:r>
    </w:p>
    <w:p>
      <w:pPr>
        <w:pStyle w:val="TextBody"/>
        <w:bidi w:val="0"/>
        <w:spacing w:before="240" w:after="0"/>
        <w:jc w:val="left"/>
        <w:rPr>
          <w:rFonts w:ascii="Times New Roman" w:hAnsi="Times New Roman"/>
          <w:sz w:val="20"/>
        </w:rPr>
      </w:pPr>
      <w:r>
        <w:rPr>
          <w:rFonts w:ascii="Times New Roman" w:hAnsi="Times New Roman"/>
          <w:sz w:val="20"/>
        </w:rPr>
        <w:t xml:space="preserve">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360" w:after="0"/>
        <w:jc w:val="left"/>
        <w:rPr>
          <w:rFonts w:ascii="Times New Roman" w:hAnsi="Times New Roman"/>
          <w:i/>
          <w:sz w:val="20"/>
        </w:rPr>
      </w:pPr>
      <w:r>
        <w:rPr>
          <w:rFonts w:ascii="Times New Roman" w:hAnsi="Times New Roman"/>
          <w:i/>
          <w:sz w:val="20"/>
        </w:rPr>
        <w:t xml:space="preserve">Allocation of Non-Loan Origination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Administrator </w:t>
      </w:r>
    </w:p>
    <w:p>
      <w:pPr>
        <w:pStyle w:val="TextBody"/>
        <w:bidi w:val="0"/>
        <w:spacing w:before="120" w:after="0"/>
        <w:jc w:val="left"/>
        <w:rPr>
          <w:rFonts w:ascii="Times New Roman" w:hAnsi="Times New Roman"/>
          <w:sz w:val="20"/>
        </w:rPr>
      </w:pPr>
      <w:r>
        <w:rPr>
          <w:rFonts w:ascii="Times New Roman" w:hAnsi="Times New Roman"/>
          <w:sz w:val="20"/>
        </w:rPr>
        <w:t xml:space="preserve">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Fees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our investing activities, we pay fees to the Adviser, incur direct expenses and reimburse the Adviser for certain expenses it incurs. </w:t>
      </w:r>
    </w:p>
    <w:p>
      <w:pPr>
        <w:pStyle w:val="TextBody"/>
        <w:bidi w:val="0"/>
        <w:spacing w:before="360" w:after="0"/>
        <w:jc w:val="left"/>
        <w:rPr>
          <w:rFonts w:ascii="Times New Roman" w:hAnsi="Times New Roman"/>
          <w:i/>
          <w:sz w:val="20"/>
        </w:rPr>
      </w:pPr>
      <w:r>
        <w:rPr>
          <w:rFonts w:ascii="Times New Roman" w:hAnsi="Times New Roman"/>
          <w:i/>
          <w:sz w:val="20"/>
        </w:rPr>
        <w:t xml:space="preserve">Certain Business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current directors and officers are directors or officers of the Adviser or its affiliates. See “Proposal No. 1 Election of Directors – Biographical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Investment Advisory Agreement; Administration Agreement;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15, 2011, we entered into the Investment Advisory Agreement with our Adviser. The Investment Advisory Agreement was subsequently amended on December 12, 2011.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Investment Advisory Agreement, the Adviser: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determines the composition of our portfolio, the nature and timing of the changes to our portfolio and the manner of implementing those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identifies, evaluates and negotiates the structure of the investments we make (including performing due diligence on our prospective portfolio companies);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determines the assets we will originate, purchase, retain or sell;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closes, monitors and administers the investments we make, including the exercise of any rights in our capacity as a lender or equity holder;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provides us other investment advisory, research and related services as we may, from time to time, reasonably require for the investment of our funds, including providing operating and managerial assistance to us and our portfolio companies, as required.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Adviser’s services under the Investment Advisory Agreement are not exclusive, and the Adviser is free to furnish similar or other services to others so long as its services to us are not impaired.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Investment Advisory Agreement, we pay the Adviser a base management fee, or the “Management Fee,” and may also pay certain incentive fees, or “Incentive Fees”.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Management Fees (gross of waivers) were $52.2 million. </w:t>
      </w:r>
    </w:p>
    <w:p>
      <w:pPr>
        <w:pStyle w:val="TextBody"/>
        <w:bidi w:val="0"/>
        <w:spacing w:before="240" w:after="0"/>
        <w:jc w:val="left"/>
        <w:rPr>
          <w:rFonts w:ascii="Times New Roman" w:hAnsi="Times New Roman"/>
          <w:sz w:val="20"/>
        </w:rPr>
      </w:pPr>
      <w:r>
        <w:rPr>
          <w:rFonts w:ascii="Times New Roman" w:hAnsi="Times New Roman"/>
          <w:sz w:val="20"/>
        </w:rPr>
        <w:t xml:space="preserve">Any waived Management Fees are not subject to recoupment by the Adviser.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31, 2025, Management Fees of $1.3 million were waived pursuant to the Leverage Waiver. Any waived Management Fees are not subject to recoupment by the Adviser pursuant to the Leverage Waiver. </w:t>
      </w:r>
    </w:p>
    <w:p>
      <w:pPr>
        <w:pStyle w:val="TextBody"/>
        <w:bidi w:val="0"/>
        <w:spacing w:before="240" w:after="0"/>
        <w:jc w:val="left"/>
        <w:rPr>
          <w:rFonts w:ascii="Times New Roman" w:hAnsi="Times New Roman"/>
          <w:sz w:val="20"/>
        </w:rPr>
      </w:pPr>
      <w:r>
        <w:rPr>
          <w:rFonts w:ascii="Times New Roman" w:hAnsi="Times New Roman"/>
          <w:sz w:val="20"/>
        </w:rPr>
        <w:t xml:space="preserve">The Incentive Fee consists of two parts,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(ii)</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bidi w:val="0"/>
        <w:spacing w:before="240" w:after="0"/>
        <w:jc w:val="left"/>
        <w:rPr>
          <w:rFonts w:ascii="Times New Roman" w:hAnsi="Times New Roman"/>
          <w:sz w:val="20"/>
        </w:rPr>
      </w:pPr>
      <w:r>
        <w:rPr>
          <w:rFonts w:ascii="Times New Roman" w:hAnsi="Times New Roman"/>
          <w:sz w:val="20"/>
        </w:rPr>
        <w:t xml:space="preserve">Section 205(b)(3) of the Advisers Act, as amended, prohibits the Adviser from receiving the payment of fees on unrealized gains until those gains are realized, if ever. There can be no assurance that such unrealized gains will be realized in the future. For the year ended December 31, 2025, Incentive Fees were $38.4 million, $43.5 million of which was realized and payable to the Adviser. The Adviser did not waive any Incentive Fees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2025, the Board renewed the Investment Advisory Agreement. Unless earlier terminated as described below, the Investment Advisory Agreement will remain in effect until November 2026, and may be extended subject to required approvals. The Investment Advisory Agreement will automatically terminate in the event of an assignment and may be terminated by either party without penalty on 60 days’ written notice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Our Board monitors the mix and performance of our investments over time and seeks to satisfy itself that the Adviser is acting in our interests and that our fee structure appropriately incentivizes the Adviser to do so. </w:t>
      </w:r>
    </w:p>
    <w:p>
      <w:pPr>
        <w:pStyle w:val="TextBody"/>
        <w:bidi w:val="0"/>
        <w:spacing w:before="240" w:after="0"/>
        <w:jc w:val="left"/>
        <w:rPr>
          <w:rFonts w:ascii="Times New Roman" w:hAnsi="Times New Roman"/>
          <w:sz w:val="20"/>
        </w:rPr>
      </w:pPr>
      <w:r>
        <w:rPr>
          <w:rFonts w:ascii="Times New Roman" w:hAnsi="Times New Roman"/>
          <w:sz w:val="20"/>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hAnsi="Times New Roman"/>
          <w:i/>
          <w:sz w:val="20"/>
        </w:rPr>
        <w:t>Payment of Our Expenses</w:t>
      </w:r>
      <w:r>
        <w:rPr>
          <w:rFonts w:ascii="Times New Roman" w:hAnsi="Times New Roman"/>
          <w:sz w:val="20"/>
        </w:rPr>
        <w:t xml:space="preserve">”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2025, we incurred expenses of $3.9 million for administrative services payable under the terms of the Administration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 </w:t>
      </w:r>
    </w:p>
    <w:p>
      <w:pPr>
        <w:pStyle w:val="TextBody"/>
        <w:bidi w:val="0"/>
        <w:spacing w:before="240" w:after="0"/>
        <w:jc w:val="left"/>
        <w:rPr>
          <w:rFonts w:ascii="Times New Roman" w:hAnsi="Times New Roman"/>
          <w:sz w:val="20"/>
        </w:rPr>
      </w:pPr>
      <w:r>
        <w:rPr>
          <w:rFonts w:ascii="Times New Roman" w:hAnsi="Times New Roman"/>
          <w:sz w:val="20"/>
        </w:rPr>
        <w:t xml:space="preserve">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License Agreement with Austin IP, LLC that grants us a non-exclusive, royalty-free license to use the mark “Sixth Street” and any derivative thereof. </w:t>
      </w:r>
    </w:p>
    <w:p>
      <w:pPr>
        <w:pStyle w:val="TextBody"/>
        <w:bidi w:val="0"/>
        <w:spacing w:before="360" w:after="0"/>
        <w:jc w:val="left"/>
        <w:rPr>
          <w:rFonts w:ascii="Times New Roman" w:hAnsi="Times New Roman"/>
          <w:i/>
          <w:sz w:val="20"/>
        </w:rPr>
      </w:pPr>
      <w:r>
        <w:rPr>
          <w:rFonts w:ascii="Times New Roman" w:hAnsi="Times New Roman"/>
          <w:i/>
          <w:sz w:val="20"/>
        </w:rPr>
        <w:t xml:space="preserve">Payment of Our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calculating individual asset values and our net asset value (including the cost and expenses of any independent valuation firms);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any public offerings of our common stock and other securities, including registration and listing fees;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and any Incentive Fee;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75"/>
        <w:gridCol w:w="110"/>
        <w:gridCol w:w="6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costs and expenses relating to distributions paid on our shares;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fees payable under our Administration Agreement;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debt service and other costs of borrowings or other financing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Adviser’s allocable share of costs incurred in providing significant managerial assistance to those portfolio companies that request it;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payable to third parties relating to, or associated with, making or holding investments;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and custodial fees;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hedging;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commissions and other compensation payable to brokers or dealers; </w:t>
            </w:r>
          </w:p>
        </w:tc>
      </w:tr>
    </w:tbl>
    <w:p>
      <w:pPr>
        <w:pStyle w:val="TextBody"/>
        <w:bidi w:val="0"/>
        <w:spacing w:before="0" w:after="0"/>
        <w:jc w:val="left"/>
        <w:rPr/>
      </w:pPr>
      <w:r>
        <w:rPr/>
        <w:t> </w:t>
      </w:r>
    </w:p>
    <w:tbl>
      <w:tblPr>
        <w:tblW w:w="805" w:type="dxa"/>
        <w:jc w:val="left"/>
        <w:tblInd w:w="0" w:type="dxa"/>
        <w:tblLayout w:type="fixed"/>
        <w:tblCellMar>
          <w:top w:w="0" w:type="dxa"/>
          <w:left w:w="0" w:type="dxa"/>
          <w:bottom w:w="0" w:type="dxa"/>
          <w:right w:w="0" w:type="dxa"/>
        </w:tblCellMar>
      </w:tblPr>
      <w:tblGrid>
        <w:gridCol w:w="75"/>
        <w:gridCol w:w="110"/>
        <w:gridCol w:w="60"/>
        <w:gridCol w:w="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taxes;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Independent Director fees and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fidelity bond;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directors and officers/errors and omissions liability insurance, and any other insurance premiums;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payments;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 costs and expenses of administration, including audit, accounting, consulting and legal costs; and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110"/>
        <w:gridCol w:w="6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expenses reasonably incurred by us in connection with making investments and administering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w:t>
      </w:r>
    </w:p>
    <w:p>
      <w:pPr>
        <w:pStyle w:val="TextBody"/>
        <w:bidi w:val="0"/>
        <w:spacing w:before="360" w:after="0"/>
        <w:jc w:val="left"/>
        <w:rPr>
          <w:rFonts w:ascii="Times New Roman" w:hAnsi="Times New Roman"/>
          <w:i/>
          <w:sz w:val="20"/>
        </w:rPr>
      </w:pPr>
      <w:r>
        <w:rPr>
          <w:rFonts w:ascii="Times New Roman" w:hAnsi="Times New Roman"/>
          <w:i/>
          <w:sz w:val="20"/>
        </w:rPr>
        <w:t xml:space="preserve">Duration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Unless earlier terminated as described below, both the Investment Advisory Agreement and the Administration Agreement will remain in effect until November 2026, and each may be extended subject to required approvals. Each agreement will remain in effect from year to year thereafter if approved annually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bidi w:val="0"/>
        <w:spacing w:before="360" w:after="0"/>
        <w:jc w:val="left"/>
        <w:rPr>
          <w:rFonts w:ascii="Times New Roman" w:hAnsi="Times New Roman"/>
          <w:i/>
          <w:sz w:val="20"/>
        </w:rPr>
      </w:pPr>
      <w:r>
        <w:rPr>
          <w:rFonts w:ascii="Times New Roman" w:hAnsi="Times New Roman"/>
          <w:i/>
          <w:sz w:val="20"/>
        </w:rPr>
        <w:t xml:space="preserve">Board Approval of the Investment 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Our Board, including our Independent Directors, and holders of a majority of our outstanding securities, approved our Investment Advisory Agreement in December 2011. Our Board, including a majority of the Independent Directors, renewed the Investment Advisory Agreement in November 2025. </w:t>
      </w:r>
    </w:p>
    <w:p>
      <w:pPr>
        <w:pStyle w:val="TextBody"/>
        <w:bidi w:val="0"/>
        <w:spacing w:before="360" w:after="0"/>
        <w:jc w:val="left"/>
        <w:rPr>
          <w:rFonts w:ascii="Times New Roman" w:hAnsi="Times New Roman"/>
          <w:i/>
          <w:sz w:val="20"/>
        </w:rPr>
      </w:pPr>
      <w:r>
        <w:rPr>
          <w:rFonts w:ascii="Times New Roman" w:hAnsi="Times New Roman"/>
          <w:i/>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The Board conducts quarterly reviews of any potential related party transactions brought to its attention and, during these reviews, it will consider any conflicts of interest brought to its attention pursuant to the Company’s compliance policies and procedures. Each of the Company’s directors and officers is subject to the Company’s Code of Ethics, which places restrictions on related party transactions, and is instructed and periodically reminded to inform the Company’s Chief Compliance Officer or his designee of any potential related party transactions. In addition, each such director and executive officer completes a questionnaire on an annual basis designed to elicit information about any potential related party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14878_5"/>
      <w:bookmarkEnd w:id="7"/>
      <w:r>
        <w:rPr>
          <w:rFonts w:ascii="Times New Roman" w:hAnsi="Times New Roman"/>
          <w:b/>
          <w:sz w:val="20"/>
        </w:rPr>
        <w:t xml:space="preserve">PROPOSAL NO. 2 </w:t>
      </w:r>
    </w:p>
    <w:p>
      <w:pPr>
        <w:pStyle w:val="TextBody"/>
        <w:bidi w:val="0"/>
        <w:spacing w:before="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selected KPMG LLP to serve as our independent registered public accounting firm to audit our consolidated financial statements for the year ending December 31, 2026.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KPMG LLP’s representatives are expected to be available for the Meeting and will have an opportunity to make a statement, if they so desire, as well as to respond to appropriate questions asked by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recommends that our stockholders vote “FOR” ratification of the selection of KPMG LLP as the Company’s independent registered public accounting firm for the fiscal year ending December 31, 2026. </w:t>
      </w:r>
    </w:p>
    <w:p>
      <w:pPr>
        <w:pStyle w:val="TextBody"/>
        <w:bidi w:val="0"/>
        <w:spacing w:before="360" w:after="0"/>
        <w:jc w:val="left"/>
        <w:rPr>
          <w:rFonts w:ascii="Times New Roman" w:hAnsi="Times New Roman"/>
          <w:b/>
          <w:sz w:val="20"/>
        </w:rPr>
      </w:pPr>
      <w:r>
        <w:rPr>
          <w:rFonts w:ascii="Times New Roman" w:hAnsi="Times New Roman"/>
          <w:b/>
          <w:sz w:val="20"/>
        </w:rPr>
        <w:t xml:space="preserve">Fees Paid to KPMG LLP </w:t>
      </w:r>
    </w:p>
    <w:p>
      <w:pPr>
        <w:pStyle w:val="TextBody"/>
        <w:bidi w:val="0"/>
        <w:spacing w:before="120" w:after="0"/>
        <w:jc w:val="left"/>
        <w:rPr>
          <w:rFonts w:ascii="Times New Roman" w:hAnsi="Times New Roman"/>
          <w:i/>
          <w:sz w:val="20"/>
        </w:rPr>
      </w:pPr>
      <w:r>
        <w:rPr>
          <w:rFonts w:ascii="Times New Roman" w:hAnsi="Times New Roman"/>
          <w:i/>
          <w:sz w:val="20"/>
        </w:rPr>
        <w:t xml:space="preserve">Audit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aggregate fees billed by KPMG LLP for the audit of our consolidated financial statements, review of our interim financial statements and other professional services related to SEC registration statements were $870,000. In addition, we reimbursed KPMG LLP $17,890 for out-of-pocket expenses incurred in the performance of audit services.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the aggregate fees billed by KPMG LLP for the audit of our consolidated financial statements, review of our interim financial statements and other professional services related to SEC registration statements were $840,000. In addition, we reimbursed KPMG LLP $19,906 for out-of-pocket expenses incurred in the performance of audit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Audit-Related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aggregate fees billed by KPMG LLP for audit-related services, which consist of assurance and related services that are reasonably related to the performance of the audit or review of our consolidated financial statements, but which are not reportable as Audit Fees, were $305,000.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the aggregate fees billed by KPMG LLP for audit-related services, which consist of assurance and related services that are reasonably related to the performance of the audit or review of our consolidated financial statements, but which are not reportable as Audit Fees, were $105,000. </w:t>
      </w:r>
    </w:p>
    <w:p>
      <w:pPr>
        <w:pStyle w:val="TextBody"/>
        <w:bidi w:val="0"/>
        <w:spacing w:before="240" w:after="0"/>
        <w:jc w:val="left"/>
        <w:rPr>
          <w:rFonts w:ascii="Times New Roman" w:hAnsi="Times New Roman"/>
          <w:sz w:val="20"/>
        </w:rPr>
      </w:pPr>
      <w:r>
        <w:rPr>
          <w:rFonts w:ascii="Times New Roman" w:hAnsi="Times New Roman"/>
          <w:sz w:val="20"/>
        </w:rPr>
        <w:t xml:space="preserve">Audit-related services are assurance and related services that are reasonably related to the performance of the audit or review of our financial statements and that are traditionally performed by the independent auditor. </w:t>
      </w:r>
    </w:p>
    <w:p>
      <w:pPr>
        <w:pStyle w:val="TextBody"/>
        <w:bidi w:val="0"/>
        <w:spacing w:before="360" w:after="0"/>
        <w:jc w:val="left"/>
        <w:rPr>
          <w:rFonts w:ascii="Times New Roman" w:hAnsi="Times New Roman"/>
          <w:i/>
          <w:sz w:val="20"/>
        </w:rPr>
      </w:pPr>
      <w:r>
        <w:rPr>
          <w:rFonts w:ascii="Times New Roman" w:hAnsi="Times New Roman"/>
          <w:i/>
          <w:sz w:val="20"/>
        </w:rPr>
        <w:t xml:space="preserve">Tax Fees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aggregate fees billed by KPMG LLP for tax compliance, tax advice and tax planning services were $200,000.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2024, the aggregate fees billed by KPMG LLP for tax compliance, tax advice and tax planning services were $237,000. </w:t>
      </w:r>
    </w:p>
    <w:p>
      <w:pPr>
        <w:pStyle w:val="TextBody"/>
        <w:bidi w:val="0"/>
        <w:spacing w:before="240" w:after="0"/>
        <w:jc w:val="left"/>
        <w:rPr>
          <w:rFonts w:ascii="Times New Roman" w:hAnsi="Times New Roman"/>
          <w:sz w:val="20"/>
        </w:rPr>
      </w:pPr>
      <w:r>
        <w:rPr>
          <w:rFonts w:ascii="Times New Roman" w:hAnsi="Times New Roman"/>
          <w:sz w:val="20"/>
        </w:rPr>
        <w:t xml:space="preserve">Tax services include tax compliance, tax planning and tax advice. </w:t>
      </w:r>
    </w:p>
    <w:p>
      <w:pPr>
        <w:pStyle w:val="TextBody"/>
        <w:bidi w:val="0"/>
        <w:spacing w:before="360" w:after="0"/>
        <w:jc w:val="left"/>
        <w:rPr>
          <w:rFonts w:ascii="Times New Roman" w:hAnsi="Times New Roman"/>
          <w:i/>
          <w:sz w:val="20"/>
        </w:rPr>
      </w:pPr>
      <w:r>
        <w:rPr>
          <w:rFonts w:ascii="Times New Roman" w:hAnsi="Times New Roman"/>
          <w:i/>
          <w:sz w:val="20"/>
        </w:rPr>
        <w:t xml:space="preserve">All Other Fees </w:t>
      </w:r>
    </w:p>
    <w:p>
      <w:pPr>
        <w:pStyle w:val="TextBody"/>
        <w:bidi w:val="0"/>
        <w:spacing w:before="120" w:after="0"/>
        <w:jc w:val="left"/>
        <w:rPr>
          <w:rFonts w:ascii="Times New Roman" w:hAnsi="Times New Roman"/>
          <w:sz w:val="20"/>
        </w:rPr>
      </w:pPr>
      <w:r>
        <w:rPr>
          <w:rFonts w:ascii="Times New Roman" w:hAnsi="Times New Roman"/>
          <w:sz w:val="20"/>
        </w:rPr>
        <w:t xml:space="preserve">For each of the years ended December 31, 2025 and 2024, there were no fees billed for services rendered by KPMG LLP not reportable as Audit Fees, Audit-Related Fees or Tax Fees. </w:t>
      </w:r>
    </w:p>
    <w:p>
      <w:pPr>
        <w:pStyle w:val="TextBody"/>
        <w:bidi w:val="0"/>
        <w:spacing w:before="240" w:after="0"/>
        <w:jc w:val="left"/>
        <w:rPr>
          <w:rFonts w:ascii="Times New Roman" w:hAnsi="Times New Roman"/>
          <w:sz w:val="20"/>
        </w:rPr>
      </w:pPr>
      <w:r>
        <w:rPr>
          <w:rFonts w:ascii="Times New Roman" w:hAnsi="Times New Roman"/>
          <w:sz w:val="20"/>
        </w:rPr>
        <w:t xml:space="preserve">The services provided by KPMG LLP described in “Audit-Related Fees,” “Tax Fees” and “All Other Fees” above, were approved by the Audit Committee according to applicable SEC rules. </w:t>
      </w:r>
    </w:p>
    <w:p>
      <w:pPr>
        <w:pStyle w:val="TextBody"/>
        <w:bidi w:val="0"/>
        <w:spacing w:before="360" w:after="0"/>
        <w:jc w:val="left"/>
        <w:rPr>
          <w:rFonts w:ascii="Times New Roman" w:hAnsi="Times New Roman"/>
          <w:i/>
          <w:sz w:val="20"/>
        </w:rPr>
      </w:pPr>
      <w:r>
        <w:rPr>
          <w:rFonts w:ascii="Times New Roman" w:hAnsi="Times New Roman"/>
          <w:i/>
          <w:sz w:val="20"/>
        </w:rPr>
        <w:t xml:space="preserve">Pre-Approval Policy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 </w:t>
      </w:r>
    </w:p>
    <w:p>
      <w:pPr>
        <w:pStyle w:val="TextBody"/>
        <w:bidi w:val="0"/>
        <w:spacing w:before="240" w:after="0"/>
        <w:jc w:val="left"/>
        <w:rPr>
          <w:rFonts w:ascii="Times New Roman" w:hAnsi="Times New Roman"/>
          <w:sz w:val="20"/>
        </w:rPr>
      </w:pPr>
      <w:r>
        <w:rPr>
          <w:rFonts w:ascii="Times New Roman" w:hAnsi="Times New Roman"/>
          <w:sz w:val="20"/>
        </w:rPr>
        <w:t xml:space="preserve">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Auditor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14878_6"/>
      <w:bookmarkEnd w:id="8"/>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our Board operates under a written charter adopted by the Board. The Audit Committee is currently composed of Messrs. Hershey, Doddy, Higginbotham and Tanemura and Mses. Slotkin and Covington.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 </w:t>
      </w:r>
    </w:p>
    <w:p>
      <w:pPr>
        <w:pStyle w:val="TextBody"/>
        <w:bidi w:val="0"/>
        <w:spacing w:before="360" w:after="0"/>
        <w:jc w:val="left"/>
        <w:rPr>
          <w:rFonts w:ascii="Times New Roman" w:hAnsi="Times New Roman"/>
          <w:b/>
          <w:sz w:val="20"/>
        </w:rPr>
      </w:pPr>
      <w:r>
        <w:rPr>
          <w:rFonts w:ascii="Times New Roman" w:hAnsi="Times New Roman"/>
          <w:b/>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Review and Discussion with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2025 for filing with the Securities and Exchange Commission. The Audit Committee also recommended the selection of KPMG LLP to serve as the independent registered public accounting firm for the year ending December 31, 2026. </w:t>
      </w:r>
    </w:p>
    <w:p>
      <w:pPr>
        <w:pStyle w:val="TextBody"/>
        <w:bidi w:val="0"/>
        <w:spacing w:before="0" w:after="0"/>
        <w:jc w:val="left"/>
        <w:rPr/>
      </w:pPr>
      <w:r>
        <w:rPr/>
        <w:t> </w:t>
      </w:r>
    </w:p>
    <w:tbl>
      <w:tblPr>
        <w:tblW w:w="2465" w:type="dxa"/>
        <w:jc w:val="left"/>
        <w:tblInd w:w="0" w:type="dxa"/>
        <w:tblLayout w:type="fixed"/>
        <w:tblCellMar>
          <w:top w:w="0" w:type="dxa"/>
          <w:left w:w="0" w:type="dxa"/>
          <w:bottom w:w="0" w:type="dxa"/>
          <w:right w:w="0" w:type="dxa"/>
        </w:tblCellMar>
      </w:tblPr>
      <w:tblGrid>
        <w:gridCol w:w="2465"/>
      </w:tblGrid>
      <w:tr>
        <w:trPr/>
        <w:tc>
          <w:tcPr>
            <w:tcW w:w="246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b/>
              </w:rPr>
              <w:t>Respectfully Submitted</w:t>
            </w:r>
            <w:r>
              <w:rPr/>
              <w:t>,</w:t>
            </w:r>
          </w:p>
        </w:tc>
      </w:tr>
      <w:tr>
        <w:trPr/>
        <w:tc>
          <w:tcPr>
            <w:tcW w:w="246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pPr>
            <w:r>
              <w:rPr/>
              <w:t>The Audit Committee:</w:t>
            </w:r>
          </w:p>
        </w:tc>
      </w:tr>
      <w:tr>
        <w:trPr/>
        <w:tc>
          <w:tcPr>
            <w:tcW w:w="2465" w:type="dxa"/>
            <w:tcBorders/>
            <w:vAlign w:val="center"/>
          </w:tcPr>
          <w:p>
            <w:pPr>
              <w:pStyle w:val="TableContents"/>
              <w:bidi w:val="0"/>
              <w:spacing w:before="0" w:after="283"/>
              <w:jc w:val="left"/>
              <w:rPr>
                <w:i/>
              </w:rPr>
            </w:pPr>
            <w:r>
              <w:rPr>
                <w:i/>
              </w:rPr>
              <w:t>Judy Slotkin, Chair</w:t>
            </w:r>
          </w:p>
        </w:tc>
      </w:tr>
      <w:tr>
        <w:trPr/>
        <w:tc>
          <w:tcPr>
            <w:tcW w:w="2465" w:type="dxa"/>
            <w:tcBorders/>
            <w:vAlign w:val="center"/>
          </w:tcPr>
          <w:p>
            <w:pPr>
              <w:pStyle w:val="TableContents"/>
              <w:bidi w:val="0"/>
              <w:spacing w:before="0" w:after="283"/>
              <w:jc w:val="left"/>
              <w:rPr>
                <w:i/>
              </w:rPr>
            </w:pPr>
            <w:r>
              <w:rPr>
                <w:i/>
              </w:rPr>
              <w:t>John D. Hershey</w:t>
            </w:r>
          </w:p>
        </w:tc>
      </w:tr>
      <w:tr>
        <w:trPr/>
        <w:tc>
          <w:tcPr>
            <w:tcW w:w="2465" w:type="dxa"/>
            <w:tcBorders/>
            <w:vAlign w:val="center"/>
          </w:tcPr>
          <w:p>
            <w:pPr>
              <w:pStyle w:val="TableContents"/>
              <w:bidi w:val="0"/>
              <w:spacing w:before="0" w:after="283"/>
              <w:jc w:val="left"/>
              <w:rPr>
                <w:i/>
              </w:rPr>
            </w:pPr>
            <w:r>
              <w:rPr>
                <w:i/>
              </w:rPr>
              <w:t>Hurley Doddy</w:t>
            </w:r>
          </w:p>
        </w:tc>
      </w:tr>
      <w:tr>
        <w:trPr/>
        <w:tc>
          <w:tcPr>
            <w:tcW w:w="2465" w:type="dxa"/>
            <w:tcBorders/>
            <w:vAlign w:val="center"/>
          </w:tcPr>
          <w:p>
            <w:pPr>
              <w:pStyle w:val="TableContents"/>
              <w:bidi w:val="0"/>
              <w:spacing w:before="0" w:after="283"/>
              <w:jc w:val="left"/>
              <w:rPr>
                <w:i/>
              </w:rPr>
            </w:pPr>
            <w:r>
              <w:rPr>
                <w:i/>
              </w:rPr>
              <w:t>Richard Higginbotham</w:t>
            </w:r>
          </w:p>
        </w:tc>
      </w:tr>
      <w:tr>
        <w:trPr/>
        <w:tc>
          <w:tcPr>
            <w:tcW w:w="2465" w:type="dxa"/>
            <w:tcBorders/>
            <w:vAlign w:val="center"/>
          </w:tcPr>
          <w:p>
            <w:pPr>
              <w:pStyle w:val="TableContents"/>
              <w:bidi w:val="0"/>
              <w:spacing w:before="0" w:after="283"/>
              <w:jc w:val="left"/>
              <w:rPr>
                <w:i/>
              </w:rPr>
            </w:pPr>
            <w:r>
              <w:rPr>
                <w:i/>
              </w:rPr>
              <w:t>Ronald Tanemura</w:t>
            </w:r>
          </w:p>
        </w:tc>
      </w:tr>
      <w:tr>
        <w:trPr/>
        <w:tc>
          <w:tcPr>
            <w:tcW w:w="2465" w:type="dxa"/>
            <w:tcBorders/>
            <w:vAlign w:val="center"/>
          </w:tcPr>
          <w:p>
            <w:pPr>
              <w:pStyle w:val="TableContents"/>
              <w:bidi w:val="0"/>
              <w:spacing w:before="0" w:after="283"/>
              <w:jc w:val="left"/>
              <w:rPr>
                <w:i/>
              </w:rPr>
            </w:pPr>
            <w:r>
              <w:rPr>
                <w:i/>
              </w:rPr>
              <w:t>P. Emery Covington</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Unless marked to the contrary, the shares represented by the enclosed proxy card will be voted “FOR” ratification of the appointment of KPMG LLP as the Company’s independent registered public accounting firm for the fiscal year ending December 31,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14878_7"/>
      <w:bookmarkEnd w:id="9"/>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The Board is not aware of any other matter to be submitted at the Meeting. If any other matter properly comes before the Meeting, the persons named in this proxy generally will have discretionary authority to vote the shares thereby represented in accordance with their judgment. </w:t>
      </w:r>
    </w:p>
    <w:p>
      <w:pPr>
        <w:pStyle w:val="TextBody"/>
        <w:bidi w:val="0"/>
        <w:spacing w:before="480" w:after="0"/>
        <w:jc w:val="center"/>
        <w:rPr>
          <w:rFonts w:ascii="Times New Roman" w:hAnsi="Times New Roman"/>
          <w:b/>
          <w:sz w:val="20"/>
        </w:rPr>
      </w:pPr>
      <w:bookmarkStart w:id="10" w:name="toc114878_8"/>
      <w:bookmarkEnd w:id="10"/>
      <w:r>
        <w:rPr>
          <w:rFonts w:ascii="Times New Roman" w:hAnsi="Times New Roman"/>
          <w:b/>
          <w:sz w:val="20"/>
        </w:rPr>
        <w:t xml:space="preserve">STOCK REPURCHASES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23(c)(1) under the 1940 Act, the Company hereby advises you that it may repurchase shares of its common stock from time to time. </w:t>
      </w:r>
    </w:p>
    <w:p>
      <w:pPr>
        <w:pStyle w:val="TextBody"/>
        <w:bidi w:val="0"/>
        <w:spacing w:before="480" w:after="0"/>
        <w:jc w:val="center"/>
        <w:rPr>
          <w:rFonts w:ascii="Times New Roman" w:hAnsi="Times New Roman"/>
          <w:b/>
          <w:sz w:val="20"/>
        </w:rPr>
      </w:pPr>
      <w:bookmarkStart w:id="11" w:name="toc114878_9"/>
      <w:bookmarkEnd w:id="11"/>
      <w:r>
        <w:rPr>
          <w:rFonts w:ascii="Times New Roman" w:hAnsi="Times New Roman"/>
          <w:b/>
          <w:sz w:val="20"/>
        </w:rPr>
        <w:t xml:space="preserve">STOCKHOLDER PROPOSALS AND NOMINATIONS FOR THE 2027 ANNUAL MEETING OF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bidi w:val="0"/>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2027 annual meeting of stockholders pursuant to Rule 14a-8 of the SEC’s rules must be received by us at our principal executive offices no later than December 10, 2026.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2027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February 20, 2027, unless the date of our 2027 annual meeting is more than 30 days before or more than 60 days after May 21, 2027, the anniversary of our 2026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bidi w:val="0"/>
        <w:spacing w:before="480" w:after="0"/>
        <w:jc w:val="center"/>
        <w:rPr>
          <w:rFonts w:ascii="Times New Roman" w:hAnsi="Times New Roman"/>
          <w:b/>
          <w:sz w:val="20"/>
        </w:rPr>
      </w:pPr>
      <w:bookmarkStart w:id="12" w:name="toc114878_10"/>
      <w:bookmarkEnd w:id="12"/>
      <w:r>
        <w:rPr>
          <w:rFonts w:ascii="Times New Roman" w:hAnsi="Times New Roman"/>
          <w:b/>
          <w:sz w:val="20"/>
        </w:rPr>
        <w:t xml:space="preserve">ANNUAL REPORT </w:t>
      </w:r>
    </w:p>
    <w:p>
      <w:pPr>
        <w:pStyle w:val="TextBody"/>
        <w:bidi w:val="0"/>
        <w:spacing w:before="240" w:after="0"/>
        <w:jc w:val="left"/>
        <w:rPr>
          <w:rFonts w:ascii="Times New Roman" w:hAnsi="Times New Roman"/>
          <w:sz w:val="20"/>
        </w:rPr>
      </w:pPr>
      <w:r>
        <w:rPr>
          <w:rFonts w:ascii="Times New Roman" w:hAnsi="Times New Roman"/>
          <w:sz w:val="20"/>
        </w:rPr>
        <w:t xml:space="preserve">A copy of our Annual Report on Form 10-K for the fiscal year ended December 31, 2025, which includes financial statements, is being furnished with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14878_11"/>
      <w:bookmarkEnd w:id="13"/>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and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many brokers with account holders who are the Company’s stockholders will be “householding” the Company’s proxy materials. A single Notice of Internet Availability of Proxy Materials or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TX 75201, Attention: TSLX Investor Relations, by email at </w:t>
      </w:r>
      <w:r>
        <w:rPr>
          <w:rFonts w:ascii="Times New Roman" w:hAnsi="Times New Roman"/>
          <w:sz w:val="20"/>
          <w:u w:val="single"/>
        </w:rPr>
        <w:t>IRTSLX@sixthstreet.com</w:t>
      </w:r>
      <w:r>
        <w:rPr>
          <w:rFonts w:ascii="Times New Roman" w:hAnsi="Times New Roman"/>
          <w:sz w:val="20"/>
        </w:rPr>
        <w:t xml:space="preserve">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THE MEETING, WE URGE YOU TO VOTE OVER THE INTERNET, BY PHONE, OR BY MARKING, SIGNING AND RETURNING YOUR PROXY OR VOTING INSTRUCTION CARD AS SOON AS POSSIBLE. NO POSTAGE IS NECESSARY IF MAILED IN THE UNITED STATES. </w:t>
      </w:r>
    </w:p>
    <w:p>
      <w:pPr>
        <w:pStyle w:val="TextBody"/>
        <w:bidi w:val="0"/>
        <w:spacing w:before="0" w:after="0"/>
        <w:jc w:val="left"/>
        <w:rPr/>
      </w:pPr>
      <w:r>
        <w:rPr/>
        <w:t> </w:t>
      </w:r>
    </w:p>
    <w:tbl>
      <w:tblPr>
        <w:tblW w:w="3875" w:type="dxa"/>
        <w:jc w:val="left"/>
        <w:tblInd w:w="0" w:type="dxa"/>
        <w:tblLayout w:type="fixed"/>
        <w:tblCellMar>
          <w:top w:w="0" w:type="dxa"/>
          <w:left w:w="0" w:type="dxa"/>
          <w:bottom w:w="0" w:type="dxa"/>
          <w:right w:w="0" w:type="dxa"/>
        </w:tblCellMar>
      </w:tblPr>
      <w:tblGrid>
        <w:gridCol w:w="3875"/>
      </w:tblGrid>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By Order of the Board of Directors,</w:t>
            </w:r>
          </w:p>
        </w:tc>
      </w:tr>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bottom w:val="single" w:sz="6" w:space="0" w:color="000000"/>
            </w:tcBorders>
            <w:tcMar>
              <w:bottom w:w="28" w:type="dxa"/>
            </w:tcMar>
            <w:vAlign w:val="center"/>
          </w:tcPr>
          <w:p>
            <w:pPr>
              <w:pStyle w:val="TableContents"/>
              <w:bidi w:val="0"/>
              <w:spacing w:before="0" w:after="283"/>
              <w:jc w:val="left"/>
              <w:rPr/>
            </w:pPr>
            <w:r>
              <w:rPr/>
              <w:t>/s/ Anton Brett</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 Brett</w:t>
            </w:r>
          </w:p>
        </w:tc>
      </w:tr>
      <w:tr>
        <w:trPr/>
        <w:tc>
          <w:tcPr>
            <w:tcW w:w="3875" w:type="dxa"/>
            <w:tcBorders/>
            <w:vAlign w:val="center"/>
          </w:tcPr>
          <w:p>
            <w:pPr>
              <w:pStyle w:val="TableContents"/>
              <w:bidi w:val="0"/>
              <w:spacing w:before="0" w:after="283"/>
              <w:jc w:val="left"/>
              <w:rPr>
                <w:i/>
              </w:rPr>
            </w:pPr>
            <w:r>
              <w:rPr>
                <w:i/>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14878_12"/>
      <w:bookmarkEnd w:id="14"/>
      <w:r>
        <w:rPr>
          <w:rFonts w:ascii="Times New Roman" w:hAnsi="Times New Roman"/>
          <w:b/>
          <w:sz w:val="20"/>
        </w:rPr>
        <w:t xml:space="preserve">PRIVACY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SIXTH STREET SPECIALTY LENDING, INC. 2100 MCKINNEY AVENUE, SUITE 1500 DALLAS, TX 75201 SCAN TO VIEW MATERIALS &amp; VOTE VOTE BY INTERNET - www.proxyvote.com or scan the QR Barcode above Use the Internet to transmit your voting instructions and for electronic delivery of information. Vote by 11:59 P.M. ET on 05/20/2026.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 P.M. ET on 05/20/2026.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DETACH AND RETURN THIS PORTION ONLY THIS PROXY CARD IS VALID ONLY WHEN SIGNED AND DATED. For Withhold For All To withhold authority to vote for any All All Except individual nominee(s), mark “For All Except” and write the number(s) of the The Board of Directors recommends you vote FOR the following: nominee(s) on the line below. 0 0 0 1. Election of Directors Nominees 01) Hurley Doddy 02) Michael Fishman 03) Robert Stanley The Board of Directors recommends you vote FOR the following proposal: For Against Abstain 2. To ratify the selection of KPMG LLP as the Company’s independent registered public accounting firm for the 0 0 0 fiscal year ending December 31, 2026. NOTE: The named proxies are also authorized to transact such other business as may properly come before the 2026 Annual Meeting of Stockholders or any postponement or adjournment thereof. . 010 . 05 . 09 R2 1 _ Please sign exactly as your name(s) appear(s) hereon. When signing as attorney, executor, administrator, or other fiduciary, please give full title as such. Joint owners should each sign personally. All holders must sign. If a corporation or partnership, please sign in full corporate or 0000700247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7172960" cy="930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Form 10-K are available at www.proxyvote.com SIXTH STREET SPECIALTY LENDING, INC. Annual Meeting of Stockholders May 21, 2026 9:30 AM EDT This proxy is solicited by the Board of Directors The stockholders hereby appoints Ian Simmonds and Anton Brett, or either of them, as proxies, each with the power to appoint his/her substitute, and hereby authorizes them to represent and to vote, as designated on the reverse side of this ballot, all of the shares of common stock of SIXTH STREET SPECIALTY LENDING, INC. that the stockholders are entitled to vote at the Annual Meeting of Stockholders to be held at The Offices of Simpson Thacher &amp; Bartlett LLP, located at 425 Lexington Avenue, 30th Floor New York, NY 10017, at 9:30 AM EDT on May 21, 2026 and any adjournment or postponement thereof. This proxy, when properly executed, will be voted in the manner directed herein. If no such direction is made, this proxy will be voted in accordance with the Board of Directors’ recommendations. . 010 . 05 . 09 R2 _ 2 0000700247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22147</Words>
  <Characters>120335</Characters>
  <CharactersWithSpaces>142646</CharactersWithSpaces>
  <Paragraphs>1555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