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29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920" w:hanging="439"/>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TPG Specialty Lending, Inc., together with the other participants named herein (collectively, “TSLX”), filed a definitive proxy statement and an accompanying GOLD proxy card with the Securities and Exchange Commission (the “SEC”) to be used to solicit votes from the stockholders of TICC Capital Corp. (“TICC”) to: (a) 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As part of the above-referenced solicitation, TSLX updated certain pages of its website, </w:t>
      </w:r>
      <w:r>
        <w:rPr>
          <w:rFonts w:ascii="Arial" w:cs="Arial" w:eastAsia="Arial" w:hAnsi="Arial"/>
          <w:sz w:val="18"/>
          <w:szCs w:val="18"/>
          <w:u w:val="single" w:color="auto"/>
          <w:color w:val="auto"/>
        </w:rPr>
        <w:t>http://www.changeticcnow.com/</w:t>
      </w:r>
      <w:r>
        <w:rPr>
          <w:rFonts w:ascii="Arial" w:cs="Arial" w:eastAsia="Arial" w:hAnsi="Arial"/>
          <w:sz w:val="18"/>
          <w:szCs w:val="18"/>
          <w:color w:val="auto"/>
        </w:rPr>
        <w:t>, a website established by TSLX that contains information regarding the solicitation. This Schedule 14A filing consists of the following screenshots, which reflect the content of pages not previously filed with the SEC.</w:t>
      </w:r>
    </w:p>
    <w:p>
      <w:pPr>
        <w:sectPr>
          <w:pgSz w:w="11900" w:h="16838" w:orient="portrait"/>
          <w:cols w:equalWidth="0" w:num="1">
            <w:col w:w="11340"/>
          </w:cols>
          <w:pgMar w:left="240" w:top="382"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862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186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2"/>
          </w:tcPr>
          <w:p>
            <w:pPr>
              <w:spacing w:after="0"/>
              <w:rPr>
                <w:sz w:val="20"/>
                <w:szCs w:val="20"/>
                <w:color w:val="auto"/>
              </w:rPr>
            </w:pPr>
            <w:r>
              <w:rPr>
                <w:rFonts w:ascii="Arial" w:cs="Arial" w:eastAsia="Arial" w:hAnsi="Arial"/>
                <w:sz w:val="14"/>
                <w:szCs w:val="14"/>
                <w:color w:val="FFFFFF"/>
              </w:rPr>
              <w:t>TPG Specialty Lending</w:t>
            </w:r>
          </w:p>
        </w:tc>
        <w:tc>
          <w:tcPr>
            <w:tcW w:w="6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News &amp; Filings</w:t>
            </w:r>
          </w:p>
        </w:tc>
        <w:tc>
          <w:tcPr>
            <w:tcW w:w="3700" w:type="dxa"/>
            <w:vAlign w:val="bottom"/>
          </w:tcPr>
          <w:p>
            <w:pPr>
              <w:spacing w:after="0"/>
              <w:rPr>
                <w:sz w:val="3"/>
                <w:szCs w:val="3"/>
                <w:color w:val="auto"/>
              </w:rPr>
            </w:pP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Presentations</w:t>
            </w:r>
          </w:p>
        </w:tc>
        <w:tc>
          <w:tcPr>
            <w:tcW w:w="3700" w:type="dxa"/>
            <w:vAlign w:val="bottom"/>
          </w:tcPr>
          <w:p>
            <w:pPr>
              <w:spacing w:after="0"/>
              <w:rPr>
                <w:sz w:val="3"/>
                <w:szCs w:val="3"/>
                <w:color w:val="auto"/>
              </w:rPr>
            </w:pP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N minee</w:t>
            </w:r>
          </w:p>
        </w:tc>
        <w:tc>
          <w:tcPr>
            <w:tcW w:w="3700" w:type="dxa"/>
            <w:vAlign w:val="bottom"/>
          </w:tcPr>
          <w:p>
            <w:pPr>
              <w:spacing w:after="0"/>
              <w:rPr>
                <w:sz w:val="3"/>
                <w:szCs w:val="3"/>
                <w:color w:val="auto"/>
              </w:rPr>
            </w:pP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How to Vote</w:t>
            </w:r>
          </w:p>
        </w:tc>
        <w:tc>
          <w:tcPr>
            <w:tcW w:w="3700" w:type="dxa"/>
            <w:vAlign w:val="bottom"/>
          </w:tcPr>
          <w:p>
            <w:pPr>
              <w:spacing w:after="0"/>
              <w:rPr>
                <w:sz w:val="3"/>
                <w:szCs w:val="3"/>
                <w:color w:val="auto"/>
              </w:rPr>
            </w:pP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60" w:type="dxa"/>
            <w:vAlign w:val="bottom"/>
            <w:gridSpan w:val="2"/>
          </w:tcPr>
          <w:p>
            <w:pPr>
              <w:spacing w:after="0"/>
              <w:rPr>
                <w:sz w:val="20"/>
                <w:szCs w:val="20"/>
                <w:color w:val="auto"/>
              </w:rPr>
            </w:pPr>
            <w:r>
              <w:rPr>
                <w:rFonts w:ascii="Arial" w:cs="Arial" w:eastAsia="Arial" w:hAnsi="Arial"/>
                <w:sz w:val="3"/>
                <w:szCs w:val="3"/>
                <w:color w:val="FFFFFF"/>
              </w:rPr>
              <w:t>About TPG Specialty Lending</w:t>
            </w: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Contact</w:t>
            </w:r>
          </w:p>
        </w:tc>
        <w:tc>
          <w:tcPr>
            <w:tcW w:w="10380" w:type="dxa"/>
            <w:vAlign w:val="bottom"/>
            <w:gridSpan w:val="2"/>
            <w:vMerge w:val="restart"/>
          </w:tcPr>
          <w:p>
            <w:pPr>
              <w:ind w:left="100"/>
              <w:spacing w:after="0" w:line="81" w:lineRule="exact"/>
              <w:rPr>
                <w:sz w:val="20"/>
                <w:szCs w:val="20"/>
                <w:color w:val="auto"/>
              </w:rPr>
            </w:pPr>
            <w:r>
              <w:rPr>
                <w:rFonts w:ascii="Arial" w:cs="Arial" w:eastAsia="Arial" w:hAnsi="Arial"/>
                <w:sz w:val="9"/>
                <w:szCs w:val="9"/>
                <w:color w:val="FFFFFF"/>
              </w:rPr>
              <w:t>deserve change and TSLX is committed to delivering meaningful change and real value to stockholders</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TICC</w:t>
            </w:r>
          </w:p>
        </w:tc>
        <w:tc>
          <w:tcPr>
            <w:tcW w:w="10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W urgestockholdersyouvote to terminate the investment advisory agreement between TICC Capital Corp. (“TICC”) and its external manager, TICC Management, LLC, and to elect our highly-qualified, independent</w:t>
            </w:r>
          </w:p>
        </w:tc>
        <w:tc>
          <w:tcPr>
            <w:tcW w:w="0" w:type="dxa"/>
            <w:vAlign w:val="bottom"/>
          </w:tcPr>
          <w:p>
            <w:pPr>
              <w:spacing w:after="0"/>
              <w:rPr>
                <w:sz w:val="1"/>
                <w:szCs w:val="1"/>
                <w:color w:val="auto"/>
              </w:rPr>
            </w:pPr>
          </w:p>
        </w:tc>
      </w:tr>
      <w:tr>
        <w:trPr>
          <w:trHeight w:val="41"/>
        </w:trPr>
        <w:tc>
          <w:tcPr>
            <w:tcW w:w="4660" w:type="dxa"/>
            <w:vAlign w:val="bottom"/>
            <w:gridSpan w:val="2"/>
          </w:tcPr>
          <w:p>
            <w:pPr>
              <w:spacing w:after="0"/>
              <w:rPr>
                <w:sz w:val="20"/>
                <w:szCs w:val="20"/>
                <w:color w:val="auto"/>
              </w:rPr>
            </w:pPr>
            <w:r>
              <w:rPr>
                <w:rFonts w:ascii="Arial" w:cs="Arial" w:eastAsia="Arial" w:hAnsi="Arial"/>
                <w:sz w:val="3"/>
                <w:szCs w:val="3"/>
                <w:color w:val="FFFFFF"/>
              </w:rPr>
              <w:t>nominee, T. Kelley Millet, to the Board of Directors at TICC’ 2016 annual meeting.</w:t>
            </w: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It is your right, under the Investment Company Act of 1940, as amended, to terminate the external manager’s contract at no cost to stockholders. The need to change the external manager and enhance the Board</w:t>
            </w:r>
          </w:p>
        </w:tc>
        <w:tc>
          <w:tcPr>
            <w:tcW w:w="0" w:type="dxa"/>
            <w:vAlign w:val="bottom"/>
          </w:tcPr>
          <w:p>
            <w:pPr>
              <w:spacing w:after="0"/>
              <w:rPr>
                <w:sz w:val="1"/>
                <w:szCs w:val="1"/>
                <w:color w:val="auto"/>
              </w:rPr>
            </w:pPr>
          </w:p>
        </w:tc>
      </w:tr>
      <w:tr>
        <w:trPr>
          <w:trHeight w:val="41"/>
        </w:trPr>
        <w:tc>
          <w:tcPr>
            <w:tcW w:w="4660" w:type="dxa"/>
            <w:vAlign w:val="bottom"/>
            <w:gridSpan w:val="2"/>
          </w:tcPr>
          <w:p>
            <w:pPr>
              <w:spacing w:after="0"/>
              <w:rPr>
                <w:sz w:val="20"/>
                <w:szCs w:val="20"/>
                <w:color w:val="auto"/>
              </w:rPr>
            </w:pPr>
            <w:r>
              <w:rPr>
                <w:rFonts w:ascii="Arial" w:cs="Arial" w:eastAsia="Arial" w:hAnsi="Arial"/>
                <w:sz w:val="3"/>
                <w:szCs w:val="3"/>
                <w:color w:val="FFFFFF"/>
              </w:rPr>
              <w:t>is clear. The existing external manager and the TICC Board have:</w:t>
            </w: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1 De ivered a decade of failed returns, underperforming the BDC Composite and U.S. Treasuries by significant margins.</w:t>
            </w:r>
          </w:p>
        </w:tc>
        <w:tc>
          <w:tcPr>
            <w:tcW w:w="0" w:type="dxa"/>
            <w:vAlign w:val="bottom"/>
          </w:tcPr>
          <w:p>
            <w:pPr>
              <w:spacing w:after="0"/>
              <w:rPr>
                <w:sz w:val="1"/>
                <w:szCs w:val="1"/>
                <w:color w:val="auto"/>
              </w:rPr>
            </w:pPr>
          </w:p>
        </w:tc>
      </w:tr>
      <w:tr>
        <w:trPr>
          <w:trHeight w:val="0"/>
        </w:trPr>
        <w:tc>
          <w:tcPr>
            <w:tcW w:w="4660" w:type="dxa"/>
            <w:vAlign w:val="bottom"/>
            <w:gridSpan w:val="2"/>
          </w:tcPr>
          <w:p>
            <w:pPr>
              <w:spacing w:after="0" w:line="80" w:lineRule="exact"/>
              <w:rPr>
                <w:sz w:val="20"/>
                <w:szCs w:val="20"/>
                <w:color w:val="auto"/>
              </w:rPr>
            </w:pPr>
            <w:r>
              <w:rPr>
                <w:rFonts w:ascii="Arial" w:cs="Arial" w:eastAsia="Arial" w:hAnsi="Arial"/>
                <w:sz w:val="9"/>
                <w:szCs w:val="9"/>
                <w:color w:val="FFFFFF"/>
              </w:rPr>
              <w:t>2 Collected millions   management and incentive fees, in addition to significant</w:t>
            </w:r>
          </w:p>
        </w:tc>
        <w:tc>
          <w:tcPr>
            <w:tcW w:w="6680" w:type="dxa"/>
            <w:vAlign w:val="bottom"/>
          </w:tcPr>
          <w:p>
            <w:pPr>
              <w:ind w:left="80"/>
              <w:spacing w:after="0" w:line="80" w:lineRule="exact"/>
              <w:rPr>
                <w:sz w:val="20"/>
                <w:szCs w:val="20"/>
                <w:color w:val="auto"/>
              </w:rPr>
            </w:pPr>
            <w:r>
              <w:rPr>
                <w:rFonts w:ascii="Arial" w:cs="Arial" w:eastAsia="Arial" w:hAnsi="Arial"/>
                <w:sz w:val="9"/>
                <w:szCs w:val="9"/>
                <w:color w:val="FFFFFF"/>
              </w:rPr>
              <w:t>-related compensation, despite this abysmal performance.</w:t>
            </w: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3"/>
          <w:szCs w:val="3"/>
          <w:color w:val="FFFFFF"/>
        </w:rPr>
        <w:t>3.Paid an unsustainable dividend as the company has under-earned its dividend byBoardcumulative 45.3% in the six most recent quarters. By TICC’s own admission, its past dividends have been in part a return of investor capital.</w:t>
      </w:r>
    </w:p>
    <w:p>
      <w:pPr>
        <w:spacing w:after="0" w:line="7"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4.Taken blatant self-serving actions to protect the external manager at the expense of stockholders. Not only has a federal judge found that TICC likely violated federal securities law but the owners of the external manager, including two Board members, are buying TICC shares for the first time in four years and, for the first time in 11 years, the Company has not publicly announced a record date or set a date for its annual meeting.</w:t>
      </w:r>
    </w:p>
    <w:p>
      <w:pPr>
        <w:spacing w:after="0"/>
        <w:rPr>
          <w:sz w:val="20"/>
          <w:szCs w:val="20"/>
          <w:color w:val="auto"/>
        </w:rPr>
      </w:pPr>
      <w:r>
        <w:rPr>
          <w:rFonts w:ascii="Arial" w:cs="Arial" w:eastAsia="Arial" w:hAnsi="Arial"/>
          <w:sz w:val="14"/>
          <w:szCs w:val="14"/>
          <w:color w:val="FFFFFF"/>
        </w:rPr>
        <w:t>The time for change is now.</w:t>
      </w:r>
    </w:p>
    <w:p>
      <w:pPr>
        <w:sectPr>
          <w:pgSz w:w="11900" w:h="16838" w:orient="portrait"/>
          <w:cols w:equalWidth="0" w:num="1">
            <w:col w:w="11340"/>
          </w:cols>
          <w:pgMar w:left="240" w:top="1440"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648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1865"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6"/>
          </w:tcPr>
          <w:p>
            <w:pPr>
              <w:spacing w:after="0"/>
              <w:rPr>
                <w:sz w:val="20"/>
                <w:szCs w:val="20"/>
                <w:color w:val="auto"/>
              </w:rPr>
            </w:pPr>
            <w:r>
              <w:rPr>
                <w:rFonts w:ascii="Arial" w:cs="Arial" w:eastAsia="Arial" w:hAnsi="Arial"/>
                <w:sz w:val="14"/>
                <w:szCs w:val="14"/>
                <w:color w:val="FFFFFF"/>
                <w:w w:val="93"/>
              </w:rPr>
              <w:t>VOTE THE GOLD PROXY CARD TODAY TO TERMINATE THE EXISTING MANAGER AND SET TICC ON THE PATH TOWARD VALUE CREATION, STOCKHOLDER ALIGNMENT AND REAL</w:t>
            </w:r>
          </w:p>
        </w:tc>
        <w:tc>
          <w:tcPr>
            <w:tcW w:w="0" w:type="dxa"/>
            <w:vAlign w:val="bottom"/>
          </w:tcPr>
          <w:p>
            <w:pPr>
              <w:spacing w:after="0"/>
              <w:rPr>
                <w:sz w:val="1"/>
                <w:szCs w:val="1"/>
                <w:color w:val="auto"/>
              </w:rPr>
            </w:pPr>
          </w:p>
        </w:tc>
      </w:tr>
      <w:tr>
        <w:trPr>
          <w:trHeight w:val="41"/>
        </w:trPr>
        <w:tc>
          <w:tcPr>
            <w:tcW w:w="1260" w:type="dxa"/>
            <w:vAlign w:val="bottom"/>
          </w:tcPr>
          <w:p>
            <w:pPr>
              <w:spacing w:after="0"/>
              <w:rPr>
                <w:sz w:val="20"/>
                <w:szCs w:val="20"/>
                <w:color w:val="auto"/>
              </w:rPr>
            </w:pPr>
            <w:r>
              <w:rPr>
                <w:rFonts w:ascii="Arial" w:cs="Arial" w:eastAsia="Arial" w:hAnsi="Arial"/>
                <w:sz w:val="3"/>
                <w:szCs w:val="3"/>
                <w:color w:val="FFFFFF"/>
              </w:rPr>
              <w:t>CHANGE.</w:t>
            </w:r>
          </w:p>
        </w:tc>
        <w:tc>
          <w:tcPr>
            <w:tcW w:w="1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VOTE AGAINST TICC TODAY</w:t>
            </w:r>
          </w:p>
        </w:tc>
        <w:tc>
          <w:tcPr>
            <w:tcW w:w="9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WHAT PEOPLE ARE SAYING…</w:t>
            </w:r>
          </w:p>
        </w:tc>
        <w:tc>
          <w:tcPr>
            <w:tcW w:w="9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“[T]he prudent strategy may be to send the [TICC] board back to the drawing board, and ask it to run the process it does not appear to have run when first presented with the opportunity. A vote AGAINST [the</w:t>
            </w:r>
          </w:p>
        </w:tc>
        <w:tc>
          <w:tcPr>
            <w:tcW w:w="0" w:type="dxa"/>
            <w:vAlign w:val="bottom"/>
          </w:tcPr>
          <w:p>
            <w:pPr>
              <w:spacing w:after="0"/>
              <w:rPr>
                <w:sz w:val="1"/>
                <w:szCs w:val="1"/>
                <w:color w:val="auto"/>
              </w:rPr>
            </w:pPr>
          </w:p>
        </w:tc>
      </w:tr>
      <w:tr>
        <w:trPr>
          <w:trHeight w:val="41"/>
        </w:trPr>
        <w:tc>
          <w:tcPr>
            <w:tcW w:w="8020" w:type="dxa"/>
            <w:vAlign w:val="bottom"/>
            <w:gridSpan w:val="4"/>
          </w:tcPr>
          <w:p>
            <w:pPr>
              <w:spacing w:after="0"/>
              <w:rPr>
                <w:sz w:val="20"/>
                <w:szCs w:val="20"/>
                <w:color w:val="auto"/>
              </w:rPr>
            </w:pPr>
            <w:r>
              <w:rPr>
                <w:rFonts w:ascii="Arial" w:cs="Arial" w:eastAsia="Arial" w:hAnsi="Arial"/>
                <w:sz w:val="3"/>
                <w:szCs w:val="3"/>
                <w:color w:val="FFFFFF"/>
              </w:rPr>
              <w:t>BSP transaction], therefore, is warranted at this point.” – Institutional Shareholder Services Inc. – October 16, 2015</w:t>
            </w:r>
          </w:p>
        </w:tc>
        <w:tc>
          <w:tcPr>
            <w:tcW w:w="1040" w:type="dxa"/>
            <w:vAlign w:val="bottom"/>
          </w:tcPr>
          <w:p>
            <w:pPr>
              <w:spacing w:after="0"/>
              <w:rPr>
                <w:sz w:val="3"/>
                <w:szCs w:val="3"/>
                <w:color w:val="auto"/>
              </w:rPr>
            </w:pPr>
          </w:p>
        </w:tc>
        <w:tc>
          <w:tcPr>
            <w:tcW w:w="2340" w:type="dxa"/>
            <w:vAlign w:val="bottom"/>
            <w:vMerge w:val="restart"/>
          </w:tcPr>
          <w:p>
            <w:pPr>
              <w:jc w:val="right"/>
              <w:ind w:right="635"/>
              <w:spacing w:after="0" w:line="81" w:lineRule="exact"/>
              <w:rPr>
                <w:sz w:val="20"/>
                <w:szCs w:val="20"/>
                <w:color w:val="auto"/>
              </w:rPr>
            </w:pPr>
            <w:r>
              <w:rPr>
                <w:rFonts w:ascii="Arial" w:cs="Arial" w:eastAsia="Arial" w:hAnsi="Arial"/>
                <w:sz w:val="9"/>
                <w:szCs w:val="9"/>
                <w:color w:val="FFFFFF"/>
              </w:rPr>
              <w:t>base at this time. … [T]he</w:t>
            </w: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“[T]here are very few definitive reasons to suggest the</w:t>
            </w:r>
          </w:p>
        </w:tc>
        <w:tc>
          <w:tcPr>
            <w:tcW w:w="6000" w:type="dxa"/>
            <w:vAlign w:val="bottom"/>
            <w:gridSpan w:val="3"/>
          </w:tcPr>
          <w:p>
            <w:pPr>
              <w:ind w:left="640"/>
              <w:spacing w:after="0"/>
              <w:rPr>
                <w:sz w:val="20"/>
                <w:szCs w:val="20"/>
                <w:color w:val="auto"/>
              </w:rPr>
            </w:pPr>
            <w:r>
              <w:rPr>
                <w:rFonts w:ascii="Arial" w:cs="Arial" w:eastAsia="Arial" w:hAnsi="Arial"/>
                <w:sz w:val="3"/>
                <w:szCs w:val="3"/>
                <w:color w:val="FFFFFF"/>
              </w:rPr>
              <w:t>with BSP is likely to represent the most attractive alternative available to [TICC’s] unaffiliated</w:t>
            </w:r>
          </w:p>
        </w:tc>
        <w:tc>
          <w:tcPr>
            <w:tcW w:w="2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expeditiously negotiated management arrangement createsarrangementundisclosed wealth transfer in favor of TICC’s underperforming adviser and shifts management of [TICC]investor an entity that has been unable or</w:t>
            </w:r>
          </w:p>
        </w:tc>
        <w:tc>
          <w:tcPr>
            <w:tcW w:w="0" w:type="dxa"/>
            <w:vAlign w:val="bottom"/>
          </w:tcPr>
          <w:p>
            <w:pPr>
              <w:spacing w:after="0"/>
              <w:rPr>
                <w:sz w:val="1"/>
                <w:szCs w:val="1"/>
                <w:color w:val="auto"/>
              </w:rPr>
            </w:pPr>
          </w:p>
        </w:tc>
      </w:tr>
      <w:tr>
        <w:trPr>
          <w:trHeight w:val="41"/>
        </w:trPr>
        <w:tc>
          <w:tcPr>
            <w:tcW w:w="9060" w:type="dxa"/>
            <w:vAlign w:val="bottom"/>
            <w:gridSpan w:val="5"/>
          </w:tcPr>
          <w:p>
            <w:pPr>
              <w:spacing w:after="0"/>
              <w:rPr>
                <w:sz w:val="20"/>
                <w:szCs w:val="20"/>
                <w:color w:val="auto"/>
              </w:rPr>
            </w:pPr>
            <w:r>
              <w:rPr>
                <w:rFonts w:ascii="Arial" w:cs="Arial" w:eastAsia="Arial" w:hAnsi="Arial"/>
                <w:sz w:val="3"/>
                <w:szCs w:val="3"/>
                <w:color w:val="FFFFFF"/>
              </w:rPr>
              <w:t>unwilling to fully match seemingly superior arrangements available through alternative transaction partners.” – Glass, Lewis &amp; Co., LLC – October 14, 2015</w:t>
            </w: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0" w:type="dxa"/>
            <w:vAlign w:val="bottom"/>
            <w:gridSpan w:val="3"/>
          </w:tcPr>
          <w:p>
            <w:pPr>
              <w:spacing w:after="0"/>
              <w:rPr>
                <w:sz w:val="20"/>
                <w:szCs w:val="20"/>
                <w:color w:val="auto"/>
              </w:rPr>
            </w:pPr>
            <w:r>
              <w:rPr>
                <w:rFonts w:ascii="Arial" w:cs="Arial" w:eastAsia="Arial" w:hAnsi="Arial"/>
                <w:sz w:val="3"/>
                <w:szCs w:val="3"/>
                <w:color w:val="FFFFFF"/>
              </w:rPr>
              <w:t>“We are concerned that the current Board of TICC may not be operating</w:t>
            </w:r>
          </w:p>
        </w:tc>
        <w:tc>
          <w:tcPr>
            <w:tcW w:w="7400" w:type="dxa"/>
            <w:vAlign w:val="bottom"/>
            <w:gridSpan w:val="3"/>
          </w:tcPr>
          <w:p>
            <w:pPr>
              <w:jc w:val="right"/>
              <w:ind w:right="15"/>
              <w:spacing w:after="0"/>
              <w:rPr>
                <w:sz w:val="20"/>
                <w:szCs w:val="20"/>
                <w:color w:val="auto"/>
              </w:rPr>
            </w:pPr>
            <w:r>
              <w:rPr>
                <w:rFonts w:ascii="Arial" w:cs="Arial" w:eastAsia="Arial" w:hAnsi="Arial"/>
                <w:sz w:val="3"/>
                <w:szCs w:val="3"/>
                <w:color w:val="FFFFFF"/>
              </w:rPr>
              <w:t>a manner that is in the best long term interest of shareholders. We are also concerned that at least some of the independent members of</w:t>
            </w:r>
          </w:p>
        </w:tc>
        <w:tc>
          <w:tcPr>
            <w:tcW w:w="0" w:type="dxa"/>
            <w:vAlign w:val="bottom"/>
          </w:tcPr>
          <w:p>
            <w:pPr>
              <w:spacing w:after="0"/>
              <w:rPr>
                <w:sz w:val="1"/>
                <w:szCs w:val="1"/>
                <w:color w:val="auto"/>
              </w:rPr>
            </w:pPr>
          </w:p>
        </w:tc>
      </w:tr>
      <w:tr>
        <w:trPr>
          <w:trHeight w:val="41"/>
        </w:trPr>
        <w:tc>
          <w:tcPr>
            <w:tcW w:w="8020" w:type="dxa"/>
            <w:vAlign w:val="bottom"/>
            <w:gridSpan w:val="4"/>
          </w:tcPr>
          <w:p>
            <w:pPr>
              <w:spacing w:after="0"/>
              <w:rPr>
                <w:sz w:val="20"/>
                <w:szCs w:val="20"/>
                <w:color w:val="auto"/>
              </w:rPr>
            </w:pPr>
            <w:r>
              <w:rPr>
                <w:rFonts w:ascii="Arial" w:cs="Arial" w:eastAsia="Arial" w:hAnsi="Arial"/>
                <w:sz w:val="3"/>
                <w:szCs w:val="3"/>
                <w:color w:val="FFFFFF"/>
              </w:rPr>
              <w:t>that board may have for a variety of reasons, lost their ability to be truly independent.” – Egan-Jones Ratings Company – October 13, 2015</w:t>
            </w:r>
          </w:p>
        </w:tc>
        <w:tc>
          <w:tcPr>
            <w:tcW w:w="10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0" w:type="dxa"/>
            <w:vAlign w:val="bottom"/>
            <w:gridSpan w:val="3"/>
          </w:tcPr>
          <w:p>
            <w:pPr>
              <w:spacing w:after="0"/>
              <w:rPr>
                <w:sz w:val="20"/>
                <w:szCs w:val="20"/>
                <w:color w:val="auto"/>
              </w:rPr>
            </w:pPr>
            <w:r>
              <w:rPr>
                <w:rFonts w:ascii="Arial" w:cs="Arial" w:eastAsia="Arial" w:hAnsi="Arial"/>
                <w:sz w:val="3"/>
                <w:szCs w:val="3"/>
                <w:color w:val="FFFFFF"/>
              </w:rPr>
              <w:t>“A Vote for TICC does not ‘Protect’ The Distribution. TICC outlines that</w:t>
            </w:r>
          </w:p>
        </w:tc>
        <w:tc>
          <w:tcPr>
            <w:tcW w:w="7400" w:type="dxa"/>
            <w:vAlign w:val="bottom"/>
            <w:gridSpan w:val="3"/>
          </w:tcPr>
          <w:p>
            <w:pPr>
              <w:jc w:val="right"/>
              <w:spacing w:after="0"/>
              <w:rPr>
                <w:sz w:val="20"/>
                <w:szCs w:val="20"/>
                <w:color w:val="auto"/>
              </w:rPr>
            </w:pPr>
            <w:r>
              <w:rPr>
                <w:rFonts w:ascii="Arial" w:cs="Arial" w:eastAsia="Arial" w:hAnsi="Arial"/>
                <w:sz w:val="3"/>
                <w:szCs w:val="3"/>
                <w:color w:val="FFFFFF"/>
              </w:rPr>
              <w:t>vote in favor of the BSP transaction will ‘protect’ the distribution, but we believe this statement only gives false hope to investors. We</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believe this dividend will get cut regardless as TICC does not have the operating earnings to support the dividend at all—and this will not change under BSP.” – Wells Fargo – October 9, 2015</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“[S]hareholders could choose to accept an immediate event to close the gap between the share price and NAV, in which case TSLX’s offer or potentially liquidating the company is superior to BSP’s offer.” –</w:t>
            </w: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Chris DeMuth, Jr., Rangeley Capital – October 7, 2015</w:t>
            </w:r>
          </w:p>
        </w:tc>
        <w:tc>
          <w:tcPr>
            <w:tcW w:w="9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60" w:type="dxa"/>
            <w:vAlign w:val="bottom"/>
          </w:tcPr>
          <w:p>
            <w:pPr>
              <w:spacing w:after="0"/>
              <w:rPr>
                <w:sz w:val="20"/>
                <w:szCs w:val="20"/>
                <w:color w:val="auto"/>
              </w:rPr>
            </w:pPr>
            <w:r>
              <w:rPr>
                <w:rFonts w:ascii="Arial" w:cs="Arial" w:eastAsia="Arial" w:hAnsi="Arial"/>
                <w:sz w:val="3"/>
                <w:szCs w:val="3"/>
                <w:color w:val="FFFFFF"/>
              </w:rPr>
              <w:t>“[W]e believe TSLX’</w:t>
            </w:r>
          </w:p>
        </w:tc>
        <w:tc>
          <w:tcPr>
            <w:tcW w:w="10140" w:type="dxa"/>
            <w:vAlign w:val="bottom"/>
            <w:gridSpan w:val="5"/>
          </w:tcPr>
          <w:p>
            <w:pPr>
              <w:jc w:val="right"/>
              <w:ind w:right="395"/>
              <w:spacing w:after="0"/>
              <w:rPr>
                <w:sz w:val="20"/>
                <w:szCs w:val="20"/>
                <w:color w:val="auto"/>
              </w:rPr>
            </w:pPr>
            <w:r>
              <w:rPr>
                <w:rFonts w:ascii="Arial" w:cs="Arial" w:eastAsia="Arial" w:hAnsi="Arial"/>
                <w:sz w:val="3"/>
                <w:szCs w:val="3"/>
                <w:color w:val="FFFFFF"/>
              </w:rPr>
              <w:t>offer represents the best value out of the three and can potentially deliver to current TICC shareholders a combination of upfront return on shares, participation in future upside of a</w:t>
            </w:r>
          </w:p>
        </w:tc>
        <w:tc>
          <w:tcPr>
            <w:tcW w:w="0" w:type="dxa"/>
            <w:vAlign w:val="bottom"/>
          </w:tcPr>
          <w:p>
            <w:pPr>
              <w:spacing w:after="0"/>
              <w:rPr>
                <w:sz w:val="1"/>
                <w:szCs w:val="1"/>
                <w:color w:val="auto"/>
              </w:rPr>
            </w:pPr>
          </w:p>
        </w:tc>
      </w:tr>
      <w:tr>
        <w:trPr>
          <w:trHeight w:val="41"/>
        </w:trPr>
        <w:tc>
          <w:tcPr>
            <w:tcW w:w="4000" w:type="dxa"/>
            <w:vAlign w:val="bottom"/>
            <w:gridSpan w:val="3"/>
          </w:tcPr>
          <w:p>
            <w:pPr>
              <w:ind w:left="580"/>
              <w:spacing w:after="0"/>
              <w:rPr>
                <w:sz w:val="20"/>
                <w:szCs w:val="20"/>
                <w:color w:val="auto"/>
              </w:rPr>
            </w:pPr>
            <w:r>
              <w:rPr>
                <w:rFonts w:ascii="Arial" w:cs="Arial" w:eastAsia="Arial" w:hAnsi="Arial"/>
                <w:sz w:val="3"/>
                <w:szCs w:val="3"/>
                <w:color w:val="FFFFFF"/>
              </w:rPr>
              <w:t>BDC, and access to a broader platform and quality</w:t>
            </w:r>
          </w:p>
        </w:tc>
        <w:tc>
          <w:tcPr>
            <w:tcW w:w="4020" w:type="dxa"/>
            <w:vAlign w:val="bottom"/>
          </w:tcPr>
          <w:p>
            <w:pPr>
              <w:ind w:left="40"/>
              <w:spacing w:after="0"/>
              <w:rPr>
                <w:sz w:val="20"/>
                <w:szCs w:val="20"/>
                <w:color w:val="auto"/>
              </w:rPr>
            </w:pPr>
            <w:r>
              <w:rPr>
                <w:rFonts w:ascii="Arial" w:cs="Arial" w:eastAsia="Arial" w:hAnsi="Arial"/>
                <w:sz w:val="3"/>
                <w:szCs w:val="3"/>
                <w:color w:val="FFFFFF"/>
              </w:rPr>
              <w:t>.” – Barclays – October 6, 2015</w:t>
            </w:r>
          </w:p>
        </w:tc>
        <w:tc>
          <w:tcPr>
            <w:tcW w:w="10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60" w:type="dxa"/>
            <w:vAlign w:val="bottom"/>
            <w:gridSpan w:val="2"/>
          </w:tcPr>
          <w:p>
            <w:pPr>
              <w:spacing w:after="0"/>
              <w:rPr>
                <w:sz w:val="20"/>
                <w:szCs w:val="20"/>
                <w:color w:val="auto"/>
              </w:rPr>
            </w:pPr>
            <w:r>
              <w:rPr>
                <w:rFonts w:ascii="Arial" w:cs="Arial" w:eastAsia="Arial" w:hAnsi="Arial"/>
                <w:sz w:val="3"/>
                <w:szCs w:val="3"/>
                <w:color w:val="FFFFFF"/>
              </w:rPr>
              <w:t>combined“Wwere surprised when the [TICC] Special</w:t>
            </w:r>
          </w:p>
        </w:tc>
        <w:tc>
          <w:tcPr>
            <w:tcW w:w="8340" w:type="dxa"/>
            <w:vAlign w:val="bottom"/>
            <w:gridSpan w:val="4"/>
          </w:tcPr>
          <w:p>
            <w:pPr>
              <w:jc w:val="right"/>
              <w:ind w:right="215"/>
              <w:spacing w:after="0"/>
              <w:rPr>
                <w:sz w:val="20"/>
                <w:szCs w:val="20"/>
                <w:color w:val="auto"/>
              </w:rPr>
            </w:pPr>
            <w:r>
              <w:rPr>
                <w:rFonts w:ascii="Arial" w:cs="Arial" w:eastAsia="Arial" w:hAnsi="Arial"/>
                <w:sz w:val="3"/>
                <w:szCs w:val="3"/>
                <w:color w:val="FFFFFF"/>
              </w:rPr>
              <w:t>releasedmanagementstatement on September 21, 2015 reaffirming its initial position and, we believe, premature decision to pursue the Benefit Street Partners’</w:t>
            </w:r>
          </w:p>
        </w:tc>
        <w:tc>
          <w:tcPr>
            <w:tcW w:w="0" w:type="dxa"/>
            <w:vAlign w:val="bottom"/>
          </w:tcPr>
          <w:p>
            <w:pPr>
              <w:spacing w:after="0"/>
              <w:rPr>
                <w:sz w:val="1"/>
                <w:szCs w:val="1"/>
                <w:color w:val="auto"/>
              </w:rPr>
            </w:pPr>
          </w:p>
        </w:tc>
      </w:tr>
      <w:tr>
        <w:trPr>
          <w:trHeight w:val="0"/>
        </w:trPr>
        <w:tc>
          <w:tcPr>
            <w:tcW w:w="1260" w:type="dxa"/>
            <w:vAlign w:val="bottom"/>
          </w:tcPr>
          <w:p>
            <w:pPr>
              <w:spacing w:after="0" w:line="80" w:lineRule="exact"/>
              <w:rPr>
                <w:sz w:val="20"/>
                <w:szCs w:val="20"/>
                <w:color w:val="auto"/>
              </w:rPr>
            </w:pPr>
            <w:r>
              <w:rPr>
                <w:rFonts w:ascii="Arial" w:cs="Arial" w:eastAsia="Arial" w:hAnsi="Arial"/>
                <w:sz w:val="9"/>
                <w:szCs w:val="9"/>
                <w:color w:val="FFFFFF"/>
              </w:rPr>
              <w:t>(“Benefit Street”) offer</w:t>
            </w:r>
          </w:p>
        </w:tc>
        <w:tc>
          <w:tcPr>
            <w:tcW w:w="6760" w:type="dxa"/>
            <w:vAlign w:val="bottom"/>
            <w:gridSpan w:val="3"/>
          </w:tcPr>
          <w:p>
            <w:pPr>
              <w:ind w:left="300"/>
              <w:spacing w:after="0" w:line="80" w:lineRule="exact"/>
              <w:rPr>
                <w:sz w:val="20"/>
                <w:szCs w:val="20"/>
                <w:color w:val="auto"/>
              </w:rPr>
            </w:pPr>
            <w:r>
              <w:rPr>
                <w:rFonts w:ascii="Arial" w:cs="Arial" w:eastAsia="Arial" w:hAnsi="Arial"/>
                <w:sz w:val="9"/>
                <w:szCs w:val="9"/>
                <w:color w:val="FFFFFF"/>
              </w:rPr>
              <w:t>competing offers.CommitteeWbelieve, based on public disclosure, this decision was made without the benefit of appropriate</w:t>
            </w:r>
          </w:p>
        </w:tc>
        <w:tc>
          <w:tcPr>
            <w:tcW w:w="3380" w:type="dxa"/>
            <w:vAlign w:val="bottom"/>
            <w:gridSpan w:val="2"/>
          </w:tcPr>
          <w:p>
            <w:pPr>
              <w:jc w:val="right"/>
              <w:spacing w:after="0" w:line="80" w:lineRule="exact"/>
              <w:rPr>
                <w:sz w:val="20"/>
                <w:szCs w:val="20"/>
                <w:color w:val="auto"/>
              </w:rPr>
            </w:pPr>
            <w:r>
              <w:rPr>
                <w:rFonts w:ascii="Arial" w:cs="Arial" w:eastAsia="Arial" w:hAnsi="Arial"/>
                <w:sz w:val="9"/>
                <w:szCs w:val="9"/>
                <w:color w:val="FFFFFF"/>
              </w:rPr>
              <w:t>and necessary deliberation, especially as the Benefit Street</w:t>
            </w:r>
          </w:p>
        </w:tc>
        <w:tc>
          <w:tcPr>
            <w:tcW w:w="0" w:type="dxa"/>
            <w:vAlign w:val="bottom"/>
          </w:tcPr>
          <w:p>
            <w:pPr>
              <w:spacing w:after="0" w:line="20" w:lineRule="exact"/>
              <w:rPr>
                <w:sz w:val="1"/>
                <w:szCs w:val="1"/>
                <w:color w:val="auto"/>
              </w:rPr>
            </w:pPr>
          </w:p>
        </w:tc>
      </w:tr>
    </w:tbl>
    <w:p>
      <w:pPr>
        <w:ind w:right="180"/>
        <w:spacing w:after="0"/>
        <w:rPr>
          <w:sz w:val="20"/>
          <w:szCs w:val="20"/>
          <w:color w:val="auto"/>
        </w:rPr>
      </w:pPr>
      <w:r>
        <w:rPr>
          <w:rFonts w:ascii="Arial" w:cs="Arial" w:eastAsia="Arial" w:hAnsi="Arial"/>
          <w:sz w:val="3"/>
          <w:szCs w:val="3"/>
          <w:color w:val="FFFFFF"/>
        </w:rPr>
        <w:t>offer does not expire. Woverwere further disappointed by the letter from the Special Committee to stockholders of September 24, 2015, again rejectingadvicecompeting offer without due consideration or process.” – Top 5 TICC stockholder Muzinich &amp; Co. letter to TICC Board of Directors – September 25, 2015</w:t>
      </w:r>
    </w:p>
    <w:p>
      <w:pPr>
        <w:spacing w:after="0" w:line="7" w:lineRule="exact"/>
        <w:rPr>
          <w:sz w:val="20"/>
          <w:szCs w:val="20"/>
          <w:color w:val="auto"/>
        </w:rPr>
      </w:pPr>
    </w:p>
    <w:p>
      <w:pPr>
        <w:ind w:right="220"/>
        <w:spacing w:after="0"/>
        <w:rPr>
          <w:sz w:val="20"/>
          <w:szCs w:val="20"/>
          <w:color w:val="auto"/>
        </w:rPr>
      </w:pPr>
      <w:r>
        <w:rPr>
          <w:rFonts w:ascii="Arial" w:cs="Arial" w:eastAsia="Arial" w:hAnsi="Arial"/>
          <w:sz w:val="7"/>
          <w:szCs w:val="7"/>
          <w:color w:val="FFFFFF"/>
        </w:rPr>
        <w:t>“Unfortunately for TICC shareholders, as we examine TICC’s collateral (which is nearly void of real proprietary transactions), we find that investors have been paying nearly 6x the normal fee that should be charged on these large/liquid/BSL (broadly syndicated loan) type assets.” – Wells Fargo Securities report – September 22, 2015.</w:t>
      </w:r>
    </w:p>
    <w:p>
      <w:pPr>
        <w:spacing w:after="0" w:line="189" w:lineRule="auto"/>
        <w:rPr>
          <w:sz w:val="20"/>
          <w:szCs w:val="20"/>
          <w:color w:val="auto"/>
        </w:rPr>
      </w:pPr>
      <w:r>
        <w:rPr>
          <w:rFonts w:ascii="Arial" w:cs="Arial" w:eastAsia="Arial" w:hAnsi="Arial"/>
          <w:sz w:val="9"/>
          <w:szCs w:val="9"/>
          <w:color w:val="FFFFFF"/>
        </w:rPr>
        <w:t>PRESS RELEASES</w:t>
      </w:r>
    </w:p>
    <w:p>
      <w:pPr>
        <w:spacing w:after="0"/>
        <w:rPr>
          <w:sz w:val="20"/>
          <w:szCs w:val="20"/>
          <w:color w:val="auto"/>
        </w:rPr>
      </w:pPr>
      <w:r>
        <w:rPr>
          <w:rFonts w:ascii="Arial" w:cs="Arial" w:eastAsia="Arial" w:hAnsi="Arial"/>
          <w:sz w:val="3"/>
          <w:szCs w:val="3"/>
          <w:color w:val="FFFFFF"/>
        </w:rPr>
        <w:t>6/20/2016TPGSpecialty Lending, Inc. to Start Distributing Proxy Materials to TICC Capital Corp. Stockholders</w:t>
      </w:r>
    </w:p>
    <w:p>
      <w:pPr>
        <w:spacing w:after="0" w:line="6" w:lineRule="exact"/>
        <w:rPr>
          <w:sz w:val="20"/>
          <w:szCs w:val="20"/>
          <w:color w:val="auto"/>
        </w:rPr>
      </w:pPr>
    </w:p>
    <w:p>
      <w:pPr>
        <w:ind w:right="4700"/>
        <w:spacing w:after="0" w:line="187" w:lineRule="auto"/>
        <w:rPr>
          <w:sz w:val="20"/>
          <w:szCs w:val="20"/>
          <w:color w:val="auto"/>
        </w:rPr>
      </w:pPr>
      <w:r>
        <w:rPr>
          <w:rFonts w:ascii="Arial" w:cs="Arial" w:eastAsia="Arial" w:hAnsi="Arial"/>
          <w:sz w:val="9"/>
          <w:szCs w:val="9"/>
          <w:color w:val="FFFFFF"/>
        </w:rPr>
        <w:t>TPG Specialty Lending, Inc. Sends Letter to TICC Capital Corp. Questioning Highly Inappropriate Insider Share Purchases 6/7/2016</w:t>
      </w:r>
    </w:p>
    <w:p>
      <w:pPr>
        <w:ind w:right="2440"/>
        <w:spacing w:after="0"/>
        <w:rPr>
          <w:sz w:val="20"/>
          <w:szCs w:val="20"/>
          <w:color w:val="auto"/>
        </w:rPr>
      </w:pPr>
      <w:r>
        <w:rPr>
          <w:rFonts w:ascii="Arial" w:cs="Arial" w:eastAsia="Arial" w:hAnsi="Arial"/>
          <w:sz w:val="11"/>
          <w:szCs w:val="11"/>
          <w:color w:val="FFFFFF"/>
        </w:rPr>
        <w:t>TPG Specialty Lending, Inc. Sends Letter to Independent Directors of TICC Capital Corp. Questioning Recent Self-Interested Actions by Conflicted Board Members 5/17/2016</w:t>
      </w:r>
    </w:p>
    <w:p>
      <w:pPr>
        <w:sectPr>
          <w:pgSz w:w="11900" w:h="16838" w:orient="portrait"/>
          <w:cols w:equalWidth="0" w:num="1">
            <w:col w:w="11400"/>
          </w:cols>
          <w:pgMar w:left="240" w:top="1440" w:right="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137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1865" cy="513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19"/>
        <w:spacing w:after="0" w:line="194" w:lineRule="auto"/>
        <w:rPr>
          <w:sz w:val="20"/>
          <w:szCs w:val="20"/>
          <w:color w:val="auto"/>
        </w:rPr>
      </w:pPr>
      <w:r>
        <w:rPr>
          <w:rFonts w:ascii="Arial" w:cs="Arial" w:eastAsia="Arial" w:hAnsi="Arial"/>
          <w:sz w:val="10"/>
          <w:szCs w:val="10"/>
          <w:color w:val="FFFFFF"/>
        </w:rPr>
        <w:t>TPG Specialty Lending, Inc. Calls on TICC Capital Corp. to Address Critical Investor Questions During Earnings Conference Call 5/2/2016</w:t>
      </w:r>
    </w:p>
    <w:p>
      <w:pPr>
        <w:ind w:right="219"/>
        <w:spacing w:after="0" w:line="187" w:lineRule="auto"/>
        <w:rPr>
          <w:sz w:val="20"/>
          <w:szCs w:val="20"/>
          <w:color w:val="auto"/>
        </w:rPr>
      </w:pPr>
      <w:r>
        <w:rPr>
          <w:rFonts w:ascii="Arial" w:cs="Arial" w:eastAsia="Arial" w:hAnsi="Arial"/>
          <w:sz w:val="9"/>
          <w:szCs w:val="9"/>
          <w:color w:val="FFFFFF"/>
        </w:rPr>
        <w:t>TPG Specialty Lending, Inc. Sends Letter to TICC Board of Directors Calling Recent Actions Wholly Unacceptable and Affirming Commitment to Deliver Value to TICC Stockholders 3/17/2016</w:t>
      </w:r>
    </w:p>
    <w:p>
      <w:pPr>
        <w:ind w:right="1939"/>
        <w:spacing w:after="0" w:line="187" w:lineRule="auto"/>
        <w:rPr>
          <w:sz w:val="20"/>
          <w:szCs w:val="20"/>
          <w:color w:val="auto"/>
        </w:rPr>
      </w:pPr>
      <w:r>
        <w:rPr>
          <w:rFonts w:ascii="Arial" w:cs="Arial" w:eastAsia="Arial" w:hAnsi="Arial"/>
          <w:sz w:val="9"/>
          <w:szCs w:val="9"/>
          <w:color w:val="FFFFFF"/>
        </w:rPr>
        <w:t>TPG Specialty Lending, Inc. Seeks to Elect New Independent Candidate to Board and Terminate Investment Advisory Agreement at TICC Capital Corp. 2/4/2016</w:t>
      </w:r>
    </w:p>
    <w:p>
      <w:pPr>
        <w:ind w:right="3099"/>
        <w:spacing w:after="0" w:line="187" w:lineRule="auto"/>
        <w:rPr>
          <w:sz w:val="20"/>
          <w:szCs w:val="20"/>
          <w:color w:val="auto"/>
        </w:rPr>
      </w:pPr>
      <w:r>
        <w:rPr>
          <w:rFonts w:ascii="Arial" w:cs="Arial" w:eastAsia="Arial" w:hAnsi="Arial"/>
          <w:sz w:val="9"/>
          <w:szCs w:val="9"/>
          <w:color w:val="FFFFFF"/>
        </w:rPr>
        <w:t>TPG Specialty Lending, Inc. Comments on TICC Capital Corp. Stockholders’ Rejection of Conflicted Sale of Advisory Agreement 12/22/2015</w:t>
      </w:r>
    </w:p>
    <w:p>
      <w:pPr>
        <w:ind w:right="359"/>
        <w:spacing w:after="0"/>
        <w:rPr>
          <w:sz w:val="20"/>
          <w:szCs w:val="20"/>
          <w:color w:val="auto"/>
        </w:rPr>
      </w:pPr>
      <w:r>
        <w:rPr>
          <w:rFonts w:ascii="Arial" w:cs="Arial" w:eastAsia="Arial" w:hAnsi="Arial"/>
          <w:sz w:val="11"/>
          <w:szCs w:val="11"/>
          <w:color w:val="FFFFFF"/>
        </w:rPr>
        <w:t>TPG Specialty Lending, Inc. Urges Stockholders to Vote the GOLD Proxy Card AGAINST the Benefit Street Partners Transaction at the Special Meeting Scheduled for December 22 12/21/2015</w:t>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319"/>
        <w:spacing w:after="0" w:line="194" w:lineRule="auto"/>
        <w:rPr>
          <w:sz w:val="20"/>
          <w:szCs w:val="20"/>
          <w:color w:val="auto"/>
        </w:rPr>
      </w:pPr>
      <w:r>
        <w:rPr>
          <w:rFonts w:ascii="Arial" w:cs="Arial" w:eastAsia="Arial" w:hAnsi="Arial"/>
          <w:sz w:val="10"/>
          <w:szCs w:val="10"/>
          <w:color w:val="FFFFFF"/>
        </w:rPr>
        <w:t>TPG Specialty Lending, Inc. Affirms Commitment to Hold TICC Capital Corp. Accountable to Stockholders 12/14/2015</w:t>
      </w:r>
    </w:p>
    <w:p>
      <w:pPr>
        <w:ind w:right="2279"/>
        <w:spacing w:after="0" w:line="187" w:lineRule="auto"/>
        <w:rPr>
          <w:sz w:val="20"/>
          <w:szCs w:val="20"/>
          <w:color w:val="auto"/>
        </w:rPr>
      </w:pPr>
      <w:r>
        <w:rPr>
          <w:rFonts w:ascii="Arial" w:cs="Arial" w:eastAsia="Arial" w:hAnsi="Arial"/>
          <w:sz w:val="9"/>
          <w:szCs w:val="9"/>
          <w:color w:val="FFFFFF"/>
        </w:rPr>
        <w:t>TPG Specialty Lending, Inc. Sends Letter to TICC Board of Directors Calling on TICC to Deliver Clarity and Meaningful Change to Stockholders 11/29/2015</w:t>
      </w:r>
    </w:p>
    <w:p>
      <w:pPr>
        <w:ind w:right="1059"/>
        <w:spacing w:after="0" w:line="230" w:lineRule="auto"/>
        <w:rPr>
          <w:sz w:val="20"/>
          <w:szCs w:val="20"/>
          <w:color w:val="auto"/>
        </w:rPr>
      </w:pPr>
      <w:r>
        <w:rPr>
          <w:rFonts w:ascii="Arial" w:cs="Arial" w:eastAsia="Arial" w:hAnsi="Arial"/>
          <w:sz w:val="11"/>
          <w:szCs w:val="11"/>
          <w:color w:val="FFFFFF"/>
        </w:rPr>
        <w:t>TPG Specialty Lending, Inc. Comments on TICC Capital Corp.’s Third Quarter 2015 Financial Results and Reiterates Compelling Value of its Proposal to Acquire TICC 11/6/2015</w:t>
      </w:r>
    </w:p>
    <w:p>
      <w:pPr>
        <w:spacing w:after="0"/>
        <w:rPr>
          <w:sz w:val="20"/>
          <w:szCs w:val="20"/>
          <w:color w:val="auto"/>
        </w:rPr>
      </w:pPr>
      <w:r>
        <w:rPr>
          <w:rFonts w:ascii="Arial" w:cs="Arial" w:eastAsia="Arial" w:hAnsi="Arial"/>
          <w:sz w:val="3"/>
          <w:szCs w:val="3"/>
          <w:color w:val="FFFFFF"/>
        </w:rPr>
        <w:t>11/2/2015TPGSpecialty Lending, Inc. Increases Proposal to Acquire TICC Capital Corp.</w:t>
      </w:r>
    </w:p>
    <w:p>
      <w:pPr>
        <w:spacing w:after="0" w:line="6" w:lineRule="exact"/>
        <w:rPr>
          <w:sz w:val="20"/>
          <w:szCs w:val="20"/>
          <w:color w:val="auto"/>
        </w:rPr>
      </w:pPr>
    </w:p>
    <w:p>
      <w:pPr>
        <w:ind w:right="3679"/>
        <w:spacing w:after="0"/>
        <w:rPr>
          <w:sz w:val="20"/>
          <w:szCs w:val="20"/>
          <w:color w:val="auto"/>
        </w:rPr>
      </w:pPr>
      <w:r>
        <w:rPr>
          <w:rFonts w:ascii="Arial" w:cs="Arial" w:eastAsia="Arial" w:hAnsi="Arial"/>
          <w:sz w:val="11"/>
          <w:szCs w:val="11"/>
          <w:color w:val="FFFFFF"/>
        </w:rPr>
        <w:t>TPG Specialty Lending, Inc. Addresses TICC’s Desperate Attempts to Protect a Misplaced Payment to a Failed Manager 10/28/2015</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5008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1865"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039"/>
        <w:spacing w:after="0" w:line="194" w:lineRule="auto"/>
        <w:rPr>
          <w:sz w:val="20"/>
          <w:szCs w:val="20"/>
          <w:color w:val="auto"/>
        </w:rPr>
      </w:pPr>
      <w:r>
        <w:rPr>
          <w:rFonts w:ascii="Arial" w:cs="Arial" w:eastAsia="Arial" w:hAnsi="Arial"/>
          <w:sz w:val="10"/>
          <w:szCs w:val="10"/>
          <w:color w:val="FFFFFF"/>
        </w:rPr>
        <w:t>TPG Specialty Lending, Inc. Sets the Record Straight on TICC Capital Corp.’s Efforts to Mislead Investors in Letter to Stockholders 10/26/2015</w:t>
      </w:r>
    </w:p>
    <w:p>
      <w:pPr>
        <w:ind w:right="79"/>
        <w:spacing w:after="0" w:line="187" w:lineRule="auto"/>
        <w:rPr>
          <w:sz w:val="20"/>
          <w:szCs w:val="20"/>
          <w:color w:val="auto"/>
        </w:rPr>
      </w:pPr>
      <w:r>
        <w:rPr>
          <w:rFonts w:ascii="Arial" w:cs="Arial" w:eastAsia="Arial" w:hAnsi="Arial"/>
          <w:sz w:val="9"/>
          <w:szCs w:val="9"/>
          <w:color w:val="FFFFFF"/>
        </w:rPr>
        <w:t>TPG Specialty Lending, Inc. Issues Presentation Detailing Why TICC Capital Corp. Stockholders Should Vote AGAINST All Proposals at Upcoming TICC Capital Corp. Special Meeting 10/21/2015</w:t>
      </w:r>
    </w:p>
    <w:p>
      <w:pPr>
        <w:ind w:right="979"/>
        <w:spacing w:after="0" w:line="187" w:lineRule="auto"/>
        <w:rPr>
          <w:sz w:val="20"/>
          <w:szCs w:val="20"/>
          <w:color w:val="auto"/>
        </w:rPr>
      </w:pPr>
      <w:r>
        <w:rPr>
          <w:rFonts w:ascii="Arial" w:cs="Arial" w:eastAsia="Arial" w:hAnsi="Arial"/>
          <w:sz w:val="9"/>
          <w:szCs w:val="9"/>
          <w:color w:val="FFFFFF"/>
        </w:rPr>
        <w:t>TPG Specialty Lending, Inc. Reiterates Importance of Protecting Stockholder Value by Voting AGAINST All Proposals at Upcoming TICC Capital Corp. Special Meeting 10/19/2015</w:t>
      </w:r>
    </w:p>
    <w:p>
      <w:pPr>
        <w:ind w:right="2819"/>
        <w:spacing w:after="0" w:line="187" w:lineRule="auto"/>
        <w:rPr>
          <w:sz w:val="20"/>
          <w:szCs w:val="20"/>
          <w:color w:val="auto"/>
        </w:rPr>
      </w:pPr>
      <w:r>
        <w:rPr>
          <w:rFonts w:ascii="Arial" w:cs="Arial" w:eastAsia="Arial" w:hAnsi="Arial"/>
          <w:sz w:val="9"/>
          <w:szCs w:val="9"/>
          <w:color w:val="FFFFFF"/>
        </w:rPr>
        <w:t>ISS, Glass Lewis and Egan-Jones Recommend TICC Capital Corp. Stockholders Vote AGAINST the Benefit Street Partners Transaction 10/16/2015</w:t>
      </w:r>
    </w:p>
    <w:p>
      <w:pPr>
        <w:ind w:right="3179"/>
        <w:spacing w:after="0"/>
        <w:rPr>
          <w:sz w:val="20"/>
          <w:szCs w:val="20"/>
          <w:color w:val="auto"/>
        </w:rPr>
      </w:pPr>
      <w:r>
        <w:rPr>
          <w:rFonts w:ascii="Arial" w:cs="Arial" w:eastAsia="Arial" w:hAnsi="Arial"/>
          <w:sz w:val="11"/>
          <w:szCs w:val="11"/>
          <w:color w:val="FFFFFF"/>
        </w:rPr>
        <w:t>TPG Specialty Lending, Inc. Welcomes TICC Capital Corp.’s Admission of Failed Leadership and Highlights Four Simple Truths 10/16/2015</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853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186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10/15/2015TPGSpecialty Lending, Inc. Sets the Record Straight on Management Fees</w:t>
      </w:r>
    </w:p>
    <w:p>
      <w:pPr>
        <w:ind w:right="4059"/>
        <w:spacing w:after="0" w:line="230" w:lineRule="auto"/>
        <w:rPr>
          <w:sz w:val="20"/>
          <w:szCs w:val="20"/>
          <w:color w:val="auto"/>
        </w:rPr>
      </w:pPr>
      <w:r>
        <w:rPr>
          <w:rFonts w:ascii="Arial" w:cs="Arial" w:eastAsia="Arial" w:hAnsi="Arial"/>
          <w:sz w:val="11"/>
          <w:szCs w:val="11"/>
          <w:color w:val="FFFFFF"/>
        </w:rPr>
        <w:t>TPG Specialty Lending, Inc. Highlights Four Key Facts for TICC Stockholders to Consider about Their Dividend 10/13/2015</w:t>
      </w:r>
    </w:p>
    <w:p>
      <w:pPr>
        <w:spacing w:after="0" w:line="188" w:lineRule="auto"/>
        <w:rPr>
          <w:sz w:val="20"/>
          <w:szCs w:val="20"/>
          <w:color w:val="auto"/>
        </w:rPr>
      </w:pPr>
      <w:r>
        <w:rPr>
          <w:rFonts w:ascii="Arial" w:cs="Arial" w:eastAsia="Arial" w:hAnsi="Arial"/>
          <w:sz w:val="9"/>
          <w:szCs w:val="9"/>
          <w:color w:val="FFFFFF"/>
        </w:rPr>
        <w:t>10/12/2015TPGSpecialty Lending, Inc. Questions Payment to Failed Leadership in Letter to TICC Capital Corp. Stockholders.</w:t>
      </w:r>
    </w:p>
    <w:p>
      <w:pPr>
        <w:spacing w:after="0"/>
        <w:rPr>
          <w:sz w:val="20"/>
          <w:szCs w:val="20"/>
          <w:color w:val="auto"/>
        </w:rPr>
      </w:pPr>
      <w:r>
        <w:rPr>
          <w:rFonts w:ascii="Arial" w:cs="Arial" w:eastAsia="Arial" w:hAnsi="Arial"/>
          <w:sz w:val="3"/>
          <w:szCs w:val="3"/>
          <w:color w:val="FFFFFF"/>
        </w:rPr>
        <w:t>10/8/2015TPGSpecialty Lending, Inc. Corrects Misleading Statements from TICC Capital Corp.</w:t>
      </w:r>
    </w:p>
    <w:p>
      <w:pPr>
        <w:spacing w:after="0" w:line="6" w:lineRule="exact"/>
        <w:rPr>
          <w:sz w:val="20"/>
          <w:szCs w:val="20"/>
          <w:color w:val="auto"/>
        </w:rPr>
      </w:pPr>
    </w:p>
    <w:p>
      <w:pPr>
        <w:ind w:right="359"/>
        <w:spacing w:after="0"/>
        <w:rPr>
          <w:sz w:val="20"/>
          <w:szCs w:val="20"/>
          <w:color w:val="auto"/>
        </w:rPr>
      </w:pPr>
      <w:r>
        <w:rPr>
          <w:rFonts w:ascii="Arial" w:cs="Arial" w:eastAsia="Arial" w:hAnsi="Arial"/>
          <w:sz w:val="11"/>
          <w:szCs w:val="11"/>
          <w:color w:val="FFFFFF"/>
        </w:rPr>
        <w:t>TPG Specialty Lending, Inc. Files Definitive Proxy Materials with SEC to Solicit TICC Capital Corp. Stockholders to Vote AGAINST the Inferior Benefit Street Partners Transaction 10/5/2015</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2658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186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FFFFFF"/>
        </w:rPr>
        <w:t>9/30/2015TPGSpecialty Lending, Inc. Corrects Misleading Statements from TICC Capital Corp.</w:t>
      </w:r>
    </w:p>
    <w:p>
      <w:pPr>
        <w:ind w:right="3739"/>
        <w:spacing w:after="0" w:line="187" w:lineRule="auto"/>
        <w:rPr>
          <w:sz w:val="20"/>
          <w:szCs w:val="20"/>
          <w:color w:val="auto"/>
        </w:rPr>
      </w:pPr>
      <w:r>
        <w:rPr>
          <w:rFonts w:ascii="Arial" w:cs="Arial" w:eastAsia="Arial" w:hAnsi="Arial"/>
          <w:sz w:val="9"/>
          <w:szCs w:val="9"/>
          <w:color w:val="FFFFFF"/>
        </w:rPr>
        <w:t>TPG Specialty Lending, Inc. Demonstrates Superior Value of Its Proposal in Letter to TICC Capital Corp. Stockholders 9/28/2015</w:t>
      </w:r>
    </w:p>
    <w:p>
      <w:pPr>
        <w:ind w:right="4379"/>
        <w:spacing w:after="0" w:line="230" w:lineRule="auto"/>
        <w:rPr>
          <w:sz w:val="20"/>
          <w:szCs w:val="20"/>
          <w:color w:val="auto"/>
        </w:rPr>
      </w:pPr>
      <w:r>
        <w:rPr>
          <w:rFonts w:ascii="Arial" w:cs="Arial" w:eastAsia="Arial" w:hAnsi="Arial"/>
          <w:sz w:val="11"/>
          <w:szCs w:val="11"/>
          <w:color w:val="FFFFFF"/>
        </w:rPr>
        <w:t>TPG Specialty Lending, Inc. Sends Letter to TICC Capital Corp. Stockholders Outlining Merits of Proposal 9/21/2015</w:t>
      </w:r>
    </w:p>
    <w:p>
      <w:pPr>
        <w:spacing w:after="0"/>
        <w:rPr>
          <w:sz w:val="20"/>
          <w:szCs w:val="20"/>
          <w:color w:val="auto"/>
        </w:rPr>
      </w:pPr>
      <w:r>
        <w:rPr>
          <w:rFonts w:ascii="Arial" w:cs="Arial" w:eastAsia="Arial" w:hAnsi="Arial"/>
          <w:sz w:val="14"/>
          <w:szCs w:val="14"/>
          <w:color w:val="FFFFFF"/>
        </w:rPr>
        <w:t>9/16/2015TPGSpecialty Lending Proposes to Acquire TICC Capital Corp. for $7.50 per Share</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3138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186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FFFFFF"/>
        </w:rPr>
        <w:t>9/16/2015TPGSpecialty Lending Proposes to Acquire TICC Capital Corp. for $7.50 per Share</w:t>
      </w:r>
    </w:p>
    <w:p>
      <w:pPr>
        <w:spacing w:after="0" w:line="190" w:lineRule="auto"/>
        <w:rPr>
          <w:sz w:val="20"/>
          <w:szCs w:val="20"/>
          <w:color w:val="auto"/>
        </w:rPr>
      </w:pPr>
      <w:r>
        <w:rPr>
          <w:rFonts w:ascii="Arial" w:cs="Arial" w:eastAsia="Arial" w:hAnsi="Arial"/>
          <w:sz w:val="11"/>
          <w:szCs w:val="11"/>
          <w:color w:val="FFFFFF"/>
        </w:rPr>
        <w:t>* TICC and benchmark returns indexed to November 21, 2003. Total return calculation includes share price appreciation and cumulative dividends paid. BDC Composite comprised of ACAS, AINV, ARCC, BKCC, FSC, GBDC, HTGC, MAIN, MCC, NMFC, PNNT, PSEC, SLRC, TCAP, and TCRD. Calculated through June 10, 2016. Copyright 2016.</w:t>
      </w:r>
    </w:p>
    <w:p>
      <w:pPr>
        <w:sectPr>
          <w:pgSz w:w="11900" w:h="16838" w:orient="portrait"/>
          <w:cols w:equalWidth="0" w:num="1">
            <w:col w:w="11180"/>
          </w:cols>
          <w:pgMar w:left="240" w:top="1440" w:right="4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4948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1865" cy="494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FFFFFF"/>
        </w:rPr>
        <w:t>TPGNewsSpecialty&amp;FilingsLending</w:t>
      </w:r>
    </w:p>
    <w:p>
      <w:pPr>
        <w:spacing w:after="0" w:line="211" w:lineRule="auto"/>
        <w:rPr>
          <w:sz w:val="20"/>
          <w:szCs w:val="20"/>
          <w:color w:val="auto"/>
        </w:rPr>
      </w:pPr>
      <w:r>
        <w:rPr>
          <w:rFonts w:ascii="Arial" w:cs="Arial" w:eastAsia="Arial" w:hAnsi="Arial"/>
          <w:sz w:val="2"/>
          <w:szCs w:val="2"/>
          <w:color w:val="FFFFFF"/>
        </w:rPr>
        <w:t>N</w:t>
      </w:r>
      <w:r>
        <w:rPr>
          <w:rFonts w:ascii="Arial" w:cs="Arial" w:eastAsia="Arial" w:hAnsi="Arial"/>
          <w:sz w:val="4"/>
          <w:szCs w:val="4"/>
          <w:color w:val="FFFFFF"/>
          <w:vertAlign w:val="subscript"/>
        </w:rPr>
        <w:t>How</w:t>
      </w:r>
      <w:r>
        <w:rPr>
          <w:rFonts w:ascii="Arial" w:cs="Arial" w:eastAsia="Arial" w:hAnsi="Arial"/>
          <w:sz w:val="2"/>
          <w:szCs w:val="2"/>
          <w:color w:val="FFFFFF"/>
        </w:rPr>
        <w:t>Presentationsminee</w:t>
      </w:r>
    </w:p>
    <w:p>
      <w:pPr>
        <w:ind w:left="300"/>
        <w:spacing w:after="0" w:line="188" w:lineRule="auto"/>
        <w:rPr>
          <w:sz w:val="20"/>
          <w:szCs w:val="20"/>
          <w:color w:val="auto"/>
        </w:rPr>
      </w:pPr>
      <w:r>
        <w:rPr>
          <w:rFonts w:ascii="Arial" w:cs="Arial" w:eastAsia="Arial" w:hAnsi="Arial"/>
          <w:sz w:val="9"/>
          <w:szCs w:val="9"/>
          <w:color w:val="FFFFFF"/>
        </w:rPr>
        <w:t>to Vote</w:t>
      </w:r>
    </w:p>
    <w:p>
      <w:pPr>
        <w:spacing w:after="0"/>
        <w:rPr>
          <w:sz w:val="20"/>
          <w:szCs w:val="20"/>
          <w:color w:val="auto"/>
        </w:rPr>
      </w:pPr>
      <w:r>
        <w:rPr>
          <w:rFonts w:ascii="Arial" w:cs="Arial" w:eastAsia="Arial" w:hAnsi="Arial"/>
          <w:sz w:val="3"/>
          <w:szCs w:val="3"/>
          <w:color w:val="FFFFFF"/>
        </w:rPr>
        <w:t>ContactAboutTPG Specialty Lending</w:t>
      </w:r>
    </w:p>
    <w:p>
      <w:pPr>
        <w:spacing w:after="0" w:line="194" w:lineRule="auto"/>
        <w:rPr>
          <w:sz w:val="20"/>
          <w:szCs w:val="20"/>
          <w:color w:val="auto"/>
        </w:rPr>
      </w:pPr>
      <w:r>
        <w:rPr>
          <w:rFonts w:ascii="Arial" w:cs="Arial" w:eastAsia="Arial" w:hAnsi="Arial"/>
          <w:sz w:val="3"/>
          <w:szCs w:val="3"/>
          <w:color w:val="FFFFFF"/>
        </w:rPr>
        <w:t>H</w:t>
      </w:r>
      <w:r>
        <w:rPr>
          <w:rFonts w:ascii="Arial" w:cs="Arial" w:eastAsia="Arial" w:hAnsi="Arial"/>
          <w:sz w:val="5"/>
          <w:szCs w:val="5"/>
          <w:color w:val="FFFFFF"/>
          <w:vertAlign w:val="subscript"/>
        </w:rPr>
        <w:t>OUR</w:t>
      </w:r>
      <w:r>
        <w:rPr>
          <w:rFonts w:ascii="Arial" w:cs="Arial" w:eastAsia="Arial" w:hAnsi="Arial"/>
          <w:sz w:val="3"/>
          <w:szCs w:val="3"/>
          <w:color w:val="FFFFFF"/>
        </w:rPr>
        <w:t>WT</w:t>
      </w:r>
      <w:r>
        <w:rPr>
          <w:rFonts w:ascii="Arial" w:cs="Arial" w:eastAsia="Arial" w:hAnsi="Arial"/>
          <w:sz w:val="5"/>
          <w:szCs w:val="5"/>
          <w:color w:val="FFFFFF"/>
          <w:vertAlign w:val="subscript"/>
        </w:rPr>
        <w:t>VOTE</w:t>
      </w:r>
      <w:r>
        <w:rPr>
          <w:rFonts w:ascii="Arial" w:cs="Arial" w:eastAsia="Arial" w:hAnsi="Arial"/>
          <w:sz w:val="3"/>
          <w:szCs w:val="3"/>
          <w:color w:val="FFFFFF"/>
        </w:rPr>
        <w:t>VOTE</w:t>
      </w:r>
    </w:p>
    <w:p>
      <w:pPr>
        <w:spacing w:after="0" w:line="211" w:lineRule="auto"/>
        <w:rPr>
          <w:sz w:val="20"/>
          <w:szCs w:val="20"/>
          <w:color w:val="auto"/>
        </w:rPr>
      </w:pPr>
      <w:r>
        <w:rPr>
          <w:rFonts w:ascii="Arial" w:cs="Arial" w:eastAsia="Arial" w:hAnsi="Arial"/>
          <w:sz w:val="4"/>
          <w:szCs w:val="4"/>
          <w:color w:val="FFFFFF"/>
          <w:vertAlign w:val="superscript"/>
        </w:rPr>
        <w:t>Y</w:t>
      </w:r>
    </w:p>
    <w:p>
      <w:pPr>
        <w:ind w:left="100"/>
        <w:spacing w:after="0"/>
        <w:rPr>
          <w:sz w:val="20"/>
          <w:szCs w:val="20"/>
          <w:color w:val="auto"/>
        </w:rPr>
      </w:pPr>
      <w:r>
        <w:rPr>
          <w:rFonts w:ascii="Arial" w:cs="Arial" w:eastAsia="Arial" w:hAnsi="Arial"/>
          <w:sz w:val="3"/>
          <w:szCs w:val="3"/>
          <w:color w:val="FFFFFF"/>
        </w:rPr>
        <w:t>ou will need toIShaveIMPORTANT.yourGOLDPLEASEvotinginstructionVOTEYOURformGOLDinhandVOTINGtovoteyourINSTRUCTIONsharesbyInternetFORMor TODAY.telephone.</w:t>
      </w:r>
    </w:p>
    <w:p>
      <w:pPr>
        <w:spacing w:after="0" w:line="194" w:lineRule="auto"/>
        <w:rPr>
          <w:sz w:val="20"/>
          <w:szCs w:val="20"/>
          <w:color w:val="auto"/>
        </w:rPr>
      </w:pPr>
      <w:r>
        <w:rPr>
          <w:rFonts w:ascii="Arial" w:cs="Arial" w:eastAsia="Arial" w:hAnsi="Arial"/>
          <w:sz w:val="5"/>
          <w:szCs w:val="5"/>
          <w:color w:val="FFFFFF"/>
        </w:rPr>
        <w:t>VOTE BY INTERNET – www.proxyvote.com</w:t>
      </w:r>
    </w:p>
    <w:p>
      <w:pPr>
        <w:spacing w:after="0"/>
        <w:rPr>
          <w:sz w:val="20"/>
          <w:szCs w:val="20"/>
          <w:color w:val="auto"/>
        </w:rPr>
      </w:pPr>
      <w:r>
        <w:rPr>
          <w:rFonts w:ascii="Arial" w:cs="Arial" w:eastAsia="Arial" w:hAnsi="Arial"/>
          <w:sz w:val="3"/>
          <w:szCs w:val="3"/>
          <w:color w:val="FFFFFF"/>
        </w:rPr>
        <w:t>1 Locate the 16 digit Control Number printed on the GOLD voting instruction form. The Control Number is printed on the right side of the form next to the dark arrow.</w:t>
      </w:r>
    </w:p>
    <w:p>
      <w:pPr>
        <w:spacing w:after="0" w:line="181" w:lineRule="auto"/>
        <w:rPr>
          <w:sz w:val="20"/>
          <w:szCs w:val="20"/>
          <w:color w:val="auto"/>
        </w:rPr>
      </w:pPr>
      <w:r>
        <w:rPr>
          <w:rFonts w:ascii="Arial" w:cs="Arial" w:eastAsia="Arial" w:hAnsi="Arial"/>
          <w:sz w:val="7"/>
          <w:szCs w:val="7"/>
          <w:color w:val="FFFFFF"/>
        </w:rPr>
        <w:t>2</w:t>
      </w:r>
      <w:r>
        <w:rPr>
          <w:rFonts w:ascii="Arial" w:cs="Arial" w:eastAsia="Arial" w:hAnsi="Arial"/>
          <w:sz w:val="10"/>
          <w:szCs w:val="10"/>
          <w:color w:val="FFFFFF"/>
          <w:vertAlign w:val="superscript"/>
        </w:rPr>
        <w:t>.</w:t>
      </w:r>
      <w:r>
        <w:rPr>
          <w:rFonts w:ascii="Arial" w:cs="Arial" w:eastAsia="Arial" w:hAnsi="Arial"/>
          <w:sz w:val="7"/>
          <w:szCs w:val="7"/>
          <w:color w:val="FFFFFF"/>
        </w:rPr>
        <w:t>Go to www.proxyvote.com.</w:t>
      </w:r>
    </w:p>
    <w:p>
      <w:pPr>
        <w:spacing w:after="0"/>
        <w:rPr>
          <w:sz w:val="20"/>
          <w:szCs w:val="20"/>
          <w:color w:val="auto"/>
        </w:rPr>
      </w:pPr>
      <w:r>
        <w:rPr>
          <w:rFonts w:ascii="Arial" w:cs="Arial" w:eastAsia="Arial" w:hAnsi="Arial"/>
          <w:sz w:val="3"/>
          <w:szCs w:val="3"/>
          <w:color w:val="FFFFFF"/>
        </w:rPr>
        <w:t>VOTE3FollowBYtheTELEPHONEsimpleinstructions–1-800on-454the-8683website to quickly and easily vote your shares.</w:t>
      </w:r>
    </w:p>
    <w:p>
      <w:pPr>
        <w:spacing w:after="0" w:line="194" w:lineRule="auto"/>
        <w:rPr>
          <w:sz w:val="20"/>
          <w:szCs w:val="20"/>
          <w:color w:val="auto"/>
        </w:rPr>
      </w:pPr>
      <w:r>
        <w:rPr>
          <w:rFonts w:ascii="Arial" w:cs="Arial" w:eastAsia="Arial" w:hAnsi="Arial"/>
          <w:sz w:val="5"/>
          <w:szCs w:val="5"/>
          <w:color w:val="FFFFFF"/>
        </w:rPr>
        <w:t>1 Using a touch tone phone, call (800) 454-8683.</w:t>
      </w:r>
    </w:p>
    <w:p>
      <w:pPr>
        <w:spacing w:after="0" w:line="211" w:lineRule="auto"/>
        <w:rPr>
          <w:sz w:val="20"/>
          <w:szCs w:val="20"/>
          <w:color w:val="auto"/>
        </w:rPr>
      </w:pPr>
      <w:r>
        <w:rPr>
          <w:rFonts w:ascii="Arial" w:cs="Arial" w:eastAsia="Arial" w:hAnsi="Arial"/>
          <w:sz w:val="2"/>
          <w:szCs w:val="2"/>
          <w:color w:val="FFFFFF"/>
        </w:rPr>
        <w:t>2</w:t>
      </w:r>
      <w:r>
        <w:rPr>
          <w:rFonts w:ascii="Arial" w:cs="Arial" w:eastAsia="Arial" w:hAnsi="Arial"/>
          <w:sz w:val="4"/>
          <w:szCs w:val="4"/>
          <w:color w:val="FFFFFF"/>
          <w:vertAlign w:val="superscript"/>
        </w:rPr>
        <w:t>.</w:t>
      </w:r>
      <w:r>
        <w:rPr>
          <w:rFonts w:ascii="Arial" w:cs="Arial" w:eastAsia="Arial" w:hAnsi="Arial"/>
          <w:sz w:val="2"/>
          <w:szCs w:val="2"/>
          <w:color w:val="FFFFFF"/>
        </w:rPr>
        <w:t>When prompted, enter your 16 digit Control Number which is printed on the right hand side of your voting instruction form next to the dark arrow.</w:t>
      </w:r>
    </w:p>
    <w:p>
      <w:pPr>
        <w:spacing w:after="0"/>
        <w:rPr>
          <w:sz w:val="20"/>
          <w:szCs w:val="20"/>
          <w:color w:val="auto"/>
        </w:rPr>
      </w:pPr>
      <w:r>
        <w:rPr>
          <w:rFonts w:ascii="Arial" w:cs="Arial" w:eastAsia="Arial" w:hAnsi="Arial"/>
          <w:sz w:val="3"/>
          <w:szCs w:val="3"/>
          <w:color w:val="FFFFFF"/>
        </w:rPr>
        <w:t>3 Follow the simple recorded instructions to quickly and easily vote your shares.</w:t>
      </w:r>
    </w:p>
    <w:p>
      <w:pPr>
        <w:spacing w:after="0" w:line="194" w:lineRule="auto"/>
        <w:rPr>
          <w:sz w:val="20"/>
          <w:szCs w:val="20"/>
          <w:color w:val="auto"/>
        </w:rPr>
      </w:pPr>
      <w:r>
        <w:rPr>
          <w:rFonts w:ascii="Arial" w:cs="Arial" w:eastAsia="Arial" w:hAnsi="Arial"/>
          <w:sz w:val="5"/>
          <w:szCs w:val="5"/>
          <w:color w:val="FFFFFF"/>
        </w:rPr>
        <w:t>VOTE BY MAIL</w:t>
      </w:r>
    </w:p>
    <w:p>
      <w:pPr>
        <w:spacing w:after="0" w:line="211" w:lineRule="auto"/>
        <w:rPr>
          <w:sz w:val="20"/>
          <w:szCs w:val="20"/>
          <w:color w:val="auto"/>
        </w:rPr>
      </w:pPr>
      <w:r>
        <w:rPr>
          <w:rFonts w:ascii="Arial" w:cs="Arial" w:eastAsia="Arial" w:hAnsi="Arial"/>
          <w:sz w:val="2"/>
          <w:szCs w:val="2"/>
          <w:color w:val="FFFFFF"/>
        </w:rPr>
        <w:t xml:space="preserve">Mark, sign and date your GOLD voting instruction form and return it </w:t>
      </w:r>
      <w:r>
        <w:rPr>
          <w:rFonts w:ascii="Arial" w:cs="Arial" w:eastAsia="Arial" w:hAnsi="Arial"/>
          <w:sz w:val="4"/>
          <w:szCs w:val="4"/>
          <w:color w:val="FFFFFF"/>
          <w:vertAlign w:val="subscript"/>
        </w:rPr>
        <w:t>voting</w:t>
      </w:r>
      <w:r>
        <w:rPr>
          <w:rFonts w:ascii="Arial" w:cs="Arial" w:eastAsia="Arial" w:hAnsi="Arial"/>
          <w:sz w:val="2"/>
          <w:szCs w:val="2"/>
          <w:color w:val="FFFFFF"/>
        </w:rPr>
        <w:t>the postage-paid envelope provided to ensure your vote is received prior to the annual meeting. Please note: if you voted your shares by</w:t>
      </w:r>
    </w:p>
    <w:p>
      <w:pPr>
        <w:spacing w:after="0"/>
        <w:tabs>
          <w:tab w:leader="none" w:pos="4120" w:val="left"/>
        </w:tabs>
        <w:rPr>
          <w:sz w:val="20"/>
          <w:szCs w:val="20"/>
          <w:color w:val="auto"/>
        </w:rPr>
      </w:pPr>
      <w:r>
        <w:rPr>
          <w:rFonts w:ascii="Arial" w:cs="Arial" w:eastAsia="Arial" w:hAnsi="Arial"/>
          <w:sz w:val="14"/>
          <w:szCs w:val="14"/>
          <w:color w:val="FFFFFF"/>
        </w:rPr>
        <w:t>Internet or by telephone, you do NOT need to mail back your GOLD</w:t>
      </w:r>
      <w:r>
        <w:rPr>
          <w:sz w:val="20"/>
          <w:szCs w:val="20"/>
          <w:color w:val="auto"/>
        </w:rPr>
        <w:tab/>
      </w:r>
      <w:r>
        <w:rPr>
          <w:rFonts w:ascii="Arial" w:cs="Arial" w:eastAsia="Arial" w:hAnsi="Arial"/>
          <w:sz w:val="12"/>
          <w:szCs w:val="12"/>
          <w:color w:val="FFFFFF"/>
        </w:rPr>
        <w:t>instruction form.</w:t>
      </w:r>
    </w:p>
    <w:p>
      <w:pPr>
        <w:sectPr>
          <w:pgSz w:w="11900" w:h="16838" w:orient="portrait"/>
          <w:cols w:equalWidth="0" w:num="1">
            <w:col w:w="11260"/>
          </w:cols>
          <w:pgMar w:left="240" w:top="1440" w:right="3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1865" cy="1946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186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FFFFFF"/>
        </w:rPr>
        <w:t>form you receive, each of which willaccount,haveunique Control Number.</w:t>
      </w:r>
    </w:p>
    <w:p>
      <w:pPr>
        <w:spacing w:after="0" w:line="187" w:lineRule="auto"/>
        <w:tabs>
          <w:tab w:leader="none" w:pos="2420" w:val="left"/>
        </w:tabs>
        <w:rPr>
          <w:sz w:val="20"/>
          <w:szCs w:val="20"/>
          <w:color w:val="auto"/>
        </w:rPr>
      </w:pPr>
      <w:r>
        <w:rPr>
          <w:rFonts w:ascii="Arial" w:cs="Arial" w:eastAsia="Arial" w:hAnsi="Arial"/>
          <w:sz w:val="9"/>
          <w:szCs w:val="9"/>
          <w:color w:val="FFFFFF"/>
        </w:rPr>
        <w:t>If you hold shares in more than one</w:t>
      </w:r>
      <w:r>
        <w:rPr>
          <w:sz w:val="20"/>
          <w:szCs w:val="20"/>
          <w:color w:val="auto"/>
        </w:rPr>
        <w:tab/>
      </w:r>
      <w:r>
        <w:rPr>
          <w:rFonts w:ascii="Arial" w:cs="Arial" w:eastAsia="Arial" w:hAnsi="Arial"/>
          <w:sz w:val="9"/>
          <w:szCs w:val="9"/>
          <w:color w:val="FFFFFF"/>
        </w:rPr>
        <w:t>you will receive a GOLD voting instruction form for each of these accounts. To vote all of the shares you own, you will need to vote every GOLD voting instruction</w:t>
      </w:r>
    </w:p>
    <w:p>
      <w:pPr>
        <w:spacing w:after="0"/>
        <w:rPr>
          <w:sz w:val="20"/>
          <w:szCs w:val="20"/>
          <w:color w:val="auto"/>
        </w:rPr>
      </w:pPr>
      <w:r>
        <w:rPr>
          <w:rFonts w:ascii="Arial" w:cs="Arial" w:eastAsia="Arial" w:hAnsi="Arial"/>
          <w:sz w:val="3"/>
          <w:szCs w:val="3"/>
          <w:color w:val="FFFFFF"/>
        </w:rPr>
        <w:t>PLEASE CONTACT MACKENZIE PARTNERS, INC. WITH ANY QUESTIONS ON HOW TO VOTE AT (800) 322-2885.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Copyright 2016.</w:t>
      </w:r>
    </w:p>
    <w:p>
      <w:pPr>
        <w:sectPr>
          <w:pgSz w:w="11900" w:h="16838" w:orient="portrait"/>
          <w:cols w:equalWidth="0" w:num="1">
            <w:col w:w="11340"/>
          </w:cols>
          <w:pgMar w:left="240" w:top="1440"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8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www.tpgspecialtylending.com.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0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ectPr>
          <w:pgSz w:w="11900" w:h="16838" w:orient="portrait"/>
          <w:cols w:equalWidth="0" w:num="1">
            <w:col w:w="11380"/>
          </w:cols>
          <w:pgMar w:left="240" w:top="274" w:right="279" w:bottom="1440" w:gutter="0" w:footer="0" w:header="0"/>
        </w:sectPr>
      </w:pPr>
    </w:p>
    <w:bookmarkStart w:id="13" w:name="page14"/>
    <w:bookmarkEnd w:id="13"/>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1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8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 preliminary proxy statement on Schedule 14A with the SEC on May 12, 2016 (as amended, the “TSLX Preliminary Proxy Statement”) and filed a definitive proxy statement in connection therewith on Schedule 14A with the SEC on June 20, 2016 (the “TSLX Definitive Proxy Statement” and, together with the TSLX Preliminary Proxy Statement, the “TSLX Proxy Statement”). TSLX has commenced mailing the TSLX Definitive Proxy Statement and accompanying GOLD proxy card to stockholders of TICC. This communication is not a substitute for the TSLX Proxy Statement.</w:t>
      </w:r>
    </w:p>
    <w:p>
      <w:pPr>
        <w:spacing w:after="0" w:line="10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1,633,719 shares of common stock of TICC. As of the date hereof, Mr. Millet did not directly or indirectly beneficially own any shares of common stock of TICC.</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Definitive Proxy Statement and other relevant materials to be filed with the SEC (if and when available).</w:t>
      </w:r>
    </w:p>
    <w:p>
      <w:pPr>
        <w:sectPr>
          <w:pgSz w:w="11900" w:h="16838" w:orient="portrait"/>
          <w:cols w:equalWidth="0" w:num="1">
            <w:col w:w="11420"/>
          </w:cols>
          <w:pgMar w:left="240" w:top="280" w:right="239" w:bottom="1440" w:gutter="0" w:footer="0" w:header="0"/>
        </w:sectPr>
      </w:pPr>
    </w:p>
    <w:bookmarkStart w:id="14" w:name="page15"/>
    <w:bookmarkEnd w:id="14"/>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120"/>
      </w:cols>
      <w:pgMar w:left="240" w:top="28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2019-12-20T23:15:59Z</dcterms:created>
  <dcterms:modified xsi:type="dcterms:W3CDTF">2019-12-20T23:15:59Z</dcterms:modified>
</cp:coreProperties>
</file>